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23C53" w14:textId="77777777" w:rsidR="00FF6880" w:rsidRDefault="00FF6880" w:rsidP="006C08CC">
      <w:pPr>
        <w:contextualSpacing/>
        <w:outlineLvl w:val="0"/>
        <w:rPr>
          <w:b/>
          <w:color w:val="000000" w:themeColor="text1"/>
          <w:lang w:val="en-US"/>
        </w:rPr>
      </w:pPr>
    </w:p>
    <w:p w14:paraId="7515C6EC" w14:textId="7BEB5573" w:rsidR="007D60B5" w:rsidRDefault="00FF6880" w:rsidP="006C08CC">
      <w:pPr>
        <w:contextualSpacing/>
        <w:outlineLvl w:val="0"/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t>Online resource</w:t>
      </w:r>
      <w:r w:rsidR="006C08CC">
        <w:rPr>
          <w:b/>
          <w:color w:val="000000" w:themeColor="text1"/>
          <w:lang w:val="en-US"/>
        </w:rPr>
        <w:t xml:space="preserve"> 1</w:t>
      </w:r>
      <w:r w:rsidR="00D7096B">
        <w:rPr>
          <w:b/>
          <w:color w:val="000000" w:themeColor="text1"/>
          <w:lang w:val="en-US"/>
        </w:rPr>
        <w:t>: S</w:t>
      </w:r>
      <w:r w:rsidR="001E06DB">
        <w:rPr>
          <w:b/>
          <w:color w:val="000000" w:themeColor="text1"/>
          <w:lang w:val="en-US"/>
        </w:rPr>
        <w:t>tatement paper</w:t>
      </w:r>
    </w:p>
    <w:p w14:paraId="5F52B81D" w14:textId="77777777" w:rsidR="007D60B5" w:rsidRDefault="007D60B5" w:rsidP="00BE2178">
      <w:pPr>
        <w:jc w:val="center"/>
        <w:outlineLvl w:val="0"/>
        <w:rPr>
          <w:b/>
          <w:color w:val="000000" w:themeColor="text1"/>
          <w:lang w:val="en-US"/>
        </w:rPr>
      </w:pPr>
    </w:p>
    <w:p w14:paraId="58A17031" w14:textId="1BE273B1" w:rsidR="00BE2178" w:rsidRPr="007C61BC" w:rsidRDefault="00BE2178" w:rsidP="00BE2178">
      <w:pPr>
        <w:jc w:val="center"/>
        <w:outlineLvl w:val="0"/>
        <w:rPr>
          <w:color w:val="000000" w:themeColor="text1"/>
          <w:lang w:val="en-US"/>
        </w:rPr>
      </w:pPr>
      <w:r w:rsidRPr="007C61BC">
        <w:rPr>
          <w:color w:val="000000" w:themeColor="text1"/>
          <w:lang w:val="en-US"/>
        </w:rPr>
        <w:t xml:space="preserve">Preliminary statement about the efficacy of dead-wood retention for biodiversity conservation </w:t>
      </w:r>
      <w:r w:rsidR="00E932F9">
        <w:rPr>
          <w:color w:val="000000" w:themeColor="text1"/>
          <w:lang w:val="en-US"/>
        </w:rPr>
        <w:t>(statement paper)</w:t>
      </w:r>
    </w:p>
    <w:p w14:paraId="4B3A13D2" w14:textId="77777777" w:rsidR="00BE2178" w:rsidRPr="001315D6" w:rsidRDefault="00BE2178" w:rsidP="00BE2178">
      <w:pPr>
        <w:rPr>
          <w:b/>
          <w:color w:val="000000" w:themeColor="text1"/>
          <w:lang w:val="en-US"/>
        </w:rPr>
      </w:pPr>
    </w:p>
    <w:p w14:paraId="5DFD88C2" w14:textId="77777777" w:rsidR="001E06DB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>1. Dependent variables: Species richness and abundance. Th</w:t>
      </w:r>
      <w:r w:rsidR="001E06DB">
        <w:rPr>
          <w:color w:val="000000" w:themeColor="text1"/>
          <w:lang w:val="en-US"/>
        </w:rPr>
        <w:t xml:space="preserve">ese are influenced in which </w:t>
      </w:r>
    </w:p>
    <w:p w14:paraId="0E174964" w14:textId="23C239E0" w:rsidR="00BE2178" w:rsidRPr="001315D6" w:rsidRDefault="001E06DB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 way </w:t>
      </w:r>
      <w:r w:rsidR="00BE2178" w:rsidRPr="001315D6">
        <w:rPr>
          <w:color w:val="000000" w:themeColor="text1"/>
          <w:lang w:val="en-US"/>
        </w:rPr>
        <w:t>by</w:t>
      </w:r>
    </w:p>
    <w:p w14:paraId="2E673C99" w14:textId="20D35645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1.1 the </w:t>
      </w:r>
      <w:r w:rsidR="00B01A31" w:rsidRPr="001315D6">
        <w:rPr>
          <w:color w:val="000000" w:themeColor="text1"/>
          <w:lang w:val="en-US"/>
        </w:rPr>
        <w:t>dead-wood am</w:t>
      </w:r>
      <w:r w:rsidRPr="001315D6">
        <w:rPr>
          <w:color w:val="000000" w:themeColor="text1"/>
          <w:lang w:val="en-US"/>
        </w:rPr>
        <w:t>ount?</w:t>
      </w:r>
    </w:p>
    <w:p w14:paraId="498C870F" w14:textId="77777777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>1.2 the spatial position of dead wood (horizontal, vertical)?</w:t>
      </w:r>
    </w:p>
    <w:p w14:paraId="2F261D3F" w14:textId="6AD9E63F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1.3 </w:t>
      </w:r>
      <w:r w:rsidR="00B01A31" w:rsidRPr="001315D6">
        <w:rPr>
          <w:color w:val="000000" w:themeColor="text1"/>
          <w:lang w:val="en-US"/>
        </w:rPr>
        <w:t>the dead-</w:t>
      </w:r>
      <w:r w:rsidRPr="001315D6">
        <w:rPr>
          <w:color w:val="000000" w:themeColor="text1"/>
          <w:lang w:val="en-US"/>
        </w:rPr>
        <w:t>wood type (degree of decay)?</w:t>
      </w:r>
    </w:p>
    <w:p w14:paraId="643CC8B6" w14:textId="23A4B555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1.4 </w:t>
      </w:r>
      <w:r w:rsidR="00B01A31" w:rsidRPr="001315D6">
        <w:rPr>
          <w:color w:val="000000" w:themeColor="text1"/>
          <w:lang w:val="en-US"/>
        </w:rPr>
        <w:t>the dead-</w:t>
      </w:r>
      <w:r w:rsidRPr="001315D6">
        <w:rPr>
          <w:color w:val="000000" w:themeColor="text1"/>
          <w:lang w:val="en-US"/>
        </w:rPr>
        <w:t>wood species?</w:t>
      </w:r>
    </w:p>
    <w:p w14:paraId="0AECCB42" w14:textId="77777777" w:rsidR="00BE2178" w:rsidRPr="001315D6" w:rsidRDefault="00BE2178" w:rsidP="00BE2178">
      <w:pPr>
        <w:rPr>
          <w:color w:val="000000" w:themeColor="text1"/>
          <w:lang w:val="en-US"/>
        </w:rPr>
      </w:pPr>
    </w:p>
    <w:p w14:paraId="393E4DFC" w14:textId="55D8BD9D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1.1 Derivation of the Level of Evidence for </w:t>
      </w:r>
      <w:r w:rsidR="00B01A31" w:rsidRPr="001315D6">
        <w:rPr>
          <w:b/>
          <w:color w:val="000000" w:themeColor="text1"/>
          <w:lang w:val="en-US"/>
        </w:rPr>
        <w:t>dead-wood am</w:t>
      </w:r>
      <w:r w:rsidRPr="001315D6">
        <w:rPr>
          <w:b/>
          <w:color w:val="000000" w:themeColor="text1"/>
          <w:lang w:val="en-US"/>
        </w:rPr>
        <w:t>ount</w:t>
      </w:r>
      <w:r w:rsidRPr="001315D6">
        <w:rPr>
          <w:color w:val="000000" w:themeColor="text1"/>
          <w:lang w:val="en-US"/>
        </w:rPr>
        <w:t>:</w:t>
      </w:r>
    </w:p>
    <w:p w14:paraId="2642A06E" w14:textId="77777777" w:rsidR="00BE2178" w:rsidRPr="001315D6" w:rsidRDefault="00BE2178" w:rsidP="00BE2178">
      <w:pPr>
        <w:rPr>
          <w:color w:val="000000" w:themeColor="text1"/>
          <w:lang w:val="en-US"/>
        </w:rPr>
      </w:pPr>
    </w:p>
    <w:p w14:paraId="6511544E" w14:textId="2E06593B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>Several studies, including two meta-analyses</w:t>
      </w:r>
      <w:r w:rsidRPr="001315D6">
        <w:rPr>
          <w:color w:val="000000" w:themeColor="text1"/>
          <w:vertAlign w:val="superscript"/>
          <w:lang w:val="en-US"/>
        </w:rPr>
        <w:t>8, 9</w:t>
      </w:r>
      <w:r w:rsidRPr="001315D6">
        <w:rPr>
          <w:color w:val="000000" w:themeColor="text1"/>
          <w:lang w:val="en-US"/>
        </w:rPr>
        <w:t xml:space="preserve"> and three literature reviews</w:t>
      </w:r>
      <w:r w:rsidRPr="001315D6">
        <w:rPr>
          <w:color w:val="000000" w:themeColor="text1"/>
          <w:vertAlign w:val="superscript"/>
          <w:lang w:val="en-US"/>
        </w:rPr>
        <w:t>3, 5, 7</w:t>
      </w:r>
      <w:r w:rsidR="00B01A31" w:rsidRPr="001315D6">
        <w:rPr>
          <w:color w:val="000000" w:themeColor="text1"/>
          <w:lang w:val="en-US"/>
        </w:rPr>
        <w:t xml:space="preserve"> have shown, that the dead-</w:t>
      </w:r>
      <w:r w:rsidRPr="001315D6">
        <w:rPr>
          <w:color w:val="000000" w:themeColor="text1"/>
          <w:lang w:val="en-US"/>
        </w:rPr>
        <w:t>wood amount influences species richness</w:t>
      </w:r>
      <w:r w:rsidRPr="001315D6">
        <w:rPr>
          <w:color w:val="000000" w:themeColor="text1"/>
          <w:vertAlign w:val="superscript"/>
          <w:lang w:val="en-US"/>
        </w:rPr>
        <w:t>3, 5, 7, 8, 9</w:t>
      </w:r>
      <w:r w:rsidRPr="001315D6">
        <w:rPr>
          <w:color w:val="000000" w:themeColor="text1"/>
          <w:lang w:val="en-US"/>
        </w:rPr>
        <w:t xml:space="preserve"> and abundance</w:t>
      </w:r>
      <w:r w:rsidRPr="001315D6">
        <w:rPr>
          <w:color w:val="000000" w:themeColor="text1"/>
          <w:vertAlign w:val="superscript"/>
          <w:lang w:val="en-US"/>
        </w:rPr>
        <w:t>3, 9</w:t>
      </w:r>
      <w:r w:rsidRPr="001315D6">
        <w:rPr>
          <w:color w:val="000000" w:themeColor="text1"/>
          <w:lang w:val="en-US"/>
        </w:rPr>
        <w:t xml:space="preserve"> of saproxylic species. Müller and Bütler (2010) conclude, that </w:t>
      </w:r>
      <w:r w:rsidR="00B01A31" w:rsidRPr="001315D6">
        <w:rPr>
          <w:color w:val="000000" w:themeColor="text1"/>
          <w:lang w:val="en-US"/>
        </w:rPr>
        <w:t>dead-wood am</w:t>
      </w:r>
      <w:r w:rsidRPr="001315D6">
        <w:rPr>
          <w:color w:val="000000" w:themeColor="text1"/>
          <w:lang w:val="en-US"/>
        </w:rPr>
        <w:t>ounts below 30 m</w:t>
      </w:r>
      <w:r w:rsidRPr="001315D6">
        <w:rPr>
          <w:color w:val="000000" w:themeColor="text1"/>
          <w:vertAlign w:val="superscript"/>
          <w:lang w:val="en-US"/>
        </w:rPr>
        <w:t>3</w:t>
      </w:r>
      <w:r w:rsidRPr="001315D6">
        <w:rPr>
          <w:color w:val="000000" w:themeColor="text1"/>
          <w:lang w:val="en-US"/>
        </w:rPr>
        <w:t xml:space="preserve">/ha reduce the richness of saproxylic species in European deciduous forests. However, habitat specialists often require </w:t>
      </w:r>
      <w:r w:rsidR="00B01A31" w:rsidRPr="001315D6">
        <w:rPr>
          <w:color w:val="000000" w:themeColor="text1"/>
          <w:lang w:val="en-US"/>
        </w:rPr>
        <w:t>dead-wood am</w:t>
      </w:r>
      <w:r w:rsidRPr="001315D6">
        <w:rPr>
          <w:color w:val="000000" w:themeColor="text1"/>
          <w:lang w:val="en-US"/>
        </w:rPr>
        <w:t>ounts of &gt;120 m</w:t>
      </w:r>
      <w:r w:rsidRPr="001315D6">
        <w:rPr>
          <w:color w:val="000000" w:themeColor="text1"/>
          <w:vertAlign w:val="superscript"/>
          <w:lang w:val="en-US"/>
        </w:rPr>
        <w:t>3</w:t>
      </w:r>
      <w:r w:rsidRPr="001315D6">
        <w:rPr>
          <w:color w:val="000000" w:themeColor="text1"/>
          <w:lang w:val="en-US"/>
        </w:rPr>
        <w:t>/ha</w:t>
      </w:r>
      <w:r w:rsidRPr="001315D6">
        <w:rPr>
          <w:color w:val="000000" w:themeColor="text1"/>
          <w:vertAlign w:val="superscript"/>
          <w:lang w:val="en-US"/>
        </w:rPr>
        <w:t>7</w:t>
      </w:r>
      <w:r w:rsidRPr="001315D6">
        <w:rPr>
          <w:color w:val="000000" w:themeColor="text1"/>
          <w:lang w:val="en-US"/>
        </w:rPr>
        <w:t xml:space="preserve">. An influence of the </w:t>
      </w:r>
      <w:r w:rsidR="00B01A31" w:rsidRPr="001315D6">
        <w:rPr>
          <w:color w:val="000000" w:themeColor="text1"/>
          <w:lang w:val="en-US"/>
        </w:rPr>
        <w:t>dead-wood am</w:t>
      </w:r>
      <w:r w:rsidRPr="001315D6">
        <w:rPr>
          <w:color w:val="000000" w:themeColor="text1"/>
          <w:lang w:val="en-US"/>
        </w:rPr>
        <w:t>ount on species that indirectly depend on dead wood has not yet been demonstrated clearly</w:t>
      </w:r>
      <w:r w:rsidRPr="001315D6">
        <w:rPr>
          <w:color w:val="000000" w:themeColor="text1"/>
          <w:vertAlign w:val="superscript"/>
          <w:lang w:val="en-US"/>
        </w:rPr>
        <w:t>9</w:t>
      </w:r>
      <w:r w:rsidRPr="001315D6">
        <w:rPr>
          <w:color w:val="000000" w:themeColor="text1"/>
          <w:lang w:val="en-US"/>
        </w:rPr>
        <w:t>.</w:t>
      </w:r>
    </w:p>
    <w:p w14:paraId="64DC24F4" w14:textId="77777777" w:rsidR="00BE2178" w:rsidRPr="001315D6" w:rsidRDefault="00BE2178" w:rsidP="00BE2178">
      <w:pPr>
        <w:rPr>
          <w:color w:val="000000" w:themeColor="text1"/>
          <w:lang w:val="en-US"/>
        </w:rPr>
      </w:pPr>
    </w:p>
    <w:p w14:paraId="6C827EB4" w14:textId="77777777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Level of Evidence: </w:t>
      </w:r>
      <w:r w:rsidRPr="001315D6">
        <w:rPr>
          <w:b/>
          <w:color w:val="000000" w:themeColor="text1"/>
          <w:lang w:val="en-US"/>
        </w:rPr>
        <w:t>1</w:t>
      </w:r>
    </w:p>
    <w:p w14:paraId="6543A5F7" w14:textId="77777777" w:rsidR="00BE2178" w:rsidRPr="001315D6" w:rsidRDefault="00BE2178" w:rsidP="00BE2178">
      <w:pPr>
        <w:rPr>
          <w:color w:val="000000" w:themeColor="text1"/>
          <w:lang w:val="en-US"/>
        </w:rPr>
      </w:pPr>
    </w:p>
    <w:p w14:paraId="6F42E831" w14:textId="77777777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>Degree of recommendation:</w:t>
      </w:r>
    </w:p>
    <w:p w14:paraId="74D29C7B" w14:textId="61E73482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The retention of </w:t>
      </w:r>
      <w:r w:rsidR="00B01A31" w:rsidRPr="001315D6">
        <w:rPr>
          <w:color w:val="000000" w:themeColor="text1"/>
          <w:lang w:val="en-US"/>
        </w:rPr>
        <w:t>dead-wood am</w:t>
      </w:r>
      <w:r w:rsidRPr="001315D6">
        <w:rPr>
          <w:color w:val="000000" w:themeColor="text1"/>
          <w:lang w:val="en-US"/>
        </w:rPr>
        <w:t>ounts of 30 m</w:t>
      </w:r>
      <w:r w:rsidRPr="001315D6">
        <w:rPr>
          <w:color w:val="000000" w:themeColor="text1"/>
          <w:vertAlign w:val="superscript"/>
          <w:lang w:val="en-US"/>
        </w:rPr>
        <w:t>3</w:t>
      </w:r>
      <w:r w:rsidRPr="001315D6">
        <w:rPr>
          <w:color w:val="000000" w:themeColor="text1"/>
          <w:lang w:val="en-US"/>
        </w:rPr>
        <w:t>/ha in European forests nevertheless results in a loss of habitat specialists but can conserve a wide range of species (</w:t>
      </w:r>
      <w:r w:rsidRPr="001315D6">
        <w:rPr>
          <w:b/>
          <w:color w:val="000000" w:themeColor="text1"/>
          <w:lang w:val="en-US"/>
        </w:rPr>
        <w:t>A</w:t>
      </w:r>
      <w:r w:rsidRPr="001315D6">
        <w:rPr>
          <w:color w:val="000000" w:themeColor="text1"/>
          <w:lang w:val="en-US"/>
        </w:rPr>
        <w:t>).</w:t>
      </w:r>
    </w:p>
    <w:p w14:paraId="4EC9FE1D" w14:textId="77777777" w:rsidR="00BE2178" w:rsidRPr="001315D6" w:rsidRDefault="00BE2178" w:rsidP="00BE2178">
      <w:pPr>
        <w:rPr>
          <w:color w:val="000000" w:themeColor="text1"/>
          <w:lang w:val="en-US"/>
        </w:rPr>
      </w:pPr>
    </w:p>
    <w:p w14:paraId="362679E0" w14:textId="77777777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1.2 Derivation of the Level of Evidence for </w:t>
      </w:r>
      <w:r w:rsidRPr="001315D6">
        <w:rPr>
          <w:b/>
          <w:color w:val="000000" w:themeColor="text1"/>
          <w:lang w:val="en-US"/>
        </w:rPr>
        <w:t>spatial position</w:t>
      </w:r>
      <w:r w:rsidRPr="001315D6">
        <w:rPr>
          <w:color w:val="000000" w:themeColor="text1"/>
          <w:lang w:val="en-US"/>
        </w:rPr>
        <w:t xml:space="preserve"> (horizontal, vertical) of dead wood:</w:t>
      </w:r>
    </w:p>
    <w:p w14:paraId="7D1E49F5" w14:textId="77777777" w:rsidR="00BE2178" w:rsidRPr="001315D6" w:rsidRDefault="00BE2178" w:rsidP="00BE2178">
      <w:pPr>
        <w:rPr>
          <w:color w:val="000000" w:themeColor="text1"/>
          <w:lang w:val="en-US"/>
        </w:rPr>
      </w:pPr>
    </w:p>
    <w:p w14:paraId="0E083611" w14:textId="77777777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>There is evidence that increased sun exposure of dead wood can increase saproxylic species richness respectively abundance</w:t>
      </w:r>
      <w:r w:rsidRPr="001315D6">
        <w:rPr>
          <w:color w:val="000000" w:themeColor="text1"/>
          <w:vertAlign w:val="superscript"/>
          <w:lang w:val="en-US"/>
        </w:rPr>
        <w:t>9</w:t>
      </w:r>
      <w:r w:rsidRPr="001315D6">
        <w:rPr>
          <w:color w:val="000000" w:themeColor="text1"/>
          <w:lang w:val="en-US"/>
        </w:rPr>
        <w:t>. Results of an experimental study suggest that cavity nesters particularly benefit from dispersed snags if these are a limiting factor</w:t>
      </w:r>
      <w:r w:rsidRPr="001315D6">
        <w:rPr>
          <w:color w:val="000000" w:themeColor="text1"/>
          <w:vertAlign w:val="superscript"/>
          <w:lang w:val="en-US"/>
        </w:rPr>
        <w:t>4</w:t>
      </w:r>
      <w:r w:rsidRPr="001315D6">
        <w:rPr>
          <w:color w:val="000000" w:themeColor="text1"/>
          <w:lang w:val="en-US"/>
        </w:rPr>
        <w:t>. However, whether dead wood should be dispersed or clumped depends on the species and there has been done little experimental research on this subject</w:t>
      </w:r>
      <w:r w:rsidRPr="001315D6">
        <w:rPr>
          <w:color w:val="000000" w:themeColor="text1"/>
          <w:vertAlign w:val="superscript"/>
          <w:lang w:val="en-US"/>
        </w:rPr>
        <w:t>2, 4, 9</w:t>
      </w:r>
      <w:r w:rsidRPr="001315D6">
        <w:rPr>
          <w:color w:val="000000" w:themeColor="text1"/>
          <w:lang w:val="en-US"/>
        </w:rPr>
        <w:t xml:space="preserve">. </w:t>
      </w:r>
    </w:p>
    <w:p w14:paraId="6C0ED99A" w14:textId="0C101FC3" w:rsidR="00BE2178" w:rsidRPr="001315D6" w:rsidRDefault="00BE2178" w:rsidP="00BE2178">
      <w:pPr>
        <w:ind w:firstLine="284"/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>There is evidence that more species benefit from dead wood on the ground than from standing dead wood</w:t>
      </w:r>
      <w:r w:rsidRPr="001315D6">
        <w:rPr>
          <w:color w:val="000000" w:themeColor="text1"/>
          <w:vertAlign w:val="superscript"/>
          <w:lang w:val="en-US"/>
        </w:rPr>
        <w:t>9, 10</w:t>
      </w:r>
      <w:r w:rsidRPr="001315D6">
        <w:rPr>
          <w:color w:val="000000" w:themeColor="text1"/>
          <w:lang w:val="en-US"/>
        </w:rPr>
        <w:t xml:space="preserve">. However, results of several individual studies suggest that standing dead wood hosts habitat specialists (e.g. beetles of the genus </w:t>
      </w:r>
      <w:r w:rsidRPr="001315D6">
        <w:rPr>
          <w:i/>
          <w:color w:val="000000" w:themeColor="text1"/>
          <w:lang w:val="en-US"/>
        </w:rPr>
        <w:t>Germarostes</w:t>
      </w:r>
      <w:r w:rsidRPr="001315D6">
        <w:rPr>
          <w:color w:val="000000" w:themeColor="text1"/>
          <w:lang w:val="en-US"/>
        </w:rPr>
        <w:t xml:space="preserve">, </w:t>
      </w:r>
      <w:r w:rsidRPr="001315D6">
        <w:rPr>
          <w:i/>
          <w:color w:val="000000" w:themeColor="text1"/>
          <w:lang w:val="en-US"/>
        </w:rPr>
        <w:t>Rhyncolus</w:t>
      </w:r>
      <w:r w:rsidRPr="001315D6">
        <w:rPr>
          <w:color w:val="000000" w:themeColor="text1"/>
          <w:lang w:val="en-US"/>
        </w:rPr>
        <w:t xml:space="preserve"> and </w:t>
      </w:r>
      <w:r w:rsidRPr="001315D6">
        <w:rPr>
          <w:i/>
          <w:color w:val="000000" w:themeColor="text1"/>
          <w:lang w:val="en-US"/>
        </w:rPr>
        <w:t>Steno</w:t>
      </w:r>
      <w:r w:rsidR="009120FC">
        <w:rPr>
          <w:i/>
          <w:color w:val="000000" w:themeColor="text1"/>
          <w:lang w:val="en-US"/>
        </w:rPr>
        <w:t>s</w:t>
      </w:r>
      <w:r w:rsidRPr="001315D6">
        <w:rPr>
          <w:i/>
          <w:color w:val="000000" w:themeColor="text1"/>
          <w:lang w:val="en-US"/>
        </w:rPr>
        <w:t>celis</w:t>
      </w:r>
      <w:r w:rsidRPr="001315D6">
        <w:rPr>
          <w:color w:val="000000" w:themeColor="text1"/>
          <w:lang w:val="en-US"/>
        </w:rPr>
        <w:t>) which are rarely found on lying dead wood</w:t>
      </w:r>
      <w:r w:rsidRPr="001315D6">
        <w:rPr>
          <w:color w:val="000000" w:themeColor="text1"/>
          <w:vertAlign w:val="superscript"/>
          <w:lang w:val="en-US"/>
        </w:rPr>
        <w:t>9, 10</w:t>
      </w:r>
      <w:r w:rsidRPr="001315D6">
        <w:rPr>
          <w:color w:val="000000" w:themeColor="text1"/>
          <w:lang w:val="en-US"/>
        </w:rPr>
        <w:t xml:space="preserve">. </w:t>
      </w:r>
    </w:p>
    <w:p w14:paraId="10BEE854" w14:textId="77777777" w:rsidR="00BE2178" w:rsidRPr="001315D6" w:rsidRDefault="00BE2178" w:rsidP="00BE2178">
      <w:pPr>
        <w:rPr>
          <w:color w:val="000000" w:themeColor="text1"/>
          <w:lang w:val="en-US"/>
        </w:rPr>
      </w:pPr>
    </w:p>
    <w:p w14:paraId="06E389E7" w14:textId="77777777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Level of Evidence: </w:t>
      </w:r>
      <w:r w:rsidRPr="001315D6">
        <w:rPr>
          <w:b/>
          <w:color w:val="000000" w:themeColor="text1"/>
          <w:lang w:val="en-US"/>
        </w:rPr>
        <w:t>2</w:t>
      </w:r>
    </w:p>
    <w:p w14:paraId="622E1CE9" w14:textId="77777777" w:rsidR="00BE2178" w:rsidRPr="001315D6" w:rsidRDefault="00BE2178" w:rsidP="00BE2178">
      <w:pPr>
        <w:rPr>
          <w:color w:val="000000" w:themeColor="text1"/>
          <w:lang w:val="en-US"/>
        </w:rPr>
      </w:pPr>
    </w:p>
    <w:p w14:paraId="1E18071D" w14:textId="77777777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Degree of recommendation: </w:t>
      </w:r>
    </w:p>
    <w:p w14:paraId="11A46A5B" w14:textId="0A37ACF6" w:rsidR="00FF6880" w:rsidRDefault="00BE2178" w:rsidP="00BE2178">
      <w:pPr>
        <w:rPr>
          <w:color w:val="000000" w:themeColor="text1"/>
          <w:lang w:val="en-US"/>
        </w:rPr>
        <w:sectPr w:rsidR="00FF6880" w:rsidSect="00B6301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  <w:r w:rsidRPr="001315D6">
        <w:rPr>
          <w:color w:val="000000" w:themeColor="text1"/>
          <w:lang w:val="en-US"/>
        </w:rPr>
        <w:t>Sun exposed locations should be preferably used for dead wood retention (</w:t>
      </w:r>
      <w:r w:rsidRPr="001315D6">
        <w:rPr>
          <w:b/>
          <w:color w:val="000000" w:themeColor="text1"/>
          <w:lang w:val="en-US"/>
        </w:rPr>
        <w:t>B</w:t>
      </w:r>
      <w:r w:rsidRPr="001315D6">
        <w:rPr>
          <w:color w:val="000000" w:themeColor="text1"/>
          <w:lang w:val="en-US"/>
        </w:rPr>
        <w:t>). Based on the precautionary principle and weak evidence, standing as well as lying dead wood should be retained in dispersed and clumped distributions to provide habitat for a wide range of species (</w:t>
      </w:r>
      <w:r w:rsidRPr="001315D6">
        <w:rPr>
          <w:b/>
          <w:color w:val="000000" w:themeColor="text1"/>
          <w:lang w:val="en-US"/>
        </w:rPr>
        <w:t>B</w:t>
      </w:r>
      <w:r w:rsidRPr="001315D6">
        <w:rPr>
          <w:color w:val="000000" w:themeColor="text1"/>
          <w:lang w:val="en-US"/>
        </w:rPr>
        <w:t xml:space="preserve">). </w:t>
      </w:r>
    </w:p>
    <w:p w14:paraId="11CDFAB1" w14:textId="36A5CC89" w:rsidR="007C61BC" w:rsidRDefault="007C61BC" w:rsidP="00BE2178">
      <w:pPr>
        <w:rPr>
          <w:color w:val="000000" w:themeColor="text1"/>
          <w:lang w:val="en-US"/>
        </w:rPr>
      </w:pPr>
    </w:p>
    <w:p w14:paraId="2617263A" w14:textId="77777777" w:rsidR="007C61BC" w:rsidRPr="001315D6" w:rsidRDefault="007C61BC" w:rsidP="00BE2178">
      <w:pPr>
        <w:rPr>
          <w:b/>
          <w:color w:val="000000" w:themeColor="text1"/>
          <w:lang w:val="en-US"/>
        </w:rPr>
      </w:pPr>
    </w:p>
    <w:p w14:paraId="270B958C" w14:textId="5ED75B10" w:rsidR="00BE2178" w:rsidRPr="001315D6" w:rsidRDefault="00BE2178" w:rsidP="00BE2178">
      <w:pPr>
        <w:rPr>
          <w:color w:val="000000" w:themeColor="text1"/>
          <w:vertAlign w:val="superscript"/>
          <w:lang w:val="en-US"/>
        </w:rPr>
      </w:pPr>
      <w:r w:rsidRPr="001315D6">
        <w:rPr>
          <w:color w:val="000000" w:themeColor="text1"/>
          <w:lang w:val="en-US"/>
        </w:rPr>
        <w:t xml:space="preserve">Table </w:t>
      </w:r>
      <w:r w:rsidR="007C61BC">
        <w:rPr>
          <w:color w:val="000000" w:themeColor="text1"/>
          <w:lang w:val="en-US"/>
        </w:rPr>
        <w:t>A</w:t>
      </w:r>
      <w:r w:rsidRPr="001315D6">
        <w:rPr>
          <w:color w:val="000000" w:themeColor="text1"/>
          <w:lang w:val="en-US"/>
        </w:rPr>
        <w:t>1: Degree of recommendation</w:t>
      </w:r>
      <w:r w:rsidRPr="001315D6">
        <w:rPr>
          <w:color w:val="000000" w:themeColor="text1"/>
          <w:vertAlign w:val="superscript"/>
          <w:lang w:val="en-US"/>
        </w:rPr>
        <w:t>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2"/>
        <w:gridCol w:w="2694"/>
        <w:gridCol w:w="3530"/>
      </w:tblGrid>
      <w:tr w:rsidR="00BE2178" w:rsidRPr="001315D6" w14:paraId="3237AFCD" w14:textId="77777777" w:rsidTr="007C61BC">
        <w:tc>
          <w:tcPr>
            <w:tcW w:w="2832" w:type="dxa"/>
            <w:tcBorders>
              <w:top w:val="double" w:sz="4" w:space="0" w:color="auto"/>
            </w:tcBorders>
          </w:tcPr>
          <w:p w14:paraId="0274F301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Degree of recommendation</w:t>
            </w:r>
          </w:p>
        </w:tc>
        <w:tc>
          <w:tcPr>
            <w:tcW w:w="2694" w:type="dxa"/>
            <w:tcBorders>
              <w:top w:val="double" w:sz="4" w:space="0" w:color="auto"/>
            </w:tcBorders>
          </w:tcPr>
          <w:p w14:paraId="5B9B2A5B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Description</w:t>
            </w:r>
          </w:p>
        </w:tc>
        <w:tc>
          <w:tcPr>
            <w:tcW w:w="3530" w:type="dxa"/>
            <w:tcBorders>
              <w:top w:val="double" w:sz="4" w:space="0" w:color="auto"/>
            </w:tcBorders>
          </w:tcPr>
          <w:p w14:paraId="6AB4B95A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Syntax</w:t>
            </w:r>
          </w:p>
        </w:tc>
      </w:tr>
      <w:tr w:rsidR="00BE2178" w:rsidRPr="001315D6" w14:paraId="0E888725" w14:textId="77777777" w:rsidTr="00A34A90">
        <w:tc>
          <w:tcPr>
            <w:tcW w:w="2832" w:type="dxa"/>
          </w:tcPr>
          <w:p w14:paraId="1D6019DA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A</w:t>
            </w:r>
          </w:p>
        </w:tc>
        <w:tc>
          <w:tcPr>
            <w:tcW w:w="2694" w:type="dxa"/>
          </w:tcPr>
          <w:p w14:paraId="0ACC7386" w14:textId="346F13AD" w:rsidR="00BE2178" w:rsidRPr="001315D6" w:rsidRDefault="006C3FCC" w:rsidP="008429A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</w:t>
            </w:r>
            <w:r w:rsidR="00BE2178" w:rsidRPr="001315D6">
              <w:rPr>
                <w:color w:val="000000" w:themeColor="text1"/>
                <w:lang w:val="en-US"/>
              </w:rPr>
              <w:t>trong recommendation</w:t>
            </w:r>
          </w:p>
        </w:tc>
        <w:tc>
          <w:tcPr>
            <w:tcW w:w="3530" w:type="dxa"/>
            <w:tcBorders>
              <w:bottom w:val="single" w:sz="4" w:space="0" w:color="auto"/>
            </w:tcBorders>
          </w:tcPr>
          <w:p w14:paraId="60789F6A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shall / shall not</w:t>
            </w:r>
          </w:p>
        </w:tc>
      </w:tr>
      <w:tr w:rsidR="00BE2178" w:rsidRPr="001315D6" w14:paraId="09F893BD" w14:textId="77777777" w:rsidTr="00A34A90">
        <w:tc>
          <w:tcPr>
            <w:tcW w:w="2832" w:type="dxa"/>
          </w:tcPr>
          <w:p w14:paraId="26B53D8E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B</w:t>
            </w:r>
          </w:p>
        </w:tc>
        <w:tc>
          <w:tcPr>
            <w:tcW w:w="2694" w:type="dxa"/>
          </w:tcPr>
          <w:p w14:paraId="12074363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recommendation</w:t>
            </w:r>
          </w:p>
        </w:tc>
        <w:tc>
          <w:tcPr>
            <w:tcW w:w="3530" w:type="dxa"/>
            <w:tcBorders>
              <w:top w:val="single" w:sz="4" w:space="0" w:color="auto"/>
            </w:tcBorders>
          </w:tcPr>
          <w:p w14:paraId="3BB0D56D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should / should not</w:t>
            </w:r>
          </w:p>
        </w:tc>
      </w:tr>
      <w:tr w:rsidR="00BE2178" w:rsidRPr="001315D6" w14:paraId="30044E5F" w14:textId="77777777" w:rsidTr="008429AC">
        <w:tc>
          <w:tcPr>
            <w:tcW w:w="2832" w:type="dxa"/>
          </w:tcPr>
          <w:p w14:paraId="204864AC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2694" w:type="dxa"/>
          </w:tcPr>
          <w:p w14:paraId="144AD801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recommendation open</w:t>
            </w:r>
          </w:p>
        </w:tc>
        <w:tc>
          <w:tcPr>
            <w:tcW w:w="3530" w:type="dxa"/>
          </w:tcPr>
          <w:p w14:paraId="164D56B6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 xml:space="preserve">can be considered / can be omitted </w:t>
            </w:r>
          </w:p>
        </w:tc>
      </w:tr>
    </w:tbl>
    <w:p w14:paraId="303F6C94" w14:textId="77777777" w:rsidR="00BE2178" w:rsidRPr="001315D6" w:rsidRDefault="00BE2178" w:rsidP="00BE2178">
      <w:pPr>
        <w:outlineLvl w:val="0"/>
        <w:rPr>
          <w:color w:val="000000" w:themeColor="text1"/>
          <w:lang w:val="en-US"/>
        </w:rPr>
      </w:pPr>
    </w:p>
    <w:p w14:paraId="0C3529FC" w14:textId="06CD5DF1" w:rsidR="00BE2178" w:rsidRPr="001315D6" w:rsidRDefault="00BE2178" w:rsidP="00BE2178">
      <w:pPr>
        <w:rPr>
          <w:color w:val="000000" w:themeColor="text1"/>
          <w:lang w:val="en-US"/>
        </w:rPr>
      </w:pPr>
      <w:r w:rsidRPr="001315D6">
        <w:rPr>
          <w:color w:val="000000" w:themeColor="text1"/>
          <w:lang w:val="en-US"/>
        </w:rPr>
        <w:t xml:space="preserve">Table </w:t>
      </w:r>
      <w:r w:rsidR="007C61BC">
        <w:rPr>
          <w:color w:val="000000" w:themeColor="text1"/>
          <w:lang w:val="en-US"/>
        </w:rPr>
        <w:t>A</w:t>
      </w:r>
      <w:r w:rsidRPr="001315D6">
        <w:rPr>
          <w:color w:val="000000" w:themeColor="text1"/>
          <w:lang w:val="en-US"/>
        </w:rPr>
        <w:t>2: Level of Evidence</w:t>
      </w:r>
      <w:r w:rsidRPr="001315D6">
        <w:rPr>
          <w:color w:val="000000" w:themeColor="text1"/>
          <w:vertAlign w:val="superscript"/>
          <w:lang w:val="en-US"/>
        </w:rPr>
        <w:t>6</w:t>
      </w:r>
      <w:r w:rsidRPr="001315D6">
        <w:rPr>
          <w:color w:val="000000" w:themeColor="text1"/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2"/>
        <w:gridCol w:w="4678"/>
        <w:gridCol w:w="2396"/>
      </w:tblGrid>
      <w:tr w:rsidR="00BE2178" w:rsidRPr="001315D6" w14:paraId="740704E9" w14:textId="77777777" w:rsidTr="007C61BC">
        <w:tc>
          <w:tcPr>
            <w:tcW w:w="1982" w:type="dxa"/>
            <w:tcBorders>
              <w:top w:val="double" w:sz="4" w:space="0" w:color="auto"/>
            </w:tcBorders>
          </w:tcPr>
          <w:p w14:paraId="6E984F35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Level of Evidence</w:t>
            </w:r>
          </w:p>
        </w:tc>
        <w:tc>
          <w:tcPr>
            <w:tcW w:w="4678" w:type="dxa"/>
            <w:tcBorders>
              <w:top w:val="double" w:sz="4" w:space="0" w:color="auto"/>
            </w:tcBorders>
          </w:tcPr>
          <w:p w14:paraId="642399F7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Description</w:t>
            </w:r>
          </w:p>
        </w:tc>
        <w:tc>
          <w:tcPr>
            <w:tcW w:w="2396" w:type="dxa"/>
            <w:tcBorders>
              <w:top w:val="double" w:sz="4" w:space="0" w:color="auto"/>
            </w:tcBorders>
          </w:tcPr>
          <w:p w14:paraId="44D6805B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Syntax</w:t>
            </w:r>
          </w:p>
        </w:tc>
      </w:tr>
      <w:tr w:rsidR="00BE2178" w:rsidRPr="001315D6" w14:paraId="7D09BED7" w14:textId="77777777" w:rsidTr="008429AC">
        <w:tc>
          <w:tcPr>
            <w:tcW w:w="1982" w:type="dxa"/>
          </w:tcPr>
          <w:p w14:paraId="4C546763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4678" w:type="dxa"/>
          </w:tcPr>
          <w:p w14:paraId="5D0F2DD6" w14:textId="6239AEA8" w:rsidR="00BE2178" w:rsidRPr="001315D6" w:rsidRDefault="00BE2178" w:rsidP="003E175B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 xml:space="preserve">Literature review available (e.g. </w:t>
            </w:r>
            <w:r w:rsidR="003E175B">
              <w:rPr>
                <w:color w:val="000000" w:themeColor="text1"/>
                <w:lang w:val="en-US"/>
              </w:rPr>
              <w:t>systematic review</w:t>
            </w:r>
            <w:r w:rsidRPr="001315D6">
              <w:rPr>
                <w:color w:val="000000" w:themeColor="text1"/>
                <w:lang w:val="en-US"/>
              </w:rPr>
              <w:t>)</w:t>
            </w:r>
          </w:p>
        </w:tc>
        <w:tc>
          <w:tcPr>
            <w:tcW w:w="2396" w:type="dxa"/>
          </w:tcPr>
          <w:p w14:paraId="2A5E41A9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very strong evidence</w:t>
            </w:r>
          </w:p>
        </w:tc>
      </w:tr>
      <w:tr w:rsidR="00BE2178" w:rsidRPr="001315D6" w14:paraId="78DF8F37" w14:textId="77777777" w:rsidTr="008429AC">
        <w:trPr>
          <w:trHeight w:val="558"/>
        </w:trPr>
        <w:tc>
          <w:tcPr>
            <w:tcW w:w="1982" w:type="dxa"/>
          </w:tcPr>
          <w:p w14:paraId="79EB4520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4678" w:type="dxa"/>
          </w:tcPr>
          <w:p w14:paraId="51C7C2C0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 xml:space="preserve">Study with control available (e.g. case-control-study) </w:t>
            </w:r>
          </w:p>
          <w:p w14:paraId="77872FC4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b/>
                <w:color w:val="000000" w:themeColor="text1"/>
                <w:lang w:val="en-US"/>
              </w:rPr>
              <w:t xml:space="preserve">or </w:t>
            </w:r>
            <w:r w:rsidRPr="001315D6">
              <w:rPr>
                <w:color w:val="000000" w:themeColor="text1"/>
                <w:lang w:val="en-US"/>
              </w:rPr>
              <w:t>several lines of evidence with LoE 3</w:t>
            </w:r>
          </w:p>
        </w:tc>
        <w:tc>
          <w:tcPr>
            <w:tcW w:w="2396" w:type="dxa"/>
          </w:tcPr>
          <w:p w14:paraId="18406140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strong evidence</w:t>
            </w:r>
          </w:p>
        </w:tc>
      </w:tr>
      <w:tr w:rsidR="00BE2178" w:rsidRPr="001315D6" w14:paraId="34EFF740" w14:textId="77777777" w:rsidTr="008429AC">
        <w:tc>
          <w:tcPr>
            <w:tcW w:w="1982" w:type="dxa"/>
          </w:tcPr>
          <w:p w14:paraId="33862F50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4678" w:type="dxa"/>
          </w:tcPr>
          <w:p w14:paraId="3DD1CD21" w14:textId="55137B51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Study without control available (study with inferential or descrip</w:t>
            </w:r>
            <w:r w:rsidR="002C0A95">
              <w:rPr>
                <w:color w:val="000000" w:themeColor="text1"/>
                <w:lang w:val="en-US"/>
              </w:rPr>
              <w:t>tive statistics, e.g. histogram</w:t>
            </w:r>
            <w:bookmarkStart w:id="0" w:name="_GoBack"/>
            <w:bookmarkEnd w:id="0"/>
            <w:r w:rsidRPr="001315D6">
              <w:rPr>
                <w:color w:val="000000" w:themeColor="text1"/>
                <w:lang w:val="en-US"/>
              </w:rPr>
              <w:t xml:space="preserve">) </w:t>
            </w:r>
          </w:p>
          <w:p w14:paraId="34B74641" w14:textId="77777777" w:rsidR="00BE2178" w:rsidRPr="001315D6" w:rsidRDefault="00BE2178" w:rsidP="008429AC">
            <w:pPr>
              <w:rPr>
                <w:b/>
                <w:color w:val="000000" w:themeColor="text1"/>
                <w:lang w:val="en-US"/>
              </w:rPr>
            </w:pPr>
            <w:r w:rsidRPr="001315D6">
              <w:rPr>
                <w:b/>
                <w:color w:val="000000" w:themeColor="text1"/>
                <w:lang w:val="en-US"/>
              </w:rPr>
              <w:t xml:space="preserve">or </w:t>
            </w:r>
            <w:r w:rsidRPr="001315D6">
              <w:rPr>
                <w:color w:val="000000" w:themeColor="text1"/>
                <w:lang w:val="en-US"/>
              </w:rPr>
              <w:t>several lines of evidence with LoE 4</w:t>
            </w:r>
          </w:p>
        </w:tc>
        <w:tc>
          <w:tcPr>
            <w:tcW w:w="2396" w:type="dxa"/>
          </w:tcPr>
          <w:p w14:paraId="760EE83A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moderate evidence</w:t>
            </w:r>
          </w:p>
        </w:tc>
      </w:tr>
      <w:tr w:rsidR="00BE2178" w:rsidRPr="001315D6" w14:paraId="0E5903A1" w14:textId="77777777" w:rsidTr="008429AC">
        <w:tc>
          <w:tcPr>
            <w:tcW w:w="1982" w:type="dxa"/>
          </w:tcPr>
          <w:p w14:paraId="74ED2797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4678" w:type="dxa"/>
          </w:tcPr>
          <w:p w14:paraId="4914C7C9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Expert opinion (no data available)</w:t>
            </w:r>
          </w:p>
        </w:tc>
        <w:tc>
          <w:tcPr>
            <w:tcW w:w="2396" w:type="dxa"/>
          </w:tcPr>
          <w:p w14:paraId="3D4154A5" w14:textId="77777777" w:rsidR="00BE2178" w:rsidRPr="001315D6" w:rsidRDefault="00BE2178" w:rsidP="008429AC">
            <w:pPr>
              <w:rPr>
                <w:color w:val="000000" w:themeColor="text1"/>
                <w:lang w:val="en-US"/>
              </w:rPr>
            </w:pPr>
            <w:r w:rsidRPr="001315D6">
              <w:rPr>
                <w:color w:val="000000" w:themeColor="text1"/>
                <w:lang w:val="en-US"/>
              </w:rPr>
              <w:t>weak evidence</w:t>
            </w:r>
          </w:p>
        </w:tc>
      </w:tr>
    </w:tbl>
    <w:p w14:paraId="07ECE81F" w14:textId="77777777" w:rsidR="00BE2178" w:rsidRPr="001315D6" w:rsidRDefault="00BE2178" w:rsidP="00BE2178">
      <w:pPr>
        <w:outlineLvl w:val="0"/>
        <w:rPr>
          <w:color w:val="000000" w:themeColor="text1"/>
          <w:lang w:val="en-US"/>
        </w:rPr>
      </w:pPr>
    </w:p>
    <w:p w14:paraId="26919C52" w14:textId="77777777" w:rsidR="00BE2178" w:rsidRPr="001315D6" w:rsidRDefault="00BE2178" w:rsidP="00BE2178">
      <w:pPr>
        <w:outlineLvl w:val="0"/>
        <w:rPr>
          <w:b/>
          <w:color w:val="000000" w:themeColor="text1"/>
          <w:lang w:val="en-US"/>
        </w:rPr>
      </w:pPr>
    </w:p>
    <w:p w14:paraId="3B26ABF6" w14:textId="2D06D9B0" w:rsidR="00BE2178" w:rsidRPr="00514431" w:rsidRDefault="00570AE5" w:rsidP="00570AE5">
      <w:pPr>
        <w:jc w:val="center"/>
        <w:outlineLvl w:val="0"/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t>Reference list</w:t>
      </w:r>
    </w:p>
    <w:p w14:paraId="559FE2B8" w14:textId="77777777" w:rsidR="00BE2178" w:rsidRPr="00514431" w:rsidRDefault="00BE2178" w:rsidP="00BE2178">
      <w:pPr>
        <w:outlineLvl w:val="0"/>
        <w:rPr>
          <w:b/>
          <w:color w:val="000000" w:themeColor="text1"/>
          <w:lang w:val="en-US"/>
        </w:rPr>
      </w:pPr>
    </w:p>
    <w:p w14:paraId="6424C419" w14:textId="77777777" w:rsidR="006C3FCC" w:rsidRDefault="00BE2178" w:rsidP="006C3FCC">
      <w:pPr>
        <w:rPr>
          <w:color w:val="000000" w:themeColor="text1"/>
          <w:lang w:val="en-US"/>
        </w:rPr>
      </w:pPr>
      <w:r w:rsidRPr="00514431">
        <w:rPr>
          <w:color w:val="000000" w:themeColor="text1"/>
          <w:lang w:val="en-US"/>
        </w:rPr>
        <w:t xml:space="preserve">1. Arbeitsgemeinschaft der Wissenschaftlichen Medizinischen Fachgesellschaften </w:t>
      </w:r>
      <w:r w:rsidR="00514431" w:rsidRPr="00514431">
        <w:rPr>
          <w:color w:val="000000" w:themeColor="text1"/>
          <w:lang w:val="en-US"/>
        </w:rPr>
        <w:t xml:space="preserve">(AWMF)- </w:t>
      </w:r>
    </w:p>
    <w:p w14:paraId="01B53B0C" w14:textId="72F12C11" w:rsidR="006C3FCC" w:rsidRDefault="006C3FCC" w:rsidP="006C3FCC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514431" w:rsidRPr="00514431">
        <w:rPr>
          <w:color w:val="000000" w:themeColor="text1"/>
          <w:lang w:val="en-US"/>
        </w:rPr>
        <w:t xml:space="preserve">Ständige Kommission </w:t>
      </w:r>
      <w:r w:rsidR="00BE2178" w:rsidRPr="00514431">
        <w:rPr>
          <w:color w:val="000000" w:themeColor="text1"/>
          <w:lang w:val="en-US"/>
        </w:rPr>
        <w:t xml:space="preserve">Leitlinien. AWMF-Regelwerk „Leitlinien“. 1. Auflage 2012. </w:t>
      </w:r>
    </w:p>
    <w:p w14:paraId="121D2480" w14:textId="20AD4679" w:rsidR="00BE2178" w:rsidRPr="00514431" w:rsidRDefault="00110E44" w:rsidP="006C3FCC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BE2178" w:rsidRPr="00514431">
        <w:rPr>
          <w:color w:val="000000" w:themeColor="text1"/>
          <w:lang w:val="en-US"/>
        </w:rPr>
        <w:t>http://www.awmf.org/</w:t>
      </w:r>
      <w:r>
        <w:rPr>
          <w:color w:val="000000" w:themeColor="text1"/>
          <w:lang w:val="en-US"/>
        </w:rPr>
        <w:t>leitlinien/awmf-regelwerk.html. Accessed 8 April 2020</w:t>
      </w:r>
    </w:p>
    <w:p w14:paraId="030E0198" w14:textId="77777777" w:rsidR="00BE2178" w:rsidRPr="00514431" w:rsidRDefault="00BE2178" w:rsidP="00BE2178">
      <w:pPr>
        <w:rPr>
          <w:color w:val="000000" w:themeColor="text1"/>
          <w:lang w:val="en-US"/>
        </w:rPr>
      </w:pPr>
    </w:p>
    <w:p w14:paraId="12F742AB" w14:textId="77963B7C" w:rsidR="006C3FCC" w:rsidRDefault="00FF607A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2. Barton</w:t>
      </w:r>
      <w:r w:rsidR="00BE2178" w:rsidRPr="00514431">
        <w:rPr>
          <w:color w:val="000000" w:themeColor="text1"/>
          <w:lang w:val="en-US"/>
        </w:rPr>
        <w:t xml:space="preserve"> PS, Manning</w:t>
      </w:r>
      <w:r>
        <w:rPr>
          <w:color w:val="000000" w:themeColor="text1"/>
          <w:lang w:val="en-US"/>
        </w:rPr>
        <w:t xml:space="preserve"> AD</w:t>
      </w:r>
      <w:r w:rsidR="00BE2178" w:rsidRPr="00514431">
        <w:rPr>
          <w:color w:val="000000" w:themeColor="text1"/>
          <w:lang w:val="en-US"/>
        </w:rPr>
        <w:t>, Gibb</w:t>
      </w:r>
      <w:r>
        <w:rPr>
          <w:color w:val="000000" w:themeColor="text1"/>
          <w:lang w:val="en-US"/>
        </w:rPr>
        <w:t xml:space="preserve"> H</w:t>
      </w:r>
      <w:r w:rsidR="00BE2178" w:rsidRPr="00514431">
        <w:rPr>
          <w:color w:val="000000" w:themeColor="text1"/>
          <w:lang w:val="en-US"/>
        </w:rPr>
        <w:t>, Wood</w:t>
      </w:r>
      <w:r>
        <w:rPr>
          <w:color w:val="000000" w:themeColor="text1"/>
          <w:lang w:val="en-US"/>
        </w:rPr>
        <w:t xml:space="preserve"> JT</w:t>
      </w:r>
      <w:r w:rsidR="00514431" w:rsidRPr="00514431">
        <w:rPr>
          <w:color w:val="000000" w:themeColor="text1"/>
          <w:lang w:val="en-US"/>
        </w:rPr>
        <w:t xml:space="preserve">, </w:t>
      </w:r>
      <w:r>
        <w:rPr>
          <w:color w:val="000000" w:themeColor="text1"/>
          <w:lang w:val="en-US"/>
        </w:rPr>
        <w:t>Lindenmayer DB</w:t>
      </w:r>
      <w:r w:rsidR="00514431">
        <w:rPr>
          <w:color w:val="000000" w:themeColor="text1"/>
          <w:lang w:val="en-US"/>
        </w:rPr>
        <w:t xml:space="preserve">, </w:t>
      </w:r>
    </w:p>
    <w:p w14:paraId="709DC102" w14:textId="77777777" w:rsidR="00110E44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FF607A">
        <w:rPr>
          <w:color w:val="000000" w:themeColor="text1"/>
          <w:lang w:val="en-US"/>
        </w:rPr>
        <w:t xml:space="preserve"> </w:t>
      </w:r>
      <w:r w:rsidR="00BE2178" w:rsidRPr="00514431">
        <w:rPr>
          <w:color w:val="000000" w:themeColor="text1"/>
          <w:lang w:val="en-US"/>
        </w:rPr>
        <w:t>Cunni</w:t>
      </w:r>
      <w:r w:rsidR="00514431">
        <w:rPr>
          <w:color w:val="000000" w:themeColor="text1"/>
          <w:lang w:val="en-US"/>
        </w:rPr>
        <w:t xml:space="preserve">ngham </w:t>
      </w:r>
      <w:r w:rsidR="00FF607A">
        <w:rPr>
          <w:color w:val="000000" w:themeColor="text1"/>
          <w:lang w:val="en-US"/>
        </w:rPr>
        <w:t xml:space="preserve">SA </w:t>
      </w:r>
      <w:r w:rsidR="006F2617">
        <w:rPr>
          <w:color w:val="000000" w:themeColor="text1"/>
          <w:lang w:val="en-US"/>
        </w:rPr>
        <w:t>(</w:t>
      </w:r>
      <w:r w:rsidR="00514431" w:rsidRPr="00514431">
        <w:rPr>
          <w:color w:val="000000" w:themeColor="text1"/>
          <w:lang w:val="en-US"/>
        </w:rPr>
        <w:t>201</w:t>
      </w:r>
      <w:r w:rsidR="006F2617">
        <w:rPr>
          <w:color w:val="000000" w:themeColor="text1"/>
          <w:lang w:val="en-US"/>
        </w:rPr>
        <w:t>1)</w:t>
      </w:r>
      <w:r w:rsidR="00514431" w:rsidRPr="00514431">
        <w:rPr>
          <w:color w:val="000000" w:themeColor="text1"/>
          <w:lang w:val="en-US"/>
        </w:rPr>
        <w:t xml:space="preserve"> Experimental </w:t>
      </w:r>
      <w:r w:rsidR="00BE2178" w:rsidRPr="00514431">
        <w:rPr>
          <w:color w:val="000000" w:themeColor="text1"/>
          <w:lang w:val="en-US"/>
        </w:rPr>
        <w:t>reduction of native ver</w:t>
      </w:r>
      <w:r w:rsidR="00110E44">
        <w:rPr>
          <w:color w:val="000000" w:themeColor="text1"/>
          <w:lang w:val="en-US"/>
        </w:rPr>
        <w:t xml:space="preserve">tebrate grazing and addition  </w:t>
      </w:r>
    </w:p>
    <w:p w14:paraId="3D2455C4" w14:textId="242528E6" w:rsidR="00110E44" w:rsidRDefault="00110E44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 of </w:t>
      </w:r>
      <w:r w:rsidR="00FF607A">
        <w:rPr>
          <w:color w:val="000000" w:themeColor="text1"/>
          <w:lang w:val="en-US"/>
        </w:rPr>
        <w:t xml:space="preserve">logs </w:t>
      </w:r>
      <w:r w:rsidR="00BE2178" w:rsidRPr="00514431">
        <w:rPr>
          <w:color w:val="000000" w:themeColor="text1"/>
          <w:lang w:val="en-US"/>
        </w:rPr>
        <w:t xml:space="preserve">benefit </w:t>
      </w:r>
      <w:r w:rsidR="00514431" w:rsidRPr="00514431">
        <w:rPr>
          <w:color w:val="000000" w:themeColor="text1"/>
          <w:lang w:val="en-US"/>
        </w:rPr>
        <w:t xml:space="preserve">beetle diversity at multiple </w:t>
      </w:r>
      <w:r w:rsidR="00BE2178" w:rsidRPr="00514431">
        <w:rPr>
          <w:color w:val="000000" w:themeColor="text1"/>
          <w:lang w:val="en-US"/>
        </w:rPr>
        <w:t xml:space="preserve">scales. </w:t>
      </w:r>
      <w:r w:rsidR="00A34A90">
        <w:rPr>
          <w:color w:val="000000" w:themeColor="text1"/>
          <w:lang w:val="en-US"/>
        </w:rPr>
        <w:t>J Appl Ecol</w:t>
      </w:r>
      <w:r w:rsidR="0052384F">
        <w:rPr>
          <w:color w:val="000000" w:themeColor="text1"/>
          <w:lang w:val="en-US"/>
        </w:rPr>
        <w:t xml:space="preserve"> 48</w:t>
      </w:r>
      <w:r w:rsidR="00FF607A">
        <w:rPr>
          <w:color w:val="000000" w:themeColor="text1"/>
          <w:lang w:val="en-US"/>
        </w:rPr>
        <w:t>(4)</w:t>
      </w:r>
      <w:r w:rsidR="0052384F">
        <w:rPr>
          <w:color w:val="000000" w:themeColor="text1"/>
          <w:lang w:val="en-US"/>
        </w:rPr>
        <w:t>:</w:t>
      </w:r>
      <w:r w:rsidR="00514431">
        <w:rPr>
          <w:color w:val="000000" w:themeColor="text1"/>
          <w:lang w:val="en-US"/>
        </w:rPr>
        <w:t>943–</w:t>
      </w:r>
    </w:p>
    <w:p w14:paraId="41E0FFEA" w14:textId="7CB2CEB5" w:rsidR="00BE2178" w:rsidRPr="00514431" w:rsidRDefault="00110E44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 </w:t>
      </w:r>
      <w:r w:rsidR="00514431">
        <w:rPr>
          <w:color w:val="000000" w:themeColor="text1"/>
          <w:lang w:val="en-US"/>
        </w:rPr>
        <w:t>951</w:t>
      </w:r>
      <w:r w:rsidR="00FF607A">
        <w:rPr>
          <w:color w:val="000000" w:themeColor="text1"/>
          <w:lang w:val="en-US"/>
        </w:rPr>
        <w:t xml:space="preserve">. </w:t>
      </w:r>
      <w:r w:rsidR="00FF607A" w:rsidRPr="00FF607A">
        <w:rPr>
          <w:color w:val="000000" w:themeColor="text1"/>
          <w:lang w:val="en-US"/>
        </w:rPr>
        <w:t>https://doi.org/10.1111/j.1365-2664.2011.01994.x</w:t>
      </w:r>
    </w:p>
    <w:p w14:paraId="6FC6944A" w14:textId="77777777" w:rsidR="00BE2178" w:rsidRPr="00514431" w:rsidRDefault="00BE2178" w:rsidP="00BE2178">
      <w:pPr>
        <w:rPr>
          <w:color w:val="000000" w:themeColor="text1"/>
          <w:lang w:val="en-US"/>
        </w:rPr>
      </w:pPr>
    </w:p>
    <w:p w14:paraId="3249AFD8" w14:textId="1E16E787" w:rsidR="006C3FCC" w:rsidRDefault="00BE2178" w:rsidP="00BE2178">
      <w:pPr>
        <w:rPr>
          <w:color w:val="000000" w:themeColor="text1"/>
        </w:rPr>
      </w:pPr>
      <w:r w:rsidRPr="00514431">
        <w:rPr>
          <w:color w:val="000000" w:themeColor="text1"/>
          <w:lang w:val="en-US"/>
        </w:rPr>
        <w:t xml:space="preserve">3. </w:t>
      </w:r>
      <w:r w:rsidR="00FF607A">
        <w:rPr>
          <w:color w:val="000000" w:themeColor="text1"/>
        </w:rPr>
        <w:t>Gao T</w:t>
      </w:r>
      <w:r w:rsidR="00514431" w:rsidRPr="00514431">
        <w:rPr>
          <w:color w:val="000000" w:themeColor="text1"/>
        </w:rPr>
        <w:t>, Nielsen</w:t>
      </w:r>
      <w:r w:rsidR="00FF607A">
        <w:rPr>
          <w:color w:val="000000" w:themeColor="text1"/>
        </w:rPr>
        <w:t xml:space="preserve"> AB, </w:t>
      </w:r>
      <w:r w:rsidR="00514431" w:rsidRPr="00514431">
        <w:rPr>
          <w:color w:val="000000" w:themeColor="text1"/>
        </w:rPr>
        <w:t>Hedblom</w:t>
      </w:r>
      <w:r w:rsidR="00FF607A">
        <w:rPr>
          <w:color w:val="000000" w:themeColor="text1"/>
        </w:rPr>
        <w:t xml:space="preserve">, M </w:t>
      </w:r>
      <w:r w:rsidR="006F2617">
        <w:rPr>
          <w:color w:val="000000" w:themeColor="text1"/>
        </w:rPr>
        <w:t>(</w:t>
      </w:r>
      <w:r w:rsidR="00FF607A">
        <w:rPr>
          <w:color w:val="000000" w:themeColor="text1"/>
        </w:rPr>
        <w:t>2015</w:t>
      </w:r>
      <w:r w:rsidR="006F2617">
        <w:rPr>
          <w:color w:val="000000" w:themeColor="text1"/>
        </w:rPr>
        <w:t>)</w:t>
      </w:r>
      <w:r w:rsidR="00FF607A">
        <w:rPr>
          <w:color w:val="000000" w:themeColor="text1"/>
        </w:rPr>
        <w:t xml:space="preserve"> </w:t>
      </w:r>
      <w:r w:rsidR="00514431" w:rsidRPr="00514431">
        <w:rPr>
          <w:color w:val="000000" w:themeColor="text1"/>
        </w:rPr>
        <w:t xml:space="preserve">Reviewing the strength of evidence of </w:t>
      </w:r>
    </w:p>
    <w:p w14:paraId="37B9C958" w14:textId="25CDE880" w:rsidR="006C1688" w:rsidRPr="006C1688" w:rsidRDefault="006C3FCC" w:rsidP="006C1688">
      <w:pPr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514431" w:rsidRPr="00514431">
        <w:rPr>
          <w:color w:val="000000" w:themeColor="text1"/>
        </w:rPr>
        <w:t xml:space="preserve">biodiversity indicators </w:t>
      </w:r>
      <w:r w:rsidR="00A17BA4">
        <w:rPr>
          <w:color w:val="000000" w:themeColor="text1"/>
        </w:rPr>
        <w:t>for forest ecosystems in Europe.</w:t>
      </w:r>
      <w:r w:rsidR="00514431" w:rsidRPr="00514431">
        <w:rPr>
          <w:color w:val="000000" w:themeColor="text1"/>
        </w:rPr>
        <w:t xml:space="preserve"> </w:t>
      </w:r>
      <w:r w:rsidR="00A17BA4">
        <w:rPr>
          <w:iCs/>
          <w:color w:val="000000" w:themeColor="text1"/>
        </w:rPr>
        <w:t>Ecol Indic</w:t>
      </w:r>
      <w:r w:rsidR="0052384F">
        <w:rPr>
          <w:color w:val="000000" w:themeColor="text1"/>
        </w:rPr>
        <w:t xml:space="preserve"> 57:</w:t>
      </w:r>
      <w:r w:rsidR="00514431" w:rsidRPr="00514431">
        <w:rPr>
          <w:color w:val="000000" w:themeColor="text1"/>
        </w:rPr>
        <w:t>420–434</w:t>
      </w:r>
      <w:r w:rsidR="006F2617">
        <w:rPr>
          <w:color w:val="000000" w:themeColor="text1"/>
        </w:rPr>
        <w:t>.</w:t>
      </w:r>
      <w:r w:rsidR="006C1688">
        <w:rPr>
          <w:color w:val="000000" w:themeColor="text1"/>
        </w:rPr>
        <w:t xml:space="preserve"> </w:t>
      </w:r>
    </w:p>
    <w:p w14:paraId="4D01B3D9" w14:textId="0ADE1E0F" w:rsidR="00BE2178" w:rsidRPr="00514431" w:rsidRDefault="00110E44" w:rsidP="006C1688">
      <w:pPr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6F2617">
        <w:rPr>
          <w:color w:val="000000" w:themeColor="text1"/>
        </w:rPr>
        <w:t xml:space="preserve">doi: </w:t>
      </w:r>
      <w:r w:rsidR="006C1688" w:rsidRPr="006C1688">
        <w:rPr>
          <w:color w:val="000000" w:themeColor="text1"/>
        </w:rPr>
        <w:t>10.1016/j.ecolind.2015.05.028</w:t>
      </w:r>
    </w:p>
    <w:p w14:paraId="555D7A46" w14:textId="77777777" w:rsidR="00BE2178" w:rsidRPr="00514431" w:rsidRDefault="00BE2178" w:rsidP="00BE2178">
      <w:pPr>
        <w:rPr>
          <w:color w:val="000000" w:themeColor="text1"/>
          <w:lang w:val="en-US"/>
        </w:rPr>
      </w:pPr>
    </w:p>
    <w:p w14:paraId="79745331" w14:textId="7207F29E" w:rsidR="006C3FCC" w:rsidRDefault="006C1688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4. Kroll </w:t>
      </w:r>
      <w:r w:rsidR="00BE2178" w:rsidRPr="00514431">
        <w:rPr>
          <w:color w:val="000000" w:themeColor="text1"/>
          <w:lang w:val="en-US"/>
        </w:rPr>
        <w:t>AJ</w:t>
      </w:r>
      <w:r>
        <w:rPr>
          <w:color w:val="000000" w:themeColor="text1"/>
          <w:lang w:val="en-US"/>
        </w:rPr>
        <w:t xml:space="preserve">, </w:t>
      </w:r>
      <w:r w:rsidR="00514431">
        <w:rPr>
          <w:color w:val="000000" w:themeColor="text1"/>
          <w:lang w:val="en-US"/>
        </w:rPr>
        <w:t>Duke</w:t>
      </w:r>
      <w:r>
        <w:rPr>
          <w:color w:val="000000" w:themeColor="text1"/>
          <w:lang w:val="en-US"/>
        </w:rPr>
        <w:t xml:space="preserve"> SD</w:t>
      </w:r>
      <w:r w:rsidR="00514431">
        <w:rPr>
          <w:color w:val="000000" w:themeColor="text1"/>
          <w:lang w:val="en-US"/>
        </w:rPr>
        <w:t>,</w:t>
      </w:r>
      <w:r>
        <w:rPr>
          <w:color w:val="000000" w:themeColor="text1"/>
          <w:lang w:val="en-US"/>
        </w:rPr>
        <w:t xml:space="preserve"> </w:t>
      </w:r>
      <w:r w:rsidR="00BE2178" w:rsidRPr="00514431">
        <w:rPr>
          <w:color w:val="000000" w:themeColor="text1"/>
          <w:lang w:val="en-US"/>
        </w:rPr>
        <w:t>Hane</w:t>
      </w:r>
      <w:r>
        <w:rPr>
          <w:color w:val="000000" w:themeColor="text1"/>
          <w:lang w:val="en-US"/>
        </w:rPr>
        <w:t xml:space="preserve"> ME</w:t>
      </w:r>
      <w:r w:rsidR="00514431">
        <w:rPr>
          <w:color w:val="000000" w:themeColor="text1"/>
          <w:lang w:val="en-US"/>
        </w:rPr>
        <w:t>,</w:t>
      </w:r>
      <w:r w:rsidR="00514431" w:rsidRPr="00514431">
        <w:rPr>
          <w:color w:val="000000" w:themeColor="text1"/>
          <w:lang w:val="en-US"/>
        </w:rPr>
        <w:t xml:space="preserve"> </w:t>
      </w:r>
      <w:r w:rsidR="00BE2178" w:rsidRPr="00514431">
        <w:rPr>
          <w:color w:val="000000" w:themeColor="text1"/>
          <w:lang w:val="en-US"/>
        </w:rPr>
        <w:t>Johnson</w:t>
      </w:r>
      <w:r>
        <w:rPr>
          <w:color w:val="000000" w:themeColor="text1"/>
          <w:lang w:val="en-US"/>
        </w:rPr>
        <w:t xml:space="preserve"> JR</w:t>
      </w:r>
      <w:r w:rsidR="00514431">
        <w:rPr>
          <w:color w:val="000000" w:themeColor="text1"/>
          <w:lang w:val="en-US"/>
        </w:rPr>
        <w:t xml:space="preserve">, </w:t>
      </w:r>
      <w:r w:rsidR="00BE2178" w:rsidRPr="00514431">
        <w:rPr>
          <w:color w:val="000000" w:themeColor="text1"/>
          <w:lang w:val="en-US"/>
        </w:rPr>
        <w:t>Rochelle</w:t>
      </w:r>
      <w:r>
        <w:rPr>
          <w:color w:val="000000" w:themeColor="text1"/>
          <w:lang w:val="en-US"/>
        </w:rPr>
        <w:t xml:space="preserve"> M</w:t>
      </w:r>
      <w:r w:rsidR="00BE2178" w:rsidRPr="00514431">
        <w:rPr>
          <w:color w:val="000000" w:themeColor="text1"/>
          <w:lang w:val="en-US"/>
        </w:rPr>
        <w:t xml:space="preserve">, </w:t>
      </w:r>
      <w:r>
        <w:rPr>
          <w:color w:val="000000" w:themeColor="text1"/>
          <w:lang w:val="en-US"/>
        </w:rPr>
        <w:t>Betts MG,</w:t>
      </w:r>
    </w:p>
    <w:p w14:paraId="355B196C" w14:textId="2F6F7025" w:rsidR="006C3FCC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514431">
        <w:rPr>
          <w:color w:val="000000" w:themeColor="text1"/>
          <w:lang w:val="en-US"/>
        </w:rPr>
        <w:t xml:space="preserve">Arnett </w:t>
      </w:r>
      <w:r w:rsidR="006C1688">
        <w:rPr>
          <w:color w:val="000000" w:themeColor="text1"/>
          <w:lang w:val="en-US"/>
        </w:rPr>
        <w:t xml:space="preserve">EB </w:t>
      </w:r>
      <w:r w:rsidR="006F2617">
        <w:rPr>
          <w:color w:val="000000" w:themeColor="text1"/>
          <w:lang w:val="en-US"/>
        </w:rPr>
        <w:t>(</w:t>
      </w:r>
      <w:r w:rsidR="00514431" w:rsidRPr="00514431">
        <w:rPr>
          <w:color w:val="000000" w:themeColor="text1"/>
          <w:lang w:val="en-US"/>
        </w:rPr>
        <w:t>2012</w:t>
      </w:r>
      <w:r w:rsidR="006F2617">
        <w:rPr>
          <w:color w:val="000000" w:themeColor="text1"/>
          <w:lang w:val="en-US"/>
        </w:rPr>
        <w:t>)</w:t>
      </w:r>
      <w:r w:rsidR="00514431" w:rsidRPr="00514431">
        <w:rPr>
          <w:color w:val="000000" w:themeColor="text1"/>
          <w:lang w:val="en-US"/>
        </w:rPr>
        <w:t xml:space="preserve"> Landscape </w:t>
      </w:r>
      <w:r w:rsidR="00BE2178" w:rsidRPr="00514431">
        <w:rPr>
          <w:color w:val="000000" w:themeColor="text1"/>
          <w:lang w:val="en-US"/>
        </w:rPr>
        <w:t xml:space="preserve">composition influences avian colonization of experimentally </w:t>
      </w:r>
    </w:p>
    <w:p w14:paraId="76EE4797" w14:textId="320411C7" w:rsidR="00110E44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BE2178" w:rsidRPr="00514431">
        <w:rPr>
          <w:color w:val="000000" w:themeColor="text1"/>
          <w:lang w:val="en-US"/>
        </w:rPr>
        <w:t xml:space="preserve">created snags. </w:t>
      </w:r>
      <w:r w:rsidR="00A17BA4">
        <w:rPr>
          <w:color w:val="000000" w:themeColor="text1"/>
          <w:lang w:val="en-US"/>
        </w:rPr>
        <w:t>Biol Conserv</w:t>
      </w:r>
      <w:r w:rsidR="0052384F">
        <w:rPr>
          <w:color w:val="000000" w:themeColor="text1"/>
          <w:lang w:val="en-US"/>
        </w:rPr>
        <w:t xml:space="preserve"> 152:</w:t>
      </w:r>
      <w:r w:rsidR="00514431">
        <w:rPr>
          <w:color w:val="000000" w:themeColor="text1"/>
          <w:lang w:val="en-US"/>
        </w:rPr>
        <w:t>145–151</w:t>
      </w:r>
      <w:r w:rsidR="00110E44">
        <w:rPr>
          <w:color w:val="000000" w:themeColor="text1"/>
          <w:lang w:val="en-US"/>
        </w:rPr>
        <w:t xml:space="preserve">. </w:t>
      </w:r>
    </w:p>
    <w:p w14:paraId="7D311CDA" w14:textId="0308C86A" w:rsidR="00BE2178" w:rsidRPr="00514431" w:rsidRDefault="00110E44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6C1688" w:rsidRPr="006C1688">
        <w:rPr>
          <w:color w:val="000000" w:themeColor="text1"/>
          <w:lang w:val="en-US"/>
        </w:rPr>
        <w:t>https://doi.org/10.1016/j.biocon.2012.03.029</w:t>
      </w:r>
    </w:p>
    <w:p w14:paraId="602CBFB8" w14:textId="77777777" w:rsidR="00BE2178" w:rsidRPr="00514431" w:rsidRDefault="00BE2178" w:rsidP="00BE2178">
      <w:pPr>
        <w:rPr>
          <w:color w:val="000000" w:themeColor="text1"/>
          <w:lang w:val="en-US"/>
        </w:rPr>
      </w:pPr>
    </w:p>
    <w:p w14:paraId="55581AA8" w14:textId="62109D83" w:rsidR="006C3FCC" w:rsidRDefault="00BE2178" w:rsidP="00514431">
      <w:pPr>
        <w:rPr>
          <w:color w:val="000000" w:themeColor="text1"/>
        </w:rPr>
      </w:pPr>
      <w:r w:rsidRPr="00514431">
        <w:rPr>
          <w:color w:val="000000" w:themeColor="text1"/>
          <w:lang w:val="en-US"/>
        </w:rPr>
        <w:t xml:space="preserve">5. </w:t>
      </w:r>
      <w:r w:rsidR="00514431">
        <w:rPr>
          <w:color w:val="000000" w:themeColor="text1"/>
          <w:lang w:val="en-US"/>
        </w:rPr>
        <w:t>L</w:t>
      </w:r>
      <w:r w:rsidR="00110E44">
        <w:rPr>
          <w:color w:val="000000" w:themeColor="text1"/>
        </w:rPr>
        <w:t xml:space="preserve">assauce </w:t>
      </w:r>
      <w:r w:rsidR="006F2617">
        <w:rPr>
          <w:color w:val="000000" w:themeColor="text1"/>
        </w:rPr>
        <w:t>A</w:t>
      </w:r>
      <w:r w:rsidR="00110E44">
        <w:rPr>
          <w:color w:val="000000" w:themeColor="text1"/>
        </w:rPr>
        <w:t xml:space="preserve">, </w:t>
      </w:r>
      <w:r w:rsidR="00514431" w:rsidRPr="00514431">
        <w:rPr>
          <w:color w:val="000000" w:themeColor="text1"/>
        </w:rPr>
        <w:t>Pai</w:t>
      </w:r>
      <w:r w:rsidR="006F2617">
        <w:rPr>
          <w:color w:val="000000" w:themeColor="text1"/>
        </w:rPr>
        <w:t>llet</w:t>
      </w:r>
      <w:r w:rsidR="00110E44">
        <w:rPr>
          <w:color w:val="000000" w:themeColor="text1"/>
        </w:rPr>
        <w:t xml:space="preserve"> Y, </w:t>
      </w:r>
      <w:r w:rsidR="006F2617">
        <w:rPr>
          <w:color w:val="000000" w:themeColor="text1"/>
        </w:rPr>
        <w:t>Jactel</w:t>
      </w:r>
      <w:r w:rsidR="00110E44">
        <w:rPr>
          <w:color w:val="000000" w:themeColor="text1"/>
        </w:rPr>
        <w:t xml:space="preserve"> H, Bouget</w:t>
      </w:r>
      <w:r w:rsidR="006F2617">
        <w:rPr>
          <w:color w:val="000000" w:themeColor="text1"/>
        </w:rPr>
        <w:t xml:space="preserve"> C</w:t>
      </w:r>
      <w:r w:rsidR="00514431" w:rsidRPr="00514431">
        <w:rPr>
          <w:color w:val="000000" w:themeColor="text1"/>
        </w:rPr>
        <w:t xml:space="preserve"> </w:t>
      </w:r>
      <w:r w:rsidR="006F2617">
        <w:rPr>
          <w:color w:val="000000" w:themeColor="text1"/>
        </w:rPr>
        <w:t>(</w:t>
      </w:r>
      <w:r w:rsidR="00514431" w:rsidRPr="00514431">
        <w:rPr>
          <w:color w:val="000000" w:themeColor="text1"/>
        </w:rPr>
        <w:t>2011</w:t>
      </w:r>
      <w:r w:rsidR="006F2617">
        <w:rPr>
          <w:color w:val="000000" w:themeColor="text1"/>
        </w:rPr>
        <w:t>)</w:t>
      </w:r>
      <w:r w:rsidR="00514431" w:rsidRPr="00514431">
        <w:rPr>
          <w:color w:val="000000" w:themeColor="text1"/>
        </w:rPr>
        <w:t xml:space="preserve"> Deadwood as a surrogate for </w:t>
      </w:r>
    </w:p>
    <w:p w14:paraId="21CEBFA5" w14:textId="77777777" w:rsidR="006C3FCC" w:rsidRDefault="006C3FCC" w:rsidP="00514431">
      <w:pPr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514431" w:rsidRPr="00514431">
        <w:rPr>
          <w:color w:val="000000" w:themeColor="text1"/>
        </w:rPr>
        <w:t xml:space="preserve">forest biodiversity: Meta-analysis of correlations between deadwood volume and species </w:t>
      </w:r>
    </w:p>
    <w:p w14:paraId="02FD30BA" w14:textId="212D5833" w:rsidR="00110E44" w:rsidRDefault="006C3FCC" w:rsidP="00514431">
      <w:pPr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514431" w:rsidRPr="00514431">
        <w:rPr>
          <w:color w:val="000000" w:themeColor="text1"/>
        </w:rPr>
        <w:t>r</w:t>
      </w:r>
      <w:r w:rsidR="00A17BA4">
        <w:rPr>
          <w:color w:val="000000" w:themeColor="text1"/>
        </w:rPr>
        <w:t>ichness of saproxylic organisms.</w:t>
      </w:r>
      <w:r w:rsidR="00514431" w:rsidRPr="00514431">
        <w:rPr>
          <w:color w:val="000000" w:themeColor="text1"/>
        </w:rPr>
        <w:t xml:space="preserve"> </w:t>
      </w:r>
      <w:r w:rsidR="00A17BA4">
        <w:rPr>
          <w:iCs/>
          <w:color w:val="000000" w:themeColor="text1"/>
        </w:rPr>
        <w:t>Ecol Indic</w:t>
      </w:r>
      <w:r w:rsidR="00514431" w:rsidRPr="00514431">
        <w:rPr>
          <w:color w:val="000000" w:themeColor="text1"/>
        </w:rPr>
        <w:t xml:space="preserve"> 11(5):1027–1039</w:t>
      </w:r>
      <w:r w:rsidR="006F2617">
        <w:rPr>
          <w:color w:val="000000" w:themeColor="text1"/>
        </w:rPr>
        <w:t xml:space="preserve">. </w:t>
      </w:r>
    </w:p>
    <w:p w14:paraId="5AD31236" w14:textId="11C22416" w:rsidR="00514431" w:rsidRPr="00514431" w:rsidRDefault="00110E44" w:rsidP="00514431">
      <w:pPr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555DC0" w:rsidRPr="00555DC0">
        <w:rPr>
          <w:color w:val="000000" w:themeColor="text1"/>
        </w:rPr>
        <w:t>https://doi.org/10.1016/j.ecolind.2011.02.004</w:t>
      </w:r>
    </w:p>
    <w:p w14:paraId="341CAA93" w14:textId="77777777" w:rsidR="00BE2178" w:rsidRPr="00514431" w:rsidRDefault="00BE2178" w:rsidP="00BE2178">
      <w:pPr>
        <w:rPr>
          <w:color w:val="000000" w:themeColor="text1"/>
          <w:lang w:val="en-US"/>
        </w:rPr>
      </w:pPr>
    </w:p>
    <w:p w14:paraId="49CD9636" w14:textId="0F80306B" w:rsidR="006C3FCC" w:rsidRDefault="00BE2178" w:rsidP="00514431">
      <w:pPr>
        <w:pStyle w:val="p1"/>
        <w:rPr>
          <w:rStyle w:val="apple-tab-span"/>
          <w:sz w:val="24"/>
          <w:szCs w:val="24"/>
        </w:rPr>
      </w:pPr>
      <w:r w:rsidRPr="00514431">
        <w:rPr>
          <w:color w:val="000000" w:themeColor="text1"/>
          <w:sz w:val="24"/>
          <w:szCs w:val="24"/>
          <w:lang w:val="en-US"/>
        </w:rPr>
        <w:t xml:space="preserve">6. </w:t>
      </w:r>
      <w:r w:rsidR="00555DC0">
        <w:rPr>
          <w:color w:val="000000" w:themeColor="text1"/>
          <w:sz w:val="24"/>
          <w:szCs w:val="24"/>
          <w:lang w:val="en-US"/>
        </w:rPr>
        <w:t>M</w:t>
      </w:r>
      <w:r w:rsidR="00110E44">
        <w:rPr>
          <w:sz w:val="24"/>
          <w:szCs w:val="24"/>
        </w:rPr>
        <w:t>upepele</w:t>
      </w:r>
      <w:r w:rsidR="00555DC0" w:rsidRPr="00555DC0">
        <w:rPr>
          <w:sz w:val="24"/>
          <w:szCs w:val="24"/>
        </w:rPr>
        <w:t xml:space="preserve"> A</w:t>
      </w:r>
      <w:r w:rsidR="00555DC0">
        <w:rPr>
          <w:sz w:val="24"/>
          <w:szCs w:val="24"/>
        </w:rPr>
        <w:t>C, Walsh JC</w:t>
      </w:r>
      <w:r w:rsidR="00110E44">
        <w:rPr>
          <w:sz w:val="24"/>
          <w:szCs w:val="24"/>
        </w:rPr>
        <w:t>, Sutherland</w:t>
      </w:r>
      <w:r w:rsidR="00555DC0">
        <w:rPr>
          <w:sz w:val="24"/>
          <w:szCs w:val="24"/>
        </w:rPr>
        <w:t xml:space="preserve"> WJ</w:t>
      </w:r>
      <w:r w:rsidR="00110E44">
        <w:rPr>
          <w:sz w:val="24"/>
          <w:szCs w:val="24"/>
        </w:rPr>
        <w:t xml:space="preserve"> and Dormann</w:t>
      </w:r>
      <w:r w:rsidR="00555DC0">
        <w:rPr>
          <w:sz w:val="24"/>
          <w:szCs w:val="24"/>
        </w:rPr>
        <w:t xml:space="preserve"> CF</w:t>
      </w:r>
      <w:r w:rsidR="00555DC0" w:rsidRPr="00555DC0">
        <w:rPr>
          <w:sz w:val="24"/>
          <w:szCs w:val="24"/>
        </w:rPr>
        <w:t xml:space="preserve"> </w:t>
      </w:r>
      <w:r w:rsidR="006F2617">
        <w:rPr>
          <w:sz w:val="24"/>
          <w:szCs w:val="24"/>
        </w:rPr>
        <w:t>(2016)</w:t>
      </w:r>
      <w:r w:rsidR="00514431" w:rsidRPr="00514431">
        <w:rPr>
          <w:sz w:val="24"/>
          <w:szCs w:val="24"/>
        </w:rPr>
        <w:t xml:space="preserve"> An evidence </w:t>
      </w:r>
      <w:r w:rsidR="00514431">
        <w:rPr>
          <w:rStyle w:val="apple-tab-span"/>
          <w:sz w:val="24"/>
          <w:szCs w:val="24"/>
        </w:rPr>
        <w:t xml:space="preserve"> </w:t>
      </w:r>
    </w:p>
    <w:p w14:paraId="237FFB53" w14:textId="5D58C956" w:rsidR="006C3FCC" w:rsidRDefault="006C3FCC" w:rsidP="00514431">
      <w:pPr>
        <w:pStyle w:val="p1"/>
        <w:rPr>
          <w:sz w:val="24"/>
          <w:szCs w:val="24"/>
        </w:rPr>
      </w:pPr>
      <w:r>
        <w:rPr>
          <w:rStyle w:val="apple-tab-span"/>
          <w:sz w:val="24"/>
          <w:szCs w:val="24"/>
        </w:rPr>
        <w:t xml:space="preserve">   </w:t>
      </w:r>
      <w:r w:rsidR="00A17BA4">
        <w:rPr>
          <w:rStyle w:val="apple-tab-span"/>
          <w:sz w:val="24"/>
          <w:szCs w:val="24"/>
        </w:rPr>
        <w:t xml:space="preserve"> </w:t>
      </w:r>
      <w:r w:rsidR="00514431" w:rsidRPr="00514431">
        <w:rPr>
          <w:sz w:val="24"/>
          <w:szCs w:val="24"/>
        </w:rPr>
        <w:t>assessment tool for ecosystem se</w:t>
      </w:r>
      <w:r w:rsidR="00A17BA4">
        <w:rPr>
          <w:sz w:val="24"/>
          <w:szCs w:val="24"/>
        </w:rPr>
        <w:t>rvices and conservation studies.</w:t>
      </w:r>
      <w:r w:rsidR="00514431" w:rsidRPr="00514431">
        <w:rPr>
          <w:sz w:val="24"/>
          <w:szCs w:val="24"/>
        </w:rPr>
        <w:t xml:space="preserve"> </w:t>
      </w:r>
      <w:r w:rsidR="00A17BA4">
        <w:rPr>
          <w:iCs/>
          <w:sz w:val="24"/>
          <w:szCs w:val="24"/>
        </w:rPr>
        <w:t>Ecol</w:t>
      </w:r>
      <w:r w:rsidR="00514431" w:rsidRPr="00555DC0">
        <w:rPr>
          <w:iCs/>
          <w:sz w:val="24"/>
          <w:szCs w:val="24"/>
        </w:rPr>
        <w:t xml:space="preserve"> </w:t>
      </w:r>
      <w:r w:rsidR="00A17BA4">
        <w:rPr>
          <w:iCs/>
          <w:sz w:val="24"/>
          <w:szCs w:val="24"/>
        </w:rPr>
        <w:t>Appl</w:t>
      </w:r>
      <w:r w:rsidR="00514431" w:rsidRPr="00514431">
        <w:rPr>
          <w:sz w:val="24"/>
          <w:szCs w:val="24"/>
        </w:rPr>
        <w:t xml:space="preserve"> </w:t>
      </w:r>
    </w:p>
    <w:p w14:paraId="09FE034F" w14:textId="0D9F6B14" w:rsidR="00BE2178" w:rsidRPr="00555DC0" w:rsidRDefault="006C3FCC" w:rsidP="00555DC0">
      <w:pPr>
        <w:pStyle w:val="p1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14431" w:rsidRPr="00514431">
        <w:rPr>
          <w:sz w:val="24"/>
          <w:szCs w:val="24"/>
        </w:rPr>
        <w:t>26(5):1295–1301</w:t>
      </w:r>
      <w:r w:rsidR="006F2617">
        <w:rPr>
          <w:sz w:val="24"/>
          <w:szCs w:val="24"/>
        </w:rPr>
        <w:t>.</w:t>
      </w:r>
      <w:r w:rsidR="00555DC0">
        <w:rPr>
          <w:sz w:val="24"/>
          <w:szCs w:val="24"/>
        </w:rPr>
        <w:t xml:space="preserve"> </w:t>
      </w:r>
      <w:r w:rsidR="00555DC0" w:rsidRPr="00555DC0">
        <w:rPr>
          <w:sz w:val="24"/>
          <w:szCs w:val="24"/>
        </w:rPr>
        <w:t>doi:10.1890/15-0595</w:t>
      </w:r>
    </w:p>
    <w:p w14:paraId="70D19F39" w14:textId="77777777" w:rsidR="00BE2178" w:rsidRPr="00514431" w:rsidRDefault="00BE2178" w:rsidP="00BE2178">
      <w:pPr>
        <w:rPr>
          <w:color w:val="000000" w:themeColor="text1"/>
          <w:lang w:val="en-US"/>
        </w:rPr>
      </w:pPr>
    </w:p>
    <w:p w14:paraId="1F85E9BA" w14:textId="188FD733" w:rsidR="006C3FCC" w:rsidRDefault="00BE2178" w:rsidP="00514431">
      <w:pPr>
        <w:pStyle w:val="p1"/>
        <w:rPr>
          <w:sz w:val="24"/>
          <w:szCs w:val="24"/>
        </w:rPr>
      </w:pPr>
      <w:r w:rsidRPr="00514431">
        <w:rPr>
          <w:color w:val="000000" w:themeColor="text1"/>
          <w:sz w:val="24"/>
          <w:szCs w:val="24"/>
          <w:lang w:val="en-US"/>
        </w:rPr>
        <w:t xml:space="preserve">7. </w:t>
      </w:r>
      <w:r w:rsidR="00110E44">
        <w:rPr>
          <w:sz w:val="24"/>
          <w:szCs w:val="24"/>
        </w:rPr>
        <w:t>Müller</w:t>
      </w:r>
      <w:r w:rsidR="006F2617">
        <w:rPr>
          <w:sz w:val="24"/>
          <w:szCs w:val="24"/>
        </w:rPr>
        <w:t xml:space="preserve"> J, Bütler R (2010)</w:t>
      </w:r>
      <w:r w:rsidR="00514431" w:rsidRPr="00514431">
        <w:rPr>
          <w:sz w:val="24"/>
          <w:szCs w:val="24"/>
        </w:rPr>
        <w:t xml:space="preserve"> A review of habitat thresholds for dead wood: a baseline for </w:t>
      </w:r>
    </w:p>
    <w:p w14:paraId="56AD7BA8" w14:textId="16CB6C30" w:rsidR="006C3FCC" w:rsidRPr="00555DC0" w:rsidRDefault="006C3FCC" w:rsidP="00514431">
      <w:pPr>
        <w:pStyle w:val="p1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14431" w:rsidRPr="00514431">
        <w:rPr>
          <w:sz w:val="24"/>
          <w:szCs w:val="24"/>
        </w:rPr>
        <w:t>management reco</w:t>
      </w:r>
      <w:r w:rsidR="00A17BA4">
        <w:rPr>
          <w:sz w:val="24"/>
          <w:szCs w:val="24"/>
        </w:rPr>
        <w:t>mmendations in European forests.</w:t>
      </w:r>
      <w:r w:rsidR="00514431" w:rsidRPr="00514431">
        <w:rPr>
          <w:sz w:val="24"/>
          <w:szCs w:val="24"/>
        </w:rPr>
        <w:t xml:space="preserve"> </w:t>
      </w:r>
      <w:r w:rsidR="00555DC0" w:rsidRPr="00555DC0">
        <w:rPr>
          <w:iCs/>
          <w:sz w:val="24"/>
          <w:szCs w:val="24"/>
        </w:rPr>
        <w:t>Eur J Forest Res</w:t>
      </w:r>
    </w:p>
    <w:p w14:paraId="4D3BBF9A" w14:textId="37DB8946" w:rsidR="00514431" w:rsidRPr="00555DC0" w:rsidRDefault="006C3FCC" w:rsidP="00555DC0">
      <w:pPr>
        <w:rPr>
          <w:rFonts w:eastAsia="Times New Roman"/>
        </w:rPr>
      </w:pPr>
      <w:r>
        <w:t xml:space="preserve">  </w:t>
      </w:r>
      <w:r w:rsidR="00514431" w:rsidRPr="00514431">
        <w:t>129(6):981–992</w:t>
      </w:r>
      <w:r w:rsidR="006F2617">
        <w:t>.</w:t>
      </w:r>
      <w:r w:rsidR="00555DC0">
        <w:t xml:space="preserve"> </w:t>
      </w:r>
      <w:r w:rsidR="00555DC0">
        <w:rPr>
          <w:rFonts w:eastAsia="Times New Roman"/>
        </w:rPr>
        <w:t>https://doi.org/10.1007/s10342-010-0400-5</w:t>
      </w:r>
    </w:p>
    <w:p w14:paraId="5B1C1FD7" w14:textId="254B1A46" w:rsidR="00BE2178" w:rsidRPr="00514431" w:rsidRDefault="00BE2178" w:rsidP="00514431">
      <w:pPr>
        <w:rPr>
          <w:color w:val="000000" w:themeColor="text1"/>
          <w:lang w:val="en-US"/>
        </w:rPr>
      </w:pPr>
    </w:p>
    <w:p w14:paraId="026865CE" w14:textId="30D6044D" w:rsidR="006C3FCC" w:rsidRDefault="006F2617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8. Paillet</w:t>
      </w:r>
      <w:r w:rsidR="00BE2178" w:rsidRPr="00514431">
        <w:rPr>
          <w:color w:val="000000" w:themeColor="text1"/>
          <w:lang w:val="en-US"/>
        </w:rPr>
        <w:t xml:space="preserve"> Y</w:t>
      </w:r>
      <w:r>
        <w:rPr>
          <w:color w:val="000000" w:themeColor="text1"/>
          <w:lang w:val="en-US"/>
        </w:rPr>
        <w:t>L</w:t>
      </w:r>
      <w:r w:rsidR="00514431">
        <w:rPr>
          <w:color w:val="000000" w:themeColor="text1"/>
          <w:lang w:val="en-US"/>
        </w:rPr>
        <w:t xml:space="preserve">, </w:t>
      </w:r>
      <w:r w:rsidR="0052384F">
        <w:rPr>
          <w:color w:val="000000" w:themeColor="text1"/>
          <w:lang w:val="en-US"/>
        </w:rPr>
        <w:t>Bergès</w:t>
      </w:r>
      <w:r>
        <w:rPr>
          <w:color w:val="000000" w:themeColor="text1"/>
          <w:lang w:val="en-US"/>
        </w:rPr>
        <w:t xml:space="preserve"> </w:t>
      </w:r>
      <w:r w:rsidR="00514431">
        <w:rPr>
          <w:color w:val="000000" w:themeColor="text1"/>
          <w:lang w:val="en-US"/>
        </w:rPr>
        <w:t xml:space="preserve">J, </w:t>
      </w:r>
      <w:r w:rsidR="0052384F">
        <w:rPr>
          <w:color w:val="000000" w:themeColor="text1"/>
          <w:lang w:val="en-US"/>
        </w:rPr>
        <w:t>Hjältén</w:t>
      </w:r>
      <w:r w:rsidR="00BE2178" w:rsidRPr="00514431">
        <w:rPr>
          <w:color w:val="000000" w:themeColor="text1"/>
          <w:lang w:val="en-US"/>
        </w:rPr>
        <w:t xml:space="preserve"> </w:t>
      </w:r>
      <w:r w:rsidR="00514431">
        <w:rPr>
          <w:color w:val="000000" w:themeColor="text1"/>
          <w:lang w:val="en-US"/>
        </w:rPr>
        <w:t xml:space="preserve">P, </w:t>
      </w:r>
      <w:r w:rsidR="0052384F">
        <w:rPr>
          <w:color w:val="000000" w:themeColor="text1"/>
          <w:lang w:val="en-US"/>
        </w:rPr>
        <w:t>Òdor</w:t>
      </w:r>
      <w:r w:rsidR="00BE2178" w:rsidRPr="00514431">
        <w:rPr>
          <w:color w:val="000000" w:themeColor="text1"/>
          <w:lang w:val="en-US"/>
        </w:rPr>
        <w:t xml:space="preserve"> </w:t>
      </w:r>
      <w:r w:rsidR="00514431">
        <w:rPr>
          <w:color w:val="000000" w:themeColor="text1"/>
          <w:lang w:val="en-US"/>
        </w:rPr>
        <w:t xml:space="preserve">C, </w:t>
      </w:r>
      <w:r w:rsidR="0052384F">
        <w:rPr>
          <w:color w:val="000000" w:themeColor="text1"/>
          <w:lang w:val="en-US"/>
        </w:rPr>
        <w:t>Avon</w:t>
      </w:r>
      <w:r w:rsidR="00BE2178" w:rsidRPr="00514431">
        <w:rPr>
          <w:color w:val="000000" w:themeColor="text1"/>
          <w:lang w:val="en-US"/>
        </w:rPr>
        <w:t xml:space="preserve"> </w:t>
      </w:r>
      <w:r w:rsidR="00514431">
        <w:rPr>
          <w:color w:val="000000" w:themeColor="text1"/>
          <w:lang w:val="en-US"/>
        </w:rPr>
        <w:t xml:space="preserve">M, </w:t>
      </w:r>
      <w:r w:rsidR="0052384F">
        <w:rPr>
          <w:color w:val="000000" w:themeColor="text1"/>
          <w:lang w:val="en-US"/>
        </w:rPr>
        <w:t>Bernhardt-Romermann</w:t>
      </w:r>
      <w:r w:rsidR="00BE2178" w:rsidRPr="00514431">
        <w:rPr>
          <w:color w:val="000000" w:themeColor="text1"/>
          <w:lang w:val="en-US"/>
        </w:rPr>
        <w:t xml:space="preserve"> </w:t>
      </w:r>
      <w:r w:rsidR="00514431">
        <w:rPr>
          <w:color w:val="000000" w:themeColor="text1"/>
          <w:lang w:val="en-US"/>
        </w:rPr>
        <w:t xml:space="preserve">RJ, </w:t>
      </w:r>
    </w:p>
    <w:p w14:paraId="0956F1DC" w14:textId="1297DFB1" w:rsidR="006C3FCC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52384F">
        <w:rPr>
          <w:color w:val="000000" w:themeColor="text1"/>
          <w:lang w:val="en-US"/>
        </w:rPr>
        <w:t>Bijlsma</w:t>
      </w:r>
      <w:r w:rsidR="00BE2178" w:rsidRPr="00514431">
        <w:rPr>
          <w:color w:val="000000" w:themeColor="text1"/>
          <w:lang w:val="en-US"/>
        </w:rPr>
        <w:t xml:space="preserve"> </w:t>
      </w:r>
      <w:r w:rsidR="00514431">
        <w:rPr>
          <w:color w:val="000000" w:themeColor="text1"/>
          <w:lang w:val="en-US"/>
        </w:rPr>
        <w:t xml:space="preserve">L, </w:t>
      </w:r>
      <w:r w:rsidR="0052384F">
        <w:rPr>
          <w:color w:val="000000" w:themeColor="text1"/>
          <w:lang w:val="en-US"/>
        </w:rPr>
        <w:t>De Bruyn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M, Fuhr</w:t>
      </w:r>
      <w:r w:rsidR="00514431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U, Grandin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R, Kanka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L, Lundin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S, Luque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T, Magura</w:t>
      </w:r>
      <w:r w:rsidR="00BE2178" w:rsidRPr="00514431">
        <w:rPr>
          <w:color w:val="000000" w:themeColor="text1"/>
          <w:lang w:val="en-US"/>
        </w:rPr>
        <w:t xml:space="preserve"> </w:t>
      </w:r>
    </w:p>
    <w:p w14:paraId="58082D71" w14:textId="1D6FDCC2" w:rsidR="006C3FCC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52384F">
        <w:rPr>
          <w:color w:val="000000" w:themeColor="text1"/>
          <w:lang w:val="en-US"/>
        </w:rPr>
        <w:t>S, Matesanz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 xml:space="preserve">I, </w:t>
      </w:r>
      <w:r w:rsidR="00BE2178" w:rsidRPr="00514431">
        <w:rPr>
          <w:color w:val="000000" w:themeColor="text1"/>
          <w:lang w:val="en-US"/>
        </w:rPr>
        <w:t>Meszaros</w:t>
      </w:r>
      <w:r w:rsidR="00514431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MT, Sebastià</w:t>
      </w:r>
      <w:r w:rsidR="00514431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W, Schmidt</w:t>
      </w:r>
      <w:r w:rsidR="00514431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T, Standovar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B, Tothmeresz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 xml:space="preserve">A, </w:t>
      </w:r>
    </w:p>
    <w:p w14:paraId="1FC35C46" w14:textId="02B7513F" w:rsidR="006C3FCC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52384F">
        <w:rPr>
          <w:color w:val="000000" w:themeColor="text1"/>
          <w:lang w:val="en-US"/>
        </w:rPr>
        <w:t>Uotila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F, Valladares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K, Vellak</w:t>
      </w:r>
      <w:r w:rsidR="00BE2178" w:rsidRPr="00514431">
        <w:rPr>
          <w:color w:val="000000" w:themeColor="text1"/>
          <w:lang w:val="en-US"/>
        </w:rPr>
        <w:t xml:space="preserve"> </w:t>
      </w:r>
      <w:r w:rsidR="0052384F">
        <w:rPr>
          <w:color w:val="000000" w:themeColor="text1"/>
          <w:lang w:val="en-US"/>
        </w:rPr>
        <w:t>R, Virtanen</w:t>
      </w:r>
      <w:r w:rsidR="00BE2178" w:rsidRPr="00514431">
        <w:rPr>
          <w:color w:val="000000" w:themeColor="text1"/>
          <w:lang w:val="en-US"/>
        </w:rPr>
        <w:t xml:space="preserve"> </w:t>
      </w:r>
      <w:r w:rsidR="006F2617">
        <w:rPr>
          <w:color w:val="000000" w:themeColor="text1"/>
          <w:lang w:val="en-US"/>
        </w:rPr>
        <w:t>(2010)</w:t>
      </w:r>
      <w:r w:rsidR="00514431" w:rsidRPr="00514431">
        <w:rPr>
          <w:color w:val="000000" w:themeColor="text1"/>
          <w:lang w:val="en-US"/>
        </w:rPr>
        <w:t xml:space="preserve"> Biodiversity differences </w:t>
      </w:r>
      <w:r w:rsidR="00BE2178" w:rsidRPr="00514431">
        <w:rPr>
          <w:color w:val="000000" w:themeColor="text1"/>
          <w:lang w:val="en-US"/>
        </w:rPr>
        <w:t xml:space="preserve">between </w:t>
      </w:r>
    </w:p>
    <w:p w14:paraId="61827EDC" w14:textId="6BAAA7BE" w:rsidR="006C3FCC" w:rsidRPr="00110E44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BE2178" w:rsidRPr="00514431">
        <w:rPr>
          <w:color w:val="000000" w:themeColor="text1"/>
          <w:lang w:val="en-US"/>
        </w:rPr>
        <w:t>managed and unmanaged forests: meta-analysis of species richness in Europe</w:t>
      </w:r>
      <w:r w:rsidR="00A17BA4">
        <w:rPr>
          <w:color w:val="000000" w:themeColor="text1"/>
          <w:lang w:val="en-US"/>
        </w:rPr>
        <w:t>.</w:t>
      </w:r>
      <w:r w:rsidR="00110E44">
        <w:rPr>
          <w:color w:val="000000" w:themeColor="text1"/>
          <w:lang w:val="en-US"/>
        </w:rPr>
        <w:t xml:space="preserve"> </w:t>
      </w:r>
      <w:r w:rsidR="00A17BA4">
        <w:rPr>
          <w:color w:val="000000" w:themeColor="text1"/>
          <w:lang w:val="en-US"/>
        </w:rPr>
        <w:t>Conserv</w:t>
      </w:r>
      <w:r w:rsidR="00BE2178" w:rsidRPr="00110E44">
        <w:rPr>
          <w:color w:val="000000" w:themeColor="text1"/>
          <w:lang w:val="en-US"/>
        </w:rPr>
        <w:t xml:space="preserve"> </w:t>
      </w:r>
    </w:p>
    <w:p w14:paraId="7229D2A7" w14:textId="3D7378B3" w:rsidR="00BE2178" w:rsidRPr="00110E44" w:rsidRDefault="006C3FCC" w:rsidP="00BE2178">
      <w:pPr>
        <w:rPr>
          <w:color w:val="000000" w:themeColor="text1"/>
          <w:lang w:val="en-US"/>
        </w:rPr>
      </w:pPr>
      <w:r w:rsidRPr="00110E44">
        <w:rPr>
          <w:color w:val="000000" w:themeColor="text1"/>
          <w:lang w:val="en-US"/>
        </w:rPr>
        <w:t xml:space="preserve">   </w:t>
      </w:r>
      <w:r w:rsidR="00A17BA4">
        <w:rPr>
          <w:color w:val="000000" w:themeColor="text1"/>
          <w:lang w:val="en-US"/>
        </w:rPr>
        <w:t>Biol</w:t>
      </w:r>
      <w:r w:rsidR="0052384F" w:rsidRPr="00110E44">
        <w:rPr>
          <w:color w:val="000000" w:themeColor="text1"/>
          <w:lang w:val="en-US"/>
        </w:rPr>
        <w:t xml:space="preserve"> 24:</w:t>
      </w:r>
      <w:r w:rsidR="00BE2178" w:rsidRPr="00110E44">
        <w:rPr>
          <w:color w:val="000000" w:themeColor="text1"/>
          <w:lang w:val="en-US"/>
        </w:rPr>
        <w:t>101– 112.</w:t>
      </w:r>
      <w:r w:rsidR="006F2617" w:rsidRPr="00110E44">
        <w:rPr>
          <w:color w:val="000000" w:themeColor="text1"/>
          <w:lang w:val="en-US"/>
        </w:rPr>
        <w:t xml:space="preserve"> https://doi.org/10.1111/j.1523-1739.2009.01399.x</w:t>
      </w:r>
    </w:p>
    <w:p w14:paraId="4983560A" w14:textId="77777777" w:rsidR="00BE2178" w:rsidRPr="00514431" w:rsidRDefault="00BE2178" w:rsidP="00BE2178">
      <w:pPr>
        <w:rPr>
          <w:color w:val="000000" w:themeColor="text1"/>
          <w:lang w:val="en-US"/>
        </w:rPr>
      </w:pPr>
    </w:p>
    <w:p w14:paraId="2877C9FA" w14:textId="77777777" w:rsidR="00110E44" w:rsidRDefault="00BE2178" w:rsidP="00514431">
      <w:pPr>
        <w:pStyle w:val="p1"/>
        <w:rPr>
          <w:sz w:val="24"/>
          <w:szCs w:val="24"/>
        </w:rPr>
      </w:pPr>
      <w:r w:rsidRPr="00514431">
        <w:rPr>
          <w:color w:val="000000" w:themeColor="text1"/>
          <w:sz w:val="24"/>
          <w:szCs w:val="24"/>
          <w:lang w:val="en-US"/>
        </w:rPr>
        <w:t xml:space="preserve">9. </w:t>
      </w:r>
      <w:r w:rsidR="00514431" w:rsidRPr="00514431">
        <w:rPr>
          <w:sz w:val="24"/>
          <w:szCs w:val="24"/>
        </w:rPr>
        <w:t>Seibold S</w:t>
      </w:r>
      <w:r w:rsidR="006F2617">
        <w:rPr>
          <w:sz w:val="24"/>
          <w:szCs w:val="24"/>
        </w:rPr>
        <w:t xml:space="preserve">, </w:t>
      </w:r>
      <w:r w:rsidR="00514431" w:rsidRPr="00514431">
        <w:rPr>
          <w:sz w:val="24"/>
          <w:szCs w:val="24"/>
        </w:rPr>
        <w:t>Bässler</w:t>
      </w:r>
      <w:r w:rsidR="006F2617">
        <w:rPr>
          <w:sz w:val="24"/>
          <w:szCs w:val="24"/>
        </w:rPr>
        <w:t xml:space="preserve"> C, </w:t>
      </w:r>
      <w:r w:rsidR="00514431" w:rsidRPr="00514431">
        <w:rPr>
          <w:sz w:val="24"/>
          <w:szCs w:val="24"/>
        </w:rPr>
        <w:t>Brandl</w:t>
      </w:r>
      <w:r w:rsidR="006F2617">
        <w:rPr>
          <w:sz w:val="24"/>
          <w:szCs w:val="24"/>
        </w:rPr>
        <w:t xml:space="preserve"> R, </w:t>
      </w:r>
      <w:r w:rsidR="00514431" w:rsidRPr="00514431">
        <w:rPr>
          <w:sz w:val="24"/>
          <w:szCs w:val="24"/>
        </w:rPr>
        <w:t>Gossner</w:t>
      </w:r>
      <w:r w:rsidR="006F2617">
        <w:rPr>
          <w:sz w:val="24"/>
          <w:szCs w:val="24"/>
        </w:rPr>
        <w:t xml:space="preserve"> MM, </w:t>
      </w:r>
      <w:r w:rsidR="00514431" w:rsidRPr="00514431">
        <w:rPr>
          <w:sz w:val="24"/>
          <w:szCs w:val="24"/>
        </w:rPr>
        <w:t>Thorn</w:t>
      </w:r>
      <w:r w:rsidR="006F2617">
        <w:rPr>
          <w:sz w:val="24"/>
          <w:szCs w:val="24"/>
        </w:rPr>
        <w:t xml:space="preserve"> S, </w:t>
      </w:r>
      <w:r w:rsidR="00514431" w:rsidRPr="00514431">
        <w:rPr>
          <w:sz w:val="24"/>
          <w:szCs w:val="24"/>
        </w:rPr>
        <w:t>Ulyshen</w:t>
      </w:r>
      <w:r w:rsidR="006F2617">
        <w:rPr>
          <w:sz w:val="24"/>
          <w:szCs w:val="24"/>
        </w:rPr>
        <w:t xml:space="preserve"> MD, </w:t>
      </w:r>
      <w:r w:rsidR="00514431" w:rsidRPr="00514431">
        <w:rPr>
          <w:sz w:val="24"/>
          <w:szCs w:val="24"/>
        </w:rPr>
        <w:t xml:space="preserve">Müller </w:t>
      </w:r>
      <w:r w:rsidR="006F2617">
        <w:rPr>
          <w:sz w:val="24"/>
          <w:szCs w:val="24"/>
        </w:rPr>
        <w:t>J</w:t>
      </w:r>
      <w:r w:rsidR="006C3FCC">
        <w:rPr>
          <w:sz w:val="24"/>
          <w:szCs w:val="24"/>
        </w:rPr>
        <w:t xml:space="preserve"> </w:t>
      </w:r>
      <w:r w:rsidR="006F2617">
        <w:rPr>
          <w:sz w:val="24"/>
          <w:szCs w:val="24"/>
        </w:rPr>
        <w:t>(2015)</w:t>
      </w:r>
      <w:r w:rsidR="00514431" w:rsidRPr="00514431">
        <w:rPr>
          <w:sz w:val="24"/>
          <w:szCs w:val="24"/>
        </w:rPr>
        <w:t xml:space="preserve"> </w:t>
      </w:r>
    </w:p>
    <w:p w14:paraId="704FAD87" w14:textId="594CD0C0" w:rsidR="006C3FCC" w:rsidRDefault="00110E44" w:rsidP="00514431">
      <w:pPr>
        <w:pStyle w:val="p1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14431" w:rsidRPr="00514431">
        <w:rPr>
          <w:sz w:val="24"/>
          <w:szCs w:val="24"/>
        </w:rPr>
        <w:t>Experimental studies of dead-wood biodiversity — A review identifying global</w:t>
      </w:r>
      <w:r>
        <w:rPr>
          <w:sz w:val="24"/>
          <w:szCs w:val="24"/>
        </w:rPr>
        <w:t xml:space="preserve"> </w:t>
      </w:r>
      <w:r w:rsidR="00514431" w:rsidRPr="00514431">
        <w:rPr>
          <w:sz w:val="24"/>
          <w:szCs w:val="24"/>
        </w:rPr>
        <w:t xml:space="preserve">gaps </w:t>
      </w:r>
    </w:p>
    <w:p w14:paraId="2125A3B3" w14:textId="3307B269" w:rsidR="00110E44" w:rsidRDefault="006C3FCC" w:rsidP="00514431">
      <w:pPr>
        <w:pStyle w:val="p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10E4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17BA4">
        <w:rPr>
          <w:sz w:val="24"/>
          <w:szCs w:val="24"/>
        </w:rPr>
        <w:t>in knowledge.</w:t>
      </w:r>
      <w:r w:rsidR="00514431" w:rsidRPr="00514431">
        <w:rPr>
          <w:sz w:val="24"/>
          <w:szCs w:val="24"/>
        </w:rPr>
        <w:t xml:space="preserve"> </w:t>
      </w:r>
      <w:r w:rsidR="00A17BA4">
        <w:rPr>
          <w:iCs/>
          <w:sz w:val="24"/>
          <w:szCs w:val="24"/>
        </w:rPr>
        <w:t>Biol Conserv</w:t>
      </w:r>
      <w:r w:rsidR="00514431" w:rsidRPr="00514431">
        <w:rPr>
          <w:sz w:val="24"/>
          <w:szCs w:val="24"/>
        </w:rPr>
        <w:t xml:space="preserve"> 191:139–149</w:t>
      </w:r>
      <w:r w:rsidR="006F2617">
        <w:rPr>
          <w:sz w:val="24"/>
          <w:szCs w:val="24"/>
        </w:rPr>
        <w:t xml:space="preserve">. </w:t>
      </w:r>
      <w:r w:rsidR="00110E44">
        <w:rPr>
          <w:sz w:val="24"/>
          <w:szCs w:val="24"/>
        </w:rPr>
        <w:t xml:space="preserve"> </w:t>
      </w:r>
    </w:p>
    <w:p w14:paraId="2BC17A6B" w14:textId="46FE2499" w:rsidR="00514431" w:rsidRPr="00514431" w:rsidRDefault="00110E44" w:rsidP="00514431">
      <w:pPr>
        <w:pStyle w:val="p1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F2617" w:rsidRPr="006F2617">
        <w:rPr>
          <w:sz w:val="24"/>
          <w:szCs w:val="24"/>
        </w:rPr>
        <w:t>https://doi.org/10.1016/j.biocon.2015.06.006</w:t>
      </w:r>
    </w:p>
    <w:p w14:paraId="5C4AA5F2" w14:textId="77777777" w:rsidR="00BE2178" w:rsidRPr="00514431" w:rsidRDefault="00BE2178" w:rsidP="00BE2178">
      <w:pPr>
        <w:rPr>
          <w:color w:val="000000" w:themeColor="text1"/>
          <w:lang w:val="en-US"/>
        </w:rPr>
      </w:pPr>
    </w:p>
    <w:p w14:paraId="3AABE342" w14:textId="751AA8A8" w:rsidR="006C3FCC" w:rsidRDefault="0052384F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10. Ulyshen MD</w:t>
      </w:r>
      <w:r w:rsidR="006F2617">
        <w:rPr>
          <w:color w:val="000000" w:themeColor="text1"/>
          <w:lang w:val="en-US"/>
        </w:rPr>
        <w:t xml:space="preserve">, </w:t>
      </w:r>
      <w:r>
        <w:rPr>
          <w:color w:val="000000" w:themeColor="text1"/>
          <w:lang w:val="en-US"/>
        </w:rPr>
        <w:t xml:space="preserve">Hanula </w:t>
      </w:r>
      <w:r w:rsidR="006F2617">
        <w:rPr>
          <w:color w:val="000000" w:themeColor="text1"/>
          <w:lang w:val="en-US"/>
        </w:rPr>
        <w:t>JL (2009)</w:t>
      </w:r>
      <w:r w:rsidR="00BE2178" w:rsidRPr="00514431">
        <w:rPr>
          <w:color w:val="000000" w:themeColor="text1"/>
          <w:lang w:val="en-US"/>
        </w:rPr>
        <w:t xml:space="preserve"> Habitat associations of saproxylic beetles in the </w:t>
      </w:r>
    </w:p>
    <w:p w14:paraId="33F6AF30" w14:textId="7B02AC7F" w:rsidR="006C3FCC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A17BA4">
        <w:rPr>
          <w:color w:val="000000" w:themeColor="text1"/>
          <w:lang w:val="en-US"/>
        </w:rPr>
        <w:t xml:space="preserve">  </w:t>
      </w:r>
      <w:r>
        <w:rPr>
          <w:color w:val="000000" w:themeColor="text1"/>
          <w:lang w:val="en-US"/>
        </w:rPr>
        <w:t xml:space="preserve"> </w:t>
      </w:r>
      <w:r w:rsidR="00BE2178" w:rsidRPr="00514431">
        <w:rPr>
          <w:color w:val="000000" w:themeColor="text1"/>
          <w:lang w:val="en-US"/>
        </w:rPr>
        <w:t>southeastern United States: a</w:t>
      </w:r>
      <w:r w:rsidR="00514431" w:rsidRPr="00514431">
        <w:rPr>
          <w:color w:val="000000" w:themeColor="text1"/>
          <w:lang w:val="en-US"/>
        </w:rPr>
        <w:t xml:space="preserve"> </w:t>
      </w:r>
      <w:r w:rsidR="00BE2178" w:rsidRPr="00514431">
        <w:rPr>
          <w:color w:val="000000" w:themeColor="text1"/>
          <w:lang w:val="en-US"/>
        </w:rPr>
        <w:t>comparison of forest types,</w:t>
      </w:r>
      <w:r w:rsidR="00110E44">
        <w:rPr>
          <w:color w:val="000000" w:themeColor="text1"/>
          <w:lang w:val="en-US"/>
        </w:rPr>
        <w:t xml:space="preserve"> tree species and wood postures</w:t>
      </w:r>
      <w:r w:rsidR="00A17BA4">
        <w:rPr>
          <w:color w:val="000000" w:themeColor="text1"/>
          <w:lang w:val="en-US"/>
        </w:rPr>
        <w:t>.</w:t>
      </w:r>
      <w:r w:rsidR="00BE2178" w:rsidRPr="00514431">
        <w:rPr>
          <w:color w:val="000000" w:themeColor="text1"/>
          <w:lang w:val="en-US"/>
        </w:rPr>
        <w:t xml:space="preserve"> </w:t>
      </w:r>
    </w:p>
    <w:p w14:paraId="1ECEE7DD" w14:textId="7B81BAEF" w:rsidR="00110E44" w:rsidRDefault="006C3FCC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A17BA4">
        <w:rPr>
          <w:color w:val="000000" w:themeColor="text1"/>
          <w:lang w:val="en-US"/>
        </w:rPr>
        <w:t xml:space="preserve">  </w:t>
      </w:r>
      <w:r>
        <w:rPr>
          <w:color w:val="000000" w:themeColor="text1"/>
          <w:lang w:val="en-US"/>
        </w:rPr>
        <w:t xml:space="preserve"> </w:t>
      </w:r>
      <w:r w:rsidR="00A17BA4">
        <w:rPr>
          <w:color w:val="000000" w:themeColor="text1"/>
          <w:lang w:val="en-US"/>
        </w:rPr>
        <w:t>Forest Ecol Manag</w:t>
      </w:r>
      <w:r w:rsidR="0052384F">
        <w:rPr>
          <w:color w:val="000000" w:themeColor="text1"/>
          <w:lang w:val="en-US"/>
        </w:rPr>
        <w:t xml:space="preserve"> 257</w:t>
      </w:r>
      <w:r w:rsidR="006F2617">
        <w:rPr>
          <w:color w:val="000000" w:themeColor="text1"/>
          <w:lang w:val="en-US"/>
        </w:rPr>
        <w:t>(2)</w:t>
      </w:r>
      <w:r w:rsidR="0052384F">
        <w:rPr>
          <w:color w:val="000000" w:themeColor="text1"/>
          <w:lang w:val="en-US"/>
        </w:rPr>
        <w:t>:</w:t>
      </w:r>
      <w:r w:rsidR="006F2617">
        <w:rPr>
          <w:color w:val="000000" w:themeColor="text1"/>
          <w:lang w:val="en-US"/>
        </w:rPr>
        <w:t>653–664</w:t>
      </w:r>
      <w:r w:rsidR="00A17BA4">
        <w:rPr>
          <w:color w:val="000000" w:themeColor="text1"/>
          <w:lang w:val="en-US"/>
        </w:rPr>
        <w:t>.</w:t>
      </w:r>
    </w:p>
    <w:p w14:paraId="75767FDE" w14:textId="3E05AE76" w:rsidR="00BE2178" w:rsidRPr="00514431" w:rsidRDefault="00110E44" w:rsidP="00BE2178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r w:rsidR="00A17BA4">
        <w:rPr>
          <w:color w:val="000000" w:themeColor="text1"/>
          <w:lang w:val="en-US"/>
        </w:rPr>
        <w:t xml:space="preserve">  </w:t>
      </w:r>
      <w:r>
        <w:rPr>
          <w:color w:val="000000" w:themeColor="text1"/>
          <w:lang w:val="en-US"/>
        </w:rPr>
        <w:t xml:space="preserve"> </w:t>
      </w:r>
      <w:r w:rsidR="006F2617" w:rsidRPr="006F2617">
        <w:rPr>
          <w:color w:val="000000" w:themeColor="text1"/>
          <w:lang w:val="en-US"/>
        </w:rPr>
        <w:t>https://doi.org/10.1016/j.foreco.2008.09.047</w:t>
      </w:r>
    </w:p>
    <w:p w14:paraId="5E145292" w14:textId="77777777" w:rsidR="00BE2178" w:rsidRPr="001315D6" w:rsidRDefault="00BE2178" w:rsidP="00BE2178">
      <w:pPr>
        <w:rPr>
          <w:lang w:val="en-US"/>
        </w:rPr>
      </w:pPr>
    </w:p>
    <w:p w14:paraId="4CB08CAC" w14:textId="77777777" w:rsidR="00BE2178" w:rsidRPr="001315D6" w:rsidRDefault="00BE2178" w:rsidP="00BE2178">
      <w:pPr>
        <w:rPr>
          <w:lang w:val="en-US"/>
        </w:rPr>
      </w:pPr>
    </w:p>
    <w:p w14:paraId="2C116FF6" w14:textId="77777777" w:rsidR="00FE1B8D" w:rsidRPr="001315D6" w:rsidRDefault="00FE1B8D"/>
    <w:sectPr w:rsidR="00FE1B8D" w:rsidRPr="001315D6" w:rsidSect="00B63017">
      <w:headerReference w:type="default" r:id="rId13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FB2F16" w14:textId="77777777" w:rsidR="00C15F7F" w:rsidRDefault="00C15F7F" w:rsidP="00B01A31">
      <w:r>
        <w:separator/>
      </w:r>
    </w:p>
  </w:endnote>
  <w:endnote w:type="continuationSeparator" w:id="0">
    <w:p w14:paraId="6C301E8C" w14:textId="77777777" w:rsidR="00C15F7F" w:rsidRDefault="00C15F7F" w:rsidP="00B0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2B0ED" w14:textId="77777777" w:rsidR="00FF6880" w:rsidRDefault="00FF6880" w:rsidP="004F008B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8EB5C5A" w14:textId="77777777" w:rsidR="00FF6880" w:rsidRDefault="00FF6880" w:rsidP="00FF6880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370C6" w14:textId="77777777" w:rsidR="00FF6880" w:rsidRPr="00A17BA4" w:rsidRDefault="00FF6880" w:rsidP="004F008B">
    <w:pPr>
      <w:pStyle w:val="Fuzeile"/>
      <w:framePr w:wrap="none" w:vAnchor="text" w:hAnchor="margin" w:xAlign="right" w:y="1"/>
      <w:rPr>
        <w:rStyle w:val="Seitenzahl"/>
        <w:rFonts w:ascii="Times New Roman" w:hAnsi="Times New Roman" w:cs="Times New Roman"/>
      </w:rPr>
    </w:pPr>
    <w:r w:rsidRPr="00A17BA4">
      <w:rPr>
        <w:rStyle w:val="Seitenzahl"/>
        <w:rFonts w:ascii="Times New Roman" w:hAnsi="Times New Roman" w:cs="Times New Roman"/>
      </w:rPr>
      <w:fldChar w:fldCharType="begin"/>
    </w:r>
    <w:r w:rsidRPr="00A17BA4">
      <w:rPr>
        <w:rStyle w:val="Seitenzahl"/>
        <w:rFonts w:ascii="Times New Roman" w:hAnsi="Times New Roman" w:cs="Times New Roman"/>
      </w:rPr>
      <w:instrText xml:space="preserve">PAGE  </w:instrText>
    </w:r>
    <w:r w:rsidRPr="00A17BA4">
      <w:rPr>
        <w:rStyle w:val="Seitenzahl"/>
        <w:rFonts w:ascii="Times New Roman" w:hAnsi="Times New Roman" w:cs="Times New Roman"/>
      </w:rPr>
      <w:fldChar w:fldCharType="separate"/>
    </w:r>
    <w:r w:rsidR="00C15F7F">
      <w:rPr>
        <w:rStyle w:val="Seitenzahl"/>
        <w:rFonts w:ascii="Times New Roman" w:hAnsi="Times New Roman" w:cs="Times New Roman"/>
        <w:noProof/>
      </w:rPr>
      <w:t>1</w:t>
    </w:r>
    <w:r w:rsidRPr="00A17BA4">
      <w:rPr>
        <w:rStyle w:val="Seitenzahl"/>
        <w:rFonts w:ascii="Times New Roman" w:hAnsi="Times New Roman" w:cs="Times New Roman"/>
      </w:rPr>
      <w:fldChar w:fldCharType="end"/>
    </w:r>
  </w:p>
  <w:p w14:paraId="62723B22" w14:textId="77777777" w:rsidR="00FF6880" w:rsidRDefault="00FF6880" w:rsidP="00FF6880">
    <w:pPr>
      <w:pStyle w:val="Fuzeile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527B0" w14:textId="77777777" w:rsidR="00CE224E" w:rsidRDefault="00CE224E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9273E" w14:textId="77777777" w:rsidR="00C15F7F" w:rsidRDefault="00C15F7F" w:rsidP="00B01A31">
      <w:r>
        <w:separator/>
      </w:r>
    </w:p>
  </w:footnote>
  <w:footnote w:type="continuationSeparator" w:id="0">
    <w:p w14:paraId="18AA4B05" w14:textId="77777777" w:rsidR="00C15F7F" w:rsidRDefault="00C15F7F" w:rsidP="00B01A3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19343" w14:textId="77777777" w:rsidR="00CE224E" w:rsidRDefault="00CE224E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AEEF5" w14:textId="77777777" w:rsidR="00FF6880" w:rsidRPr="001E06DB" w:rsidRDefault="00FF6880" w:rsidP="00FF6880">
    <w:pPr>
      <w:pStyle w:val="Kopfzeile"/>
      <w:jc w:val="center"/>
      <w:rPr>
        <w:rFonts w:ascii="Times New Roman" w:hAnsi="Times New Roman" w:cs="Times New Roman"/>
      </w:rPr>
    </w:pPr>
    <w:r w:rsidRPr="001E06DB">
      <w:rPr>
        <w:rFonts w:ascii="Times New Roman" w:hAnsi="Times New Roman" w:cs="Times New Roman"/>
      </w:rPr>
      <w:t>Exploration of concerns about the evidence-based guideline approach in conservation</w:t>
    </w:r>
  </w:p>
  <w:p w14:paraId="19EE3E22" w14:textId="7B3BDC94" w:rsidR="00FF6880" w:rsidRDefault="00FF6880" w:rsidP="00FF6880">
    <w:pPr>
      <w:pStyle w:val="Kopfzeile"/>
      <w:jc w:val="center"/>
      <w:rPr>
        <w:rFonts w:ascii="Times New Roman" w:hAnsi="Times New Roman" w:cs="Times New Roman"/>
      </w:rPr>
    </w:pPr>
    <w:r w:rsidRPr="001E06DB">
      <w:rPr>
        <w:rFonts w:ascii="Times New Roman" w:hAnsi="Times New Roman" w:cs="Times New Roman"/>
      </w:rPr>
      <w:t>management: hints from medical practice, Environmental Management</w:t>
    </w:r>
  </w:p>
  <w:p w14:paraId="3F7C6308" w14:textId="06B3356A" w:rsidR="000C16A2" w:rsidRPr="00CE224E" w:rsidRDefault="000C16A2" w:rsidP="000C16A2">
    <w:pPr>
      <w:pStyle w:val="MDPI16affiliation"/>
      <w:jc w:val="center"/>
      <w:rPr>
        <w:rFonts w:ascii="Times New Roman" w:hAnsi="Times New Roman"/>
        <w:vertAlign w:val="superscript"/>
      </w:rPr>
    </w:pPr>
    <w:r w:rsidRPr="00CE224E">
      <w:rPr>
        <w:rFonts w:ascii="Times New Roman" w:hAnsi="Times New Roman"/>
      </w:rPr>
      <w:t xml:space="preserve">Fabian Gutzat </w:t>
    </w:r>
    <w:r w:rsidR="006D5939" w:rsidRPr="00CE224E">
      <w:rPr>
        <w:rFonts w:ascii="Times New Roman" w:hAnsi="Times New Roman"/>
        <w:vertAlign w:val="superscript"/>
      </w:rPr>
      <w:t>1</w:t>
    </w:r>
    <w:r w:rsidR="006D5939">
      <w:rPr>
        <w:rFonts w:ascii="Times New Roman" w:hAnsi="Times New Roman"/>
        <w:vertAlign w:val="superscript"/>
      </w:rPr>
      <w:t xml:space="preserve">, </w:t>
    </w:r>
    <w:r w:rsidRPr="00CE224E">
      <w:rPr>
        <w:rFonts w:ascii="Times New Roman" w:hAnsi="Times New Roman"/>
        <w:vertAlign w:val="superscript"/>
      </w:rPr>
      <w:t>*</w:t>
    </w:r>
    <w:r w:rsidRPr="00CE224E">
      <w:rPr>
        <w:rFonts w:ascii="Times New Roman" w:hAnsi="Times New Roman"/>
      </w:rPr>
      <w:t xml:space="preserve">, Carsten F. Dormann </w:t>
    </w:r>
    <w:r w:rsidRPr="00CE224E">
      <w:rPr>
        <w:rFonts w:ascii="Times New Roman" w:hAnsi="Times New Roman"/>
        <w:vertAlign w:val="superscript"/>
      </w:rPr>
      <w:t>1</w:t>
    </w:r>
  </w:p>
  <w:p w14:paraId="4A191D91" w14:textId="77777777" w:rsidR="00594680" w:rsidRPr="00CE224E" w:rsidRDefault="000C16A2" w:rsidP="000C16A2">
    <w:pPr>
      <w:pStyle w:val="MDPI16affiliation"/>
      <w:jc w:val="center"/>
      <w:rPr>
        <w:rFonts w:ascii="Times New Roman" w:hAnsi="Times New Roman"/>
      </w:rPr>
    </w:pPr>
    <w:r w:rsidRPr="00CE224E">
      <w:rPr>
        <w:rFonts w:ascii="Times New Roman" w:hAnsi="Times New Roman"/>
      </w:rPr>
      <w:t xml:space="preserve">1 Department of Biometry and Environmental System Analysis, </w:t>
    </w:r>
  </w:p>
  <w:p w14:paraId="57BBDC03" w14:textId="7319CA83" w:rsidR="000C16A2" w:rsidRPr="00CE224E" w:rsidRDefault="000C16A2" w:rsidP="000C16A2">
    <w:pPr>
      <w:pStyle w:val="MDPI16affiliation"/>
      <w:jc w:val="center"/>
      <w:rPr>
        <w:rFonts w:ascii="Times New Roman" w:hAnsi="Times New Roman"/>
      </w:rPr>
    </w:pPr>
    <w:r w:rsidRPr="00CE224E">
      <w:rPr>
        <w:rFonts w:ascii="Times New Roman" w:hAnsi="Times New Roman"/>
      </w:rPr>
      <w:t>University of Freiburg,</w:t>
    </w:r>
    <w:r w:rsidR="00594680" w:rsidRPr="00CE224E">
      <w:rPr>
        <w:rFonts w:ascii="Times New Roman" w:hAnsi="Times New Roman"/>
      </w:rPr>
      <w:t xml:space="preserve"> </w:t>
    </w:r>
    <w:r w:rsidRPr="00CE224E">
      <w:rPr>
        <w:rFonts w:ascii="Times New Roman" w:hAnsi="Times New Roman"/>
      </w:rPr>
      <w:t>Tennenbacher Str. 4, 79106 Freiburg, Germany</w:t>
    </w:r>
    <w:r w:rsidR="00594680" w:rsidRPr="00CE224E">
      <w:rPr>
        <w:rFonts w:ascii="Times New Roman" w:hAnsi="Times New Roman"/>
      </w:rPr>
      <w:t>;</w:t>
    </w:r>
  </w:p>
  <w:p w14:paraId="5CF448BD" w14:textId="33E16DAA" w:rsidR="000C16A2" w:rsidRPr="00CE224E" w:rsidRDefault="000C16A2" w:rsidP="000C16A2">
    <w:pPr>
      <w:pStyle w:val="MDPI16affiliation"/>
      <w:jc w:val="center"/>
      <w:rPr>
        <w:rFonts w:ascii="Times New Roman" w:hAnsi="Times New Roman"/>
        <w:color w:val="auto"/>
        <w:lang w:val="de-DE"/>
      </w:rPr>
    </w:pPr>
    <w:r w:rsidRPr="00CE224E">
      <w:rPr>
        <w:rFonts w:ascii="Times New Roman" w:hAnsi="Times New Roman"/>
      </w:rPr>
      <w:t>*Correspondence: fabian.gutzat@gmx.de</w:t>
    </w:r>
  </w:p>
  <w:p w14:paraId="2D40ED1C" w14:textId="77777777" w:rsidR="000C16A2" w:rsidRPr="001E06DB" w:rsidRDefault="000C16A2" w:rsidP="000C16A2">
    <w:pPr>
      <w:pStyle w:val="Kopfzeile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65D02" w14:textId="77777777" w:rsidR="00CE224E" w:rsidRDefault="00CE224E">
    <w:pPr>
      <w:pStyle w:val="Kopfzeile"/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8940F" w14:textId="20E4F27F" w:rsidR="00FF6880" w:rsidRDefault="00FF6880" w:rsidP="00FF6880">
    <w:pPr>
      <w:pStyle w:val="Kopfzeil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178"/>
    <w:rsid w:val="000C16A2"/>
    <w:rsid w:val="00110E44"/>
    <w:rsid w:val="001315D6"/>
    <w:rsid w:val="00140F27"/>
    <w:rsid w:val="0016630E"/>
    <w:rsid w:val="00186C56"/>
    <w:rsid w:val="001E06DB"/>
    <w:rsid w:val="0021795A"/>
    <w:rsid w:val="00287E37"/>
    <w:rsid w:val="00297D1B"/>
    <w:rsid w:val="002C0A95"/>
    <w:rsid w:val="003D36E0"/>
    <w:rsid w:val="003E175B"/>
    <w:rsid w:val="004B54C6"/>
    <w:rsid w:val="00511940"/>
    <w:rsid w:val="00514431"/>
    <w:rsid w:val="0052384F"/>
    <w:rsid w:val="00555DC0"/>
    <w:rsid w:val="00570AE5"/>
    <w:rsid w:val="00594680"/>
    <w:rsid w:val="005947D4"/>
    <w:rsid w:val="00612EAD"/>
    <w:rsid w:val="006754CF"/>
    <w:rsid w:val="006C08CC"/>
    <w:rsid w:val="006C1688"/>
    <w:rsid w:val="006C3FCC"/>
    <w:rsid w:val="006D5939"/>
    <w:rsid w:val="006F2617"/>
    <w:rsid w:val="007C61BC"/>
    <w:rsid w:val="007D60B5"/>
    <w:rsid w:val="009120FC"/>
    <w:rsid w:val="00A17BA4"/>
    <w:rsid w:val="00A34A90"/>
    <w:rsid w:val="00AE5243"/>
    <w:rsid w:val="00B01A31"/>
    <w:rsid w:val="00B63017"/>
    <w:rsid w:val="00BE2178"/>
    <w:rsid w:val="00C15F7F"/>
    <w:rsid w:val="00CC01FB"/>
    <w:rsid w:val="00CC78FF"/>
    <w:rsid w:val="00CE224E"/>
    <w:rsid w:val="00D7096B"/>
    <w:rsid w:val="00E54277"/>
    <w:rsid w:val="00E932F9"/>
    <w:rsid w:val="00FE1B8D"/>
    <w:rsid w:val="00FF607A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FFB91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555DC0"/>
    <w:rPr>
      <w:rFonts w:ascii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E21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B01A31"/>
    <w:pPr>
      <w:tabs>
        <w:tab w:val="center" w:pos="4536"/>
        <w:tab w:val="right" w:pos="9072"/>
      </w:tabs>
    </w:pPr>
    <w:rPr>
      <w:rFonts w:ascii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B01A31"/>
  </w:style>
  <w:style w:type="paragraph" w:styleId="Fuzeile">
    <w:name w:val="footer"/>
    <w:basedOn w:val="Standard"/>
    <w:link w:val="FuzeileZchn"/>
    <w:uiPriority w:val="99"/>
    <w:unhideWhenUsed/>
    <w:rsid w:val="00B01A31"/>
    <w:pPr>
      <w:tabs>
        <w:tab w:val="center" w:pos="4536"/>
        <w:tab w:val="right" w:pos="9072"/>
      </w:tabs>
    </w:pPr>
    <w:rPr>
      <w:rFonts w:ascii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B01A31"/>
  </w:style>
  <w:style w:type="paragraph" w:customStyle="1" w:styleId="p1">
    <w:name w:val="p1"/>
    <w:basedOn w:val="Standard"/>
    <w:rsid w:val="00514431"/>
    <w:rPr>
      <w:sz w:val="18"/>
      <w:szCs w:val="18"/>
    </w:rPr>
  </w:style>
  <w:style w:type="character" w:customStyle="1" w:styleId="apple-tab-span">
    <w:name w:val="apple-tab-span"/>
    <w:basedOn w:val="Absatz-Standardschriftart"/>
    <w:rsid w:val="00514431"/>
  </w:style>
  <w:style w:type="character" w:styleId="Seitenzahl">
    <w:name w:val="page number"/>
    <w:basedOn w:val="Absatz-Standardschriftart"/>
    <w:uiPriority w:val="99"/>
    <w:semiHidden/>
    <w:unhideWhenUsed/>
    <w:rsid w:val="00FF6880"/>
  </w:style>
  <w:style w:type="paragraph" w:customStyle="1" w:styleId="MDPI13authornames">
    <w:name w:val="MDPI_1.3_authornames"/>
    <w:basedOn w:val="Standard"/>
    <w:next w:val="Standard"/>
    <w:qFormat/>
    <w:rsid w:val="000C16A2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Cs w:val="22"/>
      <w:lang w:val="en-US" w:bidi="en-US"/>
    </w:rPr>
  </w:style>
  <w:style w:type="paragraph" w:customStyle="1" w:styleId="MDPI16affiliation">
    <w:name w:val="MDPI_1.6_affiliation"/>
    <w:basedOn w:val="Standard"/>
    <w:qFormat/>
    <w:rsid w:val="000C16A2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8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C0F128-0B40-AE41-8BEE-4443E6B2D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5063</Characters>
  <Application>Microsoft Macintosh Word</Application>
  <DocSecurity>0</DocSecurity>
  <Lines>101</Lines>
  <Paragraphs>38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/>
      <vt:lpstr>Online resource 1: Statement paper</vt:lpstr>
      <vt:lpstr/>
      <vt:lpstr>Preliminary statement about the efficacy of dead-wood retention for biodiversity</vt:lpstr>
      <vt:lpstr/>
      <vt:lpstr/>
      <vt:lpstr/>
      <vt:lpstr>Reference list</vt:lpstr>
      <vt:lpstr/>
    </vt:vector>
  </TitlesOfParts>
  <LinksUpToDate>false</LinksUpToDate>
  <CharactersWithSpaces>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Microsoft Office-Anwender</cp:lastModifiedBy>
  <cp:revision>21</cp:revision>
  <dcterms:created xsi:type="dcterms:W3CDTF">2019-01-08T15:05:00Z</dcterms:created>
  <dcterms:modified xsi:type="dcterms:W3CDTF">2020-04-16T17:18:00Z</dcterms:modified>
</cp:coreProperties>
</file>