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BADA7" w14:textId="28F79FE2" w:rsidR="00136895" w:rsidRPr="00360996" w:rsidRDefault="00774664" w:rsidP="00315330">
      <w:pPr>
        <w:pStyle w:val="Heading1"/>
      </w:pPr>
      <w:r>
        <w:t>Supplementary</w:t>
      </w:r>
      <w:r w:rsidR="00136895">
        <w:t xml:space="preserve"> material </w:t>
      </w:r>
      <w:r>
        <w:t xml:space="preserve">- </w:t>
      </w:r>
      <w:r w:rsidRPr="00774664">
        <w:t xml:space="preserve">Land-use suitability is not an intrinsic property of a </w:t>
      </w:r>
      <w:r w:rsidRPr="00360996">
        <w:t>land parcel.</w:t>
      </w:r>
    </w:p>
    <w:p w14:paraId="56CB31B7" w14:textId="77777777" w:rsidR="00DA5C1A" w:rsidRDefault="009D55FC" w:rsidP="00EE69E3">
      <w:r w:rsidRPr="00360996">
        <w:t>Th</w:t>
      </w:r>
      <w:r w:rsidR="0094301A" w:rsidRPr="00360996">
        <w:t xml:space="preserve">is supplementary material </w:t>
      </w:r>
      <w:r w:rsidRPr="00360996">
        <w:t>contain</w:t>
      </w:r>
      <w:r w:rsidR="0094301A" w:rsidRPr="00360996">
        <w:t>s</w:t>
      </w:r>
      <w:r w:rsidRPr="00360996">
        <w:t xml:space="preserve"> details</w:t>
      </w:r>
      <w:r w:rsidR="00D46C7E">
        <w:t xml:space="preserve"> of </w:t>
      </w:r>
      <w:r w:rsidR="00DA5C1A">
        <w:t xml:space="preserve">some </w:t>
      </w:r>
      <w:r w:rsidR="00D46C7E">
        <w:t>aspects of th</w:t>
      </w:r>
      <w:r w:rsidR="00DA5C1A">
        <w:t>e analyses used to</w:t>
      </w:r>
      <w:r w:rsidRPr="00360996">
        <w:t xml:space="preserve"> </w:t>
      </w:r>
      <w:r w:rsidR="00DA5C1A" w:rsidRPr="00360996">
        <w:t>model the land-water system in the Southland study area</w:t>
      </w:r>
      <w:r w:rsidR="00DA5C1A">
        <w:t>. These aspects include:</w:t>
      </w:r>
    </w:p>
    <w:p w14:paraId="2B845A93" w14:textId="182C6428" w:rsidR="00DA5C1A" w:rsidRDefault="0094301A" w:rsidP="00DA5C1A">
      <w:pPr>
        <w:pStyle w:val="ListParagraph"/>
        <w:numPr>
          <w:ilvl w:val="0"/>
          <w:numId w:val="1"/>
        </w:numPr>
      </w:pPr>
      <w:r w:rsidRPr="00360996">
        <w:t>the</w:t>
      </w:r>
      <w:r w:rsidR="004D7246">
        <w:t xml:space="preserve"> land </w:t>
      </w:r>
      <w:r w:rsidR="0083117E">
        <w:t>cover</w:t>
      </w:r>
      <w:r w:rsidR="004D7246">
        <w:t xml:space="preserve"> categories</w:t>
      </w:r>
      <w:r w:rsidR="00DA5C1A">
        <w:t>,</w:t>
      </w:r>
    </w:p>
    <w:p w14:paraId="5856007F" w14:textId="77777777" w:rsidR="00DA5C1A" w:rsidRDefault="0094301A" w:rsidP="00DA5C1A">
      <w:pPr>
        <w:pStyle w:val="ListParagraph"/>
        <w:numPr>
          <w:ilvl w:val="0"/>
          <w:numId w:val="1"/>
        </w:numPr>
      </w:pPr>
      <w:r w:rsidRPr="00360996">
        <w:t>nutrient criteria</w:t>
      </w:r>
      <w:r w:rsidR="00D457BD" w:rsidRPr="00360996">
        <w:t xml:space="preserve"> </w:t>
      </w:r>
      <w:r w:rsidR="003933FB" w:rsidRPr="003933FB">
        <w:t xml:space="preserve">for rivers </w:t>
      </w:r>
      <w:r w:rsidR="00D46C7E">
        <w:t>and estuaries</w:t>
      </w:r>
      <w:r w:rsidR="00DA5C1A">
        <w:t>,</w:t>
      </w:r>
    </w:p>
    <w:p w14:paraId="66CAE976" w14:textId="2FB028CD" w:rsidR="00EE69E3" w:rsidRDefault="00DA5C1A" w:rsidP="00DA5C1A">
      <w:pPr>
        <w:pStyle w:val="ListParagraph"/>
        <w:numPr>
          <w:ilvl w:val="0"/>
          <w:numId w:val="1"/>
        </w:numPr>
      </w:pPr>
      <w:r>
        <w:t>c</w:t>
      </w:r>
      <w:r w:rsidR="00D46C7E" w:rsidRPr="00D46C7E">
        <w:t>onversion of river nutrient concentration criteria to maximum allowable loads</w:t>
      </w:r>
      <w:r>
        <w:t xml:space="preserve">. </w:t>
      </w:r>
    </w:p>
    <w:p w14:paraId="65DC92B5" w14:textId="77777777" w:rsidR="00EE69E3" w:rsidRDefault="00EE69E3">
      <w:pPr>
        <w:spacing w:after="160" w:line="259" w:lineRule="auto"/>
      </w:pPr>
      <w:r>
        <w:br w:type="page"/>
      </w:r>
    </w:p>
    <w:p w14:paraId="3E6B028A" w14:textId="76634918" w:rsidR="00B92AC1" w:rsidRDefault="00B92AC1" w:rsidP="00B92AC1">
      <w:pPr>
        <w:pStyle w:val="Heading1"/>
      </w:pPr>
      <w:r>
        <w:lastRenderedPageBreak/>
        <w:t xml:space="preserve">Land </w:t>
      </w:r>
      <w:r w:rsidR="008E6ECA">
        <w:t xml:space="preserve">cover </w:t>
      </w:r>
      <w:r>
        <w:t>categories</w:t>
      </w:r>
    </w:p>
    <w:p w14:paraId="7DB6D493" w14:textId="1F9DAD1A" w:rsidR="00B92AC1" w:rsidRPr="00891F77" w:rsidRDefault="0083117E" w:rsidP="00B92AC1">
      <w:pPr>
        <w:rPr>
          <w:b/>
          <w:bCs/>
        </w:rPr>
      </w:pPr>
      <w:r>
        <w:t>L</w:t>
      </w:r>
      <w:r w:rsidR="005D53F2" w:rsidRPr="005D53F2">
        <w:t xml:space="preserve">and was assigned to one of three land cover </w:t>
      </w:r>
      <w:r w:rsidR="009A753F">
        <w:t>categories</w:t>
      </w:r>
      <w:r w:rsidR="009A753F" w:rsidRPr="005D53F2">
        <w:t xml:space="preserve"> </w:t>
      </w:r>
      <w:r w:rsidR="005D53F2" w:rsidRPr="005D53F2">
        <w:t xml:space="preserve">(agricultural, </w:t>
      </w:r>
      <w:proofErr w:type="gramStart"/>
      <w:r w:rsidR="005D53F2" w:rsidRPr="005D53F2">
        <w:t>urban</w:t>
      </w:r>
      <w:proofErr w:type="gramEnd"/>
      <w:r w:rsidR="005D53F2" w:rsidRPr="005D53F2">
        <w:t xml:space="preserve"> and natural) </w:t>
      </w:r>
      <w:r w:rsidR="00C1674C">
        <w:t xml:space="preserve">based on </w:t>
      </w:r>
      <w:r w:rsidR="004F4059">
        <w:t xml:space="preserve">a </w:t>
      </w:r>
      <w:bookmarkStart w:id="0" w:name="_Hlk114066324"/>
      <w:r w:rsidR="004F4059">
        <w:t xml:space="preserve">reclassification of classes </w:t>
      </w:r>
      <w:bookmarkEnd w:id="0"/>
      <w:r w:rsidR="004F4059">
        <w:t xml:space="preserve">defined by </w:t>
      </w:r>
      <w:r w:rsidR="005D53F2" w:rsidRPr="005D53F2">
        <w:t>the national land cover database version 4 (LCDB4; lris.scinfo.org.nz)</w:t>
      </w:r>
      <w:r w:rsidR="004F4059">
        <w:t>. LCDB4</w:t>
      </w:r>
      <w:r w:rsidR="005D53F2" w:rsidRPr="005D53F2">
        <w:t xml:space="preserve"> differentiates 33 land-cover categories based on the </w:t>
      </w:r>
      <w:r w:rsidR="00DB038F" w:rsidRPr="00A773C9">
        <w:rPr>
          <w:szCs w:val="24"/>
        </w:rPr>
        <w:t xml:space="preserve">Satellite Pour </w:t>
      </w:r>
      <w:proofErr w:type="spellStart"/>
      <w:r w:rsidR="00DB038F" w:rsidRPr="00A773C9">
        <w:rPr>
          <w:szCs w:val="24"/>
        </w:rPr>
        <w:t>l'Observation</w:t>
      </w:r>
      <w:proofErr w:type="spellEnd"/>
      <w:r w:rsidR="00DB038F" w:rsidRPr="00A773C9">
        <w:rPr>
          <w:szCs w:val="24"/>
        </w:rPr>
        <w:t xml:space="preserve"> de la Terre (SPOT-</w:t>
      </w:r>
      <w:r w:rsidR="00DB038F">
        <w:rPr>
          <w:szCs w:val="24"/>
        </w:rPr>
        <w:t>5)</w:t>
      </w:r>
      <w:r w:rsidR="00DB038F" w:rsidRPr="00A773C9">
        <w:rPr>
          <w:szCs w:val="24"/>
        </w:rPr>
        <w:t xml:space="preserve"> </w:t>
      </w:r>
      <w:r w:rsidR="00DB038F" w:rsidRPr="004E2189">
        <w:rPr>
          <w:szCs w:val="24"/>
        </w:rPr>
        <w:t>imagery from 2012</w:t>
      </w:r>
      <w:r w:rsidR="005D53F2" w:rsidRPr="005D53F2">
        <w:t>.</w:t>
      </w:r>
      <w:r w:rsidR="006311EA">
        <w:t xml:space="preserve"> The reclassification of the LCDB4 classes into the land cover </w:t>
      </w:r>
      <w:r w:rsidR="009A753F">
        <w:t xml:space="preserve">categories </w:t>
      </w:r>
      <w:r w:rsidR="006311EA">
        <w:t>used by this study is shown in Table 1.</w:t>
      </w:r>
      <w:r w:rsidR="00952984">
        <w:t xml:space="preserve"> </w:t>
      </w:r>
      <w:r w:rsidR="0080519B">
        <w:t xml:space="preserve">Note that land that is </w:t>
      </w:r>
      <w:r w:rsidR="009A753F">
        <w:t xml:space="preserve">categorized </w:t>
      </w:r>
      <w:r w:rsidR="00EB2DCE">
        <w:t xml:space="preserve">as Agricultural is further classified into </w:t>
      </w:r>
      <w:r w:rsidR="00BB4204">
        <w:t xml:space="preserve">farm types </w:t>
      </w:r>
      <w:r w:rsidR="00BB4204" w:rsidRPr="004E2189">
        <w:rPr>
          <w:szCs w:val="24"/>
        </w:rPr>
        <w:t>based on combinations of four factors: enterprise type (dairy, sheep and beef, forestry); 2) land-use intensity level (high, medium, low); 3) land-use capability (LUC) category (1 - 8); and 4) drainage type (well drained, poorly drained).</w:t>
      </w:r>
    </w:p>
    <w:p w14:paraId="42818261" w14:textId="168D4A99" w:rsidR="00C26AF9" w:rsidRPr="00EE69E3" w:rsidRDefault="00A24238" w:rsidP="00EE69E3">
      <w:pPr>
        <w:pStyle w:val="Caption"/>
        <w:rPr>
          <w:color w:val="auto"/>
          <w:sz w:val="22"/>
          <w:szCs w:val="22"/>
        </w:rPr>
      </w:pPr>
      <w:r w:rsidRPr="00EE69E3">
        <w:rPr>
          <w:color w:val="auto"/>
          <w:sz w:val="22"/>
          <w:szCs w:val="22"/>
        </w:rPr>
        <w:t xml:space="preserve">Table </w:t>
      </w:r>
      <w:r w:rsidRPr="00EE69E3">
        <w:rPr>
          <w:color w:val="auto"/>
          <w:sz w:val="22"/>
          <w:szCs w:val="22"/>
        </w:rPr>
        <w:fldChar w:fldCharType="begin"/>
      </w:r>
      <w:r w:rsidRPr="00EE69E3">
        <w:rPr>
          <w:color w:val="auto"/>
          <w:sz w:val="22"/>
          <w:szCs w:val="22"/>
        </w:rPr>
        <w:instrText xml:space="preserve"> SEQ Table \* ARABIC </w:instrText>
      </w:r>
      <w:r w:rsidRPr="00EE69E3">
        <w:rPr>
          <w:color w:val="auto"/>
          <w:sz w:val="22"/>
          <w:szCs w:val="22"/>
        </w:rPr>
        <w:fldChar w:fldCharType="separate"/>
      </w:r>
      <w:r w:rsidRPr="00EE69E3">
        <w:rPr>
          <w:noProof/>
          <w:color w:val="auto"/>
          <w:sz w:val="22"/>
          <w:szCs w:val="22"/>
        </w:rPr>
        <w:t>1</w:t>
      </w:r>
      <w:r w:rsidRPr="00EE69E3">
        <w:rPr>
          <w:color w:val="auto"/>
          <w:sz w:val="22"/>
          <w:szCs w:val="22"/>
        </w:rPr>
        <w:fldChar w:fldCharType="end"/>
      </w:r>
      <w:r w:rsidR="00DB038F" w:rsidRPr="00EE69E3">
        <w:rPr>
          <w:color w:val="auto"/>
          <w:sz w:val="22"/>
          <w:szCs w:val="22"/>
        </w:rPr>
        <w:t xml:space="preserve">. </w:t>
      </w:r>
      <w:r w:rsidR="00545D49" w:rsidRPr="00EE69E3">
        <w:rPr>
          <w:color w:val="auto"/>
          <w:sz w:val="22"/>
          <w:szCs w:val="22"/>
        </w:rPr>
        <w:t>R</w:t>
      </w:r>
      <w:r w:rsidR="00DB038F" w:rsidRPr="00EE69E3">
        <w:rPr>
          <w:color w:val="auto"/>
          <w:sz w:val="22"/>
          <w:szCs w:val="22"/>
        </w:rPr>
        <w:t xml:space="preserve">eclassification of </w:t>
      </w:r>
      <w:r w:rsidR="00545D49" w:rsidRPr="00EE69E3">
        <w:rPr>
          <w:color w:val="auto"/>
          <w:sz w:val="22"/>
          <w:szCs w:val="22"/>
        </w:rPr>
        <w:t>the 33</w:t>
      </w:r>
      <w:r w:rsidR="0025221D" w:rsidRPr="00EE69E3">
        <w:rPr>
          <w:color w:val="auto"/>
          <w:sz w:val="22"/>
          <w:szCs w:val="22"/>
        </w:rPr>
        <w:t xml:space="preserve"> </w:t>
      </w:r>
      <w:r w:rsidR="00DB038F" w:rsidRPr="00EE69E3">
        <w:rPr>
          <w:color w:val="auto"/>
          <w:sz w:val="22"/>
          <w:szCs w:val="22"/>
        </w:rPr>
        <w:t xml:space="preserve">LCDB4 classes </w:t>
      </w:r>
      <w:r w:rsidR="00545D49" w:rsidRPr="00EE69E3">
        <w:rPr>
          <w:color w:val="auto"/>
          <w:sz w:val="22"/>
          <w:szCs w:val="22"/>
        </w:rPr>
        <w:t xml:space="preserve">into land </w:t>
      </w:r>
      <w:r w:rsidR="0025221D" w:rsidRPr="00EE69E3">
        <w:rPr>
          <w:color w:val="auto"/>
          <w:sz w:val="22"/>
          <w:szCs w:val="22"/>
        </w:rPr>
        <w:t>cover types used by this study</w:t>
      </w:r>
    </w:p>
    <w:tbl>
      <w:tblPr>
        <w:tblStyle w:val="TableGrid"/>
        <w:tblW w:w="0" w:type="auto"/>
        <w:tblLook w:val="04A0" w:firstRow="1" w:lastRow="0" w:firstColumn="1" w:lastColumn="0" w:noHBand="0" w:noVBand="1"/>
      </w:tblPr>
      <w:tblGrid>
        <w:gridCol w:w="2254"/>
        <w:gridCol w:w="1285"/>
        <w:gridCol w:w="3223"/>
        <w:gridCol w:w="2254"/>
      </w:tblGrid>
      <w:tr w:rsidR="00A24238" w:rsidRPr="00C1674C" w14:paraId="108EE22E" w14:textId="77777777" w:rsidTr="00EE69E3">
        <w:tc>
          <w:tcPr>
            <w:tcW w:w="2254" w:type="dxa"/>
          </w:tcPr>
          <w:p w14:paraId="3BD7BB1B" w14:textId="1D7DC591" w:rsidR="00A24238" w:rsidRPr="00EE69E3" w:rsidRDefault="00A24238" w:rsidP="00C1674C">
            <w:pPr>
              <w:spacing w:after="0" w:line="240" w:lineRule="auto"/>
              <w:rPr>
                <w:rFonts w:ascii="Arial" w:hAnsi="Arial" w:cs="Arial"/>
                <w:b/>
                <w:bCs/>
                <w:sz w:val="20"/>
              </w:rPr>
            </w:pPr>
            <w:r w:rsidRPr="00EE69E3">
              <w:rPr>
                <w:rFonts w:ascii="Arial" w:hAnsi="Arial" w:cs="Arial"/>
                <w:b/>
                <w:bCs/>
                <w:sz w:val="20"/>
              </w:rPr>
              <w:t>Land Cover Group</w:t>
            </w:r>
          </w:p>
        </w:tc>
        <w:tc>
          <w:tcPr>
            <w:tcW w:w="1285" w:type="dxa"/>
          </w:tcPr>
          <w:p w14:paraId="5E31C2AA" w14:textId="0479C172" w:rsidR="00A24238" w:rsidRPr="00EE69E3" w:rsidRDefault="00A24238" w:rsidP="00C1674C">
            <w:pPr>
              <w:spacing w:after="0" w:line="240" w:lineRule="auto"/>
              <w:rPr>
                <w:rFonts w:ascii="Arial" w:hAnsi="Arial" w:cs="Arial"/>
                <w:b/>
                <w:bCs/>
                <w:sz w:val="20"/>
              </w:rPr>
            </w:pPr>
            <w:r w:rsidRPr="00EE69E3">
              <w:rPr>
                <w:rFonts w:ascii="Arial" w:hAnsi="Arial" w:cs="Arial"/>
                <w:b/>
                <w:bCs/>
                <w:sz w:val="20"/>
              </w:rPr>
              <w:t xml:space="preserve">LCDB4 </w:t>
            </w:r>
            <w:r w:rsidRPr="00EE69E3">
              <w:rPr>
                <w:rFonts w:ascii="Arial" w:hAnsi="Arial" w:cs="Arial"/>
                <w:b/>
                <w:bCs/>
                <w:sz w:val="20"/>
                <w:szCs w:val="22"/>
              </w:rPr>
              <w:t>class</w:t>
            </w:r>
          </w:p>
        </w:tc>
        <w:tc>
          <w:tcPr>
            <w:tcW w:w="3223" w:type="dxa"/>
          </w:tcPr>
          <w:p w14:paraId="3605D504" w14:textId="3034B13F" w:rsidR="00A24238" w:rsidRPr="00EE69E3" w:rsidRDefault="00A24238" w:rsidP="00C1674C">
            <w:pPr>
              <w:spacing w:after="0" w:line="240" w:lineRule="auto"/>
              <w:rPr>
                <w:rFonts w:ascii="Arial" w:hAnsi="Arial" w:cs="Arial"/>
                <w:b/>
                <w:bCs/>
                <w:sz w:val="20"/>
              </w:rPr>
            </w:pPr>
            <w:r w:rsidRPr="00EE69E3">
              <w:rPr>
                <w:rFonts w:ascii="Arial" w:hAnsi="Arial" w:cs="Arial"/>
                <w:b/>
                <w:bCs/>
                <w:sz w:val="20"/>
              </w:rPr>
              <w:t xml:space="preserve">Class Name </w:t>
            </w:r>
          </w:p>
        </w:tc>
        <w:tc>
          <w:tcPr>
            <w:tcW w:w="2254" w:type="dxa"/>
          </w:tcPr>
          <w:p w14:paraId="18C9CB74" w14:textId="7F068D6B" w:rsidR="00A24238" w:rsidRPr="00EE69E3" w:rsidRDefault="00A24238" w:rsidP="00EE69E3">
            <w:pPr>
              <w:spacing w:after="0" w:line="240" w:lineRule="auto"/>
              <w:jc w:val="center"/>
              <w:rPr>
                <w:rFonts w:ascii="Arial" w:hAnsi="Arial" w:cs="Arial"/>
                <w:b/>
                <w:bCs/>
                <w:sz w:val="20"/>
              </w:rPr>
            </w:pPr>
            <w:r w:rsidRPr="00EE69E3">
              <w:rPr>
                <w:rFonts w:ascii="Arial" w:hAnsi="Arial" w:cs="Arial"/>
                <w:b/>
                <w:bCs/>
                <w:sz w:val="20"/>
              </w:rPr>
              <w:t>Land cover</w:t>
            </w:r>
            <w:r w:rsidR="009A753F">
              <w:rPr>
                <w:rFonts w:ascii="Arial" w:hAnsi="Arial" w:cs="Arial"/>
                <w:b/>
                <w:bCs/>
                <w:sz w:val="20"/>
              </w:rPr>
              <w:t xml:space="preserve"> category</w:t>
            </w:r>
            <w:r w:rsidRPr="00EE69E3">
              <w:rPr>
                <w:rFonts w:ascii="Arial" w:hAnsi="Arial" w:cs="Arial"/>
                <w:b/>
                <w:bCs/>
                <w:sz w:val="20"/>
              </w:rPr>
              <w:t>:</w:t>
            </w:r>
            <w:r w:rsidR="00E96D9C">
              <w:rPr>
                <w:rFonts w:ascii="Arial" w:hAnsi="Arial" w:cs="Arial"/>
                <w:b/>
                <w:bCs/>
                <w:sz w:val="20"/>
              </w:rPr>
              <w:t xml:space="preserve"> </w:t>
            </w:r>
            <w:r w:rsidRPr="00EE69E3">
              <w:rPr>
                <w:rFonts w:ascii="Arial" w:hAnsi="Arial" w:cs="Arial"/>
                <w:b/>
                <w:bCs/>
                <w:sz w:val="20"/>
              </w:rPr>
              <w:t>this study</w:t>
            </w:r>
          </w:p>
        </w:tc>
      </w:tr>
      <w:tr w:rsidR="00A24238" w:rsidRPr="00C1674C" w14:paraId="676F0136" w14:textId="77777777" w:rsidTr="00595AA5">
        <w:tc>
          <w:tcPr>
            <w:tcW w:w="2254" w:type="dxa"/>
            <w:vMerge w:val="restart"/>
          </w:tcPr>
          <w:p w14:paraId="5487CBA9" w14:textId="678BFE33" w:rsidR="00A24238" w:rsidRPr="00EE69E3" w:rsidRDefault="00A24238" w:rsidP="00C1674C">
            <w:pPr>
              <w:spacing w:after="0" w:line="240" w:lineRule="auto"/>
              <w:rPr>
                <w:rFonts w:ascii="Arial" w:hAnsi="Arial" w:cs="Arial"/>
                <w:sz w:val="20"/>
              </w:rPr>
            </w:pPr>
            <w:r w:rsidRPr="00EE69E3">
              <w:rPr>
                <w:rFonts w:ascii="Arial" w:hAnsi="Arial" w:cs="Arial"/>
                <w:sz w:val="20"/>
              </w:rPr>
              <w:t>Artificial Surfaces</w:t>
            </w:r>
          </w:p>
        </w:tc>
        <w:tc>
          <w:tcPr>
            <w:tcW w:w="1285" w:type="dxa"/>
          </w:tcPr>
          <w:p w14:paraId="789D0123" w14:textId="696CF97C" w:rsidR="00A24238" w:rsidRPr="00EE69E3" w:rsidRDefault="00A24238" w:rsidP="00C1674C">
            <w:pPr>
              <w:spacing w:after="0" w:line="240" w:lineRule="auto"/>
              <w:rPr>
                <w:rFonts w:ascii="Arial" w:hAnsi="Arial" w:cs="Arial"/>
                <w:sz w:val="20"/>
              </w:rPr>
            </w:pPr>
            <w:r w:rsidRPr="00EE69E3">
              <w:rPr>
                <w:rFonts w:ascii="Arial" w:hAnsi="Arial" w:cs="Arial"/>
                <w:sz w:val="20"/>
              </w:rPr>
              <w:t>1</w:t>
            </w:r>
          </w:p>
        </w:tc>
        <w:tc>
          <w:tcPr>
            <w:tcW w:w="3223" w:type="dxa"/>
          </w:tcPr>
          <w:p w14:paraId="3A418763" w14:textId="14AC0049" w:rsidR="00A24238" w:rsidRPr="00EE69E3" w:rsidRDefault="00A24238" w:rsidP="00C1674C">
            <w:pPr>
              <w:spacing w:after="0" w:line="240" w:lineRule="auto"/>
              <w:rPr>
                <w:rFonts w:ascii="Arial" w:hAnsi="Arial" w:cs="Arial"/>
                <w:sz w:val="20"/>
              </w:rPr>
            </w:pPr>
            <w:r w:rsidRPr="00EE69E3">
              <w:rPr>
                <w:rFonts w:ascii="Arial" w:hAnsi="Arial" w:cs="Arial"/>
                <w:sz w:val="20"/>
              </w:rPr>
              <w:t>Built-up Area (settlement)</w:t>
            </w:r>
          </w:p>
        </w:tc>
        <w:tc>
          <w:tcPr>
            <w:tcW w:w="2254" w:type="dxa"/>
          </w:tcPr>
          <w:p w14:paraId="7EF3BB8D" w14:textId="2593BC20"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Urban</w:t>
            </w:r>
          </w:p>
        </w:tc>
      </w:tr>
      <w:tr w:rsidR="00A24238" w:rsidRPr="00C1674C" w14:paraId="1D4007C8" w14:textId="77777777" w:rsidTr="00595AA5">
        <w:tc>
          <w:tcPr>
            <w:tcW w:w="2254" w:type="dxa"/>
            <w:vMerge/>
          </w:tcPr>
          <w:p w14:paraId="288E7186" w14:textId="243BF23A" w:rsidR="00A24238" w:rsidRPr="00EE69E3" w:rsidRDefault="00A24238" w:rsidP="00C1674C">
            <w:pPr>
              <w:spacing w:after="0" w:line="240" w:lineRule="auto"/>
              <w:rPr>
                <w:rFonts w:ascii="Arial" w:hAnsi="Arial" w:cs="Arial"/>
                <w:sz w:val="20"/>
              </w:rPr>
            </w:pPr>
          </w:p>
        </w:tc>
        <w:tc>
          <w:tcPr>
            <w:tcW w:w="1285" w:type="dxa"/>
          </w:tcPr>
          <w:p w14:paraId="7BA5F3A6" w14:textId="61A5C3E1" w:rsidR="00A24238" w:rsidRPr="00EE69E3" w:rsidRDefault="00A24238" w:rsidP="00C1674C">
            <w:pPr>
              <w:spacing w:after="0" w:line="240" w:lineRule="auto"/>
              <w:rPr>
                <w:rFonts w:ascii="Arial" w:hAnsi="Arial" w:cs="Arial"/>
                <w:sz w:val="20"/>
              </w:rPr>
            </w:pPr>
            <w:r w:rsidRPr="00EE69E3">
              <w:rPr>
                <w:rFonts w:ascii="Arial" w:hAnsi="Arial" w:cs="Arial"/>
                <w:sz w:val="20"/>
              </w:rPr>
              <w:t>2</w:t>
            </w:r>
          </w:p>
        </w:tc>
        <w:tc>
          <w:tcPr>
            <w:tcW w:w="3223" w:type="dxa"/>
          </w:tcPr>
          <w:p w14:paraId="28811C92" w14:textId="2F5888DF" w:rsidR="00A24238" w:rsidRPr="00EE69E3" w:rsidRDefault="00A24238" w:rsidP="00C1674C">
            <w:pPr>
              <w:spacing w:after="0" w:line="240" w:lineRule="auto"/>
              <w:rPr>
                <w:rFonts w:ascii="Arial" w:hAnsi="Arial" w:cs="Arial"/>
                <w:sz w:val="20"/>
              </w:rPr>
            </w:pPr>
            <w:r w:rsidRPr="00EE69E3">
              <w:rPr>
                <w:rFonts w:ascii="Arial" w:hAnsi="Arial" w:cs="Arial"/>
                <w:sz w:val="20"/>
              </w:rPr>
              <w:t>Urban Parkland/Open Space</w:t>
            </w:r>
          </w:p>
        </w:tc>
        <w:tc>
          <w:tcPr>
            <w:tcW w:w="2254" w:type="dxa"/>
          </w:tcPr>
          <w:p w14:paraId="7C31CADA" w14:textId="7287AFB2"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Urban</w:t>
            </w:r>
          </w:p>
        </w:tc>
      </w:tr>
      <w:tr w:rsidR="00A24238" w:rsidRPr="00C1674C" w14:paraId="46DDAA74" w14:textId="77777777" w:rsidTr="00595AA5">
        <w:tc>
          <w:tcPr>
            <w:tcW w:w="2254" w:type="dxa"/>
            <w:vMerge/>
          </w:tcPr>
          <w:p w14:paraId="3C773D6D" w14:textId="726A8508" w:rsidR="00A24238" w:rsidRPr="00EE69E3" w:rsidRDefault="00A24238" w:rsidP="00C1674C">
            <w:pPr>
              <w:spacing w:after="0" w:line="240" w:lineRule="auto"/>
              <w:rPr>
                <w:rFonts w:ascii="Arial" w:hAnsi="Arial" w:cs="Arial"/>
                <w:sz w:val="20"/>
              </w:rPr>
            </w:pPr>
          </w:p>
        </w:tc>
        <w:tc>
          <w:tcPr>
            <w:tcW w:w="1285" w:type="dxa"/>
          </w:tcPr>
          <w:p w14:paraId="457C5A29" w14:textId="0411EDE3" w:rsidR="00A24238" w:rsidRPr="00EE69E3" w:rsidRDefault="00A24238" w:rsidP="00C1674C">
            <w:pPr>
              <w:spacing w:after="0" w:line="240" w:lineRule="auto"/>
              <w:rPr>
                <w:rFonts w:ascii="Arial" w:hAnsi="Arial" w:cs="Arial"/>
                <w:sz w:val="20"/>
              </w:rPr>
            </w:pPr>
            <w:r w:rsidRPr="00EE69E3">
              <w:rPr>
                <w:rFonts w:ascii="Arial" w:hAnsi="Arial" w:cs="Arial"/>
                <w:sz w:val="20"/>
              </w:rPr>
              <w:t>5</w:t>
            </w:r>
          </w:p>
        </w:tc>
        <w:tc>
          <w:tcPr>
            <w:tcW w:w="3223" w:type="dxa"/>
          </w:tcPr>
          <w:p w14:paraId="4E9BAF62" w14:textId="3EDFD390" w:rsidR="00A24238" w:rsidRPr="00EE69E3" w:rsidRDefault="00A24238" w:rsidP="00C1674C">
            <w:pPr>
              <w:spacing w:after="0" w:line="240" w:lineRule="auto"/>
              <w:rPr>
                <w:rFonts w:ascii="Arial" w:hAnsi="Arial" w:cs="Arial"/>
                <w:sz w:val="20"/>
              </w:rPr>
            </w:pPr>
            <w:r w:rsidRPr="00EE69E3">
              <w:rPr>
                <w:rFonts w:ascii="Arial" w:hAnsi="Arial" w:cs="Arial"/>
                <w:sz w:val="20"/>
              </w:rPr>
              <w:t>Transport Infrastructure</w:t>
            </w:r>
          </w:p>
        </w:tc>
        <w:tc>
          <w:tcPr>
            <w:tcW w:w="2254" w:type="dxa"/>
          </w:tcPr>
          <w:p w14:paraId="45A4304C" w14:textId="2BC41AB3"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Urban</w:t>
            </w:r>
          </w:p>
        </w:tc>
      </w:tr>
      <w:tr w:rsidR="00A24238" w:rsidRPr="00C1674C" w14:paraId="0B258837" w14:textId="77777777" w:rsidTr="00595AA5">
        <w:tc>
          <w:tcPr>
            <w:tcW w:w="2254" w:type="dxa"/>
            <w:vMerge/>
          </w:tcPr>
          <w:p w14:paraId="40E0EB9F" w14:textId="2A2988CC" w:rsidR="00A24238" w:rsidRPr="00EE69E3" w:rsidRDefault="00A24238" w:rsidP="00C1674C">
            <w:pPr>
              <w:spacing w:after="0" w:line="240" w:lineRule="auto"/>
              <w:rPr>
                <w:rFonts w:ascii="Arial" w:hAnsi="Arial" w:cs="Arial"/>
                <w:sz w:val="20"/>
              </w:rPr>
            </w:pPr>
          </w:p>
        </w:tc>
        <w:tc>
          <w:tcPr>
            <w:tcW w:w="1285" w:type="dxa"/>
          </w:tcPr>
          <w:p w14:paraId="0FBC178B" w14:textId="61DA8F67" w:rsidR="00A24238" w:rsidRPr="00EE69E3" w:rsidRDefault="00A24238" w:rsidP="00C1674C">
            <w:pPr>
              <w:spacing w:after="0" w:line="240" w:lineRule="auto"/>
              <w:rPr>
                <w:rFonts w:ascii="Arial" w:hAnsi="Arial" w:cs="Arial"/>
                <w:sz w:val="20"/>
              </w:rPr>
            </w:pPr>
            <w:r w:rsidRPr="00EE69E3">
              <w:rPr>
                <w:rFonts w:ascii="Arial" w:hAnsi="Arial" w:cs="Arial"/>
                <w:sz w:val="20"/>
              </w:rPr>
              <w:t>6</w:t>
            </w:r>
          </w:p>
        </w:tc>
        <w:tc>
          <w:tcPr>
            <w:tcW w:w="3223" w:type="dxa"/>
          </w:tcPr>
          <w:p w14:paraId="3DDFEEBC" w14:textId="18BC4C5F" w:rsidR="00A24238" w:rsidRPr="00EE69E3" w:rsidRDefault="00A24238" w:rsidP="00C1674C">
            <w:pPr>
              <w:spacing w:after="0" w:line="240" w:lineRule="auto"/>
              <w:rPr>
                <w:rFonts w:ascii="Arial" w:hAnsi="Arial" w:cs="Arial"/>
                <w:sz w:val="20"/>
              </w:rPr>
            </w:pPr>
            <w:r w:rsidRPr="00EE69E3">
              <w:rPr>
                <w:rFonts w:ascii="Arial" w:hAnsi="Arial" w:cs="Arial"/>
                <w:sz w:val="20"/>
              </w:rPr>
              <w:t>Surface Mine or Dump</w:t>
            </w:r>
          </w:p>
        </w:tc>
        <w:tc>
          <w:tcPr>
            <w:tcW w:w="2254" w:type="dxa"/>
          </w:tcPr>
          <w:p w14:paraId="52D687D3" w14:textId="0ACA85D9"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Urban</w:t>
            </w:r>
          </w:p>
        </w:tc>
      </w:tr>
      <w:tr w:rsidR="00A24238" w:rsidRPr="00C1674C" w14:paraId="6A788FB4" w14:textId="77777777" w:rsidTr="00044516">
        <w:tc>
          <w:tcPr>
            <w:tcW w:w="2254" w:type="dxa"/>
            <w:vMerge w:val="restart"/>
          </w:tcPr>
          <w:p w14:paraId="39E7624C" w14:textId="2006660A" w:rsidR="00A24238" w:rsidRPr="00EE69E3" w:rsidRDefault="00A24238" w:rsidP="00C1674C">
            <w:pPr>
              <w:spacing w:after="0" w:line="240" w:lineRule="auto"/>
              <w:rPr>
                <w:rFonts w:ascii="Arial" w:hAnsi="Arial" w:cs="Arial"/>
                <w:sz w:val="20"/>
              </w:rPr>
            </w:pPr>
            <w:r w:rsidRPr="00EE69E3">
              <w:rPr>
                <w:rFonts w:ascii="Arial" w:hAnsi="Arial" w:cs="Arial"/>
                <w:sz w:val="20"/>
              </w:rPr>
              <w:t xml:space="preserve">Bare or </w:t>
            </w:r>
            <w:proofErr w:type="gramStart"/>
            <w:r w:rsidRPr="00EE69E3">
              <w:rPr>
                <w:rFonts w:ascii="Arial" w:hAnsi="Arial" w:cs="Arial"/>
                <w:sz w:val="20"/>
                <w:szCs w:val="22"/>
              </w:rPr>
              <w:t>l</w:t>
            </w:r>
            <w:r w:rsidRPr="00EE69E3">
              <w:rPr>
                <w:rFonts w:ascii="Arial" w:hAnsi="Arial" w:cs="Arial"/>
                <w:sz w:val="20"/>
              </w:rPr>
              <w:t>ightly-vegetated</w:t>
            </w:r>
            <w:proofErr w:type="gramEnd"/>
            <w:r w:rsidRPr="00EE69E3">
              <w:rPr>
                <w:rFonts w:ascii="Arial" w:hAnsi="Arial" w:cs="Arial"/>
                <w:sz w:val="20"/>
              </w:rPr>
              <w:t xml:space="preserve"> Surfaces</w:t>
            </w:r>
          </w:p>
        </w:tc>
        <w:tc>
          <w:tcPr>
            <w:tcW w:w="1285" w:type="dxa"/>
          </w:tcPr>
          <w:p w14:paraId="7CB2DFE9" w14:textId="686B547B" w:rsidR="00A24238" w:rsidRPr="00EE69E3" w:rsidRDefault="00A24238" w:rsidP="00C1674C">
            <w:pPr>
              <w:spacing w:after="0" w:line="240" w:lineRule="auto"/>
              <w:rPr>
                <w:rFonts w:ascii="Arial" w:hAnsi="Arial" w:cs="Arial"/>
                <w:sz w:val="20"/>
              </w:rPr>
            </w:pPr>
            <w:r w:rsidRPr="00EE69E3">
              <w:rPr>
                <w:rFonts w:ascii="Arial" w:hAnsi="Arial" w:cs="Arial"/>
                <w:sz w:val="20"/>
              </w:rPr>
              <w:t>10</w:t>
            </w:r>
          </w:p>
        </w:tc>
        <w:tc>
          <w:tcPr>
            <w:tcW w:w="3223" w:type="dxa"/>
          </w:tcPr>
          <w:p w14:paraId="7544F9D5" w14:textId="7894EEE9" w:rsidR="00A24238" w:rsidRPr="00EE69E3" w:rsidRDefault="00A24238" w:rsidP="00C1674C">
            <w:pPr>
              <w:spacing w:after="0" w:line="240" w:lineRule="auto"/>
              <w:rPr>
                <w:rFonts w:ascii="Arial" w:hAnsi="Arial" w:cs="Arial"/>
                <w:sz w:val="20"/>
              </w:rPr>
            </w:pPr>
            <w:r w:rsidRPr="00EE69E3">
              <w:rPr>
                <w:rFonts w:ascii="Arial" w:hAnsi="Arial" w:cs="Arial"/>
                <w:sz w:val="20"/>
              </w:rPr>
              <w:t>Sand or Gravel</w:t>
            </w:r>
          </w:p>
        </w:tc>
        <w:tc>
          <w:tcPr>
            <w:tcW w:w="2254" w:type="dxa"/>
          </w:tcPr>
          <w:p w14:paraId="72315AE2" w14:textId="049E66FF"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Natural</w:t>
            </w:r>
          </w:p>
        </w:tc>
      </w:tr>
      <w:tr w:rsidR="00A24238" w:rsidRPr="00C1674C" w14:paraId="1F659556" w14:textId="77777777" w:rsidTr="00044516">
        <w:tc>
          <w:tcPr>
            <w:tcW w:w="2254" w:type="dxa"/>
            <w:vMerge/>
          </w:tcPr>
          <w:p w14:paraId="2E2DD31E" w14:textId="77777777" w:rsidR="00A24238" w:rsidRPr="00EE69E3" w:rsidRDefault="00A24238" w:rsidP="00C1674C">
            <w:pPr>
              <w:spacing w:after="0" w:line="240" w:lineRule="auto"/>
              <w:rPr>
                <w:rFonts w:ascii="Arial" w:hAnsi="Arial" w:cs="Arial"/>
                <w:sz w:val="20"/>
              </w:rPr>
            </w:pPr>
          </w:p>
        </w:tc>
        <w:tc>
          <w:tcPr>
            <w:tcW w:w="1285" w:type="dxa"/>
          </w:tcPr>
          <w:p w14:paraId="2F0900DD" w14:textId="4BE1EBF9" w:rsidR="00A24238" w:rsidRPr="00EE69E3" w:rsidRDefault="00A24238" w:rsidP="00C1674C">
            <w:pPr>
              <w:spacing w:after="0" w:line="240" w:lineRule="auto"/>
              <w:rPr>
                <w:rFonts w:ascii="Arial" w:hAnsi="Arial" w:cs="Arial"/>
                <w:sz w:val="20"/>
              </w:rPr>
            </w:pPr>
            <w:r w:rsidRPr="00EE69E3">
              <w:rPr>
                <w:rFonts w:ascii="Arial" w:hAnsi="Arial" w:cs="Arial"/>
                <w:sz w:val="20"/>
              </w:rPr>
              <w:t>12</w:t>
            </w:r>
          </w:p>
        </w:tc>
        <w:tc>
          <w:tcPr>
            <w:tcW w:w="3223" w:type="dxa"/>
          </w:tcPr>
          <w:p w14:paraId="0772E565" w14:textId="35269729" w:rsidR="00A24238" w:rsidRPr="00EE69E3" w:rsidRDefault="00A24238" w:rsidP="00C1674C">
            <w:pPr>
              <w:spacing w:after="0" w:line="240" w:lineRule="auto"/>
              <w:rPr>
                <w:rFonts w:ascii="Arial" w:hAnsi="Arial" w:cs="Arial"/>
                <w:sz w:val="20"/>
              </w:rPr>
            </w:pPr>
            <w:r w:rsidRPr="00EE69E3">
              <w:rPr>
                <w:rFonts w:ascii="Arial" w:hAnsi="Arial" w:cs="Arial"/>
                <w:sz w:val="20"/>
              </w:rPr>
              <w:t>Landslide</w:t>
            </w:r>
          </w:p>
        </w:tc>
        <w:tc>
          <w:tcPr>
            <w:tcW w:w="2254" w:type="dxa"/>
          </w:tcPr>
          <w:p w14:paraId="5DD715A0" w14:textId="2481C25C"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Natural</w:t>
            </w:r>
          </w:p>
        </w:tc>
      </w:tr>
      <w:tr w:rsidR="00A24238" w:rsidRPr="00C1674C" w14:paraId="53A18941" w14:textId="77777777" w:rsidTr="00044516">
        <w:tc>
          <w:tcPr>
            <w:tcW w:w="2254" w:type="dxa"/>
            <w:vMerge/>
          </w:tcPr>
          <w:p w14:paraId="171EC189" w14:textId="77777777" w:rsidR="00A24238" w:rsidRPr="00EE69E3" w:rsidRDefault="00A24238" w:rsidP="00C1674C">
            <w:pPr>
              <w:spacing w:after="0" w:line="240" w:lineRule="auto"/>
              <w:rPr>
                <w:rFonts w:ascii="Arial" w:hAnsi="Arial" w:cs="Arial"/>
                <w:sz w:val="20"/>
              </w:rPr>
            </w:pPr>
          </w:p>
        </w:tc>
        <w:tc>
          <w:tcPr>
            <w:tcW w:w="1285" w:type="dxa"/>
          </w:tcPr>
          <w:p w14:paraId="11F36E94" w14:textId="2109FB52" w:rsidR="00A24238" w:rsidRPr="00EE69E3" w:rsidRDefault="00A24238" w:rsidP="00C1674C">
            <w:pPr>
              <w:spacing w:after="0" w:line="240" w:lineRule="auto"/>
              <w:rPr>
                <w:rFonts w:ascii="Arial" w:hAnsi="Arial" w:cs="Arial"/>
                <w:sz w:val="20"/>
              </w:rPr>
            </w:pPr>
            <w:r w:rsidRPr="00EE69E3">
              <w:rPr>
                <w:rFonts w:ascii="Arial" w:hAnsi="Arial" w:cs="Arial"/>
                <w:sz w:val="20"/>
              </w:rPr>
              <w:t>14</w:t>
            </w:r>
          </w:p>
        </w:tc>
        <w:tc>
          <w:tcPr>
            <w:tcW w:w="3223" w:type="dxa"/>
          </w:tcPr>
          <w:p w14:paraId="42E5D405" w14:textId="16FB3F99" w:rsidR="00A24238" w:rsidRPr="00EE69E3" w:rsidRDefault="00A24238" w:rsidP="00C1674C">
            <w:pPr>
              <w:spacing w:after="0" w:line="240" w:lineRule="auto"/>
              <w:rPr>
                <w:rFonts w:ascii="Arial" w:hAnsi="Arial" w:cs="Arial"/>
                <w:sz w:val="20"/>
              </w:rPr>
            </w:pPr>
            <w:r w:rsidRPr="00EE69E3">
              <w:rPr>
                <w:rFonts w:ascii="Arial" w:hAnsi="Arial" w:cs="Arial"/>
                <w:sz w:val="20"/>
              </w:rPr>
              <w:t>Permanent Snow and Ice</w:t>
            </w:r>
          </w:p>
        </w:tc>
        <w:tc>
          <w:tcPr>
            <w:tcW w:w="2254" w:type="dxa"/>
          </w:tcPr>
          <w:p w14:paraId="06039CC3" w14:textId="3FC39D02"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Natural</w:t>
            </w:r>
          </w:p>
        </w:tc>
      </w:tr>
      <w:tr w:rsidR="00A24238" w:rsidRPr="00C1674C" w14:paraId="3597CBBF" w14:textId="77777777" w:rsidTr="00044516">
        <w:tc>
          <w:tcPr>
            <w:tcW w:w="2254" w:type="dxa"/>
            <w:vMerge/>
          </w:tcPr>
          <w:p w14:paraId="771B6717" w14:textId="77777777" w:rsidR="00A24238" w:rsidRPr="00EE69E3" w:rsidRDefault="00A24238" w:rsidP="00C1674C">
            <w:pPr>
              <w:spacing w:after="0" w:line="240" w:lineRule="auto"/>
              <w:rPr>
                <w:rFonts w:ascii="Arial" w:hAnsi="Arial" w:cs="Arial"/>
                <w:sz w:val="20"/>
              </w:rPr>
            </w:pPr>
          </w:p>
        </w:tc>
        <w:tc>
          <w:tcPr>
            <w:tcW w:w="1285" w:type="dxa"/>
          </w:tcPr>
          <w:p w14:paraId="714ECD72" w14:textId="4E6B3A0E" w:rsidR="00A24238" w:rsidRPr="00EE69E3" w:rsidRDefault="00A24238" w:rsidP="00C1674C">
            <w:pPr>
              <w:spacing w:after="0" w:line="240" w:lineRule="auto"/>
              <w:rPr>
                <w:rFonts w:ascii="Arial" w:hAnsi="Arial" w:cs="Arial"/>
                <w:sz w:val="20"/>
              </w:rPr>
            </w:pPr>
            <w:r w:rsidRPr="00EE69E3">
              <w:rPr>
                <w:rFonts w:ascii="Arial" w:hAnsi="Arial" w:cs="Arial"/>
                <w:sz w:val="20"/>
              </w:rPr>
              <w:t>15</w:t>
            </w:r>
          </w:p>
        </w:tc>
        <w:tc>
          <w:tcPr>
            <w:tcW w:w="3223" w:type="dxa"/>
          </w:tcPr>
          <w:p w14:paraId="772C846C" w14:textId="029F0D3F" w:rsidR="00A24238" w:rsidRPr="00EE69E3" w:rsidRDefault="00A24238" w:rsidP="00C1674C">
            <w:pPr>
              <w:spacing w:after="0" w:line="240" w:lineRule="auto"/>
              <w:rPr>
                <w:rFonts w:ascii="Arial" w:hAnsi="Arial" w:cs="Arial"/>
                <w:sz w:val="20"/>
              </w:rPr>
            </w:pPr>
            <w:r w:rsidRPr="00EE69E3">
              <w:rPr>
                <w:rFonts w:ascii="Arial" w:hAnsi="Arial" w:cs="Arial"/>
                <w:sz w:val="20"/>
              </w:rPr>
              <w:t>Alpine Grass/</w:t>
            </w:r>
            <w:proofErr w:type="spellStart"/>
            <w:r w:rsidRPr="00EE69E3">
              <w:rPr>
                <w:rFonts w:ascii="Arial" w:hAnsi="Arial" w:cs="Arial"/>
                <w:sz w:val="20"/>
              </w:rPr>
              <w:t>Herbfield</w:t>
            </w:r>
            <w:proofErr w:type="spellEnd"/>
          </w:p>
        </w:tc>
        <w:tc>
          <w:tcPr>
            <w:tcW w:w="2254" w:type="dxa"/>
          </w:tcPr>
          <w:p w14:paraId="01E126BD" w14:textId="2ACBDB6A"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Natural</w:t>
            </w:r>
          </w:p>
        </w:tc>
      </w:tr>
      <w:tr w:rsidR="00A24238" w:rsidRPr="00C1674C" w14:paraId="5545F622" w14:textId="77777777" w:rsidTr="00044516">
        <w:tc>
          <w:tcPr>
            <w:tcW w:w="2254" w:type="dxa"/>
            <w:vMerge/>
          </w:tcPr>
          <w:p w14:paraId="1B7022E0" w14:textId="77777777" w:rsidR="00A24238" w:rsidRPr="00EE69E3" w:rsidRDefault="00A24238" w:rsidP="00C1674C">
            <w:pPr>
              <w:spacing w:after="0" w:line="240" w:lineRule="auto"/>
              <w:rPr>
                <w:rFonts w:ascii="Arial" w:hAnsi="Arial" w:cs="Arial"/>
                <w:sz w:val="20"/>
              </w:rPr>
            </w:pPr>
          </w:p>
        </w:tc>
        <w:tc>
          <w:tcPr>
            <w:tcW w:w="1285" w:type="dxa"/>
          </w:tcPr>
          <w:p w14:paraId="37F6B69B" w14:textId="69AD4DD2" w:rsidR="00A24238" w:rsidRPr="00EE69E3" w:rsidRDefault="00A24238" w:rsidP="00C1674C">
            <w:pPr>
              <w:spacing w:after="0" w:line="240" w:lineRule="auto"/>
              <w:rPr>
                <w:rFonts w:ascii="Arial" w:hAnsi="Arial" w:cs="Arial"/>
                <w:sz w:val="20"/>
              </w:rPr>
            </w:pPr>
            <w:r w:rsidRPr="00EE69E3">
              <w:rPr>
                <w:rFonts w:ascii="Arial" w:hAnsi="Arial" w:cs="Arial"/>
                <w:sz w:val="20"/>
              </w:rPr>
              <w:t>16</w:t>
            </w:r>
          </w:p>
        </w:tc>
        <w:tc>
          <w:tcPr>
            <w:tcW w:w="3223" w:type="dxa"/>
          </w:tcPr>
          <w:p w14:paraId="0EC819E0" w14:textId="388F59BD" w:rsidR="00A24238" w:rsidRPr="00EE69E3" w:rsidRDefault="00A24238" w:rsidP="00C1674C">
            <w:pPr>
              <w:spacing w:after="0" w:line="240" w:lineRule="auto"/>
              <w:rPr>
                <w:rFonts w:ascii="Arial" w:hAnsi="Arial" w:cs="Arial"/>
                <w:sz w:val="20"/>
              </w:rPr>
            </w:pPr>
            <w:r w:rsidRPr="00EE69E3">
              <w:rPr>
                <w:rFonts w:ascii="Arial" w:hAnsi="Arial" w:cs="Arial"/>
                <w:sz w:val="20"/>
              </w:rPr>
              <w:t>Gravel and Rock</w:t>
            </w:r>
          </w:p>
        </w:tc>
        <w:tc>
          <w:tcPr>
            <w:tcW w:w="2254" w:type="dxa"/>
          </w:tcPr>
          <w:p w14:paraId="2D955761" w14:textId="6E728970" w:rsidR="00A24238" w:rsidRPr="00EE69E3" w:rsidRDefault="00A24238" w:rsidP="00EE69E3">
            <w:pPr>
              <w:spacing w:after="0" w:line="240" w:lineRule="auto"/>
              <w:jc w:val="center"/>
              <w:rPr>
                <w:rFonts w:ascii="Arial" w:hAnsi="Arial" w:cs="Arial"/>
                <w:sz w:val="20"/>
              </w:rPr>
            </w:pPr>
            <w:r w:rsidRPr="00EE69E3">
              <w:rPr>
                <w:rFonts w:ascii="Arial" w:hAnsi="Arial" w:cs="Arial"/>
                <w:sz w:val="20"/>
              </w:rPr>
              <w:t>Natural</w:t>
            </w:r>
          </w:p>
        </w:tc>
      </w:tr>
      <w:tr w:rsidR="006178DB" w:rsidRPr="00C1674C" w14:paraId="6F459353" w14:textId="77777777" w:rsidTr="00237168">
        <w:tc>
          <w:tcPr>
            <w:tcW w:w="2254" w:type="dxa"/>
            <w:vMerge w:val="restart"/>
          </w:tcPr>
          <w:p w14:paraId="780064A5" w14:textId="3B0F8F77" w:rsidR="006178DB" w:rsidRPr="00EE69E3" w:rsidRDefault="006178DB" w:rsidP="00C1674C">
            <w:pPr>
              <w:spacing w:after="0" w:line="240" w:lineRule="auto"/>
              <w:rPr>
                <w:rFonts w:ascii="Arial" w:hAnsi="Arial" w:cs="Arial"/>
                <w:sz w:val="20"/>
              </w:rPr>
            </w:pPr>
            <w:r w:rsidRPr="00EE69E3">
              <w:rPr>
                <w:rFonts w:ascii="Arial" w:hAnsi="Arial" w:cs="Arial"/>
                <w:sz w:val="20"/>
              </w:rPr>
              <w:t>Water bodies</w:t>
            </w:r>
          </w:p>
        </w:tc>
        <w:tc>
          <w:tcPr>
            <w:tcW w:w="1285" w:type="dxa"/>
          </w:tcPr>
          <w:p w14:paraId="4221F62B" w14:textId="5EFF92C8" w:rsidR="006178DB" w:rsidRPr="00EE69E3" w:rsidRDefault="006178DB" w:rsidP="00C1674C">
            <w:pPr>
              <w:spacing w:after="0" w:line="240" w:lineRule="auto"/>
              <w:rPr>
                <w:rFonts w:ascii="Arial" w:hAnsi="Arial" w:cs="Arial"/>
                <w:sz w:val="20"/>
              </w:rPr>
            </w:pPr>
            <w:r w:rsidRPr="00EE69E3">
              <w:rPr>
                <w:rFonts w:ascii="Arial" w:hAnsi="Arial" w:cs="Arial"/>
                <w:sz w:val="20"/>
              </w:rPr>
              <w:t>20</w:t>
            </w:r>
          </w:p>
        </w:tc>
        <w:tc>
          <w:tcPr>
            <w:tcW w:w="3223" w:type="dxa"/>
          </w:tcPr>
          <w:p w14:paraId="2BED9C93" w14:textId="0DAEF899" w:rsidR="006178DB" w:rsidRPr="00EE69E3" w:rsidRDefault="006178DB" w:rsidP="00C1674C">
            <w:pPr>
              <w:spacing w:after="0" w:line="240" w:lineRule="auto"/>
              <w:rPr>
                <w:rFonts w:ascii="Arial" w:hAnsi="Arial" w:cs="Arial"/>
                <w:sz w:val="20"/>
              </w:rPr>
            </w:pPr>
            <w:r w:rsidRPr="00EE69E3">
              <w:rPr>
                <w:rFonts w:ascii="Arial" w:hAnsi="Arial" w:cs="Arial"/>
                <w:sz w:val="20"/>
              </w:rPr>
              <w:t>Lake or Pond</w:t>
            </w:r>
          </w:p>
        </w:tc>
        <w:tc>
          <w:tcPr>
            <w:tcW w:w="2254" w:type="dxa"/>
          </w:tcPr>
          <w:p w14:paraId="559C7BC8" w14:textId="0C83B551" w:rsidR="006178DB" w:rsidRPr="00EE69E3" w:rsidRDefault="006178DB" w:rsidP="00EE69E3">
            <w:pPr>
              <w:spacing w:after="0" w:line="240" w:lineRule="auto"/>
              <w:jc w:val="center"/>
              <w:rPr>
                <w:rFonts w:ascii="Arial" w:hAnsi="Arial" w:cs="Arial"/>
                <w:sz w:val="20"/>
              </w:rPr>
            </w:pPr>
            <w:r w:rsidRPr="00EE69E3">
              <w:rPr>
                <w:rFonts w:ascii="Arial" w:hAnsi="Arial" w:cs="Arial"/>
                <w:sz w:val="20"/>
              </w:rPr>
              <w:t>Natural</w:t>
            </w:r>
          </w:p>
        </w:tc>
      </w:tr>
      <w:tr w:rsidR="006178DB" w:rsidRPr="00C1674C" w14:paraId="7E324F4F" w14:textId="77777777" w:rsidTr="00237168">
        <w:tc>
          <w:tcPr>
            <w:tcW w:w="2254" w:type="dxa"/>
            <w:vMerge/>
          </w:tcPr>
          <w:p w14:paraId="5B31D807" w14:textId="77777777" w:rsidR="006178DB" w:rsidRPr="00EE69E3" w:rsidRDefault="006178DB" w:rsidP="00C1674C">
            <w:pPr>
              <w:spacing w:after="0" w:line="240" w:lineRule="auto"/>
              <w:rPr>
                <w:rFonts w:ascii="Arial" w:hAnsi="Arial" w:cs="Arial"/>
                <w:sz w:val="20"/>
              </w:rPr>
            </w:pPr>
          </w:p>
        </w:tc>
        <w:tc>
          <w:tcPr>
            <w:tcW w:w="1285" w:type="dxa"/>
          </w:tcPr>
          <w:p w14:paraId="22396E92" w14:textId="33CF8C97" w:rsidR="006178DB" w:rsidRPr="00EE69E3" w:rsidRDefault="006178DB" w:rsidP="00C1674C">
            <w:pPr>
              <w:spacing w:after="0" w:line="240" w:lineRule="auto"/>
              <w:rPr>
                <w:rFonts w:ascii="Arial" w:hAnsi="Arial" w:cs="Arial"/>
                <w:sz w:val="20"/>
              </w:rPr>
            </w:pPr>
            <w:r w:rsidRPr="00EE69E3">
              <w:rPr>
                <w:rFonts w:ascii="Arial" w:hAnsi="Arial" w:cs="Arial"/>
                <w:sz w:val="20"/>
              </w:rPr>
              <w:t>21</w:t>
            </w:r>
          </w:p>
        </w:tc>
        <w:tc>
          <w:tcPr>
            <w:tcW w:w="3223" w:type="dxa"/>
          </w:tcPr>
          <w:p w14:paraId="10538B58" w14:textId="3C513E1E" w:rsidR="006178DB" w:rsidRPr="00EE69E3" w:rsidRDefault="006178DB" w:rsidP="00C1674C">
            <w:pPr>
              <w:spacing w:after="0" w:line="240" w:lineRule="auto"/>
              <w:rPr>
                <w:rFonts w:ascii="Arial" w:hAnsi="Arial" w:cs="Arial"/>
                <w:sz w:val="20"/>
              </w:rPr>
            </w:pPr>
            <w:r w:rsidRPr="00EE69E3">
              <w:rPr>
                <w:rFonts w:ascii="Arial" w:hAnsi="Arial" w:cs="Arial"/>
                <w:sz w:val="20"/>
              </w:rPr>
              <w:t>River</w:t>
            </w:r>
          </w:p>
        </w:tc>
        <w:tc>
          <w:tcPr>
            <w:tcW w:w="2254" w:type="dxa"/>
          </w:tcPr>
          <w:p w14:paraId="70155A33" w14:textId="13C8E6C2" w:rsidR="006178DB" w:rsidRPr="00EE69E3" w:rsidRDefault="006178DB" w:rsidP="00EE69E3">
            <w:pPr>
              <w:spacing w:after="0" w:line="240" w:lineRule="auto"/>
              <w:jc w:val="center"/>
              <w:rPr>
                <w:rFonts w:ascii="Arial" w:hAnsi="Arial" w:cs="Arial"/>
                <w:sz w:val="20"/>
              </w:rPr>
            </w:pPr>
            <w:r w:rsidRPr="00EE69E3">
              <w:rPr>
                <w:rFonts w:ascii="Arial" w:hAnsi="Arial" w:cs="Arial"/>
                <w:sz w:val="20"/>
              </w:rPr>
              <w:t>Natural</w:t>
            </w:r>
          </w:p>
        </w:tc>
      </w:tr>
      <w:tr w:rsidR="006178DB" w:rsidRPr="00C1674C" w14:paraId="09C86E7C" w14:textId="77777777" w:rsidTr="00237168">
        <w:tc>
          <w:tcPr>
            <w:tcW w:w="2254" w:type="dxa"/>
            <w:vMerge/>
          </w:tcPr>
          <w:p w14:paraId="6B198268" w14:textId="77777777" w:rsidR="006178DB" w:rsidRPr="00EE69E3" w:rsidRDefault="006178DB" w:rsidP="00C1674C">
            <w:pPr>
              <w:spacing w:after="0" w:line="240" w:lineRule="auto"/>
              <w:rPr>
                <w:rFonts w:ascii="Arial" w:hAnsi="Arial" w:cs="Arial"/>
                <w:sz w:val="20"/>
              </w:rPr>
            </w:pPr>
          </w:p>
        </w:tc>
        <w:tc>
          <w:tcPr>
            <w:tcW w:w="1285" w:type="dxa"/>
          </w:tcPr>
          <w:p w14:paraId="4CACC199" w14:textId="1D495C7F" w:rsidR="006178DB" w:rsidRPr="00EE69E3" w:rsidRDefault="006178DB" w:rsidP="00C1674C">
            <w:pPr>
              <w:spacing w:after="0" w:line="240" w:lineRule="auto"/>
              <w:rPr>
                <w:rFonts w:ascii="Arial" w:hAnsi="Arial" w:cs="Arial"/>
                <w:sz w:val="20"/>
              </w:rPr>
            </w:pPr>
            <w:r w:rsidRPr="00EE69E3">
              <w:rPr>
                <w:rFonts w:ascii="Arial" w:hAnsi="Arial" w:cs="Arial"/>
                <w:sz w:val="20"/>
              </w:rPr>
              <w:t>22</w:t>
            </w:r>
          </w:p>
        </w:tc>
        <w:tc>
          <w:tcPr>
            <w:tcW w:w="3223" w:type="dxa"/>
          </w:tcPr>
          <w:p w14:paraId="1A8BE120" w14:textId="226E3A92" w:rsidR="006178DB" w:rsidRPr="00EE69E3" w:rsidRDefault="006178DB" w:rsidP="00C1674C">
            <w:pPr>
              <w:spacing w:after="0" w:line="240" w:lineRule="auto"/>
              <w:rPr>
                <w:rFonts w:ascii="Arial" w:hAnsi="Arial" w:cs="Arial"/>
                <w:sz w:val="20"/>
              </w:rPr>
            </w:pPr>
            <w:r w:rsidRPr="00EE69E3">
              <w:rPr>
                <w:rFonts w:ascii="Arial" w:hAnsi="Arial" w:cs="Arial"/>
                <w:sz w:val="20"/>
              </w:rPr>
              <w:t>Estuarine Open Water</w:t>
            </w:r>
          </w:p>
        </w:tc>
        <w:tc>
          <w:tcPr>
            <w:tcW w:w="2254" w:type="dxa"/>
          </w:tcPr>
          <w:p w14:paraId="03485A9A" w14:textId="79C9C2FC" w:rsidR="006178DB" w:rsidRPr="00EE69E3" w:rsidRDefault="006178DB" w:rsidP="00EE69E3">
            <w:pPr>
              <w:spacing w:after="0" w:line="240" w:lineRule="auto"/>
              <w:jc w:val="center"/>
              <w:rPr>
                <w:rFonts w:ascii="Arial" w:hAnsi="Arial" w:cs="Arial"/>
                <w:sz w:val="20"/>
              </w:rPr>
            </w:pPr>
            <w:r w:rsidRPr="00EE69E3">
              <w:rPr>
                <w:rFonts w:ascii="Arial" w:hAnsi="Arial" w:cs="Arial"/>
                <w:sz w:val="20"/>
              </w:rPr>
              <w:t>Natural</w:t>
            </w:r>
          </w:p>
        </w:tc>
      </w:tr>
      <w:tr w:rsidR="004A3D5C" w:rsidRPr="00C1674C" w14:paraId="48F5C22A" w14:textId="77777777" w:rsidTr="002D4A22">
        <w:tc>
          <w:tcPr>
            <w:tcW w:w="2254" w:type="dxa"/>
            <w:vMerge w:val="restart"/>
          </w:tcPr>
          <w:p w14:paraId="694348CA" w14:textId="5F27747B" w:rsidR="004A3D5C" w:rsidRPr="00EE69E3" w:rsidRDefault="004A3D5C" w:rsidP="00C1674C">
            <w:pPr>
              <w:spacing w:after="0" w:line="240" w:lineRule="auto"/>
              <w:rPr>
                <w:rFonts w:ascii="Arial" w:hAnsi="Arial" w:cs="Arial"/>
                <w:sz w:val="20"/>
              </w:rPr>
            </w:pPr>
            <w:r w:rsidRPr="00EE69E3">
              <w:rPr>
                <w:rFonts w:ascii="Arial" w:hAnsi="Arial" w:cs="Arial"/>
                <w:sz w:val="20"/>
                <w:szCs w:val="22"/>
              </w:rPr>
              <w:t>Cropland</w:t>
            </w:r>
          </w:p>
        </w:tc>
        <w:tc>
          <w:tcPr>
            <w:tcW w:w="1285" w:type="dxa"/>
          </w:tcPr>
          <w:p w14:paraId="554C51A0" w14:textId="4C4A367B" w:rsidR="004A3D5C" w:rsidRPr="00EE69E3" w:rsidRDefault="004A3D5C" w:rsidP="00C1674C">
            <w:pPr>
              <w:spacing w:after="0" w:line="240" w:lineRule="auto"/>
              <w:rPr>
                <w:rFonts w:ascii="Arial" w:hAnsi="Arial" w:cs="Arial"/>
                <w:sz w:val="20"/>
              </w:rPr>
            </w:pPr>
            <w:r w:rsidRPr="00EE69E3">
              <w:rPr>
                <w:rFonts w:ascii="Arial" w:hAnsi="Arial" w:cs="Arial"/>
                <w:sz w:val="20"/>
              </w:rPr>
              <w:t>30</w:t>
            </w:r>
          </w:p>
        </w:tc>
        <w:tc>
          <w:tcPr>
            <w:tcW w:w="3223" w:type="dxa"/>
          </w:tcPr>
          <w:p w14:paraId="6BE45963" w14:textId="5618ED1E" w:rsidR="004A3D5C" w:rsidRPr="00EE69E3" w:rsidRDefault="004A3D5C" w:rsidP="00C1674C">
            <w:pPr>
              <w:spacing w:after="0" w:line="240" w:lineRule="auto"/>
              <w:rPr>
                <w:rFonts w:ascii="Arial" w:hAnsi="Arial" w:cs="Arial"/>
                <w:sz w:val="20"/>
              </w:rPr>
            </w:pPr>
            <w:r w:rsidRPr="00EE69E3">
              <w:rPr>
                <w:rFonts w:ascii="Arial" w:hAnsi="Arial" w:cs="Arial"/>
                <w:sz w:val="20"/>
              </w:rPr>
              <w:t>Short-rotation Cropland</w:t>
            </w:r>
          </w:p>
        </w:tc>
        <w:tc>
          <w:tcPr>
            <w:tcW w:w="2254" w:type="dxa"/>
          </w:tcPr>
          <w:p w14:paraId="32462B3E" w14:textId="154D68F9" w:rsidR="004A3D5C" w:rsidRPr="00EE69E3" w:rsidRDefault="004A3D5C" w:rsidP="00EE69E3">
            <w:pPr>
              <w:spacing w:after="0" w:line="240" w:lineRule="auto"/>
              <w:jc w:val="center"/>
              <w:rPr>
                <w:rFonts w:ascii="Arial" w:hAnsi="Arial" w:cs="Arial"/>
                <w:sz w:val="20"/>
              </w:rPr>
            </w:pPr>
            <w:r w:rsidRPr="00EE69E3">
              <w:rPr>
                <w:rFonts w:ascii="Arial" w:hAnsi="Arial" w:cs="Arial"/>
                <w:sz w:val="20"/>
              </w:rPr>
              <w:t>Agricultural</w:t>
            </w:r>
          </w:p>
        </w:tc>
      </w:tr>
      <w:tr w:rsidR="004A3D5C" w:rsidRPr="00C1674C" w14:paraId="442BEFAD" w14:textId="77777777" w:rsidTr="002D4A22">
        <w:tc>
          <w:tcPr>
            <w:tcW w:w="2254" w:type="dxa"/>
            <w:vMerge/>
          </w:tcPr>
          <w:p w14:paraId="17269A87" w14:textId="77777777" w:rsidR="004A3D5C" w:rsidRPr="00EE69E3" w:rsidRDefault="004A3D5C" w:rsidP="00C1674C">
            <w:pPr>
              <w:spacing w:after="0" w:line="240" w:lineRule="auto"/>
              <w:rPr>
                <w:rFonts w:ascii="Arial" w:hAnsi="Arial" w:cs="Arial"/>
                <w:sz w:val="20"/>
              </w:rPr>
            </w:pPr>
          </w:p>
        </w:tc>
        <w:tc>
          <w:tcPr>
            <w:tcW w:w="1285" w:type="dxa"/>
          </w:tcPr>
          <w:p w14:paraId="3F02FBA5" w14:textId="55C0E076" w:rsidR="004A3D5C" w:rsidRPr="00EE69E3" w:rsidRDefault="004A3D5C" w:rsidP="00C1674C">
            <w:pPr>
              <w:spacing w:after="0" w:line="240" w:lineRule="auto"/>
              <w:rPr>
                <w:rFonts w:ascii="Arial" w:hAnsi="Arial" w:cs="Arial"/>
                <w:sz w:val="20"/>
              </w:rPr>
            </w:pPr>
            <w:r w:rsidRPr="00EE69E3">
              <w:rPr>
                <w:rFonts w:ascii="Arial" w:hAnsi="Arial" w:cs="Arial"/>
                <w:sz w:val="20"/>
              </w:rPr>
              <w:t>33</w:t>
            </w:r>
          </w:p>
        </w:tc>
        <w:tc>
          <w:tcPr>
            <w:tcW w:w="3223" w:type="dxa"/>
          </w:tcPr>
          <w:p w14:paraId="707CB12B" w14:textId="636FFE0F" w:rsidR="004A3D5C" w:rsidRPr="00EE69E3" w:rsidRDefault="004A3D5C" w:rsidP="00C1674C">
            <w:pPr>
              <w:spacing w:after="0" w:line="240" w:lineRule="auto"/>
              <w:rPr>
                <w:rFonts w:ascii="Arial" w:hAnsi="Arial" w:cs="Arial"/>
                <w:sz w:val="20"/>
              </w:rPr>
            </w:pPr>
            <w:r w:rsidRPr="00EE69E3">
              <w:rPr>
                <w:rFonts w:ascii="Arial" w:hAnsi="Arial" w:cs="Arial"/>
                <w:sz w:val="20"/>
              </w:rPr>
              <w:t xml:space="preserve">Orchard, </w:t>
            </w:r>
            <w:proofErr w:type="gramStart"/>
            <w:r w:rsidRPr="00EE69E3">
              <w:rPr>
                <w:rFonts w:ascii="Arial" w:hAnsi="Arial" w:cs="Arial"/>
                <w:sz w:val="20"/>
              </w:rPr>
              <w:t>Vineyard</w:t>
            </w:r>
            <w:proofErr w:type="gramEnd"/>
            <w:r w:rsidRPr="00EE69E3">
              <w:rPr>
                <w:rFonts w:ascii="Arial" w:hAnsi="Arial" w:cs="Arial"/>
                <w:sz w:val="20"/>
              </w:rPr>
              <w:t xml:space="preserve"> or Other Perennial Crop</w:t>
            </w:r>
          </w:p>
        </w:tc>
        <w:tc>
          <w:tcPr>
            <w:tcW w:w="2254" w:type="dxa"/>
          </w:tcPr>
          <w:p w14:paraId="7AA5C2B7" w14:textId="5A727491" w:rsidR="004A3D5C" w:rsidRPr="00EE69E3" w:rsidRDefault="004A3D5C"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67EE1D07" w14:textId="77777777" w:rsidTr="00C11038">
        <w:tc>
          <w:tcPr>
            <w:tcW w:w="2254" w:type="dxa"/>
            <w:vMerge w:val="restart"/>
          </w:tcPr>
          <w:p w14:paraId="649689CD" w14:textId="73EEC6D3" w:rsidR="004D7246" w:rsidRPr="00EE69E3" w:rsidRDefault="004D7246" w:rsidP="00C1674C">
            <w:pPr>
              <w:spacing w:after="0" w:line="240" w:lineRule="auto"/>
              <w:rPr>
                <w:rFonts w:ascii="Arial" w:hAnsi="Arial" w:cs="Arial"/>
                <w:sz w:val="20"/>
              </w:rPr>
            </w:pPr>
            <w:r w:rsidRPr="00EE69E3">
              <w:rPr>
                <w:rFonts w:ascii="Arial" w:hAnsi="Arial" w:cs="Arial"/>
                <w:sz w:val="20"/>
              </w:rPr>
              <w:t>Grassland, Sedgeland and Marshland</w:t>
            </w:r>
          </w:p>
        </w:tc>
        <w:tc>
          <w:tcPr>
            <w:tcW w:w="1285" w:type="dxa"/>
          </w:tcPr>
          <w:p w14:paraId="7E316206" w14:textId="2A4E78ED" w:rsidR="004D7246" w:rsidRPr="00EE69E3" w:rsidRDefault="004D7246" w:rsidP="00C1674C">
            <w:pPr>
              <w:spacing w:after="0" w:line="240" w:lineRule="auto"/>
              <w:rPr>
                <w:rFonts w:ascii="Arial" w:hAnsi="Arial" w:cs="Arial"/>
                <w:sz w:val="20"/>
              </w:rPr>
            </w:pPr>
            <w:r w:rsidRPr="00EE69E3">
              <w:rPr>
                <w:rFonts w:ascii="Arial" w:hAnsi="Arial" w:cs="Arial"/>
                <w:sz w:val="20"/>
              </w:rPr>
              <w:t>40</w:t>
            </w:r>
          </w:p>
        </w:tc>
        <w:tc>
          <w:tcPr>
            <w:tcW w:w="3223" w:type="dxa"/>
          </w:tcPr>
          <w:p w14:paraId="478A773E" w14:textId="1F81E1B5" w:rsidR="004D7246" w:rsidRPr="00EE69E3" w:rsidRDefault="004D7246" w:rsidP="00C1674C">
            <w:pPr>
              <w:spacing w:after="0" w:line="240" w:lineRule="auto"/>
              <w:rPr>
                <w:rFonts w:ascii="Arial" w:hAnsi="Arial" w:cs="Arial"/>
                <w:sz w:val="20"/>
              </w:rPr>
            </w:pPr>
            <w:r w:rsidRPr="00EE69E3">
              <w:rPr>
                <w:rFonts w:ascii="Arial" w:hAnsi="Arial" w:cs="Arial"/>
                <w:sz w:val="20"/>
              </w:rPr>
              <w:t>High Producing Exotic Grassland</w:t>
            </w:r>
          </w:p>
        </w:tc>
        <w:tc>
          <w:tcPr>
            <w:tcW w:w="2254" w:type="dxa"/>
          </w:tcPr>
          <w:p w14:paraId="260D5121" w14:textId="54BCACC7"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0E874AFC" w14:textId="77777777" w:rsidTr="00C11038">
        <w:tc>
          <w:tcPr>
            <w:tcW w:w="2254" w:type="dxa"/>
            <w:vMerge/>
          </w:tcPr>
          <w:p w14:paraId="34DC7EAB" w14:textId="77777777" w:rsidR="004D7246" w:rsidRPr="00EE69E3" w:rsidRDefault="004D7246" w:rsidP="00C1674C">
            <w:pPr>
              <w:spacing w:after="0" w:line="240" w:lineRule="auto"/>
              <w:rPr>
                <w:rFonts w:ascii="Arial" w:hAnsi="Arial" w:cs="Arial"/>
                <w:sz w:val="20"/>
              </w:rPr>
            </w:pPr>
          </w:p>
        </w:tc>
        <w:tc>
          <w:tcPr>
            <w:tcW w:w="1285" w:type="dxa"/>
          </w:tcPr>
          <w:p w14:paraId="09F439E5" w14:textId="653D27D5" w:rsidR="004D7246" w:rsidRPr="00EE69E3" w:rsidRDefault="004D7246" w:rsidP="00C1674C">
            <w:pPr>
              <w:spacing w:after="0" w:line="240" w:lineRule="auto"/>
              <w:rPr>
                <w:rFonts w:ascii="Arial" w:hAnsi="Arial" w:cs="Arial"/>
                <w:sz w:val="20"/>
              </w:rPr>
            </w:pPr>
            <w:r w:rsidRPr="00EE69E3">
              <w:rPr>
                <w:rFonts w:ascii="Arial" w:hAnsi="Arial" w:cs="Arial"/>
                <w:sz w:val="20"/>
              </w:rPr>
              <w:t>41</w:t>
            </w:r>
          </w:p>
        </w:tc>
        <w:tc>
          <w:tcPr>
            <w:tcW w:w="3223" w:type="dxa"/>
          </w:tcPr>
          <w:p w14:paraId="795DBC83" w14:textId="762DF28A" w:rsidR="004D7246" w:rsidRPr="00EE69E3" w:rsidRDefault="004D7246" w:rsidP="00C1674C">
            <w:pPr>
              <w:spacing w:after="0" w:line="240" w:lineRule="auto"/>
              <w:rPr>
                <w:rFonts w:ascii="Arial" w:hAnsi="Arial" w:cs="Arial"/>
                <w:sz w:val="20"/>
              </w:rPr>
            </w:pPr>
            <w:r w:rsidRPr="00EE69E3">
              <w:rPr>
                <w:rFonts w:ascii="Arial" w:hAnsi="Arial" w:cs="Arial"/>
                <w:sz w:val="20"/>
              </w:rPr>
              <w:t>Low Producing Grassland</w:t>
            </w:r>
          </w:p>
        </w:tc>
        <w:tc>
          <w:tcPr>
            <w:tcW w:w="2254" w:type="dxa"/>
          </w:tcPr>
          <w:p w14:paraId="1C15E1E2" w14:textId="5BBE8201"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06092247" w14:textId="77777777" w:rsidTr="00C11038">
        <w:tc>
          <w:tcPr>
            <w:tcW w:w="2254" w:type="dxa"/>
            <w:vMerge/>
          </w:tcPr>
          <w:p w14:paraId="77545BA4" w14:textId="77777777" w:rsidR="004D7246" w:rsidRPr="00EE69E3" w:rsidRDefault="004D7246" w:rsidP="00C1674C">
            <w:pPr>
              <w:spacing w:after="0" w:line="240" w:lineRule="auto"/>
              <w:rPr>
                <w:rFonts w:ascii="Arial" w:hAnsi="Arial" w:cs="Arial"/>
                <w:sz w:val="20"/>
              </w:rPr>
            </w:pPr>
          </w:p>
        </w:tc>
        <w:tc>
          <w:tcPr>
            <w:tcW w:w="1285" w:type="dxa"/>
          </w:tcPr>
          <w:p w14:paraId="7A4CA852" w14:textId="368E5387" w:rsidR="004D7246" w:rsidRPr="00EE69E3" w:rsidRDefault="004D7246" w:rsidP="00C1674C">
            <w:pPr>
              <w:spacing w:after="0" w:line="240" w:lineRule="auto"/>
              <w:rPr>
                <w:rFonts w:ascii="Arial" w:hAnsi="Arial" w:cs="Arial"/>
                <w:sz w:val="20"/>
              </w:rPr>
            </w:pPr>
            <w:r w:rsidRPr="00EE69E3">
              <w:rPr>
                <w:rFonts w:ascii="Arial" w:hAnsi="Arial" w:cs="Arial"/>
                <w:sz w:val="20"/>
              </w:rPr>
              <w:t>43</w:t>
            </w:r>
          </w:p>
        </w:tc>
        <w:tc>
          <w:tcPr>
            <w:tcW w:w="3223" w:type="dxa"/>
          </w:tcPr>
          <w:p w14:paraId="69E25AD5" w14:textId="0D2742DB" w:rsidR="004D7246" w:rsidRPr="00EE69E3" w:rsidRDefault="004D7246" w:rsidP="00C1674C">
            <w:pPr>
              <w:spacing w:after="0" w:line="240" w:lineRule="auto"/>
              <w:rPr>
                <w:rFonts w:ascii="Arial" w:hAnsi="Arial" w:cs="Arial"/>
                <w:sz w:val="20"/>
              </w:rPr>
            </w:pPr>
            <w:r w:rsidRPr="00EE69E3">
              <w:rPr>
                <w:rFonts w:ascii="Arial" w:hAnsi="Arial" w:cs="Arial"/>
                <w:sz w:val="20"/>
              </w:rPr>
              <w:t>Tall Tussock Grassland</w:t>
            </w:r>
          </w:p>
        </w:tc>
        <w:tc>
          <w:tcPr>
            <w:tcW w:w="2254" w:type="dxa"/>
          </w:tcPr>
          <w:p w14:paraId="2BC37FC3" w14:textId="363C72BF"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221CBE53" w14:textId="77777777" w:rsidTr="00C11038">
        <w:tc>
          <w:tcPr>
            <w:tcW w:w="2254" w:type="dxa"/>
            <w:vMerge/>
          </w:tcPr>
          <w:p w14:paraId="2774A761" w14:textId="77777777" w:rsidR="004D7246" w:rsidRPr="00EE69E3" w:rsidRDefault="004D7246" w:rsidP="00C1674C">
            <w:pPr>
              <w:spacing w:after="0" w:line="240" w:lineRule="auto"/>
              <w:rPr>
                <w:rFonts w:ascii="Arial" w:hAnsi="Arial" w:cs="Arial"/>
                <w:sz w:val="20"/>
              </w:rPr>
            </w:pPr>
          </w:p>
        </w:tc>
        <w:tc>
          <w:tcPr>
            <w:tcW w:w="1285" w:type="dxa"/>
          </w:tcPr>
          <w:p w14:paraId="414606CF" w14:textId="480AE327" w:rsidR="004D7246" w:rsidRPr="00EE69E3" w:rsidRDefault="004D7246" w:rsidP="00C1674C">
            <w:pPr>
              <w:spacing w:after="0" w:line="240" w:lineRule="auto"/>
              <w:rPr>
                <w:rFonts w:ascii="Arial" w:hAnsi="Arial" w:cs="Arial"/>
                <w:sz w:val="20"/>
              </w:rPr>
            </w:pPr>
            <w:r w:rsidRPr="00EE69E3">
              <w:rPr>
                <w:rFonts w:ascii="Arial" w:hAnsi="Arial" w:cs="Arial"/>
                <w:sz w:val="20"/>
              </w:rPr>
              <w:t>44</w:t>
            </w:r>
          </w:p>
        </w:tc>
        <w:tc>
          <w:tcPr>
            <w:tcW w:w="3223" w:type="dxa"/>
          </w:tcPr>
          <w:p w14:paraId="3680137C" w14:textId="64B919DF" w:rsidR="004D7246" w:rsidRPr="00EE69E3" w:rsidRDefault="004D7246" w:rsidP="00C1674C">
            <w:pPr>
              <w:spacing w:after="0" w:line="240" w:lineRule="auto"/>
              <w:rPr>
                <w:rFonts w:ascii="Arial" w:hAnsi="Arial" w:cs="Arial"/>
                <w:sz w:val="20"/>
              </w:rPr>
            </w:pPr>
            <w:r w:rsidRPr="00EE69E3">
              <w:rPr>
                <w:rFonts w:ascii="Arial" w:hAnsi="Arial" w:cs="Arial"/>
                <w:sz w:val="20"/>
              </w:rPr>
              <w:t>Depleted Grassland</w:t>
            </w:r>
          </w:p>
        </w:tc>
        <w:tc>
          <w:tcPr>
            <w:tcW w:w="2254" w:type="dxa"/>
          </w:tcPr>
          <w:p w14:paraId="6A783F2E" w14:textId="2C225D86"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2CBB6C9D" w14:textId="77777777" w:rsidTr="00C11038">
        <w:tc>
          <w:tcPr>
            <w:tcW w:w="2254" w:type="dxa"/>
            <w:vMerge/>
          </w:tcPr>
          <w:p w14:paraId="43BE3E3C" w14:textId="77777777" w:rsidR="004D7246" w:rsidRPr="00EE69E3" w:rsidRDefault="004D7246" w:rsidP="00C1674C">
            <w:pPr>
              <w:spacing w:after="0" w:line="240" w:lineRule="auto"/>
              <w:rPr>
                <w:rFonts w:ascii="Arial" w:hAnsi="Arial" w:cs="Arial"/>
                <w:sz w:val="20"/>
              </w:rPr>
            </w:pPr>
          </w:p>
        </w:tc>
        <w:tc>
          <w:tcPr>
            <w:tcW w:w="1285" w:type="dxa"/>
          </w:tcPr>
          <w:p w14:paraId="74665398" w14:textId="3D6AAB88" w:rsidR="004D7246" w:rsidRPr="00EE69E3" w:rsidRDefault="004D7246" w:rsidP="00C1674C">
            <w:pPr>
              <w:spacing w:after="0" w:line="240" w:lineRule="auto"/>
              <w:rPr>
                <w:rFonts w:ascii="Arial" w:hAnsi="Arial" w:cs="Arial"/>
                <w:sz w:val="20"/>
              </w:rPr>
            </w:pPr>
            <w:r w:rsidRPr="00EE69E3">
              <w:rPr>
                <w:rFonts w:ascii="Arial" w:hAnsi="Arial" w:cs="Arial"/>
                <w:sz w:val="20"/>
              </w:rPr>
              <w:t>45</w:t>
            </w:r>
          </w:p>
        </w:tc>
        <w:tc>
          <w:tcPr>
            <w:tcW w:w="3223" w:type="dxa"/>
          </w:tcPr>
          <w:p w14:paraId="14A1D938" w14:textId="40434FAE" w:rsidR="004D7246" w:rsidRPr="00EE69E3" w:rsidRDefault="004D7246" w:rsidP="00C1674C">
            <w:pPr>
              <w:spacing w:after="0" w:line="240" w:lineRule="auto"/>
              <w:rPr>
                <w:rFonts w:ascii="Arial" w:hAnsi="Arial" w:cs="Arial"/>
                <w:sz w:val="20"/>
              </w:rPr>
            </w:pPr>
            <w:r w:rsidRPr="00EE69E3">
              <w:rPr>
                <w:rFonts w:ascii="Arial" w:hAnsi="Arial" w:cs="Arial"/>
                <w:sz w:val="20"/>
              </w:rPr>
              <w:t>Herbaceous Freshwater Vegetation</w:t>
            </w:r>
          </w:p>
        </w:tc>
        <w:tc>
          <w:tcPr>
            <w:tcW w:w="2254" w:type="dxa"/>
          </w:tcPr>
          <w:p w14:paraId="2016FB82" w14:textId="7154A6CA"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0B7AC6E7" w14:textId="77777777" w:rsidTr="00C11038">
        <w:tc>
          <w:tcPr>
            <w:tcW w:w="2254" w:type="dxa"/>
            <w:vMerge/>
          </w:tcPr>
          <w:p w14:paraId="2D429A54" w14:textId="77777777" w:rsidR="004D7246" w:rsidRPr="00EE69E3" w:rsidRDefault="004D7246" w:rsidP="00C1674C">
            <w:pPr>
              <w:spacing w:after="0" w:line="240" w:lineRule="auto"/>
              <w:rPr>
                <w:rFonts w:ascii="Arial" w:hAnsi="Arial" w:cs="Arial"/>
                <w:sz w:val="20"/>
              </w:rPr>
            </w:pPr>
          </w:p>
        </w:tc>
        <w:tc>
          <w:tcPr>
            <w:tcW w:w="1285" w:type="dxa"/>
          </w:tcPr>
          <w:p w14:paraId="6F275371" w14:textId="578F98C1" w:rsidR="004D7246" w:rsidRPr="00EE69E3" w:rsidRDefault="004D7246" w:rsidP="00C1674C">
            <w:pPr>
              <w:spacing w:after="0" w:line="240" w:lineRule="auto"/>
              <w:rPr>
                <w:rFonts w:ascii="Arial" w:hAnsi="Arial" w:cs="Arial"/>
                <w:sz w:val="20"/>
              </w:rPr>
            </w:pPr>
            <w:r w:rsidRPr="00EE69E3">
              <w:rPr>
                <w:rFonts w:ascii="Arial" w:hAnsi="Arial" w:cs="Arial"/>
                <w:sz w:val="20"/>
              </w:rPr>
              <w:t>46</w:t>
            </w:r>
          </w:p>
        </w:tc>
        <w:tc>
          <w:tcPr>
            <w:tcW w:w="3223" w:type="dxa"/>
          </w:tcPr>
          <w:p w14:paraId="52B90877" w14:textId="3AE40A3E" w:rsidR="004D7246" w:rsidRPr="00EE69E3" w:rsidRDefault="004D7246" w:rsidP="00C1674C">
            <w:pPr>
              <w:spacing w:after="0" w:line="240" w:lineRule="auto"/>
              <w:rPr>
                <w:rFonts w:ascii="Arial" w:hAnsi="Arial" w:cs="Arial"/>
                <w:sz w:val="20"/>
              </w:rPr>
            </w:pPr>
            <w:r w:rsidRPr="00EE69E3">
              <w:rPr>
                <w:rFonts w:ascii="Arial" w:hAnsi="Arial" w:cs="Arial"/>
                <w:sz w:val="20"/>
              </w:rPr>
              <w:t xml:space="preserve">Herbaceous Saline Vegetation </w:t>
            </w:r>
          </w:p>
        </w:tc>
        <w:tc>
          <w:tcPr>
            <w:tcW w:w="2254" w:type="dxa"/>
          </w:tcPr>
          <w:p w14:paraId="1F86A529" w14:textId="5969B61A"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54756D5C" w14:textId="77777777" w:rsidTr="00C11038">
        <w:tc>
          <w:tcPr>
            <w:tcW w:w="2254" w:type="dxa"/>
            <w:vMerge/>
          </w:tcPr>
          <w:p w14:paraId="002D3775" w14:textId="77777777" w:rsidR="004D7246" w:rsidRPr="00EE69E3" w:rsidRDefault="004D7246" w:rsidP="00C1674C">
            <w:pPr>
              <w:spacing w:after="0" w:line="240" w:lineRule="auto"/>
              <w:rPr>
                <w:rFonts w:ascii="Arial" w:hAnsi="Arial" w:cs="Arial"/>
                <w:sz w:val="20"/>
              </w:rPr>
            </w:pPr>
          </w:p>
        </w:tc>
        <w:tc>
          <w:tcPr>
            <w:tcW w:w="1285" w:type="dxa"/>
          </w:tcPr>
          <w:p w14:paraId="61B52512" w14:textId="477BEB85" w:rsidR="004D7246" w:rsidRPr="00EE69E3" w:rsidRDefault="004D7246" w:rsidP="00C1674C">
            <w:pPr>
              <w:spacing w:after="0" w:line="240" w:lineRule="auto"/>
              <w:rPr>
                <w:rFonts w:ascii="Arial" w:hAnsi="Arial" w:cs="Arial"/>
                <w:sz w:val="20"/>
              </w:rPr>
            </w:pPr>
            <w:r w:rsidRPr="00EE69E3">
              <w:rPr>
                <w:rFonts w:ascii="Arial" w:hAnsi="Arial" w:cs="Arial"/>
                <w:sz w:val="20"/>
              </w:rPr>
              <w:t>47</w:t>
            </w:r>
          </w:p>
        </w:tc>
        <w:tc>
          <w:tcPr>
            <w:tcW w:w="3223" w:type="dxa"/>
          </w:tcPr>
          <w:p w14:paraId="7D5C0BC3" w14:textId="7807329E" w:rsidR="004D7246" w:rsidRPr="00EE69E3" w:rsidRDefault="004D7246" w:rsidP="00C1674C">
            <w:pPr>
              <w:spacing w:after="0" w:line="240" w:lineRule="auto"/>
              <w:rPr>
                <w:rFonts w:ascii="Arial" w:hAnsi="Arial" w:cs="Arial"/>
                <w:sz w:val="20"/>
              </w:rPr>
            </w:pPr>
            <w:proofErr w:type="spellStart"/>
            <w:r w:rsidRPr="00EE69E3">
              <w:rPr>
                <w:rFonts w:ascii="Arial" w:hAnsi="Arial" w:cs="Arial"/>
                <w:sz w:val="20"/>
              </w:rPr>
              <w:t>Flaxland</w:t>
            </w:r>
            <w:proofErr w:type="spellEnd"/>
          </w:p>
        </w:tc>
        <w:tc>
          <w:tcPr>
            <w:tcW w:w="2254" w:type="dxa"/>
          </w:tcPr>
          <w:p w14:paraId="4F3C3977" w14:textId="472DC76B"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6B4B3A11" w14:textId="77777777" w:rsidTr="00197ABB">
        <w:tc>
          <w:tcPr>
            <w:tcW w:w="2254" w:type="dxa"/>
            <w:vMerge w:val="restart"/>
          </w:tcPr>
          <w:p w14:paraId="37F1482D" w14:textId="42481CA0" w:rsidR="004D7246" w:rsidRPr="00EE69E3" w:rsidRDefault="004D7246" w:rsidP="00C1674C">
            <w:pPr>
              <w:spacing w:after="0" w:line="240" w:lineRule="auto"/>
              <w:rPr>
                <w:rFonts w:ascii="Arial" w:hAnsi="Arial" w:cs="Arial"/>
                <w:sz w:val="20"/>
              </w:rPr>
            </w:pPr>
            <w:r w:rsidRPr="00EE69E3">
              <w:rPr>
                <w:rFonts w:ascii="Arial" w:hAnsi="Arial" w:cs="Arial"/>
                <w:sz w:val="20"/>
              </w:rPr>
              <w:t>Scrub and Shrubland</w:t>
            </w:r>
          </w:p>
        </w:tc>
        <w:tc>
          <w:tcPr>
            <w:tcW w:w="1285" w:type="dxa"/>
          </w:tcPr>
          <w:p w14:paraId="3E6AB373" w14:textId="637F0E46" w:rsidR="004D7246" w:rsidRPr="00EE69E3" w:rsidRDefault="004D7246" w:rsidP="00C1674C">
            <w:pPr>
              <w:spacing w:after="0" w:line="240" w:lineRule="auto"/>
              <w:rPr>
                <w:rFonts w:ascii="Arial" w:hAnsi="Arial" w:cs="Arial"/>
                <w:sz w:val="20"/>
              </w:rPr>
            </w:pPr>
            <w:r w:rsidRPr="00EE69E3">
              <w:rPr>
                <w:rFonts w:ascii="Arial" w:hAnsi="Arial" w:cs="Arial"/>
                <w:sz w:val="20"/>
              </w:rPr>
              <w:t>50</w:t>
            </w:r>
          </w:p>
        </w:tc>
        <w:tc>
          <w:tcPr>
            <w:tcW w:w="3223" w:type="dxa"/>
          </w:tcPr>
          <w:p w14:paraId="1E731919" w14:textId="1C537FB4" w:rsidR="004D7246" w:rsidRPr="00EE69E3" w:rsidRDefault="004D7246" w:rsidP="00C1674C">
            <w:pPr>
              <w:spacing w:after="0" w:line="240" w:lineRule="auto"/>
              <w:rPr>
                <w:rFonts w:ascii="Arial" w:hAnsi="Arial" w:cs="Arial"/>
                <w:sz w:val="20"/>
              </w:rPr>
            </w:pPr>
            <w:proofErr w:type="spellStart"/>
            <w:r w:rsidRPr="00EE69E3">
              <w:rPr>
                <w:rFonts w:ascii="Arial" w:hAnsi="Arial" w:cs="Arial"/>
                <w:sz w:val="20"/>
              </w:rPr>
              <w:t>Fernland</w:t>
            </w:r>
            <w:proofErr w:type="spellEnd"/>
          </w:p>
        </w:tc>
        <w:tc>
          <w:tcPr>
            <w:tcW w:w="2254" w:type="dxa"/>
          </w:tcPr>
          <w:p w14:paraId="40969126" w14:textId="4A56E1EC"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37A1D92F" w14:textId="77777777" w:rsidTr="00197ABB">
        <w:tc>
          <w:tcPr>
            <w:tcW w:w="2254" w:type="dxa"/>
            <w:vMerge/>
          </w:tcPr>
          <w:p w14:paraId="3FFF8128" w14:textId="77777777" w:rsidR="004D7246" w:rsidRPr="00EE69E3" w:rsidRDefault="004D7246" w:rsidP="00C1674C">
            <w:pPr>
              <w:spacing w:after="0" w:line="240" w:lineRule="auto"/>
              <w:rPr>
                <w:rFonts w:ascii="Arial" w:hAnsi="Arial" w:cs="Arial"/>
                <w:sz w:val="20"/>
              </w:rPr>
            </w:pPr>
          </w:p>
        </w:tc>
        <w:tc>
          <w:tcPr>
            <w:tcW w:w="1285" w:type="dxa"/>
          </w:tcPr>
          <w:p w14:paraId="480AB36C" w14:textId="02260A28" w:rsidR="004D7246" w:rsidRPr="00EE69E3" w:rsidRDefault="004D7246" w:rsidP="00C1674C">
            <w:pPr>
              <w:spacing w:after="0" w:line="240" w:lineRule="auto"/>
              <w:rPr>
                <w:rFonts w:ascii="Arial" w:hAnsi="Arial" w:cs="Arial"/>
                <w:sz w:val="20"/>
              </w:rPr>
            </w:pPr>
            <w:r w:rsidRPr="00EE69E3">
              <w:rPr>
                <w:rFonts w:ascii="Arial" w:hAnsi="Arial" w:cs="Arial"/>
                <w:sz w:val="20"/>
              </w:rPr>
              <w:t>51</w:t>
            </w:r>
          </w:p>
        </w:tc>
        <w:tc>
          <w:tcPr>
            <w:tcW w:w="3223" w:type="dxa"/>
          </w:tcPr>
          <w:p w14:paraId="5D92128B" w14:textId="086057D5" w:rsidR="004D7246" w:rsidRPr="00EE69E3" w:rsidRDefault="004D7246" w:rsidP="00C1674C">
            <w:pPr>
              <w:spacing w:after="0" w:line="240" w:lineRule="auto"/>
              <w:rPr>
                <w:rFonts w:ascii="Arial" w:hAnsi="Arial" w:cs="Arial"/>
                <w:sz w:val="20"/>
              </w:rPr>
            </w:pPr>
            <w:r w:rsidRPr="00EE69E3">
              <w:rPr>
                <w:rFonts w:ascii="Arial" w:hAnsi="Arial" w:cs="Arial"/>
                <w:sz w:val="20"/>
              </w:rPr>
              <w:t>Gorse and/or Broom</w:t>
            </w:r>
          </w:p>
        </w:tc>
        <w:tc>
          <w:tcPr>
            <w:tcW w:w="2254" w:type="dxa"/>
          </w:tcPr>
          <w:p w14:paraId="47DE564E" w14:textId="73163BCD"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5B69864C" w14:textId="77777777" w:rsidTr="00197ABB">
        <w:tc>
          <w:tcPr>
            <w:tcW w:w="2254" w:type="dxa"/>
            <w:vMerge/>
          </w:tcPr>
          <w:p w14:paraId="5715BAA9" w14:textId="77777777" w:rsidR="004D7246" w:rsidRPr="00EE69E3" w:rsidRDefault="004D7246" w:rsidP="00C1674C">
            <w:pPr>
              <w:spacing w:after="0" w:line="240" w:lineRule="auto"/>
              <w:rPr>
                <w:rFonts w:ascii="Arial" w:hAnsi="Arial" w:cs="Arial"/>
                <w:sz w:val="20"/>
              </w:rPr>
            </w:pPr>
          </w:p>
        </w:tc>
        <w:tc>
          <w:tcPr>
            <w:tcW w:w="1285" w:type="dxa"/>
          </w:tcPr>
          <w:p w14:paraId="77A6D662" w14:textId="37012BDD" w:rsidR="004D7246" w:rsidRPr="00EE69E3" w:rsidRDefault="004D7246" w:rsidP="00C1674C">
            <w:pPr>
              <w:spacing w:after="0" w:line="240" w:lineRule="auto"/>
              <w:rPr>
                <w:rFonts w:ascii="Arial" w:hAnsi="Arial" w:cs="Arial"/>
                <w:sz w:val="20"/>
              </w:rPr>
            </w:pPr>
            <w:r w:rsidRPr="00EE69E3">
              <w:rPr>
                <w:rFonts w:ascii="Arial" w:hAnsi="Arial" w:cs="Arial"/>
                <w:sz w:val="20"/>
              </w:rPr>
              <w:t>52</w:t>
            </w:r>
          </w:p>
        </w:tc>
        <w:tc>
          <w:tcPr>
            <w:tcW w:w="3223" w:type="dxa"/>
          </w:tcPr>
          <w:p w14:paraId="567B6A82" w14:textId="42FC8657" w:rsidR="004D7246" w:rsidRPr="00EE69E3" w:rsidRDefault="004D7246" w:rsidP="00C1674C">
            <w:pPr>
              <w:spacing w:after="0" w:line="240" w:lineRule="auto"/>
              <w:rPr>
                <w:rFonts w:ascii="Arial" w:hAnsi="Arial" w:cs="Arial"/>
                <w:sz w:val="20"/>
              </w:rPr>
            </w:pPr>
            <w:r w:rsidRPr="00EE69E3">
              <w:rPr>
                <w:rFonts w:ascii="Arial" w:hAnsi="Arial" w:cs="Arial"/>
                <w:sz w:val="20"/>
              </w:rPr>
              <w:t>Manuka and/or Kanuka</w:t>
            </w:r>
          </w:p>
        </w:tc>
        <w:tc>
          <w:tcPr>
            <w:tcW w:w="2254" w:type="dxa"/>
          </w:tcPr>
          <w:p w14:paraId="57B1CF46" w14:textId="6CBA9543"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0255C8D9" w14:textId="77777777" w:rsidTr="00197ABB">
        <w:tc>
          <w:tcPr>
            <w:tcW w:w="2254" w:type="dxa"/>
            <w:vMerge/>
          </w:tcPr>
          <w:p w14:paraId="7A51F197" w14:textId="77777777" w:rsidR="004D7246" w:rsidRPr="00EE69E3" w:rsidRDefault="004D7246" w:rsidP="00C1674C">
            <w:pPr>
              <w:spacing w:after="0" w:line="240" w:lineRule="auto"/>
              <w:rPr>
                <w:rFonts w:ascii="Arial" w:hAnsi="Arial" w:cs="Arial"/>
                <w:sz w:val="20"/>
              </w:rPr>
            </w:pPr>
          </w:p>
        </w:tc>
        <w:tc>
          <w:tcPr>
            <w:tcW w:w="1285" w:type="dxa"/>
          </w:tcPr>
          <w:p w14:paraId="34AE21D8" w14:textId="4CFD2D7D" w:rsidR="004D7246" w:rsidRPr="00EE69E3" w:rsidRDefault="004D7246" w:rsidP="00C1674C">
            <w:pPr>
              <w:spacing w:after="0" w:line="240" w:lineRule="auto"/>
              <w:rPr>
                <w:rFonts w:ascii="Arial" w:hAnsi="Arial" w:cs="Arial"/>
                <w:sz w:val="20"/>
              </w:rPr>
            </w:pPr>
            <w:r w:rsidRPr="00EE69E3">
              <w:rPr>
                <w:rFonts w:ascii="Arial" w:hAnsi="Arial" w:cs="Arial"/>
                <w:sz w:val="20"/>
              </w:rPr>
              <w:t>54</w:t>
            </w:r>
          </w:p>
        </w:tc>
        <w:tc>
          <w:tcPr>
            <w:tcW w:w="3223" w:type="dxa"/>
          </w:tcPr>
          <w:p w14:paraId="17553C34" w14:textId="27C701E2" w:rsidR="004D7246" w:rsidRPr="00EE69E3" w:rsidRDefault="004D7246" w:rsidP="00C1674C">
            <w:pPr>
              <w:spacing w:after="0" w:line="240" w:lineRule="auto"/>
              <w:rPr>
                <w:rFonts w:ascii="Arial" w:hAnsi="Arial" w:cs="Arial"/>
                <w:sz w:val="20"/>
              </w:rPr>
            </w:pPr>
            <w:r w:rsidRPr="00EE69E3">
              <w:rPr>
                <w:rFonts w:ascii="Arial" w:hAnsi="Arial" w:cs="Arial"/>
                <w:sz w:val="20"/>
              </w:rPr>
              <w:t>Broadleaved Indigenous Hardwoods</w:t>
            </w:r>
          </w:p>
        </w:tc>
        <w:tc>
          <w:tcPr>
            <w:tcW w:w="2254" w:type="dxa"/>
          </w:tcPr>
          <w:p w14:paraId="3BF35D79" w14:textId="189FFD0B"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15F40F40" w14:textId="77777777" w:rsidTr="00197ABB">
        <w:tc>
          <w:tcPr>
            <w:tcW w:w="2254" w:type="dxa"/>
            <w:vMerge/>
          </w:tcPr>
          <w:p w14:paraId="3006D0CD" w14:textId="77777777" w:rsidR="004D7246" w:rsidRPr="00EE69E3" w:rsidRDefault="004D7246" w:rsidP="00C1674C">
            <w:pPr>
              <w:spacing w:after="0" w:line="240" w:lineRule="auto"/>
              <w:rPr>
                <w:rFonts w:ascii="Arial" w:hAnsi="Arial" w:cs="Arial"/>
                <w:sz w:val="20"/>
              </w:rPr>
            </w:pPr>
          </w:p>
        </w:tc>
        <w:tc>
          <w:tcPr>
            <w:tcW w:w="1285" w:type="dxa"/>
          </w:tcPr>
          <w:p w14:paraId="10850326" w14:textId="4CBB3C7A" w:rsidR="004D7246" w:rsidRPr="00EE69E3" w:rsidRDefault="004D7246" w:rsidP="00C1674C">
            <w:pPr>
              <w:spacing w:after="0" w:line="240" w:lineRule="auto"/>
              <w:rPr>
                <w:rFonts w:ascii="Arial" w:hAnsi="Arial" w:cs="Arial"/>
                <w:sz w:val="20"/>
              </w:rPr>
            </w:pPr>
            <w:r w:rsidRPr="00EE69E3">
              <w:rPr>
                <w:rFonts w:ascii="Arial" w:hAnsi="Arial" w:cs="Arial"/>
                <w:sz w:val="20"/>
              </w:rPr>
              <w:t>55</w:t>
            </w:r>
          </w:p>
        </w:tc>
        <w:tc>
          <w:tcPr>
            <w:tcW w:w="3223" w:type="dxa"/>
          </w:tcPr>
          <w:p w14:paraId="59D67589" w14:textId="460BF7FA" w:rsidR="004D7246" w:rsidRPr="00EE69E3" w:rsidRDefault="004D7246" w:rsidP="00C1674C">
            <w:pPr>
              <w:spacing w:after="0" w:line="240" w:lineRule="auto"/>
              <w:rPr>
                <w:rFonts w:ascii="Arial" w:hAnsi="Arial" w:cs="Arial"/>
                <w:sz w:val="20"/>
              </w:rPr>
            </w:pPr>
            <w:r w:rsidRPr="00EE69E3">
              <w:rPr>
                <w:rFonts w:ascii="Arial" w:hAnsi="Arial" w:cs="Arial"/>
                <w:sz w:val="20"/>
              </w:rPr>
              <w:t>Sub Alpine Shrubland</w:t>
            </w:r>
          </w:p>
        </w:tc>
        <w:tc>
          <w:tcPr>
            <w:tcW w:w="2254" w:type="dxa"/>
          </w:tcPr>
          <w:p w14:paraId="1367F378" w14:textId="5434FBA0"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315FCC3C" w14:textId="77777777" w:rsidTr="00197ABB">
        <w:tc>
          <w:tcPr>
            <w:tcW w:w="2254" w:type="dxa"/>
            <w:vMerge/>
          </w:tcPr>
          <w:p w14:paraId="4EF9B6C2" w14:textId="77777777" w:rsidR="004D7246" w:rsidRPr="00EE69E3" w:rsidRDefault="004D7246" w:rsidP="00C1674C">
            <w:pPr>
              <w:spacing w:after="0" w:line="240" w:lineRule="auto"/>
              <w:rPr>
                <w:rFonts w:ascii="Arial" w:hAnsi="Arial" w:cs="Arial"/>
                <w:sz w:val="20"/>
              </w:rPr>
            </w:pPr>
          </w:p>
        </w:tc>
        <w:tc>
          <w:tcPr>
            <w:tcW w:w="1285" w:type="dxa"/>
          </w:tcPr>
          <w:p w14:paraId="5CE50645" w14:textId="0FA5FFBF" w:rsidR="004D7246" w:rsidRPr="00EE69E3" w:rsidRDefault="004D7246" w:rsidP="00C1674C">
            <w:pPr>
              <w:spacing w:after="0" w:line="240" w:lineRule="auto"/>
              <w:rPr>
                <w:rFonts w:ascii="Arial" w:hAnsi="Arial" w:cs="Arial"/>
                <w:sz w:val="20"/>
              </w:rPr>
            </w:pPr>
            <w:r w:rsidRPr="00EE69E3">
              <w:rPr>
                <w:rFonts w:ascii="Arial" w:hAnsi="Arial" w:cs="Arial"/>
                <w:sz w:val="20"/>
              </w:rPr>
              <w:t>56</w:t>
            </w:r>
          </w:p>
        </w:tc>
        <w:tc>
          <w:tcPr>
            <w:tcW w:w="3223" w:type="dxa"/>
          </w:tcPr>
          <w:p w14:paraId="592E5E14" w14:textId="6E50F4F6" w:rsidR="004D7246" w:rsidRPr="00EE69E3" w:rsidRDefault="004D7246" w:rsidP="00C1674C">
            <w:pPr>
              <w:spacing w:after="0" w:line="240" w:lineRule="auto"/>
              <w:rPr>
                <w:rFonts w:ascii="Arial" w:hAnsi="Arial" w:cs="Arial"/>
                <w:sz w:val="20"/>
              </w:rPr>
            </w:pPr>
            <w:r w:rsidRPr="00EE69E3">
              <w:rPr>
                <w:rFonts w:ascii="Arial" w:hAnsi="Arial" w:cs="Arial"/>
                <w:sz w:val="20"/>
              </w:rPr>
              <w:t>Mixed Exotic Shrubland</w:t>
            </w:r>
          </w:p>
        </w:tc>
        <w:tc>
          <w:tcPr>
            <w:tcW w:w="2254" w:type="dxa"/>
          </w:tcPr>
          <w:p w14:paraId="62DC1D60" w14:textId="32D27283"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5C5B2048" w14:textId="77777777" w:rsidTr="00197ABB">
        <w:tc>
          <w:tcPr>
            <w:tcW w:w="2254" w:type="dxa"/>
            <w:vMerge/>
          </w:tcPr>
          <w:p w14:paraId="432AE3E7" w14:textId="77777777" w:rsidR="004D7246" w:rsidRPr="00EE69E3" w:rsidRDefault="004D7246" w:rsidP="00C1674C">
            <w:pPr>
              <w:spacing w:after="0" w:line="240" w:lineRule="auto"/>
              <w:rPr>
                <w:rFonts w:ascii="Arial" w:hAnsi="Arial" w:cs="Arial"/>
                <w:sz w:val="20"/>
              </w:rPr>
            </w:pPr>
          </w:p>
        </w:tc>
        <w:tc>
          <w:tcPr>
            <w:tcW w:w="1285" w:type="dxa"/>
          </w:tcPr>
          <w:p w14:paraId="5F75E10B" w14:textId="4E7FC9DB" w:rsidR="004D7246" w:rsidRPr="00EE69E3" w:rsidRDefault="004D7246" w:rsidP="00C1674C">
            <w:pPr>
              <w:spacing w:after="0" w:line="240" w:lineRule="auto"/>
              <w:rPr>
                <w:rFonts w:ascii="Arial" w:hAnsi="Arial" w:cs="Arial"/>
                <w:sz w:val="20"/>
              </w:rPr>
            </w:pPr>
            <w:r w:rsidRPr="00EE69E3">
              <w:rPr>
                <w:rFonts w:ascii="Arial" w:hAnsi="Arial" w:cs="Arial"/>
                <w:sz w:val="20"/>
              </w:rPr>
              <w:t>58</w:t>
            </w:r>
          </w:p>
        </w:tc>
        <w:tc>
          <w:tcPr>
            <w:tcW w:w="3223" w:type="dxa"/>
          </w:tcPr>
          <w:p w14:paraId="484751D1" w14:textId="176FAE3A" w:rsidR="004D7246" w:rsidRPr="00EE69E3" w:rsidRDefault="004D7246" w:rsidP="00C1674C">
            <w:pPr>
              <w:spacing w:after="0" w:line="240" w:lineRule="auto"/>
              <w:rPr>
                <w:rFonts w:ascii="Arial" w:hAnsi="Arial" w:cs="Arial"/>
                <w:sz w:val="20"/>
              </w:rPr>
            </w:pPr>
            <w:proofErr w:type="spellStart"/>
            <w:r w:rsidRPr="00EE69E3">
              <w:rPr>
                <w:rFonts w:ascii="Arial" w:hAnsi="Arial" w:cs="Arial"/>
                <w:sz w:val="20"/>
              </w:rPr>
              <w:t>Matagouri</w:t>
            </w:r>
            <w:proofErr w:type="spellEnd"/>
            <w:r w:rsidRPr="00EE69E3">
              <w:rPr>
                <w:rFonts w:ascii="Arial" w:hAnsi="Arial" w:cs="Arial"/>
                <w:sz w:val="20"/>
              </w:rPr>
              <w:t xml:space="preserve"> or Grey Scrub</w:t>
            </w:r>
          </w:p>
        </w:tc>
        <w:tc>
          <w:tcPr>
            <w:tcW w:w="2254" w:type="dxa"/>
          </w:tcPr>
          <w:p w14:paraId="731A8B33" w14:textId="327BAE7A"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14542ECD" w14:textId="77777777" w:rsidTr="00D9521D">
        <w:tc>
          <w:tcPr>
            <w:tcW w:w="2254" w:type="dxa"/>
            <w:vMerge w:val="restart"/>
          </w:tcPr>
          <w:p w14:paraId="2EF254A1" w14:textId="4DE15C21" w:rsidR="004D7246" w:rsidRPr="00EE69E3" w:rsidRDefault="004D7246" w:rsidP="00C1674C">
            <w:pPr>
              <w:spacing w:after="0" w:line="240" w:lineRule="auto"/>
              <w:rPr>
                <w:rFonts w:ascii="Arial" w:hAnsi="Arial" w:cs="Arial"/>
                <w:sz w:val="20"/>
              </w:rPr>
            </w:pPr>
            <w:r w:rsidRPr="00EE69E3">
              <w:rPr>
                <w:rFonts w:ascii="Arial" w:hAnsi="Arial" w:cs="Arial"/>
                <w:sz w:val="20"/>
              </w:rPr>
              <w:t>Forest</w:t>
            </w:r>
          </w:p>
        </w:tc>
        <w:tc>
          <w:tcPr>
            <w:tcW w:w="1285" w:type="dxa"/>
          </w:tcPr>
          <w:p w14:paraId="21A5829A" w14:textId="599847B6" w:rsidR="004D7246" w:rsidRPr="00EE69E3" w:rsidRDefault="004D7246" w:rsidP="00C1674C">
            <w:pPr>
              <w:spacing w:after="0" w:line="240" w:lineRule="auto"/>
              <w:rPr>
                <w:rFonts w:ascii="Arial" w:hAnsi="Arial" w:cs="Arial"/>
                <w:sz w:val="20"/>
              </w:rPr>
            </w:pPr>
            <w:r w:rsidRPr="00EE69E3">
              <w:rPr>
                <w:rFonts w:ascii="Arial" w:hAnsi="Arial" w:cs="Arial"/>
                <w:sz w:val="20"/>
              </w:rPr>
              <w:t>64</w:t>
            </w:r>
          </w:p>
        </w:tc>
        <w:tc>
          <w:tcPr>
            <w:tcW w:w="3223" w:type="dxa"/>
          </w:tcPr>
          <w:p w14:paraId="659006D0" w14:textId="4203F645" w:rsidR="004D7246" w:rsidRPr="00EE69E3" w:rsidRDefault="004D7246" w:rsidP="00C1674C">
            <w:pPr>
              <w:spacing w:after="0" w:line="240" w:lineRule="auto"/>
              <w:rPr>
                <w:rFonts w:ascii="Arial" w:hAnsi="Arial" w:cs="Arial"/>
                <w:sz w:val="20"/>
              </w:rPr>
            </w:pPr>
            <w:r w:rsidRPr="00EE69E3">
              <w:rPr>
                <w:rFonts w:ascii="Arial" w:hAnsi="Arial" w:cs="Arial"/>
                <w:sz w:val="20"/>
              </w:rPr>
              <w:t>Forest - Harvested</w:t>
            </w:r>
          </w:p>
        </w:tc>
        <w:tc>
          <w:tcPr>
            <w:tcW w:w="2254" w:type="dxa"/>
          </w:tcPr>
          <w:p w14:paraId="61625498" w14:textId="2D0B9726"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2BDFAB9F" w14:textId="77777777" w:rsidTr="00D9521D">
        <w:tc>
          <w:tcPr>
            <w:tcW w:w="2254" w:type="dxa"/>
            <w:vMerge/>
          </w:tcPr>
          <w:p w14:paraId="7C94314E" w14:textId="77777777" w:rsidR="004D7246" w:rsidRPr="00EE69E3" w:rsidRDefault="004D7246" w:rsidP="00C1674C">
            <w:pPr>
              <w:spacing w:after="0" w:line="240" w:lineRule="auto"/>
              <w:rPr>
                <w:rFonts w:ascii="Arial" w:hAnsi="Arial" w:cs="Arial"/>
                <w:sz w:val="20"/>
              </w:rPr>
            </w:pPr>
          </w:p>
        </w:tc>
        <w:tc>
          <w:tcPr>
            <w:tcW w:w="1285" w:type="dxa"/>
          </w:tcPr>
          <w:p w14:paraId="5C347E70" w14:textId="30B25DBA" w:rsidR="004D7246" w:rsidRPr="00EE69E3" w:rsidRDefault="004D7246" w:rsidP="00C1674C">
            <w:pPr>
              <w:spacing w:after="0" w:line="240" w:lineRule="auto"/>
              <w:rPr>
                <w:rFonts w:ascii="Arial" w:hAnsi="Arial" w:cs="Arial"/>
                <w:sz w:val="20"/>
              </w:rPr>
            </w:pPr>
            <w:r w:rsidRPr="00EE69E3">
              <w:rPr>
                <w:rFonts w:ascii="Arial" w:hAnsi="Arial" w:cs="Arial"/>
                <w:sz w:val="20"/>
              </w:rPr>
              <w:t>68</w:t>
            </w:r>
          </w:p>
        </w:tc>
        <w:tc>
          <w:tcPr>
            <w:tcW w:w="3223" w:type="dxa"/>
          </w:tcPr>
          <w:p w14:paraId="64E36753" w14:textId="45C28901" w:rsidR="004D7246" w:rsidRPr="00EE69E3" w:rsidRDefault="004D7246" w:rsidP="00C1674C">
            <w:pPr>
              <w:spacing w:after="0" w:line="240" w:lineRule="auto"/>
              <w:rPr>
                <w:rFonts w:ascii="Arial" w:hAnsi="Arial" w:cs="Arial"/>
                <w:sz w:val="20"/>
              </w:rPr>
            </w:pPr>
            <w:r w:rsidRPr="00EE69E3">
              <w:rPr>
                <w:rFonts w:ascii="Arial" w:hAnsi="Arial" w:cs="Arial"/>
                <w:sz w:val="20"/>
              </w:rPr>
              <w:t>Deciduous Hardwoods</w:t>
            </w:r>
          </w:p>
        </w:tc>
        <w:tc>
          <w:tcPr>
            <w:tcW w:w="2254" w:type="dxa"/>
          </w:tcPr>
          <w:p w14:paraId="02FFD6CA" w14:textId="530EBC6F"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r w:rsidR="004D7246" w:rsidRPr="00C1674C" w14:paraId="73E2C8F5" w14:textId="77777777" w:rsidTr="00D9521D">
        <w:tc>
          <w:tcPr>
            <w:tcW w:w="2254" w:type="dxa"/>
            <w:vMerge/>
          </w:tcPr>
          <w:p w14:paraId="3EC7BAFF" w14:textId="77777777" w:rsidR="004D7246" w:rsidRPr="00EE69E3" w:rsidRDefault="004D7246" w:rsidP="00C1674C">
            <w:pPr>
              <w:spacing w:after="0" w:line="240" w:lineRule="auto"/>
              <w:rPr>
                <w:rFonts w:ascii="Arial" w:hAnsi="Arial" w:cs="Arial"/>
                <w:sz w:val="20"/>
              </w:rPr>
            </w:pPr>
          </w:p>
        </w:tc>
        <w:tc>
          <w:tcPr>
            <w:tcW w:w="1285" w:type="dxa"/>
          </w:tcPr>
          <w:p w14:paraId="0F5D9704" w14:textId="775FDCB1" w:rsidR="004D7246" w:rsidRPr="00EE69E3" w:rsidRDefault="004D7246" w:rsidP="00C1674C">
            <w:pPr>
              <w:spacing w:after="0" w:line="240" w:lineRule="auto"/>
              <w:rPr>
                <w:rFonts w:ascii="Arial" w:hAnsi="Arial" w:cs="Arial"/>
                <w:sz w:val="20"/>
              </w:rPr>
            </w:pPr>
            <w:r w:rsidRPr="00EE69E3">
              <w:rPr>
                <w:rFonts w:ascii="Arial" w:hAnsi="Arial" w:cs="Arial"/>
                <w:sz w:val="20"/>
              </w:rPr>
              <w:t>69</w:t>
            </w:r>
          </w:p>
        </w:tc>
        <w:tc>
          <w:tcPr>
            <w:tcW w:w="3223" w:type="dxa"/>
          </w:tcPr>
          <w:p w14:paraId="147727C8" w14:textId="33A2617F" w:rsidR="004D7246" w:rsidRPr="00EE69E3" w:rsidRDefault="004D7246" w:rsidP="00C1674C">
            <w:pPr>
              <w:spacing w:after="0" w:line="240" w:lineRule="auto"/>
              <w:rPr>
                <w:rFonts w:ascii="Arial" w:hAnsi="Arial" w:cs="Arial"/>
                <w:sz w:val="20"/>
              </w:rPr>
            </w:pPr>
            <w:r w:rsidRPr="00EE69E3">
              <w:rPr>
                <w:rFonts w:ascii="Arial" w:hAnsi="Arial" w:cs="Arial"/>
                <w:sz w:val="20"/>
              </w:rPr>
              <w:t>Indigenous Forest</w:t>
            </w:r>
          </w:p>
        </w:tc>
        <w:tc>
          <w:tcPr>
            <w:tcW w:w="2254" w:type="dxa"/>
          </w:tcPr>
          <w:p w14:paraId="3A3DE764" w14:textId="77830DE4"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5287EC3B" w14:textId="77777777" w:rsidTr="00D9521D">
        <w:tc>
          <w:tcPr>
            <w:tcW w:w="2254" w:type="dxa"/>
            <w:vMerge/>
          </w:tcPr>
          <w:p w14:paraId="5E4452D7" w14:textId="77777777" w:rsidR="004D7246" w:rsidRPr="00EE69E3" w:rsidRDefault="004D7246" w:rsidP="00C1674C">
            <w:pPr>
              <w:spacing w:after="0" w:line="240" w:lineRule="auto"/>
              <w:rPr>
                <w:rFonts w:ascii="Arial" w:hAnsi="Arial" w:cs="Arial"/>
                <w:sz w:val="20"/>
              </w:rPr>
            </w:pPr>
          </w:p>
        </w:tc>
        <w:tc>
          <w:tcPr>
            <w:tcW w:w="1285" w:type="dxa"/>
          </w:tcPr>
          <w:p w14:paraId="7E2AFB69" w14:textId="79B8CBFA" w:rsidR="004D7246" w:rsidRPr="00EE69E3" w:rsidRDefault="004D7246" w:rsidP="00C1674C">
            <w:pPr>
              <w:spacing w:after="0" w:line="240" w:lineRule="auto"/>
              <w:rPr>
                <w:rFonts w:ascii="Arial" w:hAnsi="Arial" w:cs="Arial"/>
                <w:sz w:val="20"/>
              </w:rPr>
            </w:pPr>
            <w:r w:rsidRPr="00EE69E3">
              <w:rPr>
                <w:rFonts w:ascii="Arial" w:hAnsi="Arial" w:cs="Arial"/>
                <w:sz w:val="20"/>
              </w:rPr>
              <w:t>70</w:t>
            </w:r>
          </w:p>
        </w:tc>
        <w:tc>
          <w:tcPr>
            <w:tcW w:w="3223" w:type="dxa"/>
          </w:tcPr>
          <w:p w14:paraId="51FBEE45" w14:textId="4176223E" w:rsidR="004D7246" w:rsidRPr="00EE69E3" w:rsidRDefault="004D7246" w:rsidP="00C1674C">
            <w:pPr>
              <w:spacing w:after="0" w:line="240" w:lineRule="auto"/>
              <w:rPr>
                <w:rFonts w:ascii="Arial" w:hAnsi="Arial" w:cs="Arial"/>
                <w:sz w:val="20"/>
              </w:rPr>
            </w:pPr>
            <w:r w:rsidRPr="00EE69E3">
              <w:rPr>
                <w:rFonts w:ascii="Arial" w:hAnsi="Arial" w:cs="Arial"/>
                <w:sz w:val="20"/>
              </w:rPr>
              <w:t>Mangrove</w:t>
            </w:r>
          </w:p>
        </w:tc>
        <w:tc>
          <w:tcPr>
            <w:tcW w:w="2254" w:type="dxa"/>
          </w:tcPr>
          <w:p w14:paraId="48F0A21C" w14:textId="6C0C7811"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Natural</w:t>
            </w:r>
          </w:p>
        </w:tc>
      </w:tr>
      <w:tr w:rsidR="004D7246" w:rsidRPr="00C1674C" w14:paraId="2447CB05" w14:textId="77777777" w:rsidTr="00D9521D">
        <w:tc>
          <w:tcPr>
            <w:tcW w:w="2254" w:type="dxa"/>
            <w:vMerge/>
          </w:tcPr>
          <w:p w14:paraId="437E6807" w14:textId="77777777" w:rsidR="004D7246" w:rsidRPr="00EE69E3" w:rsidRDefault="004D7246" w:rsidP="00C1674C">
            <w:pPr>
              <w:spacing w:after="0" w:line="240" w:lineRule="auto"/>
              <w:rPr>
                <w:rFonts w:ascii="Arial" w:hAnsi="Arial" w:cs="Arial"/>
                <w:sz w:val="20"/>
              </w:rPr>
            </w:pPr>
          </w:p>
        </w:tc>
        <w:tc>
          <w:tcPr>
            <w:tcW w:w="1285" w:type="dxa"/>
          </w:tcPr>
          <w:p w14:paraId="6369B127" w14:textId="35671252" w:rsidR="004D7246" w:rsidRPr="00EE69E3" w:rsidRDefault="004D7246" w:rsidP="00C1674C">
            <w:pPr>
              <w:spacing w:after="0" w:line="240" w:lineRule="auto"/>
              <w:rPr>
                <w:rFonts w:ascii="Arial" w:hAnsi="Arial" w:cs="Arial"/>
                <w:sz w:val="20"/>
              </w:rPr>
            </w:pPr>
            <w:r w:rsidRPr="00EE69E3">
              <w:rPr>
                <w:rFonts w:ascii="Arial" w:hAnsi="Arial" w:cs="Arial"/>
                <w:sz w:val="20"/>
              </w:rPr>
              <w:t>71</w:t>
            </w:r>
          </w:p>
        </w:tc>
        <w:tc>
          <w:tcPr>
            <w:tcW w:w="3223" w:type="dxa"/>
          </w:tcPr>
          <w:p w14:paraId="68BE127C" w14:textId="4E36AE3A" w:rsidR="004D7246" w:rsidRPr="00EE69E3" w:rsidRDefault="004D7246" w:rsidP="00C1674C">
            <w:pPr>
              <w:spacing w:after="0" w:line="240" w:lineRule="auto"/>
              <w:rPr>
                <w:rFonts w:ascii="Arial" w:hAnsi="Arial" w:cs="Arial"/>
                <w:sz w:val="20"/>
              </w:rPr>
            </w:pPr>
            <w:r w:rsidRPr="00EE69E3">
              <w:rPr>
                <w:rFonts w:ascii="Arial" w:hAnsi="Arial" w:cs="Arial"/>
                <w:sz w:val="20"/>
              </w:rPr>
              <w:t>Exotic Forest</w:t>
            </w:r>
          </w:p>
        </w:tc>
        <w:tc>
          <w:tcPr>
            <w:tcW w:w="2254" w:type="dxa"/>
          </w:tcPr>
          <w:p w14:paraId="5ED81FC6" w14:textId="22C6CA21" w:rsidR="004D7246" w:rsidRPr="00EE69E3" w:rsidRDefault="004D7246" w:rsidP="00EE69E3">
            <w:pPr>
              <w:spacing w:after="0" w:line="240" w:lineRule="auto"/>
              <w:jc w:val="center"/>
              <w:rPr>
                <w:rFonts w:ascii="Arial" w:hAnsi="Arial" w:cs="Arial"/>
                <w:sz w:val="20"/>
              </w:rPr>
            </w:pPr>
            <w:r w:rsidRPr="00EE69E3">
              <w:rPr>
                <w:rFonts w:ascii="Arial" w:hAnsi="Arial" w:cs="Arial"/>
                <w:sz w:val="20"/>
              </w:rPr>
              <w:t>Agricultural</w:t>
            </w:r>
          </w:p>
        </w:tc>
      </w:tr>
    </w:tbl>
    <w:p w14:paraId="13B288F1" w14:textId="77777777" w:rsidR="00306C7D" w:rsidRDefault="00306C7D" w:rsidP="006E360D">
      <w:pPr>
        <w:pStyle w:val="Heading1"/>
      </w:pPr>
    </w:p>
    <w:p w14:paraId="7A899A83" w14:textId="77777777" w:rsidR="00306C7D" w:rsidRDefault="00306C7D">
      <w:pPr>
        <w:spacing w:after="160" w:line="259" w:lineRule="auto"/>
        <w:rPr>
          <w:rFonts w:ascii="Arial" w:eastAsiaTheme="majorEastAsia" w:hAnsi="Arial" w:cstheme="majorBidi"/>
          <w:b/>
          <w:color w:val="000000" w:themeColor="text1"/>
          <w:szCs w:val="32"/>
        </w:rPr>
      </w:pPr>
      <w:r>
        <w:br w:type="page"/>
      </w:r>
    </w:p>
    <w:p w14:paraId="51E52BD3" w14:textId="433C4757" w:rsidR="005B4B26" w:rsidRDefault="00946A50" w:rsidP="006E360D">
      <w:pPr>
        <w:pStyle w:val="Heading1"/>
      </w:pPr>
      <w:r>
        <w:lastRenderedPageBreak/>
        <w:t>N</w:t>
      </w:r>
      <w:r w:rsidR="006E360D">
        <w:t>utrient criteria</w:t>
      </w:r>
      <w:r w:rsidR="005D2896">
        <w:t xml:space="preserve"> for rivers</w:t>
      </w:r>
    </w:p>
    <w:p w14:paraId="6F337E28" w14:textId="3EBD65A9" w:rsidR="00427B20" w:rsidRDefault="006E360D" w:rsidP="00775F4A">
      <w:pPr>
        <w:spacing w:line="480" w:lineRule="auto"/>
      </w:pPr>
      <w:r w:rsidRPr="00B96486">
        <w:t xml:space="preserve">The </w:t>
      </w:r>
      <w:r w:rsidR="0012759F" w:rsidRPr="006D7B2F">
        <w:t>National Policy Statement for Freshwater Management (NPS</w:t>
      </w:r>
      <w:r w:rsidR="0012759F">
        <w:t>-</w:t>
      </w:r>
      <w:r w:rsidR="0012759F" w:rsidRPr="006D7B2F">
        <w:t>FM;</w:t>
      </w:r>
      <w:r w:rsidR="0012759F">
        <w:t xml:space="preserve"> </w:t>
      </w:r>
      <w:r w:rsidR="0012759F" w:rsidRPr="006D7B2F">
        <w:fldChar w:fldCharType="begin"/>
      </w:r>
      <w:r w:rsidR="0012759F">
        <w:instrText xml:space="preserve"> ADDIN ZOTERO_ITEM CSL_CITATION {"citationID":"hLmy2TXp","properties":{"formattedCitation":"(NZ Government 2020)","plainCitation":"(NZ Government 2020)","dontUpdate":true,"noteIndex":0},"citationItems":[{"id":3830,"uris":["http://zotero.org/groups/2329384/items/VKK5PPH3"],"itemData":{"id":3830,"type":"legislation","page":"70","title":"National Policy Statement for Freshwater Management 2020","URL":"http://www.mfe.govt.nz/publications/rma/nps-freshwater-management-2014/nps-freshwater-management-jul-14.pdf","author":[{"literal":"NZ Government"}],"issued":{"date-parts":[["2020"]]}}}],"schema":"https://github.com/citation-style-language/schema/raw/master/csl-citation.json"} </w:instrText>
      </w:r>
      <w:r w:rsidR="0012759F" w:rsidRPr="006D7B2F">
        <w:fldChar w:fldCharType="separate"/>
      </w:r>
      <w:r w:rsidR="0012759F" w:rsidRPr="003A3E4E">
        <w:t>NZ Government 2020)</w:t>
      </w:r>
      <w:r w:rsidR="0012759F" w:rsidRPr="006D7B2F">
        <w:fldChar w:fldCharType="end"/>
      </w:r>
      <w:r w:rsidR="0012759F">
        <w:t xml:space="preserve"> </w:t>
      </w:r>
      <w:r w:rsidRPr="00B96486">
        <w:t xml:space="preserve">includes the National Objectives Framework (NOF), which specifies ‘attributes’ (water quality indicators) that regional councils (regional regulatory authorities in New Zealand) must use to define numeric </w:t>
      </w:r>
      <w:r w:rsidR="00984D8D">
        <w:t>objectives</w:t>
      </w:r>
      <w:r w:rsidRPr="00B96486">
        <w:t xml:space="preserve"> for water quality. Attributes provide a graduated range of stringency consisting of A, B</w:t>
      </w:r>
      <w:r w:rsidR="00D63202">
        <w:t>,</w:t>
      </w:r>
      <w:r w:rsidR="00031431">
        <w:t xml:space="preserve"> </w:t>
      </w:r>
      <w:r w:rsidRPr="00B96486">
        <w:t>C</w:t>
      </w:r>
      <w:r w:rsidR="00D63202">
        <w:t xml:space="preserve"> and D</w:t>
      </w:r>
      <w:r w:rsidR="00031431">
        <w:t xml:space="preserve"> </w:t>
      </w:r>
      <w:r w:rsidRPr="00B96486">
        <w:t>‘bands’</w:t>
      </w:r>
      <w:r w:rsidR="000F00CF">
        <w:t xml:space="preserve"> where </w:t>
      </w:r>
      <w:r w:rsidR="000F00CF" w:rsidRPr="00124DD3">
        <w:t>A indicat</w:t>
      </w:r>
      <w:r w:rsidR="000F00CF">
        <w:t xml:space="preserve">es </w:t>
      </w:r>
      <w:r w:rsidR="000F00CF" w:rsidRPr="00124DD3">
        <w:t>near natural condition and</w:t>
      </w:r>
      <w:r w:rsidR="00D63202">
        <w:t xml:space="preserve"> the </w:t>
      </w:r>
      <w:r w:rsidR="002123ED">
        <w:t>D</w:t>
      </w:r>
      <w:r w:rsidR="00D63202">
        <w:t xml:space="preserve">-band </w:t>
      </w:r>
      <w:r w:rsidR="005464AC">
        <w:t>representing a</w:t>
      </w:r>
      <w:r w:rsidR="00E8435F">
        <w:t xml:space="preserve"> state that is </w:t>
      </w:r>
      <w:r w:rsidR="005464AC">
        <w:t>unacceptable</w:t>
      </w:r>
      <w:r w:rsidR="00F15A81">
        <w:t xml:space="preserve"> in all rivers</w:t>
      </w:r>
      <w:r w:rsidRPr="00B96486">
        <w:t xml:space="preserve">. </w:t>
      </w:r>
      <w:r w:rsidR="00A02AFD">
        <w:t>Choosing</w:t>
      </w:r>
      <w:r w:rsidR="00686208">
        <w:t xml:space="preserve"> </w:t>
      </w:r>
      <w:r w:rsidR="00BF4576" w:rsidRPr="00B96486">
        <w:t xml:space="preserve">water quality </w:t>
      </w:r>
      <w:r w:rsidR="00512AC9">
        <w:t>objectives</w:t>
      </w:r>
      <w:r w:rsidR="00512AC9" w:rsidRPr="00B96486">
        <w:t xml:space="preserve"> </w:t>
      </w:r>
      <w:r w:rsidR="00686208">
        <w:t xml:space="preserve">from the acceptable </w:t>
      </w:r>
      <w:r w:rsidRPr="00B96486">
        <w:t>band</w:t>
      </w:r>
      <w:r w:rsidR="00F15A81">
        <w:t>s (A to C</w:t>
      </w:r>
      <w:r w:rsidR="002D03BD">
        <w:t>, where C is the minimal acceptable state</w:t>
      </w:r>
      <w:r w:rsidR="00F15A81">
        <w:t>)</w:t>
      </w:r>
      <w:r w:rsidRPr="00B96486">
        <w:t xml:space="preserve"> </w:t>
      </w:r>
      <w:r w:rsidR="00BF4576">
        <w:t xml:space="preserve">is </w:t>
      </w:r>
      <w:r w:rsidR="003214C4">
        <w:t xml:space="preserve">the responsibility of regional councils and </w:t>
      </w:r>
      <w:r w:rsidR="00E146F2">
        <w:t xml:space="preserve">must consider </w:t>
      </w:r>
      <w:r w:rsidR="005C0374">
        <w:t xml:space="preserve">the impact on </w:t>
      </w:r>
      <w:r w:rsidRPr="00B96486">
        <w:t xml:space="preserve">social, cultural, economic and/or ecological values. </w:t>
      </w:r>
    </w:p>
    <w:p w14:paraId="6E969EDB" w14:textId="2ED17B0E" w:rsidR="005641F4" w:rsidRPr="00F01273" w:rsidRDefault="006E360D" w:rsidP="005641F4">
      <w:pPr>
        <w:spacing w:line="480" w:lineRule="auto"/>
      </w:pPr>
      <w:r w:rsidRPr="00B96486">
        <w:t xml:space="preserve">With respect to nitrogen and rivers, the </w:t>
      </w:r>
      <w:r w:rsidR="000C6A44">
        <w:t xml:space="preserve">NOF </w:t>
      </w:r>
      <w:r w:rsidRPr="00B96486">
        <w:t xml:space="preserve">defines </w:t>
      </w:r>
      <w:r w:rsidR="005970DD">
        <w:t>three</w:t>
      </w:r>
      <w:r w:rsidRPr="00B96486">
        <w:t xml:space="preserve"> relevant attributes; periphyton biomass (algae attached to the surfaces of riverbeds), and nitrate and ammonia toxicity. </w:t>
      </w:r>
      <w:r w:rsidR="00775F4A">
        <w:t>Eutrophication of rivers due to enrichment by nutrients, primarily nitrogen and phosphorus, is a significant environmental issue</w:t>
      </w:r>
      <w:r w:rsidR="005E1769">
        <w:t xml:space="preserve"> in New Zealand</w:t>
      </w:r>
      <w:r w:rsidR="00182C6E">
        <w:t xml:space="preserve"> </w:t>
      </w:r>
      <w:r w:rsidR="00770395">
        <w:fldChar w:fldCharType="begin"/>
      </w:r>
      <w:r w:rsidR="00770395">
        <w:instrText xml:space="preserve"> ADDIN ZOTERO_ITEM CSL_CITATION {"citationID":"GBMgoD14","properties":{"formattedCitation":"(Biggs and Price 1987)","plainCitation":"(Biggs and Price 1987)","noteIndex":0},"citationItems":[{"id":2794,"uris":["http://zotero.org/groups/2329384/items/GTVLL3P7"],"itemData":{"id":2794,"type":"article-journal","container-title":"New Zealand Journal of Marine and Freshwater Research","issue":"2","page":"175-191","title":"A survey of filamentous algal proliferations in New Zealand rivers","volume":"21","author":[{"family":"Biggs","given":"B.J.F."},{"family":"Price","given":"G.M."}],"issued":{"date-parts":[["1987"]]}}}],"schema":"https://github.com/citation-style-language/schema/raw/master/csl-citation.json"} </w:instrText>
      </w:r>
      <w:r w:rsidR="00770395">
        <w:fldChar w:fldCharType="separate"/>
      </w:r>
      <w:r w:rsidR="00770395" w:rsidRPr="00770395">
        <w:rPr>
          <w:rFonts w:cs="Times New Roman"/>
        </w:rPr>
        <w:t>(Biggs and Price 1987)</w:t>
      </w:r>
      <w:r w:rsidR="00770395">
        <w:fldChar w:fldCharType="end"/>
      </w:r>
      <w:r w:rsidR="005E1769">
        <w:t xml:space="preserve">. The periphyton attribute </w:t>
      </w:r>
      <w:r w:rsidR="0044092A">
        <w:t>is used to define</w:t>
      </w:r>
      <w:r w:rsidR="00716590">
        <w:t xml:space="preserve"> </w:t>
      </w:r>
      <w:r w:rsidR="007C0427">
        <w:t xml:space="preserve">trophic state </w:t>
      </w:r>
      <w:r w:rsidR="0044092A" w:rsidRPr="001A754F">
        <w:t xml:space="preserve">objectives for </w:t>
      </w:r>
      <w:r w:rsidR="007C0427" w:rsidRPr="001A754F">
        <w:t xml:space="preserve">rivers based on a </w:t>
      </w:r>
      <w:r w:rsidR="00D368D8" w:rsidRPr="001A754F">
        <w:t>limiting</w:t>
      </w:r>
      <w:r w:rsidR="007C0427" w:rsidRPr="001A754F">
        <w:t xml:space="preserve"> </w:t>
      </w:r>
      <w:r w:rsidR="005970DD" w:rsidRPr="001A754F">
        <w:t xml:space="preserve">algal </w:t>
      </w:r>
      <w:r w:rsidR="00096EE5" w:rsidRPr="001A754F">
        <w:t>biomass</w:t>
      </w:r>
      <w:r w:rsidR="00B04F6D" w:rsidRPr="001A754F">
        <w:t>.</w:t>
      </w:r>
      <w:r w:rsidR="00173A83" w:rsidRPr="001A754F">
        <w:t xml:space="preserve"> </w:t>
      </w:r>
      <w:r w:rsidR="00766C17" w:rsidRPr="001A754F">
        <w:t xml:space="preserve">The NPS-FM requires that water quality </w:t>
      </w:r>
      <w:r w:rsidR="00D368D8" w:rsidRPr="001A754F">
        <w:t xml:space="preserve">objectives </w:t>
      </w:r>
      <w:r w:rsidR="00766C17" w:rsidRPr="001A754F">
        <w:t>for periphyton</w:t>
      </w:r>
      <w:r w:rsidR="00D368D8" w:rsidRPr="001A754F">
        <w:t xml:space="preserve"> biomass</w:t>
      </w:r>
      <w:r w:rsidR="00766C17" w:rsidRPr="001A754F">
        <w:t xml:space="preserve"> are set for all streams and rivers by choosing from the A, B or C band, which are defined by algal biomass thresholds of 50 mg m</w:t>
      </w:r>
      <w:r w:rsidR="00766C17" w:rsidRPr="001A754F">
        <w:rPr>
          <w:vertAlign w:val="superscript"/>
        </w:rPr>
        <w:t>-2</w:t>
      </w:r>
      <w:r w:rsidR="00766C17" w:rsidRPr="001A754F">
        <w:t>, 120 mg m</w:t>
      </w:r>
      <w:r w:rsidR="00766C17" w:rsidRPr="001A754F">
        <w:rPr>
          <w:vertAlign w:val="superscript"/>
        </w:rPr>
        <w:t>-2</w:t>
      </w:r>
      <w:r w:rsidR="00766C17" w:rsidRPr="001A754F">
        <w:t>, 200 mg m</w:t>
      </w:r>
      <w:r w:rsidR="00766C17" w:rsidRPr="001A754F">
        <w:rPr>
          <w:vertAlign w:val="superscript"/>
        </w:rPr>
        <w:t>-2</w:t>
      </w:r>
      <w:r w:rsidR="00766C17" w:rsidRPr="001A754F">
        <w:t xml:space="preserve"> chlorophyll </w:t>
      </w:r>
      <w:r w:rsidR="00766C17" w:rsidRPr="001A754F">
        <w:rPr>
          <w:i/>
        </w:rPr>
        <w:t>a</w:t>
      </w:r>
      <w:r w:rsidR="0034494A">
        <w:t xml:space="preserve">, </w:t>
      </w:r>
      <w:r w:rsidR="00766C17" w:rsidRPr="001A754F">
        <w:t xml:space="preserve">respectively. To achieve </w:t>
      </w:r>
      <w:r w:rsidR="00812B59">
        <w:t>the chosen objective</w:t>
      </w:r>
      <w:r w:rsidR="00766C17" w:rsidRPr="001A754F">
        <w:t>,</w:t>
      </w:r>
      <w:r w:rsidR="00C35888" w:rsidRPr="00C35888">
        <w:t xml:space="preserve"> </w:t>
      </w:r>
      <w:r w:rsidR="00C35888" w:rsidRPr="001A754F">
        <w:t>periphyton</w:t>
      </w:r>
      <w:r w:rsidR="00766C17" w:rsidRPr="001A754F">
        <w:t xml:space="preserve"> biomass must be less than the threshold for 11 out of 12 monthly measurements on average </w:t>
      </w:r>
      <w:r w:rsidR="00766C17" w:rsidRPr="001A754F">
        <w:fldChar w:fldCharType="begin"/>
      </w:r>
      <w:r w:rsidR="00766C17" w:rsidRPr="001A754F">
        <w:instrText xml:space="preserve"> ADDIN ZOTERO_ITEM CSL_CITATION {"citationID":"bhbCV3U2","properties":{"formattedCitation":"(NZ Government 2020)","plainCitation":"(NZ Government 2020)","noteIndex":0},"citationItems":[{"id":3830,"uris":["http://zotero.org/groups/2329384/items/VKK5PPH3"],"itemData":{"id":3830,"type":"legislation","page":"70","title":"National Policy Statement for Freshwater Management 2020","URL":"http://www.mfe.govt.nz/publications/rma/nps-freshwater-management-2014/nps-freshwater-management-jul-14.pdf","author":[{"literal":"NZ Government"}],"issued":{"date-parts":[["2020"]]}}}],"schema":"https://github.com/citation-style-language/schema/raw/master/csl-citation.json"} </w:instrText>
      </w:r>
      <w:r w:rsidR="00766C17" w:rsidRPr="001A754F">
        <w:fldChar w:fldCharType="separate"/>
      </w:r>
      <w:r w:rsidR="00766C17" w:rsidRPr="001A754F">
        <w:t>(NZ Government 2020)</w:t>
      </w:r>
      <w:r w:rsidR="00766C17" w:rsidRPr="001A754F">
        <w:fldChar w:fldCharType="end"/>
      </w:r>
      <w:r w:rsidR="00766C17" w:rsidRPr="001A754F">
        <w:t xml:space="preserve">. </w:t>
      </w:r>
      <w:r w:rsidR="004622C8" w:rsidRPr="001A754F">
        <w:t xml:space="preserve"> </w:t>
      </w:r>
      <w:r w:rsidR="005641F4" w:rsidRPr="001A754F">
        <w:t xml:space="preserve">The NPS-FM </w:t>
      </w:r>
      <w:r w:rsidR="00C35888">
        <w:t xml:space="preserve">also </w:t>
      </w:r>
      <w:r w:rsidR="005641F4" w:rsidRPr="001A754F">
        <w:t xml:space="preserve">requires that </w:t>
      </w:r>
      <w:r w:rsidR="00A71A4E" w:rsidRPr="001A754F">
        <w:t xml:space="preserve">regional councils set nutrient concentration criteria that will ensure that periphyton objectives are achieved and </w:t>
      </w:r>
      <w:r w:rsidR="0027540E" w:rsidRPr="001A754F">
        <w:t xml:space="preserve">undertake </w:t>
      </w:r>
      <w:r w:rsidR="005641F4" w:rsidRPr="001A754F">
        <w:t xml:space="preserve">management actions </w:t>
      </w:r>
      <w:r w:rsidR="00C75864" w:rsidRPr="001A754F">
        <w:t xml:space="preserve">to </w:t>
      </w:r>
      <w:r w:rsidR="005641F4" w:rsidRPr="001A754F">
        <w:t>prevent or reduc</w:t>
      </w:r>
      <w:r w:rsidR="00C75864" w:rsidRPr="001A754F">
        <w:t>e</w:t>
      </w:r>
      <w:r w:rsidR="005641F4" w:rsidRPr="001A754F">
        <w:t xml:space="preserve"> elevated </w:t>
      </w:r>
      <w:r w:rsidR="001A754F" w:rsidRPr="001A754F">
        <w:t>nutrients</w:t>
      </w:r>
      <w:r w:rsidR="005641F4" w:rsidRPr="001A754F">
        <w:t xml:space="preserve"> </w:t>
      </w:r>
      <w:r w:rsidR="0027540E" w:rsidRPr="001A754F">
        <w:t>i</w:t>
      </w:r>
      <w:r w:rsidR="001A754F" w:rsidRPr="001A754F">
        <w:t>n</w:t>
      </w:r>
      <w:r w:rsidR="0027540E" w:rsidRPr="001A754F">
        <w:t xml:space="preserve"> situations where </w:t>
      </w:r>
      <w:r w:rsidR="001A754F" w:rsidRPr="001A754F">
        <w:t>criteria are exceeded</w:t>
      </w:r>
      <w:r w:rsidR="005641F4" w:rsidRPr="001A754F">
        <w:t>.</w:t>
      </w:r>
      <w:r w:rsidR="005641F4" w:rsidRPr="00F01273">
        <w:t xml:space="preserve"> </w:t>
      </w:r>
    </w:p>
    <w:p w14:paraId="67606F20" w14:textId="66FB38DD" w:rsidR="006E360D" w:rsidRDefault="006E360D" w:rsidP="00775F4A">
      <w:pPr>
        <w:spacing w:line="480" w:lineRule="auto"/>
      </w:pPr>
      <w:r w:rsidRPr="00B96486">
        <w:t xml:space="preserve">Nitrate and ammonia are toxic at concentrations </w:t>
      </w:r>
      <w:r w:rsidR="00834E9A">
        <w:t xml:space="preserve">that are generally </w:t>
      </w:r>
      <w:r w:rsidR="00834E9A" w:rsidRPr="00B96486">
        <w:t xml:space="preserve">higher </w:t>
      </w:r>
      <w:r w:rsidRPr="00B96486">
        <w:t xml:space="preserve">than those required </w:t>
      </w:r>
      <w:r w:rsidR="00834E9A">
        <w:t>restrict</w:t>
      </w:r>
      <w:r w:rsidRPr="00B96486">
        <w:t xml:space="preserve"> periphyton </w:t>
      </w:r>
      <w:r w:rsidR="00834E9A">
        <w:t>biomass</w:t>
      </w:r>
      <w:r w:rsidRPr="00B96486">
        <w:t xml:space="preserve">. Because streams in Southland have habitat that supports </w:t>
      </w:r>
      <w:r w:rsidRPr="00B96486">
        <w:lastRenderedPageBreak/>
        <w:t xml:space="preserve">periphyton, instream nitrogen must generally be managed to achieve the more restrictive periphyton attribute, rather than the toxicity attributes. Therefore, our PEC assessment </w:t>
      </w:r>
      <w:r w:rsidR="00F81A68">
        <w:t>was based on river</w:t>
      </w:r>
      <w:r w:rsidRPr="00B96486">
        <w:t xml:space="preserve"> nitrogen </w:t>
      </w:r>
      <w:r w:rsidR="00F91400">
        <w:t>concentration criteria</w:t>
      </w:r>
      <w:r w:rsidRPr="00B96486">
        <w:t xml:space="preserve"> for </w:t>
      </w:r>
      <w:r w:rsidR="004B30B1">
        <w:t>achieving nominated</w:t>
      </w:r>
      <w:r w:rsidRPr="00B96486">
        <w:t xml:space="preserve"> periphyton</w:t>
      </w:r>
      <w:r w:rsidR="004B30B1">
        <w:t xml:space="preserve"> band</w:t>
      </w:r>
      <w:r w:rsidR="00F81A68">
        <w:t>s</w:t>
      </w:r>
      <w:r w:rsidRPr="00B96486">
        <w:t xml:space="preserve">, </w:t>
      </w:r>
      <w:r w:rsidR="00A72BA8">
        <w:t xml:space="preserve">and </w:t>
      </w:r>
      <w:r w:rsidRPr="00B96486">
        <w:t xml:space="preserve">not </w:t>
      </w:r>
      <w:r w:rsidR="00D46B10">
        <w:t xml:space="preserve">to restrict </w:t>
      </w:r>
      <w:r w:rsidRPr="00B96486">
        <w:t xml:space="preserve">nitrate and </w:t>
      </w:r>
      <w:r w:rsidRPr="00B96486">
        <w:rPr>
          <w:noProof/>
        </w:rPr>
        <mc:AlternateContent>
          <mc:Choice Requires="wpi">
            <w:drawing>
              <wp:anchor distT="0" distB="0" distL="114300" distR="114300" simplePos="0" relativeHeight="251660288" behindDoc="0" locked="0" layoutInCell="1" allowOverlap="1" wp14:anchorId="48D9E0F6" wp14:editId="69980765">
                <wp:simplePos x="0" y="0"/>
                <wp:positionH relativeFrom="column">
                  <wp:posOffset>-443020</wp:posOffset>
                </wp:positionH>
                <wp:positionV relativeFrom="paragraph">
                  <wp:posOffset>2320330</wp:posOffset>
                </wp:positionV>
                <wp:extent cx="360" cy="360"/>
                <wp:effectExtent l="38100" t="19050" r="57150" b="57150"/>
                <wp:wrapNone/>
                <wp:docPr id="7"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635291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35.6pt;margin-top:182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nvvKVBICAADZBQAAEAAAAGRycy9pbmsvaW5rMS54bWy0VE2P&#10;mzAQvVfqf7C8h14SMIEAQUtWrbSRKrVq1d2V2iMLXrAW7Mg4X/++Y0OcqMBhq1ZIfMx43rzhzczt&#10;3bGp0Z7KlgmeYs8hGFGei4LxMsVPj5t5jFGrMl5kteA0xSfa4rv1+3e3jL82dQJ3BAi81W9NneJK&#10;qW3iuofDwTn4jpCluyDEdz/z169f8LqPKugL40xByvZsygVX9Kg0WMKKFOfqSOx5wH4QO5lT69YW&#10;mV9OKJnldCNkkymLWGWc0xrxrAHePzFSpy28MMhTUolRw6Dg+cLxgiiI71dgyI4pvvreAcUWmDTY&#10;Hcf89R8wN0NMTctfRGGEUU+poPspTt8+TgCEoKwNLyfD78fDV4No1wieTP/471JsqVSMXjTuFOkd&#10;J5R330acTiVJW1HvdGNgtM/qHejlEXLJ7bkjagzxQJh/igeiTOJdkxvTZchOSzQJ90e5BR1KNYII&#10;qr0RsZevl6CHNFr1Hjtz595XrKGwCZqtHULVQvHa/KCk2RcL4sVzbzH3okcSJss4CXwnBPlgfs75&#10;ujE/Yz7LXVtZvGd5GWjjsZV2xR1YoSrbGMQhS9vS120xFlpRVlbq72JzUQvYF30/3hASbOJPVzWZ&#10;fLbCkd1mZgT1G+4HfUnxjVlvyER2BlM7QR5a+iRABJHZBwLXMoz1c4YJXLG+z8A391dRqA+df6vJ&#10;YCmAdOvfAAAA//8DAFBLAwQUAAYACAAAACEAVAATa+AAAAALAQAADwAAAGRycy9kb3ducmV2Lnht&#10;bEyPwU7DMAyG70i8Q2QkLqhLt6GylaYTIE07wKVju2eNSSsap2qyrrw93gmOtj/9/v5iM7lOjDiE&#10;1pOC+SwFgVR705JVcPjcJisQIWoyuvOECn4wwKa8vSl0bvyFKhz30QoOoZBrBU2MfS5lqBt0Osx8&#10;j8S3Lz84HXkcrDSDvnC46+QiTTPpdEv8odE9vjVYf+/PTsGDHc1h2KH8CNvpaOXudXyvKqXu76aX&#10;ZxARp/gHw1Wf1aFkp5M/kwmiU5A8zReMKlhmj1yKiSRbLUGcrptsDbIs5P8O5S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9KOqi2gBAAADAwAADgAAAAAA&#10;AAAAAAAAAAA8AgAAZHJzL2Uyb0RvYy54bWxQSwECLQAUAAYACAAAACEAnvvKVBICAADZBQAAEAAA&#10;AAAAAAAAAAAAAADQAwAAZHJzL2luay9pbmsxLnhtbFBLAQItABQABgAIAAAAIQBUABNr4AAAAAsB&#10;AAAPAAAAAAAAAAAAAAAAABAGAABkcnMvZG93bnJldi54bWxQSwECLQAUAAYACAAAACEAeRi8nb8A&#10;AAAhAQAAGQAAAAAAAAAAAAAAAAAdBwAAZHJzL19yZWxzL2Uyb0RvYy54bWwucmVsc1BLBQYAAAAA&#10;BgAGAHgBAAATCAAAAAA=&#10;">
                <v:imagedata r:id="rId10" o:title=""/>
              </v:shape>
            </w:pict>
          </mc:Fallback>
        </mc:AlternateContent>
      </w:r>
      <w:r w:rsidRPr="00B96486">
        <w:rPr>
          <w:noProof/>
        </w:rPr>
        <mc:AlternateContent>
          <mc:Choice Requires="wpi">
            <w:drawing>
              <wp:anchor distT="0" distB="0" distL="114300" distR="114300" simplePos="0" relativeHeight="251659264" behindDoc="0" locked="0" layoutInCell="1" allowOverlap="1" wp14:anchorId="08609938" wp14:editId="7CE29F8E">
                <wp:simplePos x="0" y="0"/>
                <wp:positionH relativeFrom="column">
                  <wp:posOffset>-439780</wp:posOffset>
                </wp:positionH>
                <wp:positionV relativeFrom="paragraph">
                  <wp:posOffset>2382250</wp:posOffset>
                </wp:positionV>
                <wp:extent cx="360" cy="360"/>
                <wp:effectExtent l="38100" t="38100" r="57150" b="57150"/>
                <wp:wrapNone/>
                <wp:docPr id="5" name="Ink 5"/>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0D5D666B" id="Ink 5" o:spid="_x0000_s1026" type="#_x0000_t75" style="position:absolute;margin-left:-35.35pt;margin-top:186.9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zR4BxACAADZBQAAEAAAAGRycy9pbmsvaW5rMS54bWy0VE2P&#10;mzAQvVfqf7C8h14SMCQEFi1ZtdJGqtSqVXcrtUcWvGAt2JExIfn3HRviRAUOrVoh8THjefOGNzN3&#10;98e6QgcqGyZ4gj2HYER5JnLGiwR/f9otI4walfI8rQSnCT7RBt9v3765Y/y1rmK4I0DgjX6rqwSX&#10;Su1j1+26zulWjpCF6xOycj/y18+f8HaIyukL40xByuZsygRX9Kg0WMzyBGfqSOx5wH4UrcyodWuL&#10;zC4nlEwzuhOyTpVFLFPOaYV4WgPvHxip0x5eGOQpqMSoZlDw0ne8dbiOHm7BkB4TfPXdAsUGmNTY&#10;ncb8+R8wd2NMTWvlh5sQo4FSTg9znL68nwHYgLI2vJgNf5gOvx1Fu0bweP7Hf5ViT6Vi9KJxr8jg&#10;OKGs/zbi9CpJ2oiq1Y2B0SGtWtDLI+SS23Mn1BjjgTD/FA9EmcW7Jjely5idlmgW7rdyczqWagIR&#10;VPtDxEG+QYIB0mg1eOzMnXtfsZrCJqj3dghVA8Vr86OSZl/4xIuWnr/0wieyiYMoXvtO4Ie62c75&#10;+jE/Yz7Ltikt3rO8DLTx2Er74jqWq9I2BnFIYFv6ui2mQkvKilL9XWwmKgH7YujHG0LWu+jDVU0m&#10;n61wYreZGUHDhvtGXxJ8Y9YbMpG9wdROEEFhuNEPsnhH4FoFvn4uMIEr0vcF+JaBH5lD599qMlgK&#10;IN32FwAAAP//AwBQSwMEFAAGAAgAAAAhAIwV74XeAAAACwEAAA8AAABkcnMvZG93bnJldi54bWxM&#10;j0FPwzAMhe9I/IfISFxQl8KkBpWmEyBNO8ClY9yzxqQVjVM1WVf+Pd4Jbrbf0/P3qs3iBzHjFPtA&#10;Gu5XOQikNtienIbDxzZ7BBGTIWuGQKjhByNs6uurypQ2nKnBeZ+c4BCKpdHQpTSWUsa2Q2/iKoxI&#10;rH2FyZvE6+SkncyZw/0gH/K8kN70xB86M+Jrh+33/uQ13LnZHqYdyve4XT6d3L3Mb02j9e3N8vwE&#10;IuGS/sxwwWd0qJnpGE5koxg0ZCpXbNWwVmvuwI6sUDwcL5dCgawr+b9D/Qs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0o6qLaAEAAAMDAAAOAAAAAAAAAAAA&#10;AAAAADwCAABkcnMvZTJvRG9jLnhtbFBLAQItABQABgAIAAAAIQA7NHgHEAIAANkFAAAQAAAAAAAA&#10;AAAAAAAAANADAABkcnMvaW5rL2luazEueG1sUEsBAi0AFAAGAAgAAAAhAIwV74XeAAAACwEAAA8A&#10;AAAAAAAAAAAAAAAADgYAAGRycy9kb3ducmV2LnhtbFBLAQItABQABgAIAAAAIQB5GLydvwAAACEB&#10;AAAZAAAAAAAAAAAAAAAAABkHAABkcnMvX3JlbHMvZTJvRG9jLnhtbC5yZWxzUEsFBgAAAAAGAAYA&#10;eAEAAA8IAAAAAA==&#10;">
                <v:imagedata r:id="rId10" o:title=""/>
              </v:shape>
            </w:pict>
          </mc:Fallback>
        </mc:AlternateContent>
      </w:r>
      <w:r w:rsidRPr="00B96486">
        <w:t xml:space="preserve">ammonium toxicity. The nitrogen </w:t>
      </w:r>
      <w:r w:rsidR="00D46B10">
        <w:t>concentration criteria</w:t>
      </w:r>
      <w:r w:rsidR="00D46B10" w:rsidRPr="00B96486">
        <w:t xml:space="preserve"> </w:t>
      </w:r>
      <w:r w:rsidRPr="00B96486">
        <w:t>we used were specific to the NOF</w:t>
      </w:r>
      <w:r w:rsidR="00D46B10">
        <w:t xml:space="preserve"> A, B and C</w:t>
      </w:r>
      <w:r w:rsidRPr="00B96486">
        <w:t xml:space="preserve"> bands</w:t>
      </w:r>
      <w:r w:rsidR="00D46B10">
        <w:t xml:space="preserve"> for</w:t>
      </w:r>
      <w:r w:rsidRPr="00B96486">
        <w:t xml:space="preserve"> </w:t>
      </w:r>
      <w:r w:rsidR="00D46B10" w:rsidRPr="00B96486">
        <w:t xml:space="preserve">periphyton </w:t>
      </w:r>
      <w:r w:rsidRPr="00B96486">
        <w:t>and are based on total nitrogen (TN).</w:t>
      </w:r>
    </w:p>
    <w:p w14:paraId="21EB7D4D" w14:textId="21784183" w:rsidR="009D07AD" w:rsidRDefault="001F6726" w:rsidP="00804CB6">
      <w:pPr>
        <w:spacing w:line="480" w:lineRule="auto"/>
      </w:pPr>
      <w:r w:rsidRPr="00804CB6">
        <w:fldChar w:fldCharType="begin"/>
      </w:r>
      <w:r w:rsidRPr="00804CB6">
        <w:instrText xml:space="preserve"> ADDIN ZOTERO_ITEM CSL_CITATION {"citationID":"b7wRDWJV","properties":{"formattedCitation":"(Snelder et al. 2019)","plainCitation":"(Snelder et al. 2019)","dontUpdate":true,"noteIndex":0},"citationItems":[{"id":3608,"uris":["http://zotero.org/groups/2329384/items/SP3LJK3U"],"itemData":{"id":3608,"type":"article-journal","container-title":"JAWRA Journal of the American Water Resources Association","issue":"6","page":"1443–1463","source":"Google Scholar","title":"Nutrient Concentration Targets to Achieve Periphyton Biomass Objectives Incorporating Uncertainties","volume":"55","author":[{"family":"Snelder","given":"T. H."},{"family":"Moore","given":"C."},{"family":"Kilroy","given":"C."}],"issued":{"date-parts":[["2019"]]}}}],"schema":"https://github.com/citation-style-language/schema/raw/master/csl-citation.json"} </w:instrText>
      </w:r>
      <w:r w:rsidRPr="00804CB6">
        <w:fldChar w:fldCharType="separate"/>
      </w:r>
      <w:r w:rsidRPr="00804CB6">
        <w:t>Snelder et al. (2019)</w:t>
      </w:r>
      <w:r w:rsidRPr="00804CB6">
        <w:fldChar w:fldCharType="end"/>
      </w:r>
      <w:r w:rsidRPr="00804CB6">
        <w:t xml:space="preserve"> derived </w:t>
      </w:r>
      <w:r w:rsidR="00764E67" w:rsidRPr="00804CB6">
        <w:t>total nitrogen (</w:t>
      </w:r>
      <w:r w:rsidRPr="00804CB6">
        <w:t>TN</w:t>
      </w:r>
      <w:r w:rsidR="00764E67" w:rsidRPr="00804CB6">
        <w:t>)</w:t>
      </w:r>
      <w:r w:rsidRPr="00804CB6">
        <w:t xml:space="preserve"> </w:t>
      </w:r>
      <w:r w:rsidR="00764E67" w:rsidRPr="00804CB6">
        <w:t>concentration criteria</w:t>
      </w:r>
      <w:r w:rsidRPr="00804CB6">
        <w:t xml:space="preserve"> that </w:t>
      </w:r>
      <w:r w:rsidR="00764E67" w:rsidRPr="00804CB6">
        <w:t>achieve</w:t>
      </w:r>
      <w:r w:rsidRPr="00804CB6">
        <w:t xml:space="preserve"> periphyton biomass </w:t>
      </w:r>
      <w:r w:rsidR="00764E67" w:rsidRPr="00804CB6">
        <w:t xml:space="preserve">objectives defined by </w:t>
      </w:r>
      <w:r w:rsidRPr="00804CB6">
        <w:t xml:space="preserve">the three attribute bands (A, B and C). These </w:t>
      </w:r>
      <w:r w:rsidR="00764E67" w:rsidRPr="00804CB6">
        <w:t xml:space="preserve">criteria </w:t>
      </w:r>
      <w:r w:rsidR="00AA3C47">
        <w:t xml:space="preserve">are defined by median TN concentrations and </w:t>
      </w:r>
      <w:r w:rsidRPr="00804CB6">
        <w:t xml:space="preserve">were derived using a regression model fitted to a dataset comprising 20 years of monthly measurements of periphyton biomass and environmental predictor variables at 78 monitoring sites across New Zealand. The environmental predictor variables account for broad-scale variation in </w:t>
      </w:r>
      <w:r w:rsidR="00BE4EF7">
        <w:t xml:space="preserve">physical conditions </w:t>
      </w:r>
      <w:r w:rsidRPr="00804CB6">
        <w:t xml:space="preserve">that influence </w:t>
      </w:r>
      <w:r w:rsidR="00E55E50">
        <w:t>the</w:t>
      </w:r>
      <w:r w:rsidR="00D46A41">
        <w:t xml:space="preserve"> </w:t>
      </w:r>
      <w:r w:rsidRPr="00804CB6">
        <w:t>biomass</w:t>
      </w:r>
      <w:r w:rsidR="00D46A41">
        <w:t xml:space="preserve"> </w:t>
      </w:r>
      <w:r w:rsidR="00697036">
        <w:t>other than nutrient concentrations</w:t>
      </w:r>
      <w:r w:rsidRPr="00804CB6">
        <w:t xml:space="preserve"> (e.g., temperature, </w:t>
      </w:r>
      <w:r w:rsidR="00680077">
        <w:t xml:space="preserve">light regimes and </w:t>
      </w:r>
      <w:r w:rsidRPr="00804CB6">
        <w:t xml:space="preserve">frequency of </w:t>
      </w:r>
      <w:r w:rsidR="00BF0EF2">
        <w:t xml:space="preserve">high </w:t>
      </w:r>
      <w:r w:rsidRPr="00804CB6">
        <w:t>flows</w:t>
      </w:r>
      <w:r w:rsidR="00BF0EF2">
        <w:t xml:space="preserve"> that remove periphyton from the </w:t>
      </w:r>
      <w:r w:rsidR="00C01120">
        <w:t>riverbed</w:t>
      </w:r>
      <w:r w:rsidRPr="00804CB6">
        <w:t xml:space="preserve">). </w:t>
      </w:r>
    </w:p>
    <w:p w14:paraId="1C8F3729" w14:textId="7ACAC33D" w:rsidR="00804CB6" w:rsidRDefault="001F6726" w:rsidP="00804CB6">
      <w:pPr>
        <w:spacing w:line="480" w:lineRule="auto"/>
      </w:pPr>
      <w:r w:rsidRPr="00804CB6">
        <w:t xml:space="preserve">Separate TN </w:t>
      </w:r>
      <w:r w:rsidR="00AA3C47" w:rsidRPr="00804CB6">
        <w:t xml:space="preserve">concentration criteria </w:t>
      </w:r>
      <w:r w:rsidRPr="00804CB6">
        <w:t xml:space="preserve">were derived for each of 21 </w:t>
      </w:r>
      <w:r w:rsidR="009D07AD">
        <w:t xml:space="preserve">river </w:t>
      </w:r>
      <w:r w:rsidRPr="00804CB6">
        <w:t xml:space="preserve">classes </w:t>
      </w:r>
      <w:r w:rsidR="009D07AD">
        <w:t xml:space="preserve">defined by </w:t>
      </w:r>
      <w:r w:rsidRPr="00804CB6">
        <w:t xml:space="preserve">the second level of the </w:t>
      </w:r>
      <w:r w:rsidR="00EF5765" w:rsidRPr="009D07AD">
        <w:t>New Zealand River Environment Classification (REC;</w:t>
      </w:r>
      <w:r w:rsidR="0048553D">
        <w:t xml:space="preserve"> </w:t>
      </w:r>
      <w:r w:rsidR="0048553D">
        <w:fldChar w:fldCharType="begin"/>
      </w:r>
      <w:r w:rsidR="00C1714C">
        <w:instrText xml:space="preserve"> ADDIN ZOTERO_ITEM CSL_CITATION {"citationID":"wbPDcMMO","properties":{"formattedCitation":"(Snelder and Biggs 2002)","plainCitation":"(Snelder and Biggs 2002)","dontUpdate":true,"noteIndex":0},"citationItems":[{"id":2118,"uris":["http://zotero.org/groups/2329384/items/GE7J2KMX"],"itemData":{"id":2118,"type":"article-journal","container-title":"Journal of the American Water Resources Association","issue":"5","page":"1225-1240","title":"Multi-scale river environment classification for water resources management","volume":"38","author":[{"family":"Snelder","given":"T.H."},{"family":"Biggs","given":"B.J.F."}],"issued":{"date-parts":[["2002"]]}}}],"schema":"https://github.com/citation-style-language/schema/raw/master/csl-citation.json"} </w:instrText>
      </w:r>
      <w:r w:rsidR="0048553D">
        <w:fldChar w:fldCharType="separate"/>
      </w:r>
      <w:r w:rsidR="0048553D" w:rsidRPr="0048553D">
        <w:rPr>
          <w:rFonts w:cs="Times New Roman"/>
        </w:rPr>
        <w:t>Snelder and Biggs 2002)</w:t>
      </w:r>
      <w:r w:rsidR="0048553D">
        <w:fldChar w:fldCharType="end"/>
      </w:r>
      <w:r w:rsidRPr="00804CB6">
        <w:t xml:space="preserve">. </w:t>
      </w:r>
      <w:r w:rsidR="009D07AD" w:rsidRPr="009D07AD">
        <w:t xml:space="preserve">REC classes </w:t>
      </w:r>
      <w:r w:rsidR="00E52D49">
        <w:t xml:space="preserve">at the </w:t>
      </w:r>
      <w:r w:rsidR="00E52D49" w:rsidRPr="00804CB6">
        <w:t xml:space="preserve">second level of the </w:t>
      </w:r>
      <w:r w:rsidR="00E52D49">
        <w:t xml:space="preserve">REC </w:t>
      </w:r>
      <w:r w:rsidR="001D2CDE">
        <w:t xml:space="preserve">broadly </w:t>
      </w:r>
      <w:r w:rsidR="0069769A">
        <w:t>distinguish between</w:t>
      </w:r>
      <w:r w:rsidR="001D2CDE">
        <w:t xml:space="preserve"> </w:t>
      </w:r>
      <w:r w:rsidR="00E52D49">
        <w:t xml:space="preserve">rivers </w:t>
      </w:r>
      <w:r w:rsidR="009D07AD" w:rsidRPr="009D07AD">
        <w:t>based on climate</w:t>
      </w:r>
      <w:r w:rsidR="001D2CDE">
        <w:t xml:space="preserve"> and</w:t>
      </w:r>
      <w:r w:rsidR="009D07AD" w:rsidRPr="009D07AD">
        <w:t xml:space="preserve"> topography</w:t>
      </w:r>
      <w:r w:rsidR="0069769A">
        <w:t xml:space="preserve"> and classes</w:t>
      </w:r>
      <w:r w:rsidR="001D2CDE">
        <w:t xml:space="preserve"> </w:t>
      </w:r>
      <w:r w:rsidR="0008400F">
        <w:t xml:space="preserve">and these </w:t>
      </w:r>
      <w:r w:rsidR="001D2CDE">
        <w:t>discriminate</w:t>
      </w:r>
      <w:r w:rsidR="0069769A">
        <w:t xml:space="preserve"> </w:t>
      </w:r>
      <w:r w:rsidR="00680077">
        <w:t xml:space="preserve">variation in </w:t>
      </w:r>
      <w:r w:rsidR="009A1402" w:rsidRPr="00804CB6">
        <w:t xml:space="preserve">factors that influence </w:t>
      </w:r>
      <w:r w:rsidR="009A1402">
        <w:t xml:space="preserve">the </w:t>
      </w:r>
      <w:r w:rsidR="009A1402" w:rsidRPr="00804CB6">
        <w:t>biomass</w:t>
      </w:r>
      <w:r w:rsidR="009A1402">
        <w:t xml:space="preserve"> response to nutrient supply</w:t>
      </w:r>
      <w:r w:rsidR="009A1402" w:rsidRPr="00804CB6">
        <w:t xml:space="preserve"> </w:t>
      </w:r>
      <w:r w:rsidR="009A1402">
        <w:t>other than nutrient concentrations</w:t>
      </w:r>
      <w:r w:rsidR="009D07AD" w:rsidRPr="009D07AD">
        <w:t>.</w:t>
      </w:r>
      <w:r w:rsidR="009A1402">
        <w:t xml:space="preserve"> The </w:t>
      </w:r>
      <w:r w:rsidR="00D331F2">
        <w:t xml:space="preserve">concentration </w:t>
      </w:r>
      <w:r w:rsidR="00226167">
        <w:t xml:space="preserve">criteria for each REC class are therefore specific to the </w:t>
      </w:r>
      <w:r w:rsidR="00BE4EF7">
        <w:t xml:space="preserve">physical conditions </w:t>
      </w:r>
      <w:r w:rsidR="007F39AD">
        <w:t xml:space="preserve">that can be expected to influence periphyton biomass. </w:t>
      </w:r>
      <w:r w:rsidRPr="00804CB6">
        <w:t xml:space="preserve">The TN </w:t>
      </w:r>
      <w:r w:rsidR="007F39AD">
        <w:t>concentration criteria</w:t>
      </w:r>
      <w:r w:rsidRPr="00804CB6">
        <w:t xml:space="preserve"> corresponding to each NOF band was obtained for each river receiving environment based on its REC class.</w:t>
      </w:r>
      <w:r w:rsidR="00A34AC5">
        <w:t xml:space="preserve"> REC class assignments were obtained from </w:t>
      </w:r>
      <w:r w:rsidR="00F245A7">
        <w:t xml:space="preserve">data that is associated with the digital river network. </w:t>
      </w:r>
    </w:p>
    <w:p w14:paraId="73152C7A" w14:textId="682BEED2" w:rsidR="006E241C" w:rsidRPr="00F01273" w:rsidRDefault="005D2896" w:rsidP="005D2896">
      <w:pPr>
        <w:pStyle w:val="Heading1"/>
      </w:pPr>
      <w:r>
        <w:lastRenderedPageBreak/>
        <w:t>Nutrient criteria for e</w:t>
      </w:r>
      <w:r w:rsidR="006E241C">
        <w:t>stuaries</w:t>
      </w:r>
    </w:p>
    <w:p w14:paraId="3ED1E655" w14:textId="4A001899" w:rsidR="006E360D" w:rsidRPr="006E241C" w:rsidRDefault="006E360D" w:rsidP="006E360D">
      <w:pPr>
        <w:spacing w:line="480" w:lineRule="auto"/>
      </w:pPr>
      <w:r w:rsidRPr="006E241C">
        <w:t xml:space="preserve">Environmental objectives for estuaries and other coastal environments are mandated by the New Zealand Coastal Policy Statement (NZCPS; </w:t>
      </w:r>
      <w:r w:rsidRPr="006E241C">
        <w:fldChar w:fldCharType="begin"/>
      </w:r>
      <w:r w:rsidR="007361E7" w:rsidRPr="006E241C">
        <w:instrText xml:space="preserve"> ADDIN ZOTERO_ITEM CSL_CITATION {"citationID":"M6gqOEuV","properties":{"formattedCitation":"(NZ Government 2010)","plainCitation":"(NZ Government 2010)","dontUpdate":true,"noteIndex":0},"citationItems":[{"id":4108,"uris":["http://zotero.org/groups/2329384/items/BBMXXKXC"],"itemData":{"id":4108,"type":"legislation","title":"New Zealand Coastal Policy Statement.","author":[{"family":"NZ Government","given":""}],"issued":{"date-parts":[["2010"]]}}}],"schema":"https://github.com/citation-style-language/schema/raw/master/csl-citation.json"} </w:instrText>
      </w:r>
      <w:r w:rsidRPr="006E241C">
        <w:fldChar w:fldCharType="separate"/>
      </w:r>
      <w:r w:rsidRPr="006E241C">
        <w:t>NZ Government 2010)</w:t>
      </w:r>
      <w:r w:rsidRPr="006E241C">
        <w:fldChar w:fldCharType="end"/>
      </w:r>
      <w:r w:rsidRPr="006E241C">
        <w:t>. The NZCPS does not have the structured approach</w:t>
      </w:r>
      <w:r w:rsidR="000815D4">
        <w:t xml:space="preserve"> based on attributes </w:t>
      </w:r>
      <w:r w:rsidR="003A1AC8">
        <w:t>for</w:t>
      </w:r>
      <w:r w:rsidRPr="006E241C">
        <w:t xml:space="preserve"> defining water quality </w:t>
      </w:r>
      <w:r w:rsidR="00182C6E" w:rsidRPr="006E241C">
        <w:t>objectives</w:t>
      </w:r>
      <w:r w:rsidRPr="006E241C">
        <w:t xml:space="preserve"> of the NPS-FM. However, the NZCPS does require regional councils to seek to preserve the natural character of the coastal environment including its ecosystems and biodiversity, which requires the management of discharges to, and concentration of contaminants in, the coastal water bodies. </w:t>
      </w:r>
    </w:p>
    <w:p w14:paraId="157E1489" w14:textId="02F1E5F5" w:rsidR="006E360D" w:rsidRPr="00284B82" w:rsidRDefault="006E360D" w:rsidP="006E360D">
      <w:pPr>
        <w:spacing w:line="480" w:lineRule="auto"/>
      </w:pPr>
      <w:r w:rsidRPr="00284B82">
        <w:t xml:space="preserve">A large proportion of Southland estuaries in agriculture-dominated catchments are shallow and have extensive intertidal areas. When enriched with nutrients (particularly nitrogen) from the upstream catchment, these estuaries are susceptible to eutrophication </w:t>
      </w:r>
      <w:r w:rsidRPr="00284B82">
        <w:fldChar w:fldCharType="begin"/>
      </w:r>
      <w:r w:rsidR="007361E7" w:rsidRPr="00284B82">
        <w:instrText xml:space="preserve"> ADDIN ZOTERO_ITEM CSL_CITATION {"citationID":"NuihXBra","properties":{"formattedCitation":"(Valiela et al. 1997; Viaroli et al. 2008)","plainCitation":"(Valiela et al. 1997; Viaroli et al. 2008)","noteIndex":0},"citationItems":[{"id":4383,"uris":["http://zotero.org/groups/2329384/items/7L4997FL"],"itemData":{"id":4383,"type":"article-journal","container-title":"Limnology and oceanography","issue":"5part2","note":"publisher: Wiley Online Library","page":"1105–1118","source":"Google Scholar","title":"Macroalgal blooms in shallow estuaries: controls and ecophysiological and ecosystem consequences","title-short":"Macroalgal blooms in shallow estuaries","volume":"42","author":[{"family":"Valiela","given":"Ivan"},{"family":"McClelland","given":"James"},{"family":"Hauxwell","given":"Jennifer"},{"family":"Behr","given":"Peter J."},{"family":"Hersh","given":"Douglas"},{"family":"Foreman","given":"Kenneth"}],"issued":{"date-parts":[["1997"]]}}},{"id":3718,"uris":["http://zotero.org/groups/2329384/items/GCY2PSUX"],"itemData":{"id":3718,"type":"article-journal","container-title":"Aquatic Conservation: Marine and Freshwater Ecosystems","issue":"S1","note":"publisher: Wiley Online Library","page":"S105–S117","source":"Google Scholar","title":"Community shifts, alternative stable states, biogeochemical controls and feedbacks in eutrophic coastal lagoons: a brief overview","title-short":"Community shifts, alternative stable states, biogeochemical controls and feedbacks in eutrophic coastal lagoons","volume":"18","author":[{"family":"Viaroli","given":"Pierluigi"},{"family":"Bartoli","given":"Marco"},{"family":"Giordani","given":"Gianmarco"},{"family":"Naldi","given":"Mariachiara"},{"family":"Orfanidis","given":"Sotiris"},{"family":"Zaldivar","given":"José Manuel"}],"issued":{"date-parts":[["2008"]]}}}],"schema":"https://github.com/citation-style-language/schema/raw/master/csl-citation.json"} </w:instrText>
      </w:r>
      <w:r w:rsidRPr="00284B82">
        <w:fldChar w:fldCharType="separate"/>
      </w:r>
      <w:r w:rsidRPr="00284B82">
        <w:t>(Valiela et al. 1997; Viaroli et al. 2008)</w:t>
      </w:r>
      <w:r w:rsidRPr="00284B82">
        <w:fldChar w:fldCharType="end"/>
      </w:r>
      <w:r w:rsidRPr="00284B82">
        <w:t xml:space="preserve">. Symptoms of eutrophication in shallow estuaries include proliferations of benthic macroalgae, reduced oxygen levels, and </w:t>
      </w:r>
      <w:r w:rsidR="00DF534F" w:rsidRPr="00284B82">
        <w:t>sulfide</w:t>
      </w:r>
      <w:r w:rsidRPr="00284B82">
        <w:t xml:space="preserve"> production due to organic matter breakdown </w:t>
      </w:r>
      <w:r w:rsidRPr="00284B82">
        <w:fldChar w:fldCharType="begin"/>
      </w:r>
      <w:r w:rsidR="007361E7" w:rsidRPr="00284B82">
        <w:instrText xml:space="preserve"> ADDIN ZOTERO_ITEM CSL_CITATION {"citationID":"KLWBpzt0","properties":{"formattedCitation":"(Plew et al. 2020)","plainCitation":"(Plew et al. 2020)","noteIndex":0},"citationItems":[{"id":3743,"uris":["http://zotero.org/groups/2329384/items/2R37HRNL"],"itemData":{"id":3743,"type":"article-journal","container-title":"Estuaries and Coasts","DOI":"10.1007/s12237-020-00729-w","note":"publisher: Springer","page":"2015-2033","source":"Google Scholar","title":"Assessing the Eutrophic Susceptibility of New Zealand Estuaries","volume":"43","author":[{"family":"Plew","given":"David R."},{"family":"Zeldis","given":"John R."},{"family":"Dudley","given":"Bruce D."},{"family":"Whitehead","given":"Amy L."},{"family":"Stevens","given":"Leigh M."},{"family":"Robertson","given":"Barry M."},{"family":"Robertson","given":"Ben P."}],"issued":{"date-parts":[["2020"]]}}}],"schema":"https://github.com/citation-style-language/schema/raw/master/csl-citation.json"} </w:instrText>
      </w:r>
      <w:r w:rsidRPr="00284B82">
        <w:fldChar w:fldCharType="separate"/>
      </w:r>
      <w:r w:rsidRPr="00284B82">
        <w:t>(Plew et al. 2020)</w:t>
      </w:r>
      <w:r w:rsidRPr="00284B82">
        <w:fldChar w:fldCharType="end"/>
      </w:r>
      <w:r w:rsidRPr="00284B82">
        <w:t xml:space="preserve">. The remaining Southland estuaries are deeper and predominantly subtidal. In deep estuaries, phytoplankton proliferations are symptomatic of eutrophication, rather than macroalgae. Most of the deep estuaries in Southland have catchments with little or no potential for pastoral land use and are therefore at low risk of eutrophication. </w:t>
      </w:r>
    </w:p>
    <w:p w14:paraId="20E69474" w14:textId="6B750F8B" w:rsidR="006E360D" w:rsidRPr="00F01273" w:rsidRDefault="006E360D" w:rsidP="006E360D">
      <w:pPr>
        <w:spacing w:line="480" w:lineRule="auto"/>
      </w:pPr>
      <w:r w:rsidRPr="00EC39F3">
        <w:t>We used the New</w:t>
      </w:r>
      <w:r w:rsidRPr="004A7815">
        <w:t xml:space="preserve"> Zealand Estuary Trophic Index (ETI, </w:t>
      </w:r>
      <w:r w:rsidRPr="004A7815">
        <w:fldChar w:fldCharType="begin"/>
      </w:r>
      <w:r w:rsidR="007361E7">
        <w:instrText xml:space="preserve"> ADDIN ZOTERO_ITEM CSL_CITATION {"citationID":"HFwpvjE7","properties":{"formattedCitation":"(Plew et al. 2020)","plainCitation":"(Plew et al. 2020)","dontUpdate":true,"noteIndex":0},"citationItems":[{"id":3743,"uris":["http://zotero.org/groups/2329384/items/2R37HRNL"],"itemData":{"id":3743,"type":"article-journal","container-title":"Estuaries and Coasts","DOI":"10.1007/s12237-020-00729-w","note":"publisher: Springer","page":"2015-2033","source":"Google Scholar","title":"Assessing the Eutrophic Susceptibility of New Zealand Estuaries","volume":"43","author":[{"family":"Plew","given":"David R."},{"family":"Zeldis","given":"John R."},{"family":"Dudley","given":"Bruce D."},{"family":"Whitehead","given":"Amy L."},{"family":"Stevens","given":"Leigh M."},{"family":"Robertson","given":"Barry M."},{"family":"Robertson","given":"Ben P."}],"issued":{"date-parts":[["2020"]]}}}],"schema":"https://github.com/citation-style-language/schema/raw/master/csl-citation.json"} </w:instrText>
      </w:r>
      <w:r w:rsidRPr="004A7815">
        <w:fldChar w:fldCharType="separate"/>
      </w:r>
      <w:r w:rsidRPr="004A7815">
        <w:t>Plew et al. 2020)</w:t>
      </w:r>
      <w:r w:rsidRPr="004A7815">
        <w:fldChar w:fldCharType="end"/>
      </w:r>
      <w:r w:rsidRPr="004A7815">
        <w:t xml:space="preserve"> to define TN targets for the Southland estuaries. The ETI quantifies the susceptibility of estuaries to eutrophication, based on their morphological characteristics and </w:t>
      </w:r>
      <w:r w:rsidRPr="007776C7">
        <w:t xml:space="preserve">catchment TN load. </w:t>
      </w:r>
      <w:r w:rsidR="00612B68" w:rsidRPr="007776C7">
        <w:t xml:space="preserve">The method </w:t>
      </w:r>
      <w:r w:rsidR="00612B68" w:rsidRPr="000C509E">
        <w:t xml:space="preserve">predicts the potential in-estuary TN concentration by combining </w:t>
      </w:r>
      <w:r w:rsidR="00281531">
        <w:t>the</w:t>
      </w:r>
      <w:r w:rsidR="00612B68" w:rsidRPr="000C509E">
        <w:t xml:space="preserve"> catchment</w:t>
      </w:r>
      <w:r w:rsidR="00281531">
        <w:t xml:space="preserve"> and</w:t>
      </w:r>
      <w:r w:rsidR="00612B68" w:rsidRPr="000C509E">
        <w:t xml:space="preserve"> </w:t>
      </w:r>
      <w:r w:rsidR="00281531" w:rsidRPr="000C509E">
        <w:rPr>
          <w:color w:val="000000" w:themeColor="text1"/>
        </w:rPr>
        <w:t xml:space="preserve">oceanic </w:t>
      </w:r>
      <w:r w:rsidR="00612B68" w:rsidRPr="000C509E">
        <w:t>contribution</w:t>
      </w:r>
      <w:r w:rsidR="009068CC">
        <w:t>s</w:t>
      </w:r>
      <w:r w:rsidR="00612B68" w:rsidRPr="000C509E">
        <w:rPr>
          <w:color w:val="000000" w:themeColor="text1"/>
        </w:rPr>
        <w:t xml:space="preserve"> of TN (as annual </w:t>
      </w:r>
      <w:r w:rsidR="00D54D82">
        <w:rPr>
          <w:color w:val="000000" w:themeColor="text1"/>
        </w:rPr>
        <w:t xml:space="preserve">catchment </w:t>
      </w:r>
      <w:r w:rsidR="00612B68" w:rsidRPr="000C509E">
        <w:rPr>
          <w:color w:val="000000" w:themeColor="text1"/>
        </w:rPr>
        <w:t>load</w:t>
      </w:r>
      <w:r w:rsidR="00281531">
        <w:rPr>
          <w:color w:val="000000" w:themeColor="text1"/>
        </w:rPr>
        <w:t>s</w:t>
      </w:r>
      <w:r w:rsidR="00D54D82">
        <w:rPr>
          <w:color w:val="000000" w:themeColor="text1"/>
        </w:rPr>
        <w:t xml:space="preserve"> and mean annual ocean nutrient concentration</w:t>
      </w:r>
      <w:r w:rsidR="00612B68" w:rsidRPr="000C509E">
        <w:rPr>
          <w:color w:val="000000" w:themeColor="text1"/>
        </w:rPr>
        <w:t>) with</w:t>
      </w:r>
      <w:r w:rsidR="00281531">
        <w:rPr>
          <w:color w:val="000000" w:themeColor="text1"/>
        </w:rPr>
        <w:t>in</w:t>
      </w:r>
      <w:r w:rsidR="00612B68" w:rsidRPr="000C509E">
        <w:rPr>
          <w:color w:val="000000" w:themeColor="text1"/>
        </w:rPr>
        <w:t xml:space="preserve"> an estuary dilution model that incorporates data describing estuary volume, tidal prism and freshwater</w:t>
      </w:r>
      <w:r w:rsidR="009068CC">
        <w:rPr>
          <w:color w:val="000000" w:themeColor="text1"/>
        </w:rPr>
        <w:t xml:space="preserve"> and oceanic inflows</w:t>
      </w:r>
      <w:r w:rsidR="00612B68" w:rsidRPr="000C509E">
        <w:rPr>
          <w:color w:val="000000" w:themeColor="text1"/>
        </w:rPr>
        <w:t xml:space="preserve"> </w:t>
      </w:r>
      <w:r w:rsidR="00612B68" w:rsidRPr="000C509E">
        <w:fldChar w:fldCharType="begin"/>
      </w:r>
      <w:r w:rsidR="00612B68" w:rsidRPr="000C509E">
        <w:instrText xml:space="preserve"> ADDIN ZOTERO_ITEM CSL_CITATION {"citationID":"0YmrvKAF","properties":{"formattedCitation":"(Plew et al. 2018)","plainCitation":"(Plew et al. 2018)","noteIndex":0},"citationItems":[{"id":3627,"uris":["http://zotero.org/groups/2329384/items/22VZF49I"],"itemData":{"id":3627,"type":"article-journal","container-title":"Estuaries and coasts","issue":"6","page":"1643–1659","source":"Google Scholar","title":"Using simple dilution models to predict New Zealand estuarine water quality","volume":"41","author":[{"family":"Plew","given":"David R."},{"family":"Zeldis","given":"John R."},{"family":"Shankar","given":"Ude"},{"family":"Elliott","given":"Alexander H."}],"issued":{"date-parts":[["2018"]]}}}],"schema":"https://github.com/citation-style-language/schema/raw/master/csl-citation.json"} </w:instrText>
      </w:r>
      <w:r w:rsidR="00612B68" w:rsidRPr="000C509E">
        <w:fldChar w:fldCharType="separate"/>
      </w:r>
      <w:r w:rsidR="00612B68" w:rsidRPr="000C509E">
        <w:t>(Plew et al. 2018)</w:t>
      </w:r>
      <w:r w:rsidR="00612B68" w:rsidRPr="000C509E">
        <w:fldChar w:fldCharType="end"/>
      </w:r>
      <w:r w:rsidR="00612B68" w:rsidRPr="000C509E">
        <w:t>. For</w:t>
      </w:r>
      <w:r w:rsidR="00612B68" w:rsidRPr="000C509E">
        <w:rPr>
          <w:color w:val="000000" w:themeColor="text1"/>
        </w:rPr>
        <w:t xml:space="preserve"> each estuary </w:t>
      </w:r>
      <w:r w:rsidR="00612B68" w:rsidRPr="000C509E">
        <w:rPr>
          <w:color w:val="000000" w:themeColor="text1"/>
        </w:rPr>
        <w:lastRenderedPageBreak/>
        <w:t xml:space="preserve">in the region, the dilution model was used to predict the potential TN concentration corresponding to a range of catchment TN loads. </w:t>
      </w:r>
      <w:r w:rsidRPr="000C509E">
        <w:t xml:space="preserve">The </w:t>
      </w:r>
      <w:r w:rsidR="007731A5" w:rsidRPr="000C509E">
        <w:t>concentrations</w:t>
      </w:r>
      <w:r w:rsidR="007731A5">
        <w:t xml:space="preserve"> are </w:t>
      </w:r>
      <w:r w:rsidR="00EC12E1">
        <w:t xml:space="preserve">used to </w:t>
      </w:r>
      <w:r w:rsidRPr="004A7815">
        <w:t xml:space="preserve">define eutrophication susceptibility </w:t>
      </w:r>
      <w:r w:rsidR="001D401B">
        <w:t xml:space="preserve">as </w:t>
      </w:r>
      <w:r w:rsidR="003C2494">
        <w:t>macro</w:t>
      </w:r>
      <w:r w:rsidR="001D401B">
        <w:t>algal</w:t>
      </w:r>
      <w:r w:rsidR="003C2494">
        <w:t xml:space="preserve"> and phytoplankton</w:t>
      </w:r>
      <w:r w:rsidR="001D401B">
        <w:t xml:space="preserve"> response </w:t>
      </w:r>
      <w:r w:rsidRPr="004A7815">
        <w:t>bands</w:t>
      </w:r>
      <w:r w:rsidR="003C2494">
        <w:t xml:space="preserve"> (Plew et al. </w:t>
      </w:r>
      <w:proofErr w:type="gramStart"/>
      <w:r w:rsidR="003C2494">
        <w:t>2020)</w:t>
      </w:r>
      <w:r w:rsidRPr="004A7815">
        <w:t>that</w:t>
      </w:r>
      <w:proofErr w:type="gramEnd"/>
      <w:r w:rsidRPr="004A7815">
        <w:t xml:space="preserve"> are analogous to the NOF river periphyton bands </w:t>
      </w:r>
      <w:r w:rsidR="001D401B">
        <w:t>(i.e.,</w:t>
      </w:r>
      <w:r w:rsidRPr="004A7815">
        <w:t xml:space="preserve"> A band indicating very low susceptibility and the D band indicating high susceptibility</w:t>
      </w:r>
      <w:r w:rsidR="000C509E">
        <w:t>)</w:t>
      </w:r>
      <w:r w:rsidRPr="004A7815">
        <w:t>. For estuaries that have an intertidal area greater that 40%, ETI susceptibility bands are based on macroalgal biomass. For estuaries with intertidal areas less than 5%, ETI susceptibility bands are based on phytoplankton biomass. If the intertidal area is between 5% and 40%, ETI susceptibility bands are defined based on both macroalgal and phytoplankton biomass.</w:t>
      </w:r>
      <w:r>
        <w:t xml:space="preserve"> </w:t>
      </w:r>
      <w:r w:rsidR="003C2494">
        <w:t>Maximum acceptable loads for estuaries were defined as the loads corresponding to the threshold between the C and D bands for either macroalgal or phytoplankton response, depending on intertidal area.</w:t>
      </w:r>
    </w:p>
    <w:p w14:paraId="6D4D3EFC" w14:textId="1F5286EB" w:rsidR="00B826E9" w:rsidRDefault="00B826E9" w:rsidP="00B826E9">
      <w:pPr>
        <w:pStyle w:val="Heading1"/>
      </w:pPr>
      <w:r>
        <w:t xml:space="preserve">Conversion of river </w:t>
      </w:r>
      <w:r w:rsidR="00D46C7E">
        <w:t xml:space="preserve">nutrient </w:t>
      </w:r>
      <w:r>
        <w:t>concentration</w:t>
      </w:r>
      <w:r w:rsidR="005A0EFA">
        <w:t xml:space="preserve"> criteria</w:t>
      </w:r>
      <w:r>
        <w:t xml:space="preserve"> to </w:t>
      </w:r>
      <w:r w:rsidR="005A0EFA">
        <w:t xml:space="preserve">maximum allowable </w:t>
      </w:r>
      <w:r>
        <w:t>loads</w:t>
      </w:r>
    </w:p>
    <w:p w14:paraId="00C07FD9" w14:textId="39FA94CD" w:rsidR="00DD2FE8" w:rsidRPr="00F01273" w:rsidRDefault="00644AAE" w:rsidP="00E22D7C">
      <w:pPr>
        <w:spacing w:line="480" w:lineRule="auto"/>
      </w:pPr>
      <w:r>
        <w:t xml:space="preserve">River TN concentration criteria </w:t>
      </w:r>
      <w:r w:rsidRPr="004B35A0">
        <w:t xml:space="preserve">were converted to equivalent </w:t>
      </w:r>
      <w:r w:rsidR="00AD772F" w:rsidRPr="004B35A0">
        <w:t>maximum acceptable loads (MAL; kg TN year</w:t>
      </w:r>
      <w:r w:rsidR="00AD772F" w:rsidRPr="004B35A0">
        <w:rPr>
          <w:vertAlign w:val="superscript"/>
        </w:rPr>
        <w:t>-1</w:t>
      </w:r>
      <w:r w:rsidR="00AD772F" w:rsidRPr="004B35A0">
        <w:t xml:space="preserve">) </w:t>
      </w:r>
      <w:r w:rsidR="00B826E9" w:rsidRPr="004B35A0">
        <w:t>using the method</w:t>
      </w:r>
      <w:r w:rsidR="00B826E9">
        <w:t xml:space="preserve"> of</w:t>
      </w:r>
      <w:r w:rsidR="00B826E9" w:rsidRPr="005B4A02">
        <w:t xml:space="preserve"> </w:t>
      </w:r>
      <w:r w:rsidR="00B826E9" w:rsidRPr="005B4A02">
        <w:fldChar w:fldCharType="begin"/>
      </w:r>
      <w:r w:rsidR="00C1714C">
        <w:instrText xml:space="preserve"> ADDIN ZOTERO_ITEM CSL_CITATION {"citationID":"wroHT5SJ","properties":{"formattedCitation":"(Snelder et al. 2020)","plainCitation":"(Snelder et al. 2020)","dontUpdate":true,"noteIndex":0},"citationItems":[{"id":3818,"uris":["http://zotero.org/groups/2329384/items/2DFS79WZ"],"itemData":{"id":3818,"type":"article-journal","container-title":"New Zealand Journal of Marine and Freshwater Research","issue":"3","note":"publisher: Taylor &amp; Francis","page":"527-550","source":"Google Scholar","title":"Nitrogen loads to New Zealand aquatic receiving environments: comparison with regulatory criteria","title-short":"Nitrogen loads to New Zealand aquatic receiving environments","volume":"54","author":[{"family":"Snelder","given":"Ton H."},{"family":"Whitehead","given":"Amy L."},{"family":"Fraser","given":"Caroline"},{"family":"Larned","given":"Scott T."},{"family":"Schallenberg","given":"Marc"}],"issued":{"date-parts":[["2020"]]}}}],"schema":"https://github.com/citation-style-language/schema/raw/master/csl-citation.json"} </w:instrText>
      </w:r>
      <w:r w:rsidR="00B826E9" w:rsidRPr="005B4A02">
        <w:fldChar w:fldCharType="separate"/>
      </w:r>
      <w:r w:rsidR="00B826E9" w:rsidRPr="005B4A02">
        <w:t xml:space="preserve">Snelder et al. </w:t>
      </w:r>
      <w:r w:rsidR="00776A52">
        <w:t>(</w:t>
      </w:r>
      <w:r w:rsidR="00B826E9" w:rsidRPr="005B4A02">
        <w:t>2020)</w:t>
      </w:r>
      <w:r w:rsidR="00B826E9" w:rsidRPr="005B4A02">
        <w:fldChar w:fldCharType="end"/>
      </w:r>
      <w:r w:rsidR="00B826E9">
        <w:t xml:space="preserve"> in </w:t>
      </w:r>
      <w:r w:rsidR="005C40C5">
        <w:t xml:space="preserve">five </w:t>
      </w:r>
      <w:r w:rsidR="00B826E9">
        <w:t>steps</w:t>
      </w:r>
      <w:r w:rsidR="00DD2FE8">
        <w:t xml:space="preserve">. </w:t>
      </w:r>
      <w:r w:rsidR="00D7014E" w:rsidRPr="005B4A02">
        <w:t xml:space="preserve">First, </w:t>
      </w:r>
      <w:r w:rsidR="007E2A2F">
        <w:t xml:space="preserve">site </w:t>
      </w:r>
      <w:r w:rsidR="007A15DC">
        <w:t>m</w:t>
      </w:r>
      <w:r w:rsidR="007A15DC" w:rsidRPr="005B4A02">
        <w:t>edian concentrations</w:t>
      </w:r>
      <w:r w:rsidR="007A15DC">
        <w:t xml:space="preserve"> were</w:t>
      </w:r>
      <w:r w:rsidR="007A15DC" w:rsidRPr="005B4A02">
        <w:t xml:space="preserve"> calculated from monthly </w:t>
      </w:r>
      <w:r w:rsidR="007A15DC">
        <w:t xml:space="preserve">observations </w:t>
      </w:r>
      <w:r w:rsidR="00863052">
        <w:t xml:space="preserve">of TN </w:t>
      </w:r>
      <w:r w:rsidR="007A15DC" w:rsidRPr="005B4A02">
        <w:t xml:space="preserve">concentrations at </w:t>
      </w:r>
      <w:r w:rsidR="003F3785">
        <w:t>678</w:t>
      </w:r>
      <w:r w:rsidR="007A15DC" w:rsidRPr="005B4A02">
        <w:t xml:space="preserve"> monitoring sites </w:t>
      </w:r>
      <w:r w:rsidR="007E2A2F" w:rsidRPr="005B4A02">
        <w:t xml:space="preserve">distributed throughout New Zealand </w:t>
      </w:r>
      <w:r w:rsidR="007A15DC" w:rsidRPr="005B4A02">
        <w:t>for the five-year period ending 201</w:t>
      </w:r>
      <w:r w:rsidR="00944E8F">
        <w:t>7</w:t>
      </w:r>
      <w:r w:rsidR="007E2A2F">
        <w:t xml:space="preserve">. </w:t>
      </w:r>
      <w:r w:rsidR="00E22D7C">
        <w:t xml:space="preserve">The monitoring sites provided a reasonable representation of national variation in catchment characteristics such as climate, topography, </w:t>
      </w:r>
      <w:proofErr w:type="gramStart"/>
      <w:r w:rsidR="00E22D7C">
        <w:t>geology</w:t>
      </w:r>
      <w:proofErr w:type="gramEnd"/>
      <w:r w:rsidR="00E22D7C">
        <w:t xml:space="preserve"> and land use. </w:t>
      </w:r>
      <w:r w:rsidR="00863052" w:rsidRPr="005B4A02">
        <w:t xml:space="preserve">The Southland Region was represented by 58 sites. </w:t>
      </w:r>
      <w:r w:rsidR="006B744A">
        <w:t>Second, a R</w:t>
      </w:r>
      <w:r w:rsidR="00E22D7C">
        <w:t xml:space="preserve">andom Forest (RF) regression model </w:t>
      </w:r>
      <w:r w:rsidR="00E22D7C">
        <w:fldChar w:fldCharType="begin"/>
      </w:r>
      <w:r w:rsidR="00E22D7C">
        <w:instrText xml:space="preserve"> ADDIN ZOTERO_ITEM CSL_CITATION {"citationID":"JWdwEVqh","properties":{"formattedCitation":"(Cutler et al. 2007)","plainCitation":"(Cutler et al. 2007)","noteIndex":0},"citationItems":[{"id":2321,"uris":["http://zotero.org/groups/2329384/items/8M24LAM4"],"itemData":{"id":2321,"type":"article-journal","container-title":"Ecology","issue":"11","page":"2783–2792","title":"Random forests for classification in ecology","volume":"88","author":[{"family":"Cutler","given":"D.R."},{"family":"Edwards","given":"J.T.C."},{"family":"Beard","given":"K.H."},{"family":"Cutler","given":"A."},{"family":"Hess","given":"K.T."},{"family":"Gibson","given":"J."},{"family":"Lawler","given":"J.J."}],"issued":{"date-parts":[["2007"]]}}}],"schema":"https://github.com/citation-style-language/schema/raw/master/csl-citation.json"} </w:instrText>
      </w:r>
      <w:r w:rsidR="00E22D7C">
        <w:fldChar w:fldCharType="separate"/>
      </w:r>
      <w:r w:rsidR="00E22D7C" w:rsidRPr="00E22D7C">
        <w:rPr>
          <w:rFonts w:cs="Times New Roman"/>
        </w:rPr>
        <w:t>(Cutler et al. 2007)</w:t>
      </w:r>
      <w:r w:rsidR="00E22D7C">
        <w:fldChar w:fldCharType="end"/>
      </w:r>
      <w:r w:rsidR="00E22D7C">
        <w:t xml:space="preserve"> </w:t>
      </w:r>
      <w:r w:rsidR="006B744A">
        <w:t>was fitted to the site median TN values</w:t>
      </w:r>
      <w:r w:rsidR="00E22D7C">
        <w:t xml:space="preserve"> using the methods and predictor variables used by</w:t>
      </w:r>
      <w:r w:rsidR="00667F43">
        <w:t xml:space="preserve"> </w:t>
      </w:r>
      <w:r w:rsidR="00667F43" w:rsidRPr="005B4A02">
        <w:fldChar w:fldCharType="begin"/>
      </w:r>
      <w:r w:rsidR="00667F43">
        <w:instrText xml:space="preserve"> ADDIN ZOTERO_ITEM CSL_CITATION {"citationID":"wroHT5SJ","properties":{"formattedCitation":"(Snelder et al. 2020)","plainCitation":"(Snelder et al. 2020)","dontUpdate":true,"noteIndex":0},"citationItems":[{"id":3818,"uris":["http://zotero.org/groups/2329384/items/2DFS79WZ"],"itemData":{"id":3818,"type":"article-journal","container-title":"New Zealand Journal of Marine and Freshwater Research","issue":"3","note":"publisher: Taylor &amp; Francis","page":"527-550","source":"Google Scholar","title":"Nitrogen loads to New Zealand aquatic receiving environments: comparison with regulatory criteria","title-short":"Nitrogen loads to New Zealand aquatic receiving environments","volume":"54","author":[{"family":"Snelder","given":"Ton H."},{"family":"Whitehead","given":"Amy L."},{"family":"Fraser","given":"Caroline"},{"family":"Larned","given":"Scott T."},{"family":"Schallenberg","given":"Marc"}],"issued":{"date-parts":[["2020"]]}}}],"schema":"https://github.com/citation-style-language/schema/raw/master/csl-citation.json"} </w:instrText>
      </w:r>
      <w:r w:rsidR="00667F43" w:rsidRPr="005B4A02">
        <w:fldChar w:fldCharType="separate"/>
      </w:r>
      <w:r w:rsidR="00667F43" w:rsidRPr="005B4A02">
        <w:t xml:space="preserve">Snelder et al. </w:t>
      </w:r>
      <w:r w:rsidR="00667F43">
        <w:t>(</w:t>
      </w:r>
      <w:r w:rsidR="00667F43" w:rsidRPr="005B4A02">
        <w:t>2020)</w:t>
      </w:r>
      <w:r w:rsidR="00667F43" w:rsidRPr="005B4A02">
        <w:fldChar w:fldCharType="end"/>
      </w:r>
      <w:r w:rsidR="00D7014E" w:rsidRPr="005B4A02">
        <w:t xml:space="preserve">. The model predictors were catchment characteristics that are available for all </w:t>
      </w:r>
      <w:r w:rsidR="0084545B" w:rsidRPr="005B4A02">
        <w:t>segments</w:t>
      </w:r>
      <w:r w:rsidR="0084545B">
        <w:t xml:space="preserve"> of the</w:t>
      </w:r>
      <w:r w:rsidR="0084545B" w:rsidRPr="005B4A02">
        <w:t xml:space="preserve"> </w:t>
      </w:r>
      <w:r w:rsidR="00A461F7">
        <w:t>digital surface water drainage network</w:t>
      </w:r>
      <w:r w:rsidR="00D7014E" w:rsidRPr="005B4A02">
        <w:t xml:space="preserve">. </w:t>
      </w:r>
      <w:r w:rsidR="00CB1C6C">
        <w:t>Third</w:t>
      </w:r>
      <w:r w:rsidR="00D7014E" w:rsidRPr="005B4A02">
        <w:t xml:space="preserve">, the fitted regression model was used to predict the current median TN concentration for every river receiving environment. </w:t>
      </w:r>
      <w:r w:rsidR="00CB1C6C">
        <w:t>Forth</w:t>
      </w:r>
      <w:r w:rsidR="00D7014E" w:rsidRPr="005B4A02">
        <w:t xml:space="preserve">, we calculated the ratio of the </w:t>
      </w:r>
      <w:r w:rsidR="00D400AE">
        <w:t xml:space="preserve">current </w:t>
      </w:r>
      <w:r w:rsidR="00D7014E" w:rsidRPr="005B4A02">
        <w:t xml:space="preserve">delivered load </w:t>
      </w:r>
      <w:r w:rsidR="00D400AE">
        <w:t>(i.e.</w:t>
      </w:r>
      <w:r w:rsidR="005A0EFA">
        <w:t xml:space="preserve">, </w:t>
      </w:r>
      <w:r w:rsidR="00D7014E" w:rsidRPr="005B4A02">
        <w:t xml:space="preserve">for </w:t>
      </w:r>
      <w:r w:rsidR="00D7014E" w:rsidRPr="005B4A02">
        <w:lastRenderedPageBreak/>
        <w:t>the current land use scenario</w:t>
      </w:r>
      <w:r w:rsidR="005A0EFA">
        <w:t>)</w:t>
      </w:r>
      <w:r w:rsidR="00D7014E" w:rsidRPr="005B4A02">
        <w:t xml:space="preserve"> to the predicted TN concentration. </w:t>
      </w:r>
      <w:r w:rsidR="00CB1C6C">
        <w:t>Fifth</w:t>
      </w:r>
      <w:r w:rsidR="00D7014E" w:rsidRPr="005B4A02">
        <w:t xml:space="preserve">, we multiplied the TN </w:t>
      </w:r>
      <w:r w:rsidR="005A0EFA">
        <w:t>concentration criteria</w:t>
      </w:r>
      <w:r w:rsidR="00D7014E" w:rsidRPr="005B4A02">
        <w:t xml:space="preserve"> for each receiving environment by this ratio to derive </w:t>
      </w:r>
      <w:r w:rsidR="005A0EFA">
        <w:t xml:space="preserve">the </w:t>
      </w:r>
      <w:r w:rsidR="00D7014E" w:rsidRPr="005B4A02">
        <w:t>corresponding</w:t>
      </w:r>
      <w:r w:rsidR="005A0EFA">
        <w:t xml:space="preserve"> MAL for</w:t>
      </w:r>
      <w:r w:rsidR="00D7014E" w:rsidRPr="005B4A02">
        <w:t xml:space="preserve"> TN.</w:t>
      </w:r>
    </w:p>
    <w:p w14:paraId="1DAA1908" w14:textId="004C0B9A" w:rsidR="001E7E88" w:rsidRDefault="006A6908" w:rsidP="006A6908">
      <w:pPr>
        <w:pStyle w:val="Heading1"/>
      </w:pPr>
      <w:r>
        <w:t>References</w:t>
      </w:r>
    </w:p>
    <w:p w14:paraId="78A57FA2" w14:textId="77777777" w:rsidR="00E22D7C" w:rsidRPr="00E22D7C" w:rsidRDefault="006A6908" w:rsidP="00E22D7C">
      <w:pPr>
        <w:pStyle w:val="Bibliography"/>
        <w:rPr>
          <w:rFonts w:cs="Times New Roman"/>
        </w:rPr>
      </w:pPr>
      <w:r>
        <w:fldChar w:fldCharType="begin"/>
      </w:r>
      <w:r w:rsidR="00C1714C">
        <w:instrText xml:space="preserve"> ADDIN ZOTERO_BIBL {"uncited":[],"omitted":[],"custom":[]} CSL_BIBLIOGRAPHY </w:instrText>
      </w:r>
      <w:r>
        <w:fldChar w:fldCharType="separate"/>
      </w:r>
      <w:r w:rsidR="00E22D7C" w:rsidRPr="00E22D7C">
        <w:rPr>
          <w:rFonts w:cs="Times New Roman"/>
        </w:rPr>
        <w:t>Biggs BJF, Price GM (1987) A survey of filamentous algal proliferations in New Zealand rivers. New Zealand Journal of Marine and Freshwater Research 21:175–191</w:t>
      </w:r>
    </w:p>
    <w:p w14:paraId="001E55D4" w14:textId="77777777" w:rsidR="00E22D7C" w:rsidRPr="00E22D7C" w:rsidRDefault="00E22D7C" w:rsidP="00E22D7C">
      <w:pPr>
        <w:pStyle w:val="Bibliography"/>
        <w:rPr>
          <w:rFonts w:cs="Times New Roman"/>
        </w:rPr>
      </w:pPr>
      <w:r w:rsidRPr="00E22D7C">
        <w:rPr>
          <w:rFonts w:cs="Times New Roman"/>
        </w:rPr>
        <w:t>Cutler DR, Edwards JTC, Beard KH, et al (2007) Random forests for classification in ecology. Ecology 88:2783–2792</w:t>
      </w:r>
    </w:p>
    <w:p w14:paraId="26CF4FC1" w14:textId="77777777" w:rsidR="00E22D7C" w:rsidRPr="00E22D7C" w:rsidRDefault="00E22D7C" w:rsidP="00E22D7C">
      <w:pPr>
        <w:pStyle w:val="Bibliography"/>
        <w:rPr>
          <w:rFonts w:cs="Times New Roman"/>
        </w:rPr>
      </w:pPr>
      <w:r w:rsidRPr="00E22D7C">
        <w:rPr>
          <w:rFonts w:cs="Times New Roman"/>
        </w:rPr>
        <w:t>NZ Government (2020) National Policy Statement for Freshwater Management 2020</w:t>
      </w:r>
    </w:p>
    <w:p w14:paraId="7A335942" w14:textId="77777777" w:rsidR="00E22D7C" w:rsidRPr="00E22D7C" w:rsidRDefault="00E22D7C" w:rsidP="00E22D7C">
      <w:pPr>
        <w:pStyle w:val="Bibliography"/>
        <w:rPr>
          <w:rFonts w:cs="Times New Roman"/>
        </w:rPr>
      </w:pPr>
      <w:r w:rsidRPr="00E22D7C">
        <w:rPr>
          <w:rFonts w:cs="Times New Roman"/>
        </w:rPr>
        <w:t>NZ Government (2010) New Zealand Coastal Policy Statement.</w:t>
      </w:r>
    </w:p>
    <w:p w14:paraId="1EF41F68" w14:textId="77777777" w:rsidR="00E22D7C" w:rsidRPr="00E22D7C" w:rsidRDefault="00E22D7C" w:rsidP="00E22D7C">
      <w:pPr>
        <w:pStyle w:val="Bibliography"/>
        <w:rPr>
          <w:rFonts w:cs="Times New Roman"/>
        </w:rPr>
      </w:pPr>
      <w:r w:rsidRPr="00E22D7C">
        <w:rPr>
          <w:rFonts w:cs="Times New Roman"/>
        </w:rPr>
        <w:t>Plew DR, Zeldis JR, Dudley BD, et al (2020) Assessing the Eutrophic Susceptibility of New Zealand Estuaries. Estuaries and Coasts 43:2015–2033. https://doi.org/10.1007/s12237-020-00729-w</w:t>
      </w:r>
    </w:p>
    <w:p w14:paraId="166597F3" w14:textId="77777777" w:rsidR="00E22D7C" w:rsidRPr="00E22D7C" w:rsidRDefault="00E22D7C" w:rsidP="00E22D7C">
      <w:pPr>
        <w:pStyle w:val="Bibliography"/>
        <w:rPr>
          <w:rFonts w:cs="Times New Roman"/>
        </w:rPr>
      </w:pPr>
      <w:r w:rsidRPr="00E22D7C">
        <w:rPr>
          <w:rFonts w:cs="Times New Roman"/>
        </w:rPr>
        <w:t>Plew DR, Zeldis JR, Shankar U, Elliott AH (2018) Using simple dilution models to predict New Zealand estuarine water quality. Estuaries and coasts 41:1643–1659</w:t>
      </w:r>
    </w:p>
    <w:p w14:paraId="5282FD79" w14:textId="77777777" w:rsidR="00E22D7C" w:rsidRPr="00E22D7C" w:rsidRDefault="00E22D7C" w:rsidP="00E22D7C">
      <w:pPr>
        <w:pStyle w:val="Bibliography"/>
        <w:rPr>
          <w:rFonts w:cs="Times New Roman"/>
        </w:rPr>
      </w:pPr>
      <w:r w:rsidRPr="00E22D7C">
        <w:rPr>
          <w:rFonts w:cs="Times New Roman"/>
        </w:rPr>
        <w:t>Snelder TH, Biggs BJF (2002) Multi-scale river environment classification for water resources management. Journal of the American Water Resources Association 38:1225–1240</w:t>
      </w:r>
    </w:p>
    <w:p w14:paraId="0642EDA4" w14:textId="77777777" w:rsidR="00E22D7C" w:rsidRPr="00E22D7C" w:rsidRDefault="00E22D7C" w:rsidP="00E22D7C">
      <w:pPr>
        <w:pStyle w:val="Bibliography"/>
        <w:rPr>
          <w:rFonts w:cs="Times New Roman"/>
        </w:rPr>
      </w:pPr>
      <w:r w:rsidRPr="00E22D7C">
        <w:rPr>
          <w:rFonts w:cs="Times New Roman"/>
        </w:rPr>
        <w:t>Snelder TH, Moore C, Kilroy C (2019) Nutrient Concentration Targets to Achieve Periphyton Biomass Objectives Incorporating Uncertainties. JAWRA Journal of the American Water Resources Association 55:1443–1463</w:t>
      </w:r>
    </w:p>
    <w:p w14:paraId="50A36885" w14:textId="77777777" w:rsidR="00E22D7C" w:rsidRPr="00E22D7C" w:rsidRDefault="00E22D7C" w:rsidP="00E22D7C">
      <w:pPr>
        <w:pStyle w:val="Bibliography"/>
        <w:rPr>
          <w:rFonts w:cs="Times New Roman"/>
        </w:rPr>
      </w:pPr>
      <w:r w:rsidRPr="00E22D7C">
        <w:rPr>
          <w:rFonts w:cs="Times New Roman"/>
        </w:rPr>
        <w:t>Snelder TH, Whitehead AL, Fraser C, et al (2020) Nitrogen loads to New Zealand aquatic receiving environments: comparison with regulatory criteria. New Zealand Journal of Marine and Freshwater Research 54:527–550</w:t>
      </w:r>
    </w:p>
    <w:p w14:paraId="27ED9C25" w14:textId="77777777" w:rsidR="00E22D7C" w:rsidRPr="00E22D7C" w:rsidRDefault="00E22D7C" w:rsidP="00E22D7C">
      <w:pPr>
        <w:pStyle w:val="Bibliography"/>
        <w:rPr>
          <w:rFonts w:cs="Times New Roman"/>
        </w:rPr>
      </w:pPr>
      <w:r w:rsidRPr="00E22D7C">
        <w:rPr>
          <w:rFonts w:cs="Times New Roman"/>
        </w:rPr>
        <w:t>Valiela I, McClelland J, Hauxwell J, et al (1997) Macroalgal blooms in shallow estuaries: controls and ecophysiological and ecosystem consequences. Limnology and oceanography 42:1105–1118</w:t>
      </w:r>
    </w:p>
    <w:p w14:paraId="63FFC497" w14:textId="4E5FF8EF" w:rsidR="006A6908" w:rsidRDefault="00E22D7C" w:rsidP="00306C7D">
      <w:pPr>
        <w:pStyle w:val="Bibliography"/>
      </w:pPr>
      <w:r w:rsidRPr="00E22D7C">
        <w:rPr>
          <w:rFonts w:cs="Times New Roman"/>
        </w:rPr>
        <w:t>Viaroli P, Bartoli M, Giordani G, et al (2008) Community shifts, alternative stable states, biogeochemical controls and feedbacks in eutrophic coastal lagoons: a brief overview. Aquatic Conservation: Marine and Freshwater Ecosystems 18:S105–S117</w:t>
      </w:r>
      <w:r w:rsidR="006A6908">
        <w:fldChar w:fldCharType="end"/>
      </w:r>
    </w:p>
    <w:sectPr w:rsidR="006A69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C53CF"/>
    <w:multiLevelType w:val="hybridMultilevel"/>
    <w:tmpl w:val="09D4800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37201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Frontiers-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re5fpa1pxrpce2af8v59fpv5txz5r2aa29&quot;&gt;allreferences2021-Converted&lt;record-ids&gt;&lt;item&gt;2307&lt;/item&gt;&lt;/record-ids&gt;&lt;/item&gt;&lt;/Libraries&gt;"/>
  </w:docVars>
  <w:rsids>
    <w:rsidRoot w:val="005B4F08"/>
    <w:rsid w:val="00031431"/>
    <w:rsid w:val="000815D4"/>
    <w:rsid w:val="0008400F"/>
    <w:rsid w:val="0009100E"/>
    <w:rsid w:val="00091BEE"/>
    <w:rsid w:val="00096EE5"/>
    <w:rsid w:val="000A6DC6"/>
    <w:rsid w:val="000C4F11"/>
    <w:rsid w:val="000C509E"/>
    <w:rsid w:val="000C6A44"/>
    <w:rsid w:val="000E1197"/>
    <w:rsid w:val="000F00CF"/>
    <w:rsid w:val="0012071F"/>
    <w:rsid w:val="0012759F"/>
    <w:rsid w:val="00130EB1"/>
    <w:rsid w:val="00136895"/>
    <w:rsid w:val="00173A83"/>
    <w:rsid w:val="00182C6E"/>
    <w:rsid w:val="001874BC"/>
    <w:rsid w:val="001A754F"/>
    <w:rsid w:val="001B6328"/>
    <w:rsid w:val="001D2CDE"/>
    <w:rsid w:val="001D401B"/>
    <w:rsid w:val="001E7E88"/>
    <w:rsid w:val="001F6726"/>
    <w:rsid w:val="002123ED"/>
    <w:rsid w:val="00226167"/>
    <w:rsid w:val="00226D24"/>
    <w:rsid w:val="0025221D"/>
    <w:rsid w:val="00266C66"/>
    <w:rsid w:val="002738E2"/>
    <w:rsid w:val="0027540E"/>
    <w:rsid w:val="0028040F"/>
    <w:rsid w:val="00281531"/>
    <w:rsid w:val="00284B82"/>
    <w:rsid w:val="002A3AF5"/>
    <w:rsid w:val="002D03BD"/>
    <w:rsid w:val="002E5DDF"/>
    <w:rsid w:val="00306C7D"/>
    <w:rsid w:val="00311D21"/>
    <w:rsid w:val="00315330"/>
    <w:rsid w:val="003214C4"/>
    <w:rsid w:val="0034494A"/>
    <w:rsid w:val="00346C84"/>
    <w:rsid w:val="00360996"/>
    <w:rsid w:val="003833FB"/>
    <w:rsid w:val="003933FB"/>
    <w:rsid w:val="003A1AC8"/>
    <w:rsid w:val="003C2494"/>
    <w:rsid w:val="003D644E"/>
    <w:rsid w:val="003F3785"/>
    <w:rsid w:val="00427B20"/>
    <w:rsid w:val="0044092A"/>
    <w:rsid w:val="0046030C"/>
    <w:rsid w:val="004622C8"/>
    <w:rsid w:val="0048553D"/>
    <w:rsid w:val="00486D12"/>
    <w:rsid w:val="004918C1"/>
    <w:rsid w:val="004A3D5C"/>
    <w:rsid w:val="004A7815"/>
    <w:rsid w:val="004B30B1"/>
    <w:rsid w:val="004B35A0"/>
    <w:rsid w:val="004C469B"/>
    <w:rsid w:val="004D7246"/>
    <w:rsid w:val="004E457C"/>
    <w:rsid w:val="004F4059"/>
    <w:rsid w:val="00512AC9"/>
    <w:rsid w:val="00545D49"/>
    <w:rsid w:val="005461F8"/>
    <w:rsid w:val="005464AC"/>
    <w:rsid w:val="00547BB1"/>
    <w:rsid w:val="005641F4"/>
    <w:rsid w:val="00585F75"/>
    <w:rsid w:val="005955FF"/>
    <w:rsid w:val="005970DD"/>
    <w:rsid w:val="005A0EFA"/>
    <w:rsid w:val="005A1B16"/>
    <w:rsid w:val="005B4B26"/>
    <w:rsid w:val="005B4F08"/>
    <w:rsid w:val="005C0374"/>
    <w:rsid w:val="005C40C5"/>
    <w:rsid w:val="005D2896"/>
    <w:rsid w:val="005D53F2"/>
    <w:rsid w:val="005E1769"/>
    <w:rsid w:val="005F1B58"/>
    <w:rsid w:val="005F6B85"/>
    <w:rsid w:val="005F7284"/>
    <w:rsid w:val="0061207C"/>
    <w:rsid w:val="00612B68"/>
    <w:rsid w:val="006178DB"/>
    <w:rsid w:val="006311EA"/>
    <w:rsid w:val="00644AAE"/>
    <w:rsid w:val="00667F43"/>
    <w:rsid w:val="00680077"/>
    <w:rsid w:val="0068061A"/>
    <w:rsid w:val="00685CDF"/>
    <w:rsid w:val="00686208"/>
    <w:rsid w:val="00693BEA"/>
    <w:rsid w:val="006943A2"/>
    <w:rsid w:val="00697036"/>
    <w:rsid w:val="0069769A"/>
    <w:rsid w:val="006A6908"/>
    <w:rsid w:val="006B6AFA"/>
    <w:rsid w:val="006B744A"/>
    <w:rsid w:val="006E241C"/>
    <w:rsid w:val="006E360D"/>
    <w:rsid w:val="006E7DF4"/>
    <w:rsid w:val="00716590"/>
    <w:rsid w:val="007361E7"/>
    <w:rsid w:val="00754800"/>
    <w:rsid w:val="00764E67"/>
    <w:rsid w:val="00766C17"/>
    <w:rsid w:val="00770395"/>
    <w:rsid w:val="007731A5"/>
    <w:rsid w:val="00774664"/>
    <w:rsid w:val="00775F4A"/>
    <w:rsid w:val="00776A52"/>
    <w:rsid w:val="007776C7"/>
    <w:rsid w:val="007A15DC"/>
    <w:rsid w:val="007A3D2D"/>
    <w:rsid w:val="007C0427"/>
    <w:rsid w:val="007C1252"/>
    <w:rsid w:val="007C7F04"/>
    <w:rsid w:val="007E2A2F"/>
    <w:rsid w:val="007F39AD"/>
    <w:rsid w:val="00804CB6"/>
    <w:rsid w:val="0080519B"/>
    <w:rsid w:val="00812B59"/>
    <w:rsid w:val="00816E95"/>
    <w:rsid w:val="0083117E"/>
    <w:rsid w:val="00834E9A"/>
    <w:rsid w:val="0084545B"/>
    <w:rsid w:val="008600AB"/>
    <w:rsid w:val="008607BE"/>
    <w:rsid w:val="00863052"/>
    <w:rsid w:val="008909A9"/>
    <w:rsid w:val="00891F77"/>
    <w:rsid w:val="00893AA0"/>
    <w:rsid w:val="008A19E9"/>
    <w:rsid w:val="008C2641"/>
    <w:rsid w:val="008E6ECA"/>
    <w:rsid w:val="008E7282"/>
    <w:rsid w:val="009068CC"/>
    <w:rsid w:val="009311EC"/>
    <w:rsid w:val="00937A21"/>
    <w:rsid w:val="0094301A"/>
    <w:rsid w:val="00944E8F"/>
    <w:rsid w:val="00946A50"/>
    <w:rsid w:val="0094781E"/>
    <w:rsid w:val="009479B6"/>
    <w:rsid w:val="00952984"/>
    <w:rsid w:val="00966102"/>
    <w:rsid w:val="00981AC3"/>
    <w:rsid w:val="00984D8D"/>
    <w:rsid w:val="009A1402"/>
    <w:rsid w:val="009A753F"/>
    <w:rsid w:val="009C2D8C"/>
    <w:rsid w:val="009D07AD"/>
    <w:rsid w:val="009D55FC"/>
    <w:rsid w:val="00A02AFD"/>
    <w:rsid w:val="00A24238"/>
    <w:rsid w:val="00A34AC5"/>
    <w:rsid w:val="00A448B8"/>
    <w:rsid w:val="00A461F7"/>
    <w:rsid w:val="00A71A4E"/>
    <w:rsid w:val="00A72BA8"/>
    <w:rsid w:val="00A82FE7"/>
    <w:rsid w:val="00AA3C47"/>
    <w:rsid w:val="00AC196D"/>
    <w:rsid w:val="00AD772F"/>
    <w:rsid w:val="00B04F6D"/>
    <w:rsid w:val="00B0646E"/>
    <w:rsid w:val="00B14A0E"/>
    <w:rsid w:val="00B81EB5"/>
    <w:rsid w:val="00B826E9"/>
    <w:rsid w:val="00B92AC1"/>
    <w:rsid w:val="00B96486"/>
    <w:rsid w:val="00BB3DE2"/>
    <w:rsid w:val="00BB3FE1"/>
    <w:rsid w:val="00BB4204"/>
    <w:rsid w:val="00BE36EA"/>
    <w:rsid w:val="00BE4EF7"/>
    <w:rsid w:val="00BF0EF2"/>
    <w:rsid w:val="00BF3CF1"/>
    <w:rsid w:val="00BF4576"/>
    <w:rsid w:val="00C01120"/>
    <w:rsid w:val="00C1674C"/>
    <w:rsid w:val="00C1714C"/>
    <w:rsid w:val="00C209DC"/>
    <w:rsid w:val="00C26AF9"/>
    <w:rsid w:val="00C35888"/>
    <w:rsid w:val="00C4286C"/>
    <w:rsid w:val="00C663EF"/>
    <w:rsid w:val="00C75864"/>
    <w:rsid w:val="00C877B2"/>
    <w:rsid w:val="00C911DC"/>
    <w:rsid w:val="00C91292"/>
    <w:rsid w:val="00CB1C6C"/>
    <w:rsid w:val="00CC11E0"/>
    <w:rsid w:val="00D0214B"/>
    <w:rsid w:val="00D331F2"/>
    <w:rsid w:val="00D368D8"/>
    <w:rsid w:val="00D400AE"/>
    <w:rsid w:val="00D457BD"/>
    <w:rsid w:val="00D46A41"/>
    <w:rsid w:val="00D46B10"/>
    <w:rsid w:val="00D46C7E"/>
    <w:rsid w:val="00D54D82"/>
    <w:rsid w:val="00D63202"/>
    <w:rsid w:val="00D7014E"/>
    <w:rsid w:val="00D853A0"/>
    <w:rsid w:val="00D976CF"/>
    <w:rsid w:val="00DA0AEC"/>
    <w:rsid w:val="00DA5C1A"/>
    <w:rsid w:val="00DB038F"/>
    <w:rsid w:val="00DD2FE8"/>
    <w:rsid w:val="00DF1AAC"/>
    <w:rsid w:val="00DF534F"/>
    <w:rsid w:val="00E146F2"/>
    <w:rsid w:val="00E16644"/>
    <w:rsid w:val="00E20AD0"/>
    <w:rsid w:val="00E22D7C"/>
    <w:rsid w:val="00E334F1"/>
    <w:rsid w:val="00E52D49"/>
    <w:rsid w:val="00E55E50"/>
    <w:rsid w:val="00E67854"/>
    <w:rsid w:val="00E72173"/>
    <w:rsid w:val="00E8435F"/>
    <w:rsid w:val="00E96D9C"/>
    <w:rsid w:val="00EB2DCE"/>
    <w:rsid w:val="00EC1212"/>
    <w:rsid w:val="00EC12E1"/>
    <w:rsid w:val="00EC2F3C"/>
    <w:rsid w:val="00EC39F3"/>
    <w:rsid w:val="00EE4268"/>
    <w:rsid w:val="00EE69E3"/>
    <w:rsid w:val="00EF5765"/>
    <w:rsid w:val="00F101B6"/>
    <w:rsid w:val="00F1123E"/>
    <w:rsid w:val="00F117FA"/>
    <w:rsid w:val="00F15A81"/>
    <w:rsid w:val="00F245A7"/>
    <w:rsid w:val="00F3258A"/>
    <w:rsid w:val="00F3336F"/>
    <w:rsid w:val="00F47C5E"/>
    <w:rsid w:val="00F81A68"/>
    <w:rsid w:val="00F914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BF4D3"/>
  <w15:chartTrackingRefBased/>
  <w15:docId w15:val="{858C3A40-484B-47EE-8778-ACF49196B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246"/>
    <w:pPr>
      <w:spacing w:after="120" w:line="360" w:lineRule="auto"/>
    </w:pPr>
    <w:rPr>
      <w:rFonts w:ascii="Times New Roman" w:hAnsi="Times New Roman"/>
      <w:sz w:val="24"/>
      <w:lang w:val="en-US"/>
    </w:rPr>
  </w:style>
  <w:style w:type="paragraph" w:styleId="Heading1">
    <w:name w:val="heading 1"/>
    <w:basedOn w:val="Normal"/>
    <w:next w:val="Normal"/>
    <w:link w:val="Heading1Char"/>
    <w:uiPriority w:val="9"/>
    <w:qFormat/>
    <w:rsid w:val="0012071F"/>
    <w:pPr>
      <w:keepNext/>
      <w:keepLines/>
      <w:spacing w:before="120" w:after="240" w:line="240" w:lineRule="auto"/>
      <w:outlineLvl w:val="0"/>
    </w:pPr>
    <w:rPr>
      <w:rFonts w:ascii="Arial" w:eastAsiaTheme="majorEastAsia" w:hAnsi="Arial" w:cstheme="majorBidi"/>
      <w:b/>
      <w:color w:val="000000" w:themeColor="text1"/>
      <w:szCs w:val="32"/>
    </w:rPr>
  </w:style>
  <w:style w:type="paragraph" w:styleId="Heading2">
    <w:name w:val="heading 2"/>
    <w:basedOn w:val="Normal"/>
    <w:next w:val="Normal"/>
    <w:link w:val="Heading2Char"/>
    <w:uiPriority w:val="9"/>
    <w:unhideWhenUsed/>
    <w:qFormat/>
    <w:rsid w:val="0012071F"/>
    <w:pPr>
      <w:keepNext/>
      <w:keepLines/>
      <w:spacing w:before="120" w:after="240" w:line="240" w:lineRule="auto"/>
      <w:outlineLvl w:val="1"/>
    </w:pPr>
    <w:rPr>
      <w:rFonts w:ascii="Arial" w:eastAsiaTheme="majorEastAsia" w:hAnsi="Arial" w:cstheme="majorBidi"/>
      <w:color w:val="000000" w:themeColor="text1"/>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71F"/>
    <w:rPr>
      <w:rFonts w:ascii="Arial" w:eastAsiaTheme="majorEastAsia" w:hAnsi="Arial" w:cstheme="majorBidi"/>
      <w:b/>
      <w:color w:val="000000" w:themeColor="text1"/>
      <w:sz w:val="24"/>
      <w:szCs w:val="32"/>
      <w:lang w:val="en-US"/>
    </w:rPr>
  </w:style>
  <w:style w:type="character" w:styleId="CommentReference">
    <w:name w:val="annotation reference"/>
    <w:basedOn w:val="DefaultParagraphFont"/>
    <w:uiPriority w:val="99"/>
    <w:semiHidden/>
    <w:unhideWhenUsed/>
    <w:rsid w:val="006E360D"/>
    <w:rPr>
      <w:sz w:val="16"/>
      <w:szCs w:val="16"/>
    </w:rPr>
  </w:style>
  <w:style w:type="paragraph" w:styleId="CommentText">
    <w:name w:val="annotation text"/>
    <w:basedOn w:val="Normal"/>
    <w:link w:val="CommentTextChar"/>
    <w:autoRedefine/>
    <w:uiPriority w:val="99"/>
    <w:unhideWhenUsed/>
    <w:rsid w:val="006E360D"/>
    <w:pPr>
      <w:spacing w:line="240" w:lineRule="auto"/>
    </w:pPr>
    <w:rPr>
      <w:szCs w:val="24"/>
    </w:rPr>
  </w:style>
  <w:style w:type="character" w:customStyle="1" w:styleId="CommentTextChar">
    <w:name w:val="Comment Text Char"/>
    <w:basedOn w:val="DefaultParagraphFont"/>
    <w:link w:val="CommentText"/>
    <w:uiPriority w:val="99"/>
    <w:rsid w:val="006E360D"/>
    <w:rPr>
      <w:rFonts w:ascii="Times New Roman" w:hAnsi="Times New Roman"/>
      <w:sz w:val="24"/>
      <w:szCs w:val="24"/>
      <w:lang w:val="en-US"/>
    </w:rPr>
  </w:style>
  <w:style w:type="paragraph" w:styleId="CommentSubject">
    <w:name w:val="annotation subject"/>
    <w:basedOn w:val="CommentText"/>
    <w:next w:val="CommentText"/>
    <w:link w:val="CommentSubjectChar"/>
    <w:uiPriority w:val="99"/>
    <w:semiHidden/>
    <w:unhideWhenUsed/>
    <w:rsid w:val="005F6B85"/>
    <w:pPr>
      <w:spacing w:after="160"/>
    </w:pPr>
    <w:rPr>
      <w:rFonts w:asciiTheme="minorHAnsi" w:hAnsiTheme="minorHAnsi"/>
      <w:b/>
      <w:bCs/>
      <w:sz w:val="20"/>
      <w:szCs w:val="20"/>
    </w:rPr>
  </w:style>
  <w:style w:type="character" w:customStyle="1" w:styleId="CommentSubjectChar">
    <w:name w:val="Comment Subject Char"/>
    <w:basedOn w:val="CommentTextChar"/>
    <w:link w:val="CommentSubject"/>
    <w:uiPriority w:val="99"/>
    <w:semiHidden/>
    <w:rsid w:val="005F6B85"/>
    <w:rPr>
      <w:rFonts w:ascii="Times New Roman" w:hAnsi="Times New Roman"/>
      <w:b/>
      <w:bCs/>
      <w:sz w:val="20"/>
      <w:szCs w:val="20"/>
      <w:lang w:val="en-US"/>
    </w:rPr>
  </w:style>
  <w:style w:type="character" w:customStyle="1" w:styleId="Heading2Char">
    <w:name w:val="Heading 2 Char"/>
    <w:basedOn w:val="DefaultParagraphFont"/>
    <w:link w:val="Heading2"/>
    <w:uiPriority w:val="9"/>
    <w:rsid w:val="0012071F"/>
    <w:rPr>
      <w:rFonts w:ascii="Arial" w:eastAsiaTheme="majorEastAsia" w:hAnsi="Arial" w:cstheme="majorBidi"/>
      <w:color w:val="000000" w:themeColor="text1"/>
      <w:sz w:val="20"/>
      <w:szCs w:val="26"/>
      <w:lang w:val="en-US"/>
    </w:rPr>
  </w:style>
  <w:style w:type="paragraph" w:styleId="NormalWeb">
    <w:name w:val="Normal (Web)"/>
    <w:basedOn w:val="Normal"/>
    <w:uiPriority w:val="99"/>
    <w:semiHidden/>
    <w:unhideWhenUsed/>
    <w:rsid w:val="00EF5765"/>
    <w:pPr>
      <w:spacing w:before="100" w:beforeAutospacing="1" w:after="100" w:afterAutospacing="1" w:line="240" w:lineRule="auto"/>
    </w:pPr>
    <w:rPr>
      <w:rFonts w:eastAsiaTheme="minorEastAsia" w:cs="Times New Roman"/>
      <w:szCs w:val="24"/>
      <w:lang w:val="en-NZ" w:eastAsia="en-NZ"/>
    </w:rPr>
  </w:style>
  <w:style w:type="paragraph" w:styleId="Bibliography">
    <w:name w:val="Bibliography"/>
    <w:basedOn w:val="Normal"/>
    <w:next w:val="Normal"/>
    <w:uiPriority w:val="37"/>
    <w:unhideWhenUsed/>
    <w:rsid w:val="006A6908"/>
    <w:pPr>
      <w:spacing w:after="240" w:line="240" w:lineRule="auto"/>
      <w:ind w:left="720" w:hanging="720"/>
    </w:pPr>
  </w:style>
  <w:style w:type="paragraph" w:customStyle="1" w:styleId="NoNum">
    <w:name w:val="NoNum"/>
    <w:basedOn w:val="Normal"/>
    <w:link w:val="NoNumChar"/>
    <w:uiPriority w:val="1"/>
    <w:qFormat/>
    <w:rsid w:val="00C209DC"/>
    <w:pPr>
      <w:tabs>
        <w:tab w:val="left" w:pos="709"/>
        <w:tab w:val="left" w:pos="1276"/>
        <w:tab w:val="left" w:pos="1843"/>
        <w:tab w:val="left" w:pos="2410"/>
      </w:tabs>
      <w:spacing w:line="360" w:lineRule="atLeast"/>
    </w:pPr>
    <w:rPr>
      <w:rFonts w:ascii="Arial" w:eastAsia="Times New Roman" w:hAnsi="Arial" w:cs="Times New Roman"/>
      <w:sz w:val="22"/>
      <w:lang w:val="en-NZ" w:eastAsia="en-NZ"/>
    </w:rPr>
  </w:style>
  <w:style w:type="character" w:customStyle="1" w:styleId="NoNumChar">
    <w:name w:val="NoNum Char"/>
    <w:basedOn w:val="DefaultParagraphFont"/>
    <w:link w:val="NoNum"/>
    <w:uiPriority w:val="1"/>
    <w:locked/>
    <w:rsid w:val="00C209DC"/>
    <w:rPr>
      <w:rFonts w:ascii="Arial" w:eastAsia="Times New Roman" w:hAnsi="Arial" w:cs="Times New Roman"/>
      <w:lang w:eastAsia="en-NZ"/>
    </w:rPr>
  </w:style>
  <w:style w:type="table" w:styleId="TableGrid">
    <w:name w:val="Table Grid"/>
    <w:basedOn w:val="TableNormal"/>
    <w:uiPriority w:val="39"/>
    <w:rsid w:val="00C209DC"/>
    <w:pPr>
      <w:spacing w:after="0" w:line="240" w:lineRule="auto"/>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311EC"/>
    <w:pPr>
      <w:spacing w:after="0" w:line="240" w:lineRule="auto"/>
    </w:pPr>
    <w:rPr>
      <w:rFonts w:ascii="Times New Roman" w:hAnsi="Times New Roman"/>
      <w:sz w:val="24"/>
      <w:lang w:val="en-US"/>
    </w:rPr>
  </w:style>
  <w:style w:type="paragraph" w:customStyle="1" w:styleId="EndNoteBibliographyTitle">
    <w:name w:val="EndNote Bibliography Title"/>
    <w:basedOn w:val="Normal"/>
    <w:link w:val="EndNoteBibliographyTitleChar"/>
    <w:rsid w:val="003C2494"/>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3C2494"/>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3C2494"/>
    <w:pPr>
      <w:spacing w:line="240" w:lineRule="auto"/>
    </w:pPr>
    <w:rPr>
      <w:rFonts w:cs="Times New Roman"/>
      <w:noProof/>
    </w:rPr>
  </w:style>
  <w:style w:type="character" w:customStyle="1" w:styleId="EndNoteBibliographyChar">
    <w:name w:val="EndNote Bibliography Char"/>
    <w:basedOn w:val="DefaultParagraphFont"/>
    <w:link w:val="EndNoteBibliography"/>
    <w:rsid w:val="003C2494"/>
    <w:rPr>
      <w:rFonts w:ascii="Times New Roman" w:hAnsi="Times New Roman" w:cs="Times New Roman"/>
      <w:noProof/>
      <w:sz w:val="24"/>
      <w:lang w:val="en-US"/>
    </w:rPr>
  </w:style>
  <w:style w:type="paragraph" w:styleId="Caption">
    <w:name w:val="caption"/>
    <w:basedOn w:val="Normal"/>
    <w:next w:val="Normal"/>
    <w:uiPriority w:val="35"/>
    <w:unhideWhenUsed/>
    <w:qFormat/>
    <w:rsid w:val="00A24238"/>
    <w:pPr>
      <w:spacing w:after="200" w:line="240" w:lineRule="auto"/>
    </w:pPr>
    <w:rPr>
      <w:i/>
      <w:iCs/>
      <w:color w:val="44546A" w:themeColor="text2"/>
      <w:sz w:val="18"/>
      <w:szCs w:val="18"/>
    </w:rPr>
  </w:style>
  <w:style w:type="paragraph" w:styleId="ListParagraph">
    <w:name w:val="List Paragraph"/>
    <w:basedOn w:val="Normal"/>
    <w:uiPriority w:val="34"/>
    <w:qFormat/>
    <w:rsid w:val="00DA5C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005842">
      <w:bodyDiv w:val="1"/>
      <w:marLeft w:val="0"/>
      <w:marRight w:val="0"/>
      <w:marTop w:val="0"/>
      <w:marBottom w:val="0"/>
      <w:divBdr>
        <w:top w:val="none" w:sz="0" w:space="0" w:color="auto"/>
        <w:left w:val="none" w:sz="0" w:space="0" w:color="auto"/>
        <w:bottom w:val="none" w:sz="0" w:space="0" w:color="auto"/>
        <w:right w:val="none" w:sz="0" w:space="0" w:color="auto"/>
      </w:divBdr>
    </w:div>
    <w:div w:id="16657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2.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8-12-17T06:58:43.600"/>
    </inkml:context>
    <inkml:brush xml:id="br0">
      <inkml:brushProperty name="width" value="0.05" units="cm"/>
      <inkml:brushProperty name="height" value="0.05" units="cm"/>
      <inkml:brushProperty name="color" value="#004F8B"/>
    </inkml:brush>
  </inkml:definitions>
  <inkml:trace contextRef="#ctx0" brushRef="#br0">0 1 5304 0 0,'0'0'568'0'0,"0"0"8"0"0,0 0-3976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8-12-17T06:58:42.527"/>
    </inkml:context>
    <inkml:brush xml:id="br0">
      <inkml:brushProperty name="width" value="0.05" units="cm"/>
      <inkml:brushProperty name="height" value="0.05" units="cm"/>
      <inkml:brushProperty name="color" value="#004F8B"/>
    </inkml:brush>
  </inkml:definitions>
  <inkml:trace contextRef="#ctx0" brushRef="#br0">0 0 7760 0 0,'0'0'352'0'0,"0"0"8"0"0,0 0-5280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95f7bf-4035-415e-adc0-f38ea82b41a9">
      <Terms xmlns="http://schemas.microsoft.com/office/infopath/2007/PartnerControls"/>
    </lcf76f155ced4ddcb4097134ff3c332f>
    <TaxCatchAll xmlns="b6338c44-df52-4da4-8f0f-025ce16891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AE30E8E48B814DA3329C0EADCFFD4E" ma:contentTypeVersion="14" ma:contentTypeDescription="Create a new document." ma:contentTypeScope="" ma:versionID="5743324e8a70a2ed5e19be0d795812ff">
  <xsd:schema xmlns:xsd="http://www.w3.org/2001/XMLSchema" xmlns:xs="http://www.w3.org/2001/XMLSchema" xmlns:p="http://schemas.microsoft.com/office/2006/metadata/properties" xmlns:ns2="b6338c44-df52-4da4-8f0f-025ce16891f0" xmlns:ns3="9baa44c4-f66c-4765-8498-62b0cbc52946" xmlns:ns4="0695f7bf-4035-415e-adc0-f38ea82b41a9" targetNamespace="http://schemas.microsoft.com/office/2006/metadata/properties" ma:root="true" ma:fieldsID="9c102e42189e7000f9bac2e54f82ae99" ns2:_="" ns3:_="" ns4:_="">
    <xsd:import namespace="b6338c44-df52-4da4-8f0f-025ce16891f0"/>
    <xsd:import namespace="9baa44c4-f66c-4765-8498-62b0cbc52946"/>
    <xsd:import namespace="0695f7bf-4035-415e-adc0-f38ea82b41a9"/>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EventHashCode" minOccurs="0"/>
                <xsd:element ref="ns4:MediaServiceGenerationTime" minOccurs="0"/>
                <xsd:element ref="ns4:MediaServiceDateTaken" minOccurs="0"/>
                <xsd:element ref="ns4:MediaServiceAutoKeyPoints" minOccurs="0"/>
                <xsd:element ref="ns4:MediaServiceKeyPoints" minOccurs="0"/>
                <xsd:element ref="ns4: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38c44-df52-4da4-8f0f-025ce16891f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1" nillable="true" ma:displayName="Taxonomy Catch All Column" ma:hidden="true" ma:list="{b00b8b59-648b-46b4-9d7a-2a06c1deb9e8}" ma:internalName="TaxCatchAll" ma:showField="CatchAllData" ma:web="b6338c44-df52-4da4-8f0f-025ce16891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aa44c4-f66c-4765-8498-62b0cbc52946"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95f7bf-4035-415e-adc0-f38ea82b41a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0eded47-dfc0-4c4f-8241-f5eb6f289b59"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7BA77F-AF16-4A8A-9E34-B47A8FCA4293}">
  <ds:schemaRefs>
    <ds:schemaRef ds:uri="http://schemas.microsoft.com/sharepoint/v3/contenttype/forms"/>
  </ds:schemaRefs>
</ds:datastoreItem>
</file>

<file path=customXml/itemProps2.xml><?xml version="1.0" encoding="utf-8"?>
<ds:datastoreItem xmlns:ds="http://schemas.openxmlformats.org/officeDocument/2006/customXml" ds:itemID="{DEE90F46-0C72-4A2F-AEFF-5C7E0D48809F}">
  <ds:schemaRefs>
    <ds:schemaRef ds:uri="http://schemas.openxmlformats.org/officeDocument/2006/bibliography"/>
  </ds:schemaRefs>
</ds:datastoreItem>
</file>

<file path=customXml/itemProps3.xml><?xml version="1.0" encoding="utf-8"?>
<ds:datastoreItem xmlns:ds="http://schemas.openxmlformats.org/officeDocument/2006/customXml" ds:itemID="{3C9B25DB-0AB6-4B04-80BE-7D173D5C7672}">
  <ds:schemaRefs>
    <ds:schemaRef ds:uri="http://schemas.microsoft.com/office/2006/metadata/properties"/>
    <ds:schemaRef ds:uri="http://schemas.microsoft.com/office/infopath/2007/PartnerControls"/>
    <ds:schemaRef ds:uri="0695f7bf-4035-415e-adc0-f38ea82b41a9"/>
    <ds:schemaRef ds:uri="b6338c44-df52-4da4-8f0f-025ce16891f0"/>
  </ds:schemaRefs>
</ds:datastoreItem>
</file>

<file path=customXml/itemProps4.xml><?xml version="1.0" encoding="utf-8"?>
<ds:datastoreItem xmlns:ds="http://schemas.openxmlformats.org/officeDocument/2006/customXml" ds:itemID="{7A80F636-1227-4302-AD5B-13E9E74EE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38c44-df52-4da4-8f0f-025ce16891f0"/>
    <ds:schemaRef ds:uri="9baa44c4-f66c-4765-8498-62b0cbc52946"/>
    <ds:schemaRef ds:uri="0695f7bf-4035-415e-adc0-f38ea82b4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3689</Words>
  <Characters>21032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 Snelder</dc:creator>
  <cp:keywords/>
  <dc:description/>
  <cp:lastModifiedBy>Ton Snelder</cp:lastModifiedBy>
  <cp:revision>3</cp:revision>
  <dcterms:created xsi:type="dcterms:W3CDTF">2022-10-18T00:24:00Z</dcterms:created>
  <dcterms:modified xsi:type="dcterms:W3CDTF">2022-10-18T00:24:00Z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0x0101009DAE30E8E48B814DA3329C0EADCFFD4E</vt:lpwstr>
  </property>
  <property fmtid="{D5CDD505-2E9C-101B-9397-08002B2CF9AE}" pid="3" name="ZOTERO_PREF_1">
    <vt:lpwstr>&lt;data data-version="3" zotero-version="6.0.13"&gt;&lt;session id="oiM1nNej"/&gt;&lt;style id="http://www.zotero.org/styles/environmental-management" hasBibliography="1" bibliographyStyleHasBeenSet="1"/&gt;&lt;prefs&gt;&lt;pref name="fieldType" value="Field"/&gt;&lt;/prefs&gt;&lt;/data&gt;</vt:lpwstr>
  </property>
  <property fmtid="{D5CDD505-2E9C-101B-9397-08002B2CF9AE}" pid="4" name="MediaServiceImageTags">
    <vt:lpwstr/>
  </property>
</Properties>
</file>