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53AD96" w14:textId="514EF200" w:rsidR="000E4F27" w:rsidRPr="009B720F" w:rsidRDefault="00AD22FD" w:rsidP="00881F75">
      <w:pPr>
        <w:pStyle w:val="Ttulo1"/>
        <w:ind w:left="0" w:firstLine="0"/>
        <w:rPr>
          <w:b w:val="0"/>
          <w:bCs/>
          <w:sz w:val="32"/>
          <w:szCs w:val="32"/>
        </w:rPr>
      </w:pPr>
      <w:bookmarkStart w:id="0" w:name="_Hlk119574004"/>
      <w:r>
        <w:rPr>
          <w:b w:val="0"/>
          <w:bCs/>
          <w:sz w:val="32"/>
          <w:szCs w:val="32"/>
        </w:rPr>
        <w:t>Supplementary Material</w:t>
      </w:r>
    </w:p>
    <w:p w14:paraId="5099A421" w14:textId="7FFBC300" w:rsidR="000E4F27" w:rsidRDefault="00A119C8" w:rsidP="000E4F27">
      <w:pPr>
        <w:rPr>
          <w:bCs/>
        </w:rPr>
      </w:pPr>
      <w:r>
        <w:rPr>
          <w:bCs/>
          <w:noProof/>
        </w:rPr>
        <w:drawing>
          <wp:anchor distT="0" distB="0" distL="114300" distR="114300" simplePos="0" relativeHeight="252643839" behindDoc="1" locked="0" layoutInCell="1" allowOverlap="1" wp14:anchorId="2754D00C" wp14:editId="6FABA14F">
            <wp:simplePos x="0" y="0"/>
            <wp:positionH relativeFrom="column">
              <wp:posOffset>66040</wp:posOffset>
            </wp:positionH>
            <wp:positionV relativeFrom="paragraph">
              <wp:posOffset>157480</wp:posOffset>
            </wp:positionV>
            <wp:extent cx="6263640" cy="7415784"/>
            <wp:effectExtent l="0" t="0" r="3810" b="0"/>
            <wp:wrapNone/>
            <wp:docPr id="231050111" name="Imagem 15" descr="Uma imagem com texto, círculo, Tipo de letra, padrã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050111" name="Imagem 15" descr="Uma imagem com texto, círculo, Tipo de letra, padrão&#10;&#10;Descrição gerada automaticament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263640" cy="7415784"/>
                    </a:xfrm>
                    <a:prstGeom prst="rect">
                      <a:avLst/>
                    </a:prstGeom>
                  </pic:spPr>
                </pic:pic>
              </a:graphicData>
            </a:graphic>
            <wp14:sizeRelH relativeFrom="page">
              <wp14:pctWidth>0</wp14:pctWidth>
            </wp14:sizeRelH>
            <wp14:sizeRelV relativeFrom="page">
              <wp14:pctHeight>0</wp14:pctHeight>
            </wp14:sizeRelV>
          </wp:anchor>
        </w:drawing>
      </w:r>
    </w:p>
    <w:p w14:paraId="444DAAE3" w14:textId="70A1920C" w:rsidR="004750CC" w:rsidRDefault="004750CC" w:rsidP="000E4F27">
      <w:pPr>
        <w:rPr>
          <w:bCs/>
        </w:rPr>
      </w:pPr>
    </w:p>
    <w:p w14:paraId="57AF663A" w14:textId="1BE61D33" w:rsidR="004750CC" w:rsidRPr="00377D1C" w:rsidRDefault="004750CC" w:rsidP="004750CC">
      <w:pPr>
        <w:pStyle w:val="TEXTBODY"/>
        <w:rPr>
          <w:rStyle w:val="Hiperligao"/>
          <w:rFonts w:eastAsia="Calibri"/>
          <w:iCs/>
          <w:lang w:eastAsia="en-US"/>
        </w:rPr>
      </w:pPr>
    </w:p>
    <w:p w14:paraId="7EF1B54E" w14:textId="0091A1EC" w:rsidR="004750CC" w:rsidRPr="00377D1C" w:rsidRDefault="004750CC" w:rsidP="004750CC">
      <w:pPr>
        <w:pStyle w:val="TEXTBODY"/>
        <w:rPr>
          <w:rStyle w:val="Hiperligao"/>
          <w:rFonts w:eastAsia="Calibri"/>
          <w:iCs/>
          <w:lang w:eastAsia="en-US"/>
        </w:rPr>
      </w:pPr>
    </w:p>
    <w:p w14:paraId="19C5634E" w14:textId="3EE68FBD" w:rsidR="004750CC" w:rsidRPr="00377D1C" w:rsidRDefault="004750CC" w:rsidP="004750CC">
      <w:pPr>
        <w:pStyle w:val="TEXTBODY"/>
        <w:rPr>
          <w:rStyle w:val="Hiperligao"/>
          <w:rFonts w:eastAsia="Calibri"/>
          <w:iCs/>
          <w:lang w:eastAsia="en-US"/>
        </w:rPr>
      </w:pPr>
    </w:p>
    <w:p w14:paraId="447F6574" w14:textId="11E71C3D" w:rsidR="004750CC" w:rsidRPr="00377D1C" w:rsidRDefault="004750CC" w:rsidP="004750CC">
      <w:pPr>
        <w:pStyle w:val="TEXTBODY"/>
        <w:rPr>
          <w:rStyle w:val="Hiperligao"/>
          <w:rFonts w:eastAsia="Calibri"/>
          <w:iCs/>
          <w:lang w:eastAsia="en-US"/>
        </w:rPr>
      </w:pPr>
    </w:p>
    <w:p w14:paraId="6663DCDE" w14:textId="78736296" w:rsidR="004750CC" w:rsidRPr="00377D1C" w:rsidRDefault="004750CC" w:rsidP="004750CC">
      <w:pPr>
        <w:pStyle w:val="TEXTBODY"/>
        <w:rPr>
          <w:rStyle w:val="Hiperligao"/>
          <w:rFonts w:eastAsia="Calibri"/>
          <w:iCs/>
          <w:lang w:eastAsia="en-US"/>
        </w:rPr>
      </w:pPr>
    </w:p>
    <w:p w14:paraId="201D26AA" w14:textId="37491EC7" w:rsidR="004750CC" w:rsidRPr="00377D1C" w:rsidRDefault="004750CC" w:rsidP="004750CC">
      <w:pPr>
        <w:pStyle w:val="TEXTBODY"/>
        <w:rPr>
          <w:rStyle w:val="Hiperligao"/>
          <w:rFonts w:eastAsia="Calibri"/>
          <w:iCs/>
          <w:lang w:eastAsia="en-US"/>
        </w:rPr>
      </w:pPr>
    </w:p>
    <w:p w14:paraId="1960FE75" w14:textId="797131E7" w:rsidR="004750CC" w:rsidRPr="00377D1C" w:rsidRDefault="004750CC" w:rsidP="004750CC">
      <w:pPr>
        <w:pStyle w:val="TEXTBODY"/>
        <w:rPr>
          <w:rStyle w:val="Hiperligao"/>
          <w:rFonts w:eastAsia="Calibri"/>
          <w:iCs/>
          <w:lang w:eastAsia="en-US"/>
        </w:rPr>
      </w:pPr>
    </w:p>
    <w:p w14:paraId="390E98E9" w14:textId="77777777" w:rsidR="004750CC" w:rsidRPr="00377D1C" w:rsidRDefault="004750CC" w:rsidP="004750CC">
      <w:pPr>
        <w:pStyle w:val="TEXTBODY"/>
        <w:rPr>
          <w:rStyle w:val="Hiperligao"/>
          <w:rFonts w:eastAsia="Calibri"/>
          <w:iCs/>
          <w:lang w:eastAsia="en-US"/>
        </w:rPr>
      </w:pPr>
    </w:p>
    <w:p w14:paraId="000CE449" w14:textId="77777777" w:rsidR="004750CC" w:rsidRPr="00377D1C" w:rsidRDefault="004750CC" w:rsidP="004750CC">
      <w:pPr>
        <w:pStyle w:val="TEXTBODY"/>
        <w:rPr>
          <w:rFonts w:eastAsia="Calibri"/>
          <w:lang w:eastAsia="en-US"/>
        </w:rPr>
      </w:pPr>
    </w:p>
    <w:p w14:paraId="099E7C7F" w14:textId="77777777" w:rsidR="004750CC" w:rsidRPr="00377D1C" w:rsidRDefault="004750CC" w:rsidP="004750CC">
      <w:pPr>
        <w:pStyle w:val="TEXTBODY"/>
        <w:rPr>
          <w:rFonts w:eastAsia="Calibri"/>
          <w:lang w:eastAsia="en-US"/>
        </w:rPr>
      </w:pPr>
    </w:p>
    <w:p w14:paraId="201ABB8D" w14:textId="77777777" w:rsidR="004750CC" w:rsidRPr="00377D1C" w:rsidRDefault="004750CC" w:rsidP="004750CC">
      <w:pPr>
        <w:pStyle w:val="TEXTBODY"/>
        <w:rPr>
          <w:rFonts w:eastAsia="Calibri"/>
          <w:lang w:eastAsia="en-US"/>
        </w:rPr>
      </w:pPr>
    </w:p>
    <w:p w14:paraId="3C99E62F" w14:textId="77777777" w:rsidR="004750CC" w:rsidRPr="00377D1C" w:rsidRDefault="004750CC" w:rsidP="004750CC">
      <w:pPr>
        <w:pStyle w:val="TEXTBODY"/>
        <w:rPr>
          <w:rFonts w:eastAsia="Calibri"/>
          <w:lang w:eastAsia="en-US"/>
        </w:rPr>
      </w:pPr>
    </w:p>
    <w:p w14:paraId="77207828" w14:textId="77777777" w:rsidR="004750CC" w:rsidRPr="00377D1C" w:rsidRDefault="004750CC" w:rsidP="004750CC">
      <w:pPr>
        <w:pStyle w:val="TEXTBODY"/>
        <w:rPr>
          <w:rFonts w:eastAsia="Calibri"/>
          <w:lang w:eastAsia="en-US"/>
        </w:rPr>
      </w:pPr>
    </w:p>
    <w:p w14:paraId="33AE83A1" w14:textId="77777777" w:rsidR="004750CC" w:rsidRPr="00377D1C" w:rsidRDefault="004750CC" w:rsidP="004750CC">
      <w:pPr>
        <w:pStyle w:val="TEXTBODY"/>
        <w:rPr>
          <w:rFonts w:eastAsia="Calibri"/>
          <w:lang w:eastAsia="en-US"/>
        </w:rPr>
      </w:pPr>
    </w:p>
    <w:p w14:paraId="48FC7CF2" w14:textId="77777777" w:rsidR="004750CC" w:rsidRPr="00377D1C" w:rsidRDefault="004750CC" w:rsidP="004750CC">
      <w:pPr>
        <w:pStyle w:val="TEXTBODY"/>
        <w:rPr>
          <w:rFonts w:eastAsia="Calibri"/>
          <w:lang w:eastAsia="en-US"/>
        </w:rPr>
      </w:pPr>
    </w:p>
    <w:p w14:paraId="1952385E" w14:textId="77777777" w:rsidR="004750CC" w:rsidRPr="00377D1C" w:rsidRDefault="004750CC" w:rsidP="004750CC">
      <w:pPr>
        <w:pStyle w:val="TEXTBODY"/>
        <w:rPr>
          <w:rFonts w:eastAsia="Calibri"/>
          <w:lang w:eastAsia="en-US"/>
        </w:rPr>
      </w:pPr>
    </w:p>
    <w:p w14:paraId="02492992" w14:textId="77777777" w:rsidR="004750CC" w:rsidRPr="00377D1C" w:rsidRDefault="004750CC" w:rsidP="004750CC">
      <w:pPr>
        <w:pStyle w:val="TEXTBODY"/>
        <w:rPr>
          <w:rFonts w:eastAsia="Calibri"/>
          <w:lang w:eastAsia="en-US"/>
        </w:rPr>
      </w:pPr>
    </w:p>
    <w:p w14:paraId="4BCC7B17" w14:textId="77777777" w:rsidR="004750CC" w:rsidRPr="00377D1C" w:rsidRDefault="004750CC" w:rsidP="004750CC">
      <w:pPr>
        <w:pStyle w:val="TEXTBODY"/>
        <w:rPr>
          <w:rFonts w:eastAsia="Calibri"/>
          <w:lang w:eastAsia="en-US"/>
        </w:rPr>
      </w:pPr>
    </w:p>
    <w:p w14:paraId="7E9AEBE8" w14:textId="77777777" w:rsidR="004750CC" w:rsidRPr="00377D1C" w:rsidRDefault="004750CC" w:rsidP="004750CC">
      <w:pPr>
        <w:pStyle w:val="TEXTBODY"/>
        <w:rPr>
          <w:rFonts w:eastAsia="Calibri"/>
          <w:lang w:eastAsia="en-US"/>
        </w:rPr>
      </w:pPr>
    </w:p>
    <w:p w14:paraId="18593039" w14:textId="77777777" w:rsidR="004750CC" w:rsidRPr="00377D1C" w:rsidRDefault="004750CC" w:rsidP="004750CC">
      <w:pPr>
        <w:pStyle w:val="TEXTBODY"/>
        <w:rPr>
          <w:rFonts w:eastAsia="Calibri"/>
          <w:lang w:eastAsia="en-US"/>
        </w:rPr>
      </w:pPr>
    </w:p>
    <w:p w14:paraId="309BC7CF" w14:textId="77777777" w:rsidR="004750CC" w:rsidRPr="00377D1C" w:rsidRDefault="004750CC" w:rsidP="004750CC">
      <w:pPr>
        <w:pStyle w:val="TEXTBODY"/>
        <w:rPr>
          <w:rFonts w:eastAsia="Calibri"/>
          <w:lang w:eastAsia="en-US"/>
        </w:rPr>
      </w:pPr>
    </w:p>
    <w:p w14:paraId="634D2684" w14:textId="77777777" w:rsidR="004750CC" w:rsidRPr="00377D1C" w:rsidRDefault="004750CC" w:rsidP="004750CC">
      <w:pPr>
        <w:pStyle w:val="TEXTBODY"/>
        <w:rPr>
          <w:rFonts w:eastAsia="Calibri"/>
          <w:lang w:eastAsia="en-US"/>
        </w:rPr>
      </w:pPr>
    </w:p>
    <w:p w14:paraId="21CB7963" w14:textId="77777777" w:rsidR="004750CC" w:rsidRPr="00377D1C" w:rsidRDefault="004750CC" w:rsidP="004750CC">
      <w:pPr>
        <w:pStyle w:val="TEXTBODY"/>
        <w:rPr>
          <w:rFonts w:eastAsia="Calibri"/>
          <w:lang w:eastAsia="en-US"/>
        </w:rPr>
      </w:pPr>
    </w:p>
    <w:p w14:paraId="15FC7FDE" w14:textId="77777777" w:rsidR="004750CC" w:rsidRPr="00377D1C" w:rsidRDefault="004750CC" w:rsidP="004750CC">
      <w:pPr>
        <w:pStyle w:val="TEXTBODY"/>
        <w:rPr>
          <w:rFonts w:eastAsia="Calibri"/>
          <w:lang w:eastAsia="en-US"/>
        </w:rPr>
      </w:pPr>
    </w:p>
    <w:p w14:paraId="12C22445" w14:textId="77777777" w:rsidR="004750CC" w:rsidRPr="00377D1C" w:rsidRDefault="004750CC" w:rsidP="004750CC">
      <w:pPr>
        <w:pStyle w:val="TEXTBODY"/>
        <w:rPr>
          <w:rFonts w:eastAsia="Calibri"/>
          <w:lang w:eastAsia="en-US"/>
        </w:rPr>
      </w:pPr>
    </w:p>
    <w:p w14:paraId="3CF61C85" w14:textId="77777777" w:rsidR="004750CC" w:rsidRPr="00377D1C" w:rsidRDefault="004750CC" w:rsidP="004750CC">
      <w:pPr>
        <w:pStyle w:val="TEXTBODY"/>
        <w:rPr>
          <w:rFonts w:eastAsia="Calibri"/>
          <w:lang w:eastAsia="en-US"/>
        </w:rPr>
      </w:pPr>
    </w:p>
    <w:p w14:paraId="48B0EFA9" w14:textId="77777777" w:rsidR="004750CC" w:rsidRPr="00377D1C" w:rsidRDefault="004750CC" w:rsidP="004750CC">
      <w:pPr>
        <w:pStyle w:val="TEXTBODY"/>
        <w:rPr>
          <w:rFonts w:eastAsia="Calibri"/>
          <w:lang w:eastAsia="en-US"/>
        </w:rPr>
      </w:pPr>
    </w:p>
    <w:p w14:paraId="2E0413CC" w14:textId="77777777" w:rsidR="00313CFB" w:rsidRDefault="00313CFB" w:rsidP="004750CC">
      <w:pPr>
        <w:pStyle w:val="TEXTBODY"/>
        <w:rPr>
          <w:rFonts w:eastAsia="Calibri"/>
          <w:lang w:eastAsia="en-US"/>
        </w:rPr>
      </w:pPr>
    </w:p>
    <w:p w14:paraId="265CF6D8" w14:textId="2C8E48D3" w:rsidR="004750CC" w:rsidRDefault="004750CC" w:rsidP="00F272A1">
      <w:pPr>
        <w:pStyle w:val="TEXTBODY"/>
        <w:jc w:val="left"/>
        <w:rPr>
          <w:rFonts w:eastAsia="Calibri"/>
          <w:sz w:val="16"/>
          <w:szCs w:val="18"/>
          <w:lang w:eastAsia="en-US"/>
        </w:rPr>
      </w:pPr>
      <w:r w:rsidRPr="00F272A1">
        <w:rPr>
          <w:rFonts w:eastAsia="Calibri"/>
          <w:sz w:val="16"/>
          <w:szCs w:val="18"/>
          <w:lang w:eastAsia="en-US"/>
        </w:rPr>
        <w:t>Figure: TE2100 process</w:t>
      </w:r>
      <w:r w:rsidR="00313CFB" w:rsidRPr="00F272A1">
        <w:rPr>
          <w:rFonts w:eastAsia="Calibri"/>
          <w:sz w:val="16"/>
          <w:szCs w:val="18"/>
          <w:lang w:eastAsia="en-US"/>
        </w:rPr>
        <w:t xml:space="preserve"> with a medium level of detail</w:t>
      </w:r>
    </w:p>
    <w:p w14:paraId="05E6DDEB" w14:textId="77777777" w:rsidR="00336A37" w:rsidRPr="00F272A1" w:rsidRDefault="00336A37" w:rsidP="00F272A1">
      <w:pPr>
        <w:pStyle w:val="TEXTBODY"/>
        <w:jc w:val="left"/>
        <w:rPr>
          <w:rFonts w:eastAsia="Calibri"/>
          <w:sz w:val="16"/>
          <w:szCs w:val="18"/>
          <w:lang w:eastAsia="en-US"/>
        </w:rPr>
      </w:pPr>
    </w:p>
    <w:p w14:paraId="57767437" w14:textId="4A079A16" w:rsidR="004750CC" w:rsidRPr="00377D1C" w:rsidRDefault="00A119C8" w:rsidP="004750CC">
      <w:pPr>
        <w:pStyle w:val="TEXTBODY"/>
        <w:rPr>
          <w:rFonts w:eastAsia="Calibri"/>
          <w:iCs/>
          <w:color w:val="0000FF" w:themeColor="hyperlink"/>
          <w:u w:val="single"/>
          <w:lang w:eastAsia="en-US"/>
        </w:rPr>
      </w:pPr>
      <w:r>
        <w:rPr>
          <w:rFonts w:eastAsia="Calibri"/>
          <w:iCs/>
          <w:noProof/>
          <w:color w:val="0000FF" w:themeColor="hyperlink"/>
          <w:u w:val="single"/>
          <w:lang w:eastAsia="en-US"/>
        </w:rPr>
        <w:lastRenderedPageBreak/>
        <w:drawing>
          <wp:anchor distT="0" distB="0" distL="114300" distR="114300" simplePos="0" relativeHeight="252642814" behindDoc="1" locked="0" layoutInCell="1" allowOverlap="1" wp14:anchorId="20AF19C8" wp14:editId="10A6F257">
            <wp:simplePos x="0" y="0"/>
            <wp:positionH relativeFrom="column">
              <wp:posOffset>-635</wp:posOffset>
            </wp:positionH>
            <wp:positionV relativeFrom="paragraph">
              <wp:posOffset>635</wp:posOffset>
            </wp:positionV>
            <wp:extent cx="6263640" cy="8101584"/>
            <wp:effectExtent l="0" t="0" r="3810" b="0"/>
            <wp:wrapNone/>
            <wp:docPr id="1751118530" name="Imagem 16" descr="Uma imagem com texto, círculo, captura de ecrã, padrã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118530" name="Imagem 16" descr="Uma imagem com texto, círculo, captura de ecrã, padrão&#10;&#10;Descrição gerada automaticamen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263640" cy="8101584"/>
                    </a:xfrm>
                    <a:prstGeom prst="rect">
                      <a:avLst/>
                    </a:prstGeom>
                  </pic:spPr>
                </pic:pic>
              </a:graphicData>
            </a:graphic>
            <wp14:sizeRelH relativeFrom="page">
              <wp14:pctWidth>0</wp14:pctWidth>
            </wp14:sizeRelH>
            <wp14:sizeRelV relativeFrom="page">
              <wp14:pctHeight>0</wp14:pctHeight>
            </wp14:sizeRelV>
          </wp:anchor>
        </w:drawing>
      </w:r>
    </w:p>
    <w:p w14:paraId="76554136" w14:textId="67085373" w:rsidR="004750CC" w:rsidRPr="00377D1C" w:rsidRDefault="004750CC" w:rsidP="004750CC">
      <w:pPr>
        <w:pStyle w:val="TEXTBODY"/>
        <w:rPr>
          <w:rFonts w:eastAsia="Calibri"/>
          <w:iCs/>
          <w:color w:val="0000FF" w:themeColor="hyperlink"/>
          <w:u w:val="single"/>
          <w:lang w:eastAsia="en-US"/>
        </w:rPr>
      </w:pPr>
    </w:p>
    <w:p w14:paraId="3FB3AFA6" w14:textId="77777777" w:rsidR="004750CC" w:rsidRPr="00377D1C" w:rsidRDefault="004750CC" w:rsidP="004750CC">
      <w:pPr>
        <w:pStyle w:val="TEXTBODY"/>
        <w:rPr>
          <w:rFonts w:eastAsia="Calibri"/>
          <w:iCs/>
          <w:color w:val="0000FF" w:themeColor="hyperlink"/>
          <w:u w:val="single"/>
          <w:lang w:eastAsia="en-US"/>
        </w:rPr>
      </w:pPr>
    </w:p>
    <w:p w14:paraId="6B665708" w14:textId="7E760D80" w:rsidR="004750CC" w:rsidRPr="00377D1C" w:rsidRDefault="004750CC" w:rsidP="004750CC">
      <w:pPr>
        <w:pStyle w:val="TEXTBODY"/>
        <w:rPr>
          <w:rFonts w:eastAsia="Calibri"/>
          <w:iCs/>
          <w:color w:val="0000FF" w:themeColor="hyperlink"/>
          <w:u w:val="single"/>
          <w:lang w:eastAsia="en-US"/>
        </w:rPr>
      </w:pPr>
    </w:p>
    <w:p w14:paraId="5025C50B" w14:textId="376D7FBA" w:rsidR="004750CC" w:rsidRPr="00377D1C" w:rsidRDefault="004750CC" w:rsidP="004750CC">
      <w:pPr>
        <w:pStyle w:val="TEXTBODY"/>
        <w:rPr>
          <w:rFonts w:eastAsia="Calibri"/>
          <w:iCs/>
          <w:color w:val="0000FF" w:themeColor="hyperlink"/>
          <w:u w:val="single"/>
          <w:lang w:eastAsia="en-US"/>
        </w:rPr>
      </w:pPr>
    </w:p>
    <w:p w14:paraId="540509A4" w14:textId="1E20C724" w:rsidR="004750CC" w:rsidRPr="00377D1C" w:rsidRDefault="004750CC" w:rsidP="004750CC">
      <w:pPr>
        <w:pStyle w:val="TEXTBODY"/>
        <w:rPr>
          <w:rFonts w:eastAsia="Calibri"/>
          <w:iCs/>
          <w:color w:val="0000FF" w:themeColor="hyperlink"/>
          <w:u w:val="single"/>
          <w:lang w:eastAsia="en-US"/>
        </w:rPr>
      </w:pPr>
    </w:p>
    <w:p w14:paraId="604FBFD4" w14:textId="77777777" w:rsidR="004750CC" w:rsidRPr="00377D1C" w:rsidRDefault="004750CC" w:rsidP="004750CC">
      <w:pPr>
        <w:pStyle w:val="TEXTBODY"/>
        <w:rPr>
          <w:rFonts w:eastAsia="Calibri"/>
          <w:iCs/>
          <w:color w:val="0000FF" w:themeColor="hyperlink"/>
          <w:u w:val="single"/>
          <w:lang w:eastAsia="en-US"/>
        </w:rPr>
      </w:pPr>
    </w:p>
    <w:p w14:paraId="6E7F0D64" w14:textId="77777777" w:rsidR="004750CC" w:rsidRPr="00377D1C" w:rsidRDefault="004750CC" w:rsidP="004750CC">
      <w:pPr>
        <w:pStyle w:val="TEXTBODY"/>
        <w:rPr>
          <w:rFonts w:eastAsia="Calibri"/>
          <w:iCs/>
          <w:color w:val="0000FF" w:themeColor="hyperlink"/>
          <w:u w:val="single"/>
          <w:lang w:eastAsia="en-US"/>
        </w:rPr>
      </w:pPr>
    </w:p>
    <w:p w14:paraId="1B31AC51" w14:textId="77777777" w:rsidR="004750CC" w:rsidRPr="00377D1C" w:rsidRDefault="004750CC" w:rsidP="004750CC">
      <w:pPr>
        <w:pStyle w:val="TEXTBODY"/>
        <w:rPr>
          <w:rFonts w:eastAsia="Calibri"/>
          <w:iCs/>
          <w:color w:val="0000FF" w:themeColor="hyperlink"/>
          <w:u w:val="single"/>
          <w:lang w:eastAsia="en-US"/>
        </w:rPr>
      </w:pPr>
    </w:p>
    <w:p w14:paraId="5BAC63FC" w14:textId="77777777" w:rsidR="004750CC" w:rsidRPr="00377D1C" w:rsidRDefault="004750CC" w:rsidP="004750CC">
      <w:pPr>
        <w:pStyle w:val="TEXTBODY"/>
        <w:rPr>
          <w:rFonts w:eastAsia="Calibri"/>
          <w:iCs/>
          <w:color w:val="0000FF" w:themeColor="hyperlink"/>
          <w:u w:val="single"/>
          <w:lang w:eastAsia="en-US"/>
        </w:rPr>
      </w:pPr>
    </w:p>
    <w:p w14:paraId="7F849C1A" w14:textId="77777777" w:rsidR="004750CC" w:rsidRPr="00377D1C" w:rsidRDefault="004750CC" w:rsidP="004750CC">
      <w:pPr>
        <w:pStyle w:val="TEXTBODY"/>
        <w:rPr>
          <w:rFonts w:eastAsia="Calibri"/>
          <w:iCs/>
          <w:color w:val="0000FF" w:themeColor="hyperlink"/>
          <w:u w:val="single"/>
          <w:lang w:eastAsia="en-US"/>
        </w:rPr>
      </w:pPr>
    </w:p>
    <w:p w14:paraId="1D657E52" w14:textId="77777777" w:rsidR="004750CC" w:rsidRPr="00377D1C" w:rsidRDefault="004750CC" w:rsidP="004750CC">
      <w:pPr>
        <w:pStyle w:val="TEXTBODY"/>
        <w:rPr>
          <w:rFonts w:eastAsia="Calibri"/>
          <w:iCs/>
          <w:color w:val="0000FF" w:themeColor="hyperlink"/>
          <w:u w:val="single"/>
          <w:lang w:eastAsia="en-US"/>
        </w:rPr>
      </w:pPr>
    </w:p>
    <w:p w14:paraId="59ABC06B" w14:textId="77777777" w:rsidR="004750CC" w:rsidRPr="00377D1C" w:rsidRDefault="004750CC" w:rsidP="004750CC">
      <w:pPr>
        <w:pStyle w:val="TEXTBODY"/>
        <w:rPr>
          <w:rFonts w:eastAsia="Calibri"/>
          <w:iCs/>
          <w:color w:val="0000FF" w:themeColor="hyperlink"/>
          <w:u w:val="single"/>
          <w:lang w:eastAsia="en-US"/>
        </w:rPr>
      </w:pPr>
    </w:p>
    <w:p w14:paraId="2D019E4A" w14:textId="77777777" w:rsidR="004750CC" w:rsidRPr="00377D1C" w:rsidRDefault="004750CC" w:rsidP="004750CC">
      <w:pPr>
        <w:pStyle w:val="TEXTBODY"/>
        <w:rPr>
          <w:rFonts w:eastAsia="Calibri"/>
          <w:iCs/>
          <w:color w:val="0000FF" w:themeColor="hyperlink"/>
          <w:u w:val="single"/>
          <w:lang w:eastAsia="en-US"/>
        </w:rPr>
      </w:pPr>
    </w:p>
    <w:p w14:paraId="3222596C" w14:textId="77777777" w:rsidR="004750CC" w:rsidRPr="00377D1C" w:rsidRDefault="004750CC" w:rsidP="004750CC">
      <w:pPr>
        <w:pStyle w:val="TEXTBODY"/>
        <w:rPr>
          <w:rFonts w:eastAsia="Calibri"/>
          <w:iCs/>
          <w:color w:val="0000FF" w:themeColor="hyperlink"/>
          <w:u w:val="single"/>
          <w:lang w:eastAsia="en-US"/>
        </w:rPr>
      </w:pPr>
    </w:p>
    <w:p w14:paraId="6ACD4439" w14:textId="77777777" w:rsidR="004750CC" w:rsidRPr="00377D1C" w:rsidRDefault="004750CC" w:rsidP="004750CC">
      <w:pPr>
        <w:pStyle w:val="TEXTBODY"/>
        <w:rPr>
          <w:rFonts w:eastAsia="Calibri"/>
          <w:iCs/>
          <w:color w:val="0000FF" w:themeColor="hyperlink"/>
          <w:u w:val="single"/>
          <w:lang w:eastAsia="en-US"/>
        </w:rPr>
      </w:pPr>
    </w:p>
    <w:p w14:paraId="5FBF1D31" w14:textId="77777777" w:rsidR="004750CC" w:rsidRPr="00377D1C" w:rsidRDefault="004750CC" w:rsidP="004750CC">
      <w:pPr>
        <w:pStyle w:val="TEXTBODY"/>
        <w:rPr>
          <w:rFonts w:eastAsia="Calibri"/>
          <w:iCs/>
          <w:color w:val="0000FF" w:themeColor="hyperlink"/>
          <w:u w:val="single"/>
          <w:lang w:eastAsia="en-US"/>
        </w:rPr>
      </w:pPr>
    </w:p>
    <w:p w14:paraId="41CFBC97" w14:textId="77777777" w:rsidR="004750CC" w:rsidRPr="00377D1C" w:rsidRDefault="004750CC" w:rsidP="004750CC">
      <w:pPr>
        <w:pStyle w:val="TEXTBODY"/>
        <w:rPr>
          <w:rFonts w:eastAsia="Calibri"/>
          <w:iCs/>
          <w:color w:val="0000FF" w:themeColor="hyperlink"/>
          <w:u w:val="single"/>
          <w:lang w:eastAsia="en-US"/>
        </w:rPr>
      </w:pPr>
    </w:p>
    <w:p w14:paraId="5982B3E3" w14:textId="77777777" w:rsidR="004750CC" w:rsidRPr="00377D1C" w:rsidRDefault="004750CC" w:rsidP="004750CC">
      <w:pPr>
        <w:pStyle w:val="TEXTBODY"/>
        <w:rPr>
          <w:rFonts w:eastAsia="Calibri"/>
          <w:iCs/>
          <w:color w:val="0000FF" w:themeColor="hyperlink"/>
          <w:u w:val="single"/>
          <w:lang w:eastAsia="en-US"/>
        </w:rPr>
      </w:pPr>
    </w:p>
    <w:p w14:paraId="063BECCD" w14:textId="77777777" w:rsidR="004750CC" w:rsidRPr="00377D1C" w:rsidRDefault="004750CC" w:rsidP="004750CC">
      <w:pPr>
        <w:pStyle w:val="TEXTBODY"/>
        <w:rPr>
          <w:rFonts w:eastAsia="Calibri"/>
          <w:iCs/>
          <w:color w:val="0000FF" w:themeColor="hyperlink"/>
          <w:u w:val="single"/>
          <w:lang w:eastAsia="en-US"/>
        </w:rPr>
      </w:pPr>
    </w:p>
    <w:p w14:paraId="43F82613" w14:textId="77777777" w:rsidR="004750CC" w:rsidRPr="00377D1C" w:rsidRDefault="004750CC" w:rsidP="004750CC">
      <w:pPr>
        <w:pStyle w:val="TEXTBODY"/>
        <w:rPr>
          <w:rFonts w:eastAsia="Calibri"/>
          <w:iCs/>
          <w:color w:val="0000FF" w:themeColor="hyperlink"/>
          <w:u w:val="single"/>
          <w:lang w:eastAsia="en-US"/>
        </w:rPr>
      </w:pPr>
    </w:p>
    <w:p w14:paraId="21D98A2F" w14:textId="77777777" w:rsidR="004750CC" w:rsidRPr="00377D1C" w:rsidRDefault="004750CC" w:rsidP="004750CC">
      <w:pPr>
        <w:pStyle w:val="TEXTBODY"/>
        <w:rPr>
          <w:rFonts w:eastAsia="Calibri"/>
          <w:iCs/>
          <w:color w:val="0000FF" w:themeColor="hyperlink"/>
          <w:u w:val="single"/>
          <w:lang w:eastAsia="en-US"/>
        </w:rPr>
      </w:pPr>
    </w:p>
    <w:p w14:paraId="3196FA67" w14:textId="77777777" w:rsidR="004750CC" w:rsidRPr="00377D1C" w:rsidRDefault="004750CC" w:rsidP="004750CC">
      <w:pPr>
        <w:pStyle w:val="TEXTBODY"/>
        <w:rPr>
          <w:rFonts w:eastAsia="Calibri"/>
          <w:iCs/>
          <w:color w:val="0000FF" w:themeColor="hyperlink"/>
          <w:u w:val="single"/>
          <w:lang w:eastAsia="en-US"/>
        </w:rPr>
      </w:pPr>
    </w:p>
    <w:p w14:paraId="08110648" w14:textId="77777777" w:rsidR="004750CC" w:rsidRPr="00377D1C" w:rsidRDefault="004750CC" w:rsidP="004750CC">
      <w:pPr>
        <w:pStyle w:val="TEXTBODY"/>
        <w:rPr>
          <w:rFonts w:eastAsia="Calibri"/>
          <w:iCs/>
          <w:color w:val="0000FF" w:themeColor="hyperlink"/>
          <w:u w:val="single"/>
          <w:lang w:eastAsia="en-US"/>
        </w:rPr>
      </w:pPr>
    </w:p>
    <w:p w14:paraId="102AA8DD" w14:textId="77777777" w:rsidR="004750CC" w:rsidRPr="00377D1C" w:rsidRDefault="004750CC" w:rsidP="004750CC">
      <w:pPr>
        <w:pStyle w:val="TEXTBODY"/>
        <w:rPr>
          <w:rFonts w:eastAsia="Calibri"/>
          <w:iCs/>
          <w:color w:val="0000FF" w:themeColor="hyperlink"/>
          <w:u w:val="single"/>
          <w:lang w:eastAsia="en-US"/>
        </w:rPr>
      </w:pPr>
    </w:p>
    <w:p w14:paraId="4F9CDC4F" w14:textId="77777777" w:rsidR="004750CC" w:rsidRPr="00377D1C" w:rsidRDefault="004750CC" w:rsidP="004750CC">
      <w:pPr>
        <w:pStyle w:val="TEXTBODY"/>
        <w:rPr>
          <w:rFonts w:eastAsia="Calibri"/>
          <w:iCs/>
          <w:color w:val="0000FF" w:themeColor="hyperlink"/>
          <w:u w:val="single"/>
          <w:lang w:eastAsia="en-US"/>
        </w:rPr>
      </w:pPr>
    </w:p>
    <w:p w14:paraId="7A89757D" w14:textId="77777777" w:rsidR="004750CC" w:rsidRDefault="004750CC" w:rsidP="000E4F27">
      <w:pPr>
        <w:rPr>
          <w:bCs/>
        </w:rPr>
      </w:pPr>
    </w:p>
    <w:p w14:paraId="23E13111" w14:textId="77777777" w:rsidR="004750CC" w:rsidRDefault="004750CC" w:rsidP="000E4F27">
      <w:pPr>
        <w:rPr>
          <w:bCs/>
        </w:rPr>
      </w:pPr>
    </w:p>
    <w:p w14:paraId="33D19D1E" w14:textId="77777777" w:rsidR="004750CC" w:rsidRDefault="004750CC" w:rsidP="000E4F27">
      <w:pPr>
        <w:rPr>
          <w:bCs/>
        </w:rPr>
      </w:pPr>
    </w:p>
    <w:p w14:paraId="15C04B54" w14:textId="77777777" w:rsidR="00F272A1" w:rsidRDefault="00F272A1" w:rsidP="000E4F27">
      <w:pPr>
        <w:rPr>
          <w:bCs/>
        </w:rPr>
      </w:pPr>
    </w:p>
    <w:p w14:paraId="7B46B937" w14:textId="77777777" w:rsidR="004750CC" w:rsidRDefault="004750CC" w:rsidP="000E4F27">
      <w:pPr>
        <w:rPr>
          <w:bCs/>
        </w:rPr>
      </w:pPr>
    </w:p>
    <w:p w14:paraId="34B1E886" w14:textId="77777777" w:rsidR="00F272A1" w:rsidRDefault="00F272A1" w:rsidP="004750CC">
      <w:pPr>
        <w:pStyle w:val="TEXTBODY"/>
        <w:rPr>
          <w:rFonts w:eastAsia="Calibri"/>
          <w:lang w:eastAsia="en-US"/>
        </w:rPr>
      </w:pPr>
    </w:p>
    <w:p w14:paraId="69AA7D9B" w14:textId="0D1689D2" w:rsidR="004750CC" w:rsidRPr="00F272A1" w:rsidRDefault="004750CC" w:rsidP="004750CC">
      <w:pPr>
        <w:pStyle w:val="TEXTBODY"/>
        <w:rPr>
          <w:rFonts w:eastAsia="Calibri"/>
          <w:sz w:val="16"/>
          <w:szCs w:val="18"/>
          <w:lang w:eastAsia="en-US"/>
        </w:rPr>
      </w:pPr>
      <w:r w:rsidRPr="00F272A1">
        <w:rPr>
          <w:rFonts w:eastAsia="Calibri"/>
          <w:sz w:val="16"/>
          <w:szCs w:val="18"/>
          <w:lang w:eastAsia="en-US"/>
        </w:rPr>
        <w:t xml:space="preserve">Figure: DP process </w:t>
      </w:r>
      <w:r w:rsidR="00313CFB" w:rsidRPr="00F272A1">
        <w:rPr>
          <w:rFonts w:eastAsia="Calibri"/>
          <w:sz w:val="16"/>
          <w:szCs w:val="18"/>
          <w:lang w:eastAsia="en-US"/>
        </w:rPr>
        <w:t>with a medium level of detail</w:t>
      </w:r>
    </w:p>
    <w:p w14:paraId="795CF028" w14:textId="5D59F569" w:rsidR="00881F75" w:rsidRPr="009B720F" w:rsidRDefault="00881F75" w:rsidP="001522F8">
      <w:pPr>
        <w:pStyle w:val="Ttulo1"/>
        <w:ind w:left="0" w:firstLine="0"/>
        <w:jc w:val="left"/>
        <w:rPr>
          <w:color w:val="FF0000"/>
        </w:rPr>
      </w:pPr>
      <w:r w:rsidRPr="009B720F">
        <w:lastRenderedPageBreak/>
        <w:t>N</w:t>
      </w:r>
      <w:r w:rsidR="004750CC" w:rsidRPr="009B720F">
        <w:t xml:space="preserve">OTE </w:t>
      </w:r>
      <w:r w:rsidR="002701E8" w:rsidRPr="009B720F">
        <w:t>1</w:t>
      </w:r>
      <w:r w:rsidRPr="009B720F">
        <w:t>.</w:t>
      </w:r>
      <w:r w:rsidR="00C829C6" w:rsidRPr="009B720F">
        <w:t xml:space="preserve"> </w:t>
      </w:r>
      <w:r w:rsidRPr="009B720F">
        <w:t xml:space="preserve">How the </w:t>
      </w:r>
      <w:r w:rsidR="000F1ED9" w:rsidRPr="009B720F">
        <w:t>TE2100</w:t>
      </w:r>
      <w:r w:rsidRPr="009B720F">
        <w:t xml:space="preserve"> has developed and applied its </w:t>
      </w:r>
      <w:r w:rsidRPr="009B720F">
        <w:rPr>
          <w:i/>
          <w:iCs/>
        </w:rPr>
        <w:t>Dynamic Adaptive Planning approach</w:t>
      </w:r>
      <w:r w:rsidR="00F77E53" w:rsidRPr="009B720F">
        <w:t xml:space="preserve">: </w:t>
      </w:r>
      <w:r w:rsidRPr="009B720F">
        <w:t xml:space="preserve">process of </w:t>
      </w:r>
      <w:r w:rsidRPr="001522F8">
        <w:t>steps</w:t>
      </w:r>
    </w:p>
    <w:p w14:paraId="2D51D1EE" w14:textId="04DC4130" w:rsidR="00F272A1" w:rsidRDefault="00BB05C5" w:rsidP="00336A37">
      <w:pPr>
        <w:pStyle w:val="TEXTBODY"/>
        <w:spacing w:line="276" w:lineRule="auto"/>
        <w:rPr>
          <w:bCs/>
        </w:rPr>
      </w:pPr>
      <w:r w:rsidRPr="009B720F">
        <w:rPr>
          <w:bCs/>
          <w:color w:val="000000" w:themeColor="text1"/>
        </w:rPr>
        <w:t xml:space="preserve">This section describes how the </w:t>
      </w:r>
      <w:r w:rsidRPr="009B720F">
        <w:rPr>
          <w:bCs/>
          <w:i/>
          <w:iCs/>
          <w:color w:val="000000" w:themeColor="text1"/>
        </w:rPr>
        <w:t>Dynamic Adaptive Planning approach</w:t>
      </w:r>
      <w:r w:rsidRPr="009B720F">
        <w:rPr>
          <w:bCs/>
          <w:color w:val="000000" w:themeColor="text1"/>
        </w:rPr>
        <w:t xml:space="preserve"> was applied in the TE2100 Project to develop an</w:t>
      </w:r>
      <w:r w:rsidRPr="009B720F">
        <w:rPr>
          <w:bCs/>
          <w:i/>
          <w:iCs/>
          <w:color w:val="000000" w:themeColor="text1"/>
        </w:rPr>
        <w:t xml:space="preserve"> adaptive FRM plan</w:t>
      </w:r>
      <w:r w:rsidRPr="009B720F">
        <w:rPr>
          <w:bCs/>
          <w:color w:val="000000" w:themeColor="text1"/>
        </w:rPr>
        <w:t xml:space="preserve">, focusing particularly on how the APs method was used to design the pathways (how the pathways </w:t>
      </w:r>
      <w:r w:rsidR="00995F3E" w:rsidRPr="009B720F">
        <w:rPr>
          <w:bCs/>
          <w:color w:val="000000" w:themeColor="text1"/>
        </w:rPr>
        <w:t xml:space="preserve">and route-map </w:t>
      </w:r>
      <w:r w:rsidRPr="009B720F">
        <w:rPr>
          <w:bCs/>
          <w:color w:val="000000" w:themeColor="text1"/>
        </w:rPr>
        <w:t>were designed).</w:t>
      </w:r>
      <w:r w:rsidRPr="009B720F">
        <w:rPr>
          <w:bCs/>
          <w:szCs w:val="18"/>
        </w:rPr>
        <w:t xml:space="preserve"> </w:t>
      </w:r>
      <w:r w:rsidRPr="009B720F">
        <w:rPr>
          <w:bCs/>
        </w:rPr>
        <w:t xml:space="preserve">The </w:t>
      </w:r>
      <w:r w:rsidRPr="009B720F">
        <w:rPr>
          <w:bCs/>
          <w:color w:val="000000"/>
        </w:rPr>
        <w:t xml:space="preserve">TE2100 followed a </w:t>
      </w:r>
      <w:r w:rsidRPr="009B720F">
        <w:rPr>
          <w:bCs/>
          <w:i/>
          <w:iCs/>
          <w:color w:val="000000"/>
        </w:rPr>
        <w:t>decision-centred</w:t>
      </w:r>
      <w:r w:rsidRPr="009B720F">
        <w:rPr>
          <w:bCs/>
          <w:color w:val="000000"/>
        </w:rPr>
        <w:t xml:space="preserve"> </w:t>
      </w:r>
      <w:r w:rsidRPr="009B720F">
        <w:rPr>
          <w:bCs/>
          <w:i/>
          <w:iCs/>
          <w:color w:val="000000"/>
        </w:rPr>
        <w:t>planning process</w:t>
      </w:r>
      <w:r w:rsidRPr="009B720F">
        <w:rPr>
          <w:bCs/>
          <w:color w:val="000000"/>
        </w:rPr>
        <w:t xml:space="preserve"> (also called </w:t>
      </w:r>
      <w:r w:rsidRPr="009B720F">
        <w:rPr>
          <w:bCs/>
          <w:i/>
          <w:iCs/>
        </w:rPr>
        <w:t>policy-first</w:t>
      </w:r>
      <w:r w:rsidRPr="009B720F">
        <w:rPr>
          <w:bCs/>
        </w:rPr>
        <w:t xml:space="preserve">, </w:t>
      </w:r>
      <w:r w:rsidRPr="009B720F">
        <w:rPr>
          <w:bCs/>
          <w:i/>
          <w:iCs/>
        </w:rPr>
        <w:t>context-first</w:t>
      </w:r>
      <w:r w:rsidRPr="009B720F">
        <w:rPr>
          <w:bCs/>
        </w:rPr>
        <w:t xml:space="preserve"> or </w:t>
      </w:r>
      <w:r w:rsidRPr="009B720F">
        <w:rPr>
          <w:bCs/>
          <w:i/>
          <w:iCs/>
        </w:rPr>
        <w:t>bottom-up process</w:t>
      </w:r>
      <w:r w:rsidRPr="009B720F">
        <w:rPr>
          <w:bCs/>
          <w:color w:val="000000"/>
        </w:rPr>
        <w:t xml:space="preserve">) </w:t>
      </w:r>
      <w:r w:rsidRPr="009B720F">
        <w:rPr>
          <w:bCs/>
        </w:rPr>
        <w:t>(</w:t>
      </w:r>
      <w:r w:rsidRPr="009B720F">
        <w:rPr>
          <w:bCs/>
          <w:color w:val="7F7F7F" w:themeColor="text1" w:themeTint="80"/>
        </w:rPr>
        <w:t>Ranger et al. 2013; Reeder and Ranger 2011; Ranger et al. 2010</w:t>
      </w:r>
      <w:r w:rsidRPr="009B720F">
        <w:rPr>
          <w:bCs/>
        </w:rPr>
        <w:t>).</w:t>
      </w:r>
      <w:r w:rsidRPr="009B720F">
        <w:rPr>
          <w:rStyle w:val="Refdenotaderodap"/>
          <w:bCs/>
          <w:color w:val="000000"/>
          <w:highlight w:val="lightGray"/>
        </w:rPr>
        <w:footnoteReference w:id="1"/>
      </w:r>
      <w:r w:rsidRPr="009B720F">
        <w:rPr>
          <w:bCs/>
          <w:color w:val="000000"/>
        </w:rPr>
        <w:t xml:space="preserve"> </w:t>
      </w:r>
      <w:r w:rsidR="00F77E53" w:rsidRPr="009B720F">
        <w:rPr>
          <w:bCs/>
          <w:color w:val="000000" w:themeColor="text1"/>
        </w:rPr>
        <w:t xml:space="preserve">The TE2100 Plan itself </w:t>
      </w:r>
      <w:r w:rsidR="00F77E53" w:rsidRPr="009B720F">
        <w:rPr>
          <w:bCs/>
        </w:rPr>
        <w:t>(</w:t>
      </w:r>
      <w:r w:rsidR="00F77E53" w:rsidRPr="009B720F">
        <w:rPr>
          <w:bCs/>
          <w:color w:val="7F7F7F" w:themeColor="text1" w:themeTint="80"/>
        </w:rPr>
        <w:t>EA 2012; EA 2009b</w:t>
      </w:r>
      <w:r w:rsidR="00F77E53" w:rsidRPr="009B720F">
        <w:rPr>
          <w:bCs/>
          <w:color w:val="000000" w:themeColor="text1"/>
        </w:rPr>
        <w:t xml:space="preserve">), and several authors and documents have provided a detailed description of the </w:t>
      </w:r>
      <w:r w:rsidR="006D630A">
        <w:rPr>
          <w:bCs/>
          <w:color w:val="000000" w:themeColor="text1"/>
        </w:rPr>
        <w:t xml:space="preserve">creation and </w:t>
      </w:r>
      <w:r w:rsidR="00F77E53" w:rsidRPr="009B720F">
        <w:rPr>
          <w:bCs/>
          <w:color w:val="000000" w:themeColor="text1"/>
        </w:rPr>
        <w:t xml:space="preserve">application of such Adaptive Planning approach (including the APs’ method within it) </w:t>
      </w:r>
      <w:r w:rsidR="006D630A">
        <w:rPr>
          <w:bCs/>
          <w:color w:val="000000" w:themeColor="text1"/>
        </w:rPr>
        <w:t xml:space="preserve">and of the development of a robust adaptive plan using it </w:t>
      </w:r>
      <w:r w:rsidR="00F77E53" w:rsidRPr="009B720F">
        <w:rPr>
          <w:bCs/>
          <w:color w:val="000000" w:themeColor="text1"/>
        </w:rPr>
        <w:t>(see e.g.</w:t>
      </w:r>
      <w:r w:rsidR="00F77E53" w:rsidRPr="009B720F">
        <w:rPr>
          <w:bCs/>
          <w:color w:val="C00000"/>
        </w:rPr>
        <w:t xml:space="preserve"> </w:t>
      </w:r>
      <w:r w:rsidR="00F77E53" w:rsidRPr="009B720F">
        <w:rPr>
          <w:bCs/>
          <w:color w:val="7F7F7F" w:themeColor="text1" w:themeTint="80"/>
        </w:rPr>
        <w:t>Reeder and Ranger 2011, Ranger et al. 2013; Penning-Rowsell et al. 2013;</w:t>
      </w:r>
      <w:r w:rsidR="00F77E53" w:rsidRPr="009B720F">
        <w:rPr>
          <w:rFonts w:eastAsia="Frutiger-Roman"/>
          <w:bCs/>
          <w:color w:val="7F7F7F" w:themeColor="text1" w:themeTint="80"/>
          <w:szCs w:val="18"/>
        </w:rPr>
        <w:t xml:space="preserve"> Lowe et al. 2009;</w:t>
      </w:r>
      <w:r w:rsidR="00F77E53" w:rsidRPr="009B720F">
        <w:rPr>
          <w:bCs/>
          <w:color w:val="7F7F7F" w:themeColor="text1" w:themeTint="80"/>
        </w:rPr>
        <w:t xml:space="preserve"> HM Treasury 2009; London Councils’ TEC 2007; London Councils 2018; EA 2016; Ramsbottom and Sheppard 2017</w:t>
      </w:r>
      <w:r w:rsidR="00F77E53" w:rsidRPr="009B720F">
        <w:rPr>
          <w:rStyle w:val="Refdenotaderodap"/>
          <w:rFonts w:eastAsia="Calibri" w:cs="Arial"/>
          <w:bCs/>
          <w:color w:val="000000" w:themeColor="text1"/>
          <w:szCs w:val="18"/>
          <w:highlight w:val="lightGray"/>
        </w:rPr>
        <w:footnoteReference w:id="2"/>
      </w:r>
      <w:r w:rsidR="00F77E53" w:rsidRPr="009B720F">
        <w:rPr>
          <w:bCs/>
          <w:color w:val="7F7F7F" w:themeColor="text1" w:themeTint="80"/>
        </w:rPr>
        <w:t xml:space="preserve">; </w:t>
      </w:r>
      <w:r w:rsidR="00F77E53" w:rsidRPr="009B720F">
        <w:rPr>
          <w:rFonts w:cs="Arial"/>
          <w:bCs/>
          <w:color w:val="7F7F7F" w:themeColor="text1" w:themeTint="80"/>
          <w:szCs w:val="19"/>
        </w:rPr>
        <w:t>Bloemen et al. 2018</w:t>
      </w:r>
      <w:r w:rsidR="00F77E53" w:rsidRPr="009B720F">
        <w:rPr>
          <w:bCs/>
        </w:rPr>
        <w:t xml:space="preserve">). </w:t>
      </w:r>
      <w:r w:rsidR="006D630A" w:rsidRPr="006D630A">
        <w:rPr>
          <w:b/>
        </w:rPr>
        <w:t xml:space="preserve">Figure </w:t>
      </w:r>
      <w:r w:rsidR="00AD22FD">
        <w:rPr>
          <w:b/>
        </w:rPr>
        <w:t>1</w:t>
      </w:r>
      <w:r w:rsidR="006D630A">
        <w:rPr>
          <w:bCs/>
        </w:rPr>
        <w:t xml:space="preserve"> provides a</w:t>
      </w:r>
      <w:r w:rsidR="008649BD">
        <w:rPr>
          <w:bCs/>
        </w:rPr>
        <w:t xml:space="preserve"> detailed</w:t>
      </w:r>
      <w:r w:rsidR="006D630A">
        <w:rPr>
          <w:bCs/>
        </w:rPr>
        <w:t xml:space="preserve"> depiction of such process</w:t>
      </w:r>
      <w:r w:rsidR="008649BD">
        <w:rPr>
          <w:bCs/>
        </w:rPr>
        <w:t xml:space="preserve">, and it builds on the reconstruction of the process described in </w:t>
      </w:r>
      <w:r w:rsidR="008649BD" w:rsidRPr="00F8219A">
        <w:rPr>
          <w:b/>
        </w:rPr>
        <w:t xml:space="preserve">Table </w:t>
      </w:r>
      <w:r w:rsidR="00AD22FD">
        <w:rPr>
          <w:b/>
        </w:rPr>
        <w:t>1</w:t>
      </w:r>
      <w:r w:rsidR="008649BD">
        <w:rPr>
          <w:bCs/>
        </w:rPr>
        <w:t>.</w:t>
      </w:r>
    </w:p>
    <w:p w14:paraId="51DD17CA" w14:textId="77777777" w:rsidR="00336A37" w:rsidRDefault="00336A37" w:rsidP="00336A37">
      <w:pPr>
        <w:pStyle w:val="TEXTBODY"/>
        <w:spacing w:line="276" w:lineRule="auto"/>
        <w:rPr>
          <w:bCs/>
        </w:rPr>
      </w:pPr>
    </w:p>
    <w:p w14:paraId="0C6CB18B" w14:textId="77777777" w:rsidR="00336A37" w:rsidRDefault="00336A37" w:rsidP="00336A37">
      <w:pPr>
        <w:pStyle w:val="TEXTBODY"/>
        <w:spacing w:line="276" w:lineRule="auto"/>
        <w:rPr>
          <w:bCs/>
        </w:rPr>
      </w:pPr>
    </w:p>
    <w:p w14:paraId="7F9F03ED" w14:textId="77777777" w:rsidR="00336A37" w:rsidRDefault="00336A37" w:rsidP="00336A37">
      <w:pPr>
        <w:pStyle w:val="TEXTBODY"/>
        <w:spacing w:line="276" w:lineRule="auto"/>
        <w:rPr>
          <w:bCs/>
        </w:rPr>
      </w:pPr>
    </w:p>
    <w:p w14:paraId="064F4010" w14:textId="77777777" w:rsidR="00336A37" w:rsidRDefault="00336A37" w:rsidP="00336A37">
      <w:pPr>
        <w:pStyle w:val="TEXTBODY"/>
        <w:spacing w:line="276" w:lineRule="auto"/>
        <w:rPr>
          <w:bCs/>
        </w:rPr>
      </w:pPr>
    </w:p>
    <w:p w14:paraId="664440B7" w14:textId="77777777" w:rsidR="00336A37" w:rsidRDefault="00336A37" w:rsidP="00336A37">
      <w:pPr>
        <w:pStyle w:val="TEXTBODY"/>
        <w:spacing w:line="276" w:lineRule="auto"/>
        <w:rPr>
          <w:bCs/>
        </w:rPr>
      </w:pPr>
    </w:p>
    <w:p w14:paraId="6225A743" w14:textId="77777777" w:rsidR="00336A37" w:rsidRDefault="00336A37" w:rsidP="00336A37">
      <w:pPr>
        <w:pStyle w:val="TEXTBODY"/>
        <w:spacing w:line="276" w:lineRule="auto"/>
        <w:rPr>
          <w:bCs/>
        </w:rPr>
      </w:pPr>
    </w:p>
    <w:p w14:paraId="4E063EA6" w14:textId="77777777" w:rsidR="00336A37" w:rsidRDefault="00336A37" w:rsidP="00336A37">
      <w:pPr>
        <w:pStyle w:val="TEXTBODY"/>
        <w:spacing w:line="276" w:lineRule="auto"/>
        <w:rPr>
          <w:bCs/>
        </w:rPr>
      </w:pPr>
    </w:p>
    <w:p w14:paraId="3279F854" w14:textId="77777777" w:rsidR="00336A37" w:rsidRDefault="00336A37" w:rsidP="00336A37">
      <w:pPr>
        <w:pStyle w:val="TEXTBODY"/>
        <w:spacing w:line="276" w:lineRule="auto"/>
        <w:rPr>
          <w:bCs/>
        </w:rPr>
      </w:pPr>
    </w:p>
    <w:p w14:paraId="6FE7FBD3" w14:textId="77777777" w:rsidR="00336A37" w:rsidRDefault="00336A37" w:rsidP="00336A37">
      <w:pPr>
        <w:pStyle w:val="TEXTBODY"/>
        <w:spacing w:line="276" w:lineRule="auto"/>
        <w:rPr>
          <w:bCs/>
        </w:rPr>
      </w:pPr>
    </w:p>
    <w:p w14:paraId="7BE62ECB" w14:textId="77777777" w:rsidR="00336A37" w:rsidRDefault="00336A37" w:rsidP="00336A37">
      <w:pPr>
        <w:pStyle w:val="TEXTBODY"/>
        <w:spacing w:line="276" w:lineRule="auto"/>
        <w:rPr>
          <w:bCs/>
        </w:rPr>
      </w:pPr>
    </w:p>
    <w:p w14:paraId="757AD9BE" w14:textId="77777777" w:rsidR="00336A37" w:rsidRDefault="00336A37" w:rsidP="00336A37">
      <w:pPr>
        <w:pStyle w:val="TEXTBODY"/>
        <w:spacing w:line="276" w:lineRule="auto"/>
        <w:rPr>
          <w:bCs/>
        </w:rPr>
      </w:pPr>
    </w:p>
    <w:p w14:paraId="77220043" w14:textId="77777777" w:rsidR="00336A37" w:rsidRDefault="00336A37" w:rsidP="00336A37">
      <w:pPr>
        <w:pStyle w:val="TEXTBODY"/>
        <w:spacing w:line="276" w:lineRule="auto"/>
        <w:rPr>
          <w:bCs/>
        </w:rPr>
      </w:pPr>
    </w:p>
    <w:p w14:paraId="7EA90B1A" w14:textId="77777777" w:rsidR="00336A37" w:rsidRDefault="00336A37" w:rsidP="00336A37">
      <w:pPr>
        <w:pStyle w:val="TEXTBODY"/>
        <w:spacing w:line="276" w:lineRule="auto"/>
        <w:rPr>
          <w:bCs/>
        </w:rPr>
      </w:pPr>
    </w:p>
    <w:p w14:paraId="688F757F" w14:textId="77777777" w:rsidR="00336A37" w:rsidRDefault="00336A37" w:rsidP="00336A37">
      <w:pPr>
        <w:pStyle w:val="TEXTBODY"/>
        <w:spacing w:line="276" w:lineRule="auto"/>
        <w:rPr>
          <w:bCs/>
        </w:rPr>
      </w:pPr>
    </w:p>
    <w:p w14:paraId="009AE6B1" w14:textId="77777777" w:rsidR="00336A37" w:rsidRDefault="00336A37" w:rsidP="00336A37">
      <w:pPr>
        <w:pStyle w:val="TEXTBODY"/>
        <w:spacing w:line="276" w:lineRule="auto"/>
        <w:rPr>
          <w:bCs/>
        </w:rPr>
      </w:pPr>
    </w:p>
    <w:p w14:paraId="39AED614" w14:textId="77777777" w:rsidR="00336A37" w:rsidRDefault="00336A37" w:rsidP="00336A37">
      <w:pPr>
        <w:pStyle w:val="TEXTBODY"/>
        <w:spacing w:line="276" w:lineRule="auto"/>
        <w:rPr>
          <w:bCs/>
        </w:rPr>
      </w:pPr>
    </w:p>
    <w:p w14:paraId="536C2B8C" w14:textId="77777777" w:rsidR="00336A37" w:rsidRDefault="00336A37" w:rsidP="00336A37">
      <w:pPr>
        <w:pStyle w:val="TEXTBODY"/>
        <w:spacing w:line="276" w:lineRule="auto"/>
        <w:rPr>
          <w:bCs/>
        </w:rPr>
      </w:pPr>
    </w:p>
    <w:p w14:paraId="6E009B67" w14:textId="77777777" w:rsidR="00336A37" w:rsidRDefault="00336A37" w:rsidP="00336A37">
      <w:pPr>
        <w:pStyle w:val="TEXTBODY"/>
        <w:spacing w:line="276" w:lineRule="auto"/>
        <w:rPr>
          <w:bCs/>
        </w:rPr>
      </w:pPr>
    </w:p>
    <w:p w14:paraId="1FB6CFB9" w14:textId="77777777" w:rsidR="00336A37" w:rsidRDefault="00336A37" w:rsidP="00336A37">
      <w:pPr>
        <w:pStyle w:val="TEXTBODY"/>
        <w:spacing w:line="276" w:lineRule="auto"/>
        <w:rPr>
          <w:bCs/>
        </w:rPr>
      </w:pPr>
    </w:p>
    <w:p w14:paraId="48A6DDD2" w14:textId="77777777" w:rsidR="00336A37" w:rsidRDefault="00336A37" w:rsidP="00336A37">
      <w:pPr>
        <w:pStyle w:val="TEXTBODY"/>
        <w:spacing w:line="276" w:lineRule="auto"/>
        <w:rPr>
          <w:bCs/>
        </w:rPr>
      </w:pPr>
    </w:p>
    <w:p w14:paraId="2F80DBC5" w14:textId="77777777" w:rsidR="00336A37" w:rsidRDefault="00336A37" w:rsidP="00336A37">
      <w:pPr>
        <w:pStyle w:val="TEXTBODY"/>
        <w:spacing w:line="276" w:lineRule="auto"/>
        <w:rPr>
          <w:bCs/>
        </w:rPr>
      </w:pPr>
    </w:p>
    <w:p w14:paraId="16507F23" w14:textId="77777777" w:rsidR="00336A37" w:rsidRDefault="00336A37" w:rsidP="00336A37">
      <w:pPr>
        <w:pStyle w:val="TEXTBODY"/>
        <w:spacing w:line="276" w:lineRule="auto"/>
        <w:rPr>
          <w:bCs/>
        </w:rPr>
      </w:pPr>
    </w:p>
    <w:p w14:paraId="50B4F0DE" w14:textId="77777777" w:rsidR="00336A37" w:rsidRPr="00336A37" w:rsidRDefault="00336A37" w:rsidP="00336A37">
      <w:pPr>
        <w:pStyle w:val="TEXTBODY"/>
        <w:spacing w:line="276" w:lineRule="auto"/>
        <w:rPr>
          <w:bCs/>
        </w:rPr>
      </w:pPr>
    </w:p>
    <w:p w14:paraId="2918FF5C" w14:textId="31961C7A" w:rsidR="008649BD" w:rsidRDefault="008649BD" w:rsidP="008649BD">
      <w:pPr>
        <w:pStyle w:val="TEXTBODY"/>
        <w:spacing w:line="480" w:lineRule="auto"/>
        <w:rPr>
          <w:bCs/>
        </w:rPr>
      </w:pPr>
      <w:r>
        <w:rPr>
          <w:bCs/>
          <w:noProof/>
        </w:rPr>
        <w:lastRenderedPageBreak/>
        <w:drawing>
          <wp:anchor distT="0" distB="0" distL="114300" distR="114300" simplePos="0" relativeHeight="252740096" behindDoc="1" locked="0" layoutInCell="1" allowOverlap="1" wp14:anchorId="26871F25" wp14:editId="28C2A0DD">
            <wp:simplePos x="0" y="0"/>
            <wp:positionH relativeFrom="column">
              <wp:posOffset>-635</wp:posOffset>
            </wp:positionH>
            <wp:positionV relativeFrom="paragraph">
              <wp:posOffset>-113665</wp:posOffset>
            </wp:positionV>
            <wp:extent cx="6263640" cy="7707630"/>
            <wp:effectExtent l="0" t="0" r="3810" b="7620"/>
            <wp:wrapNone/>
            <wp:docPr id="779122153" name="Imagem 1" descr="Uma imagem com texto, círculo, padrão, desenh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22153" name="Imagem 1" descr="Uma imagem com texto, círculo, padrão, desenho&#10;&#10;Descrição gerad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263640" cy="7707630"/>
                    </a:xfrm>
                    <a:prstGeom prst="rect">
                      <a:avLst/>
                    </a:prstGeom>
                  </pic:spPr>
                </pic:pic>
              </a:graphicData>
            </a:graphic>
            <wp14:sizeRelH relativeFrom="page">
              <wp14:pctWidth>0</wp14:pctWidth>
            </wp14:sizeRelH>
            <wp14:sizeRelV relativeFrom="page">
              <wp14:pctHeight>0</wp14:pctHeight>
            </wp14:sizeRelV>
          </wp:anchor>
        </w:drawing>
      </w:r>
    </w:p>
    <w:p w14:paraId="3F094477" w14:textId="77777777" w:rsidR="008649BD" w:rsidRDefault="008649BD" w:rsidP="008649BD">
      <w:pPr>
        <w:pStyle w:val="TEXTBODY"/>
        <w:spacing w:line="480" w:lineRule="auto"/>
        <w:rPr>
          <w:bCs/>
        </w:rPr>
      </w:pPr>
    </w:p>
    <w:p w14:paraId="61944D1D" w14:textId="77777777" w:rsidR="008649BD" w:rsidRDefault="008649BD" w:rsidP="008649BD">
      <w:pPr>
        <w:pStyle w:val="TEXTBODY"/>
        <w:spacing w:line="480" w:lineRule="auto"/>
        <w:rPr>
          <w:bCs/>
        </w:rPr>
      </w:pPr>
    </w:p>
    <w:p w14:paraId="115F411B" w14:textId="77777777" w:rsidR="008649BD" w:rsidRDefault="008649BD" w:rsidP="008649BD">
      <w:pPr>
        <w:pStyle w:val="TEXTBODY"/>
        <w:spacing w:line="480" w:lineRule="auto"/>
        <w:rPr>
          <w:bCs/>
        </w:rPr>
      </w:pPr>
    </w:p>
    <w:p w14:paraId="0E516E0C" w14:textId="77777777" w:rsidR="008649BD" w:rsidRDefault="008649BD" w:rsidP="008649BD">
      <w:pPr>
        <w:pStyle w:val="TEXTBODY"/>
        <w:spacing w:line="480" w:lineRule="auto"/>
        <w:rPr>
          <w:bCs/>
        </w:rPr>
      </w:pPr>
    </w:p>
    <w:p w14:paraId="64F76F8A" w14:textId="77777777" w:rsidR="008649BD" w:rsidRDefault="008649BD" w:rsidP="008649BD">
      <w:pPr>
        <w:pStyle w:val="TEXTBODY"/>
        <w:spacing w:line="480" w:lineRule="auto"/>
        <w:rPr>
          <w:bCs/>
        </w:rPr>
      </w:pPr>
    </w:p>
    <w:p w14:paraId="037EEF48" w14:textId="77777777" w:rsidR="008649BD" w:rsidRDefault="008649BD" w:rsidP="008649BD">
      <w:pPr>
        <w:pStyle w:val="TEXTBODY"/>
        <w:spacing w:line="480" w:lineRule="auto"/>
        <w:rPr>
          <w:bCs/>
        </w:rPr>
      </w:pPr>
    </w:p>
    <w:p w14:paraId="37AE5115" w14:textId="77777777" w:rsidR="008649BD" w:rsidRDefault="008649BD" w:rsidP="008649BD">
      <w:pPr>
        <w:pStyle w:val="TEXTBODY"/>
        <w:spacing w:line="480" w:lineRule="auto"/>
        <w:rPr>
          <w:bCs/>
        </w:rPr>
      </w:pPr>
    </w:p>
    <w:p w14:paraId="356967C0" w14:textId="77777777" w:rsidR="008649BD" w:rsidRDefault="008649BD" w:rsidP="008649BD">
      <w:pPr>
        <w:pStyle w:val="TEXTBODY"/>
        <w:spacing w:line="480" w:lineRule="auto"/>
        <w:rPr>
          <w:bCs/>
        </w:rPr>
      </w:pPr>
    </w:p>
    <w:p w14:paraId="27BDF16A" w14:textId="77777777" w:rsidR="008649BD" w:rsidRDefault="008649BD" w:rsidP="008649BD">
      <w:pPr>
        <w:pStyle w:val="TEXTBODY"/>
        <w:spacing w:line="480" w:lineRule="auto"/>
        <w:rPr>
          <w:bCs/>
        </w:rPr>
      </w:pPr>
    </w:p>
    <w:p w14:paraId="3CE33FFB" w14:textId="77777777" w:rsidR="008649BD" w:rsidRDefault="008649BD" w:rsidP="008649BD">
      <w:pPr>
        <w:pStyle w:val="TEXTBODY"/>
        <w:spacing w:line="480" w:lineRule="auto"/>
        <w:rPr>
          <w:bCs/>
        </w:rPr>
      </w:pPr>
    </w:p>
    <w:p w14:paraId="751A5D2B" w14:textId="77777777" w:rsidR="008649BD" w:rsidRDefault="008649BD" w:rsidP="008649BD">
      <w:pPr>
        <w:pStyle w:val="TEXTBODY"/>
        <w:spacing w:line="480" w:lineRule="auto"/>
        <w:rPr>
          <w:bCs/>
        </w:rPr>
      </w:pPr>
    </w:p>
    <w:p w14:paraId="0F75246C" w14:textId="77777777" w:rsidR="008649BD" w:rsidRDefault="008649BD" w:rsidP="008649BD">
      <w:pPr>
        <w:pStyle w:val="TEXTBODY"/>
        <w:spacing w:line="480" w:lineRule="auto"/>
        <w:rPr>
          <w:bCs/>
        </w:rPr>
      </w:pPr>
    </w:p>
    <w:p w14:paraId="1C0308FF" w14:textId="77777777" w:rsidR="008649BD" w:rsidRDefault="008649BD" w:rsidP="008649BD">
      <w:pPr>
        <w:pStyle w:val="TEXTBODY"/>
        <w:spacing w:line="480" w:lineRule="auto"/>
        <w:rPr>
          <w:bCs/>
        </w:rPr>
      </w:pPr>
    </w:p>
    <w:p w14:paraId="3B7CD63C" w14:textId="77777777" w:rsidR="008649BD" w:rsidRDefault="008649BD" w:rsidP="008649BD">
      <w:pPr>
        <w:pStyle w:val="TEXTBODY"/>
        <w:spacing w:line="480" w:lineRule="auto"/>
        <w:rPr>
          <w:bCs/>
        </w:rPr>
      </w:pPr>
    </w:p>
    <w:p w14:paraId="3F338D18" w14:textId="77777777" w:rsidR="008649BD" w:rsidRDefault="008649BD" w:rsidP="008649BD">
      <w:pPr>
        <w:pStyle w:val="TEXTBODY"/>
        <w:spacing w:line="480" w:lineRule="auto"/>
        <w:rPr>
          <w:bCs/>
        </w:rPr>
      </w:pPr>
    </w:p>
    <w:p w14:paraId="37B8AEA1" w14:textId="77777777" w:rsidR="008649BD" w:rsidRDefault="008649BD" w:rsidP="008649BD">
      <w:pPr>
        <w:pStyle w:val="TEXTBODY"/>
        <w:spacing w:line="480" w:lineRule="auto"/>
        <w:rPr>
          <w:bCs/>
        </w:rPr>
      </w:pPr>
    </w:p>
    <w:p w14:paraId="43103952" w14:textId="77777777" w:rsidR="008649BD" w:rsidRDefault="008649BD" w:rsidP="008649BD">
      <w:pPr>
        <w:pStyle w:val="TEXTBODY"/>
        <w:spacing w:line="480" w:lineRule="auto"/>
        <w:rPr>
          <w:bCs/>
        </w:rPr>
      </w:pPr>
    </w:p>
    <w:p w14:paraId="6073C8AB" w14:textId="77777777" w:rsidR="008649BD" w:rsidRDefault="008649BD" w:rsidP="008649BD">
      <w:pPr>
        <w:pStyle w:val="TEXTBODY"/>
        <w:spacing w:line="480" w:lineRule="auto"/>
        <w:rPr>
          <w:bCs/>
        </w:rPr>
      </w:pPr>
    </w:p>
    <w:p w14:paraId="54E625B5" w14:textId="77777777" w:rsidR="008649BD" w:rsidRDefault="008649BD" w:rsidP="008649BD">
      <w:pPr>
        <w:pStyle w:val="TEXTBODY"/>
        <w:spacing w:line="480" w:lineRule="auto"/>
        <w:rPr>
          <w:bCs/>
        </w:rPr>
      </w:pPr>
    </w:p>
    <w:p w14:paraId="1C416593" w14:textId="77777777" w:rsidR="008649BD" w:rsidRDefault="008649BD" w:rsidP="008649BD">
      <w:pPr>
        <w:pStyle w:val="TEXTBODY"/>
        <w:spacing w:line="480" w:lineRule="auto"/>
        <w:rPr>
          <w:bCs/>
        </w:rPr>
      </w:pPr>
    </w:p>
    <w:p w14:paraId="13E2838F" w14:textId="77777777" w:rsidR="008649BD" w:rsidRDefault="008649BD" w:rsidP="008649BD">
      <w:pPr>
        <w:pStyle w:val="TEXTBODY"/>
        <w:spacing w:line="480" w:lineRule="auto"/>
        <w:rPr>
          <w:bCs/>
        </w:rPr>
      </w:pPr>
    </w:p>
    <w:p w14:paraId="73DDBF8A" w14:textId="77777777" w:rsidR="008649BD" w:rsidRDefault="008649BD" w:rsidP="008649BD">
      <w:pPr>
        <w:pStyle w:val="TEXTBODY"/>
        <w:spacing w:line="480" w:lineRule="auto"/>
        <w:rPr>
          <w:bCs/>
        </w:rPr>
      </w:pPr>
      <w:r w:rsidRPr="00BA2399">
        <w:rPr>
          <w:noProof/>
        </w:rPr>
        <mc:AlternateContent>
          <mc:Choice Requires="wps">
            <w:drawing>
              <wp:anchor distT="45720" distB="45720" distL="114300" distR="114300" simplePos="0" relativeHeight="252741120" behindDoc="0" locked="0" layoutInCell="1" allowOverlap="1" wp14:anchorId="4DA210A1" wp14:editId="5D64E23A">
                <wp:simplePos x="0" y="0"/>
                <wp:positionH relativeFrom="margin">
                  <wp:posOffset>-635</wp:posOffset>
                </wp:positionH>
                <wp:positionV relativeFrom="paragraph">
                  <wp:posOffset>151765</wp:posOffset>
                </wp:positionV>
                <wp:extent cx="6286500" cy="352425"/>
                <wp:effectExtent l="0" t="0" r="0" b="9525"/>
                <wp:wrapNone/>
                <wp:docPr id="32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352425"/>
                        </a:xfrm>
                        <a:prstGeom prst="rect">
                          <a:avLst/>
                        </a:prstGeom>
                        <a:noFill/>
                        <a:ln w="9525">
                          <a:noFill/>
                          <a:miter lim="800000"/>
                          <a:headEnd/>
                          <a:tailEnd/>
                        </a:ln>
                      </wps:spPr>
                      <wps:txbx>
                        <w:txbxContent>
                          <w:p w14:paraId="1241F4F0" w14:textId="2AB4D950" w:rsidR="008649BD" w:rsidRPr="00006076" w:rsidRDefault="008649BD" w:rsidP="008649BD">
                            <w:pPr>
                              <w:pStyle w:val="TEXTBODY"/>
                              <w:spacing w:line="240" w:lineRule="auto"/>
                              <w:jc w:val="center"/>
                              <w:rPr>
                                <w:rFonts w:ascii="Arial" w:hAnsi="Arial" w:cs="Arial"/>
                                <w:sz w:val="14"/>
                                <w:szCs w:val="14"/>
                              </w:rPr>
                            </w:pPr>
                            <w:r w:rsidRPr="007804F7">
                              <w:rPr>
                                <w:rFonts w:ascii="Arial" w:hAnsi="Arial" w:cs="Arial"/>
                                <w:b/>
                                <w:bCs/>
                                <w:color w:val="000000"/>
                                <w:sz w:val="14"/>
                                <w:szCs w:val="14"/>
                              </w:rPr>
                              <w:t>Fig.</w:t>
                            </w:r>
                            <w:r>
                              <w:rPr>
                                <w:rFonts w:ascii="Arial" w:hAnsi="Arial" w:cs="Arial"/>
                                <w:b/>
                                <w:bCs/>
                                <w:color w:val="000000"/>
                                <w:sz w:val="14"/>
                                <w:szCs w:val="14"/>
                              </w:rPr>
                              <w:t xml:space="preserve"> </w:t>
                            </w:r>
                            <w:r w:rsidR="00AD22FD">
                              <w:rPr>
                                <w:rFonts w:ascii="Arial" w:hAnsi="Arial" w:cs="Arial"/>
                                <w:b/>
                                <w:bCs/>
                                <w:color w:val="000000"/>
                                <w:sz w:val="14"/>
                                <w:szCs w:val="14"/>
                              </w:rPr>
                              <w:t>1</w:t>
                            </w:r>
                            <w:r w:rsidRPr="007804F7">
                              <w:rPr>
                                <w:rFonts w:ascii="Arial" w:hAnsi="Arial" w:cs="Arial"/>
                                <w:sz w:val="14"/>
                                <w:szCs w:val="14"/>
                              </w:rPr>
                              <w:t xml:space="preserve"> Planning </w:t>
                            </w:r>
                            <w:r w:rsidRPr="00006076">
                              <w:rPr>
                                <w:rFonts w:ascii="Arial" w:hAnsi="Arial" w:cs="Arial"/>
                                <w:sz w:val="14"/>
                                <w:szCs w:val="14"/>
                              </w:rPr>
                              <w:t>process of the TE2100</w:t>
                            </w:r>
                            <w:r w:rsidRPr="007804F7">
                              <w:rPr>
                                <w:rFonts w:ascii="Arial" w:hAnsi="Arial" w:cs="Arial"/>
                                <w:sz w:val="14"/>
                                <w:szCs w:val="14"/>
                              </w:rPr>
                              <w:t xml:space="preserve">, showing the various steps of development of the Plan. </w:t>
                            </w:r>
                            <w:r w:rsidRPr="007804F7">
                              <w:rPr>
                                <w:rFonts w:ascii="Arial" w:hAnsi="Arial" w:cs="Arial"/>
                                <w:color w:val="7F7F7F" w:themeColor="text1" w:themeTint="80"/>
                                <w:sz w:val="14"/>
                                <w:szCs w:val="14"/>
                              </w:rPr>
                              <w:t xml:space="preserve">Source: own elaboration, based on EA 2012, 2009a, 2009b; Ranger et al. 2013, 2010; </w:t>
                            </w:r>
                            <w:r w:rsidRPr="007804F7">
                              <w:rPr>
                                <w:rFonts w:ascii="Arial" w:eastAsia="Calibri" w:hAnsi="Arial" w:cs="Arial"/>
                                <w:color w:val="7F7F7F" w:themeColor="text1" w:themeTint="80"/>
                                <w:sz w:val="14"/>
                                <w:szCs w:val="14"/>
                              </w:rPr>
                              <w:t xml:space="preserve">Reeder and Ranger 2011; </w:t>
                            </w:r>
                            <w:r w:rsidRPr="007804F7">
                              <w:rPr>
                                <w:rFonts w:ascii="Arial" w:hAnsi="Arial" w:cs="Arial"/>
                                <w:color w:val="7F7F7F" w:themeColor="text1" w:themeTint="80"/>
                                <w:sz w:val="14"/>
                                <w:szCs w:val="14"/>
                              </w:rPr>
                              <w:t>Ramsbottom and Sheppard 2017; Lowe et al. 2009; HM Treasury 2009; Penning-Rowsell et al. 2013; London Councils 2007, 2018; etc.</w:t>
                            </w:r>
                          </w:p>
                          <w:p w14:paraId="075E4C15" w14:textId="77777777" w:rsidR="008649BD" w:rsidRPr="007804F7" w:rsidRDefault="008649BD" w:rsidP="008649BD">
                            <w:pPr>
                              <w:spacing w:line="240" w:lineRule="auto"/>
                              <w:jc w:val="center"/>
                              <w:rPr>
                                <w:rFonts w:cs="Arial"/>
                                <w:sz w:val="14"/>
                                <w:szCs w:val="14"/>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A210A1" id="_x0000_t202" coordsize="21600,21600" o:spt="202" path="m,l,21600r21600,l21600,xe">
                <v:stroke joinstyle="miter"/>
                <v:path gradientshapeok="t" o:connecttype="rect"/>
              </v:shapetype>
              <v:shape id="Caixa de Texto 2" o:spid="_x0000_s1026" type="#_x0000_t202" style="position:absolute;left:0;text-align:left;margin-left:-.05pt;margin-top:11.95pt;width:495pt;height:27.75pt;z-index:2527411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" filled="f" stroked="f">
                <v:textbox inset="0,0,0,0">
                  <w:txbxContent>
                    <w:p w14:paraId="1241F4F0" w14:textId="2AB4D950" w:rsidR="008649BD" w:rsidRPr="00006076" w:rsidRDefault="008649BD" w:rsidP="008649BD">
                      <w:pPr>
                        <w:pStyle w:val="TEXTBODY"/>
                        <w:spacing w:line="240" w:lineRule="auto"/>
                        <w:jc w:val="center"/>
                        <w:rPr>
                          <w:rFonts w:ascii="Arial" w:hAnsi="Arial" w:cs="Arial"/>
                          <w:sz w:val="14"/>
                          <w:szCs w:val="14"/>
                        </w:rPr>
                      </w:pPr>
                      <w:r w:rsidRPr="007804F7">
                        <w:rPr>
                          <w:rFonts w:ascii="Arial" w:hAnsi="Arial" w:cs="Arial"/>
                          <w:b/>
                          <w:bCs/>
                          <w:color w:val="000000"/>
                          <w:sz w:val="14"/>
                          <w:szCs w:val="14"/>
                        </w:rPr>
                        <w:t>Fig.</w:t>
                      </w:r>
                      <w:r>
                        <w:rPr>
                          <w:rFonts w:ascii="Arial" w:hAnsi="Arial" w:cs="Arial"/>
                          <w:b/>
                          <w:bCs/>
                          <w:color w:val="000000"/>
                          <w:sz w:val="14"/>
                          <w:szCs w:val="14"/>
                        </w:rPr>
                        <w:t xml:space="preserve"> </w:t>
                      </w:r>
                      <w:r w:rsidR="00AD22FD">
                        <w:rPr>
                          <w:rFonts w:ascii="Arial" w:hAnsi="Arial" w:cs="Arial"/>
                          <w:b/>
                          <w:bCs/>
                          <w:color w:val="000000"/>
                          <w:sz w:val="14"/>
                          <w:szCs w:val="14"/>
                        </w:rPr>
                        <w:t>1</w:t>
                      </w:r>
                      <w:r w:rsidRPr="007804F7">
                        <w:rPr>
                          <w:rFonts w:ascii="Arial" w:hAnsi="Arial" w:cs="Arial"/>
                          <w:sz w:val="14"/>
                          <w:szCs w:val="14"/>
                        </w:rPr>
                        <w:t xml:space="preserve"> Planning </w:t>
                      </w:r>
                      <w:r w:rsidRPr="00006076">
                        <w:rPr>
                          <w:rFonts w:ascii="Arial" w:hAnsi="Arial" w:cs="Arial"/>
                          <w:sz w:val="14"/>
                          <w:szCs w:val="14"/>
                        </w:rPr>
                        <w:t>process of the TE2100</w:t>
                      </w:r>
                      <w:r w:rsidRPr="007804F7">
                        <w:rPr>
                          <w:rFonts w:ascii="Arial" w:hAnsi="Arial" w:cs="Arial"/>
                          <w:sz w:val="14"/>
                          <w:szCs w:val="14"/>
                        </w:rPr>
                        <w:t xml:space="preserve">, showing the various steps of development of the Plan. </w:t>
                      </w:r>
                      <w:r w:rsidRPr="007804F7">
                        <w:rPr>
                          <w:rFonts w:ascii="Arial" w:hAnsi="Arial" w:cs="Arial"/>
                          <w:color w:val="7F7F7F" w:themeColor="text1" w:themeTint="80"/>
                          <w:sz w:val="14"/>
                          <w:szCs w:val="14"/>
                        </w:rPr>
                        <w:t xml:space="preserve">Source: own elaboration, based on EA 2012, 2009a, 2009b; Ranger et al. 2013, 2010; </w:t>
                      </w:r>
                      <w:r w:rsidRPr="007804F7">
                        <w:rPr>
                          <w:rFonts w:ascii="Arial" w:eastAsia="Calibri" w:hAnsi="Arial" w:cs="Arial"/>
                          <w:color w:val="7F7F7F" w:themeColor="text1" w:themeTint="80"/>
                          <w:sz w:val="14"/>
                          <w:szCs w:val="14"/>
                        </w:rPr>
                        <w:t xml:space="preserve">Reeder and Ranger 2011; </w:t>
                      </w:r>
                      <w:r w:rsidRPr="007804F7">
                        <w:rPr>
                          <w:rFonts w:ascii="Arial" w:hAnsi="Arial" w:cs="Arial"/>
                          <w:color w:val="7F7F7F" w:themeColor="text1" w:themeTint="80"/>
                          <w:sz w:val="14"/>
                          <w:szCs w:val="14"/>
                        </w:rPr>
                        <w:t>Ramsbottom and Sheppard 2017; Lowe et al. 2009; HM Treasury 2009; Penning-Rowsell et al. 2013; London Councils 2007, 2018; etc.</w:t>
                      </w:r>
                    </w:p>
                    <w:p w14:paraId="075E4C15" w14:textId="77777777" w:rsidR="008649BD" w:rsidRPr="007804F7" w:rsidRDefault="008649BD" w:rsidP="008649BD">
                      <w:pPr>
                        <w:spacing w:line="240" w:lineRule="auto"/>
                        <w:jc w:val="center"/>
                        <w:rPr>
                          <w:rFonts w:cs="Arial"/>
                          <w:sz w:val="14"/>
                          <w:szCs w:val="14"/>
                        </w:rPr>
                      </w:pPr>
                    </w:p>
                  </w:txbxContent>
                </v:textbox>
                <w10:wrap anchorx="margin"/>
              </v:shape>
            </w:pict>
          </mc:Fallback>
        </mc:AlternateContent>
      </w:r>
    </w:p>
    <w:p w14:paraId="1D0A12FC" w14:textId="77777777" w:rsidR="008649BD" w:rsidRDefault="008649BD" w:rsidP="008649BD">
      <w:pPr>
        <w:pStyle w:val="TEXTBODY"/>
        <w:spacing w:line="480" w:lineRule="auto"/>
        <w:rPr>
          <w:bCs/>
        </w:rPr>
      </w:pPr>
    </w:p>
    <w:p w14:paraId="2C5D4C39" w14:textId="77777777" w:rsidR="008649BD" w:rsidRPr="009B720F" w:rsidRDefault="008649BD" w:rsidP="00E74925">
      <w:pPr>
        <w:pStyle w:val="TEXTBODY"/>
        <w:spacing w:line="276" w:lineRule="auto"/>
        <w:rPr>
          <w:bCs/>
        </w:rPr>
      </w:pPr>
    </w:p>
    <w:tbl>
      <w:tblPr>
        <w:tblStyle w:val="TabelacomGrelha"/>
        <w:tblW w:w="9918" w:type="dxa"/>
        <w:tblLayout w:type="fixed"/>
        <w:tblLook w:val="04A0" w:firstRow="1" w:lastRow="0" w:firstColumn="1" w:lastColumn="0" w:noHBand="0" w:noVBand="1"/>
      </w:tblPr>
      <w:tblGrid>
        <w:gridCol w:w="562"/>
        <w:gridCol w:w="993"/>
        <w:gridCol w:w="8363"/>
      </w:tblGrid>
      <w:tr w:rsidR="00C04B00" w:rsidRPr="00AD22FD" w14:paraId="3C84F521" w14:textId="77777777" w:rsidTr="001522F8">
        <w:tc>
          <w:tcPr>
            <w:tcW w:w="9918" w:type="dxa"/>
            <w:gridSpan w:val="3"/>
          </w:tcPr>
          <w:p w14:paraId="69C4C34B" w14:textId="14A8800D" w:rsidR="00C04B00" w:rsidRPr="00AD22FD" w:rsidRDefault="00C04B00" w:rsidP="001522F8">
            <w:pPr>
              <w:pStyle w:val="tablecontenttext"/>
              <w:spacing w:line="240" w:lineRule="auto"/>
              <w:rPr>
                <w:rFonts w:ascii="Times New Roman" w:hAnsi="Times New Roman" w:cs="Times New Roman"/>
                <w:b/>
                <w:bCs w:val="0"/>
                <w:sz w:val="14"/>
                <w:szCs w:val="14"/>
              </w:rPr>
            </w:pPr>
            <w:r w:rsidRPr="00AD22FD">
              <w:rPr>
                <w:rFonts w:ascii="Times New Roman" w:hAnsi="Times New Roman" w:cs="Times New Roman"/>
                <w:b/>
                <w:bCs w:val="0"/>
                <w:sz w:val="14"/>
                <w:szCs w:val="14"/>
              </w:rPr>
              <w:lastRenderedPageBreak/>
              <w:t xml:space="preserve">Table </w:t>
            </w:r>
            <w:r w:rsidR="00AD22FD">
              <w:rPr>
                <w:rFonts w:ascii="Times New Roman" w:hAnsi="Times New Roman" w:cs="Times New Roman"/>
                <w:b/>
                <w:bCs w:val="0"/>
                <w:sz w:val="14"/>
                <w:szCs w:val="14"/>
              </w:rPr>
              <w:t>1</w:t>
            </w:r>
            <w:r w:rsidRPr="00AD22FD">
              <w:rPr>
                <w:rFonts w:ascii="Times New Roman" w:hAnsi="Times New Roman" w:cs="Times New Roman"/>
                <w:b/>
                <w:bCs w:val="0"/>
                <w:sz w:val="14"/>
                <w:szCs w:val="14"/>
              </w:rPr>
              <w:t>. Planning process of the TE2100 and its main steps and sub-steps</w:t>
            </w:r>
            <w:r w:rsidR="005F18F1" w:rsidRPr="00AD22FD">
              <w:rPr>
                <w:rFonts w:ascii="Times New Roman" w:hAnsi="Times New Roman" w:cs="Times New Roman"/>
                <w:b/>
                <w:bCs w:val="0"/>
                <w:color w:val="C00000"/>
                <w:sz w:val="14"/>
                <w:szCs w:val="14"/>
              </w:rPr>
              <w:t xml:space="preserve"> </w:t>
            </w:r>
          </w:p>
        </w:tc>
      </w:tr>
      <w:tr w:rsidR="00C04B00" w:rsidRPr="00AD22FD" w14:paraId="014CB6EB" w14:textId="77777777" w:rsidTr="001522F8">
        <w:tc>
          <w:tcPr>
            <w:tcW w:w="562" w:type="dxa"/>
            <w:vMerge w:val="restart"/>
            <w:textDirection w:val="btLr"/>
          </w:tcPr>
          <w:p w14:paraId="53BCC782" w14:textId="77777777" w:rsidR="00C04B00" w:rsidRPr="00AD22FD" w:rsidRDefault="00C04B00" w:rsidP="001522F8">
            <w:pPr>
              <w:pStyle w:val="tablecontenttext"/>
              <w:spacing w:line="240" w:lineRule="auto"/>
              <w:ind w:left="113" w:right="113"/>
              <w:jc w:val="center"/>
              <w:rPr>
                <w:rFonts w:ascii="Times New Roman" w:hAnsi="Times New Roman" w:cs="Times New Roman"/>
                <w:sz w:val="14"/>
                <w:szCs w:val="14"/>
              </w:rPr>
            </w:pPr>
            <w:r w:rsidRPr="00AD22FD">
              <w:rPr>
                <w:rFonts w:ascii="Times New Roman" w:hAnsi="Times New Roman" w:cs="Times New Roman"/>
                <w:sz w:val="14"/>
                <w:szCs w:val="14"/>
              </w:rPr>
              <w:t>Structure the Problem</w:t>
            </w:r>
          </w:p>
        </w:tc>
        <w:tc>
          <w:tcPr>
            <w:tcW w:w="993" w:type="dxa"/>
            <w:vMerge w:val="restart"/>
          </w:tcPr>
          <w:p w14:paraId="0C3E9BE0" w14:textId="77777777" w:rsidR="00C04B00" w:rsidRPr="00AD22FD" w:rsidRDefault="00C04B00" w:rsidP="001522F8">
            <w:pPr>
              <w:pStyle w:val="tablecontenttext"/>
              <w:spacing w:line="240" w:lineRule="auto"/>
              <w:ind w:left="-50"/>
              <w:rPr>
                <w:rFonts w:ascii="Times New Roman" w:hAnsi="Times New Roman" w:cs="Times New Roman"/>
                <w:sz w:val="14"/>
                <w:szCs w:val="14"/>
              </w:rPr>
            </w:pPr>
            <w:bookmarkStart w:id="1" w:name="_Hlk25167143"/>
            <w:r w:rsidRPr="00AD22FD">
              <w:rPr>
                <w:rFonts w:ascii="Times New Roman" w:hAnsi="Times New Roman" w:cs="Times New Roman"/>
                <w:sz w:val="14"/>
                <w:szCs w:val="14"/>
              </w:rPr>
              <w:t>1a. Defining objectives and relevant constraints</w:t>
            </w:r>
          </w:p>
          <w:p w14:paraId="58EE8517" w14:textId="77777777" w:rsidR="00C04B00" w:rsidRPr="00AD22FD" w:rsidRDefault="00C04B00" w:rsidP="001522F8">
            <w:pPr>
              <w:pStyle w:val="tablecontenttext"/>
              <w:spacing w:line="240" w:lineRule="auto"/>
              <w:ind w:left="-50"/>
              <w:rPr>
                <w:rFonts w:ascii="Times New Roman" w:hAnsi="Times New Roman" w:cs="Times New Roman"/>
                <w:i/>
                <w:iCs w:val="0"/>
                <w:sz w:val="14"/>
                <w:szCs w:val="14"/>
              </w:rPr>
            </w:pPr>
            <w:r w:rsidRPr="00AD22FD">
              <w:rPr>
                <w:rFonts w:ascii="Times New Roman" w:hAnsi="Times New Roman" w:cs="Times New Roman"/>
                <w:i/>
                <w:iCs w:val="0"/>
                <w:sz w:val="14"/>
                <w:szCs w:val="14"/>
              </w:rPr>
              <w:t>Understanding main characteristics of the decision problem i.e. objectives, stakeholders’ values, constraint, decision criteria</w:t>
            </w:r>
            <w:bookmarkEnd w:id="1"/>
          </w:p>
        </w:tc>
        <w:tc>
          <w:tcPr>
            <w:tcW w:w="8363" w:type="dxa"/>
          </w:tcPr>
          <w:p w14:paraId="51749D58" w14:textId="04B0233E" w:rsidR="00C04B00" w:rsidRPr="00AD22FD" w:rsidRDefault="00C04B00" w:rsidP="001522F8">
            <w:pPr>
              <w:pStyle w:val="tablecontenttext"/>
              <w:numPr>
                <w:ilvl w:val="0"/>
                <w:numId w:val="22"/>
              </w:numPr>
              <w:spacing w:after="0" w:line="240" w:lineRule="auto"/>
              <w:ind w:left="128" w:hanging="128"/>
              <w:rPr>
                <w:rFonts w:ascii="Times New Roman" w:hAnsi="Times New Roman" w:cs="Times New Roman"/>
                <w:sz w:val="14"/>
                <w:szCs w:val="14"/>
              </w:rPr>
            </w:pPr>
            <w:r w:rsidRPr="00AD22FD">
              <w:rPr>
                <w:rFonts w:ascii="Times New Roman" w:hAnsi="Times New Roman" w:cs="Times New Roman"/>
                <w:sz w:val="14"/>
                <w:szCs w:val="14"/>
              </w:rPr>
              <w:t>Defining the objectives of the TE2100 (</w:t>
            </w:r>
            <w:r w:rsidRPr="00AD22FD">
              <w:rPr>
                <w:rFonts w:ascii="Times New Roman" w:hAnsi="Times New Roman" w:cs="Times New Roman"/>
                <w:i/>
                <w:iCs w:val="0"/>
                <w:sz w:val="14"/>
                <w:szCs w:val="14"/>
              </w:rPr>
              <w:t>Setting the Vision – objectives &amp; purpose</w:t>
            </w:r>
            <w:r w:rsidRPr="00AD22FD">
              <w:rPr>
                <w:rFonts w:ascii="Times New Roman" w:hAnsi="Times New Roman" w:cs="Times New Roman"/>
                <w:sz w:val="14"/>
                <w:szCs w:val="14"/>
              </w:rPr>
              <w:t>,</w:t>
            </w:r>
            <w:r w:rsidRPr="00AD22FD">
              <w:rPr>
                <w:rFonts w:ascii="Times New Roman" w:hAnsi="Times New Roman" w:cs="Times New Roman"/>
                <w:i/>
                <w:iCs w:val="0"/>
                <w:sz w:val="14"/>
                <w:szCs w:val="14"/>
              </w:rPr>
              <w:t xml:space="preserve"> in</w:t>
            </w:r>
            <w:r w:rsidRPr="00AD22FD">
              <w:rPr>
                <w:rFonts w:ascii="Times New Roman" w:hAnsi="Times New Roman" w:cs="Times New Roman"/>
                <w:sz w:val="14"/>
                <w:szCs w:val="14"/>
              </w:rPr>
              <w:t xml:space="preserve"> </w:t>
            </w:r>
            <w:r w:rsidRPr="00AD22FD">
              <w:rPr>
                <w:rFonts w:ascii="Times New Roman" w:hAnsi="Times New Roman" w:cs="Times New Roman"/>
                <w:color w:val="7F7F7F" w:themeColor="text1" w:themeTint="80"/>
                <w:sz w:val="14"/>
                <w:szCs w:val="14"/>
              </w:rPr>
              <w:t xml:space="preserve">EA 2012, p.32;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xml:space="preserve">, </w:t>
            </w:r>
            <w:proofErr w:type="spellStart"/>
            <w:r w:rsidRPr="00AD22FD">
              <w:rPr>
                <w:rFonts w:ascii="Times New Roman" w:hAnsi="Times New Roman" w:cs="Times New Roman"/>
                <w:color w:val="7F7F7F" w:themeColor="text1" w:themeTint="80"/>
                <w:sz w:val="14"/>
                <w:szCs w:val="14"/>
              </w:rPr>
              <w:t>p.vii</w:t>
            </w:r>
            <w:proofErr w:type="spellEnd"/>
            <w:r w:rsidRPr="00AD22FD">
              <w:rPr>
                <w:rFonts w:ascii="Times New Roman" w:hAnsi="Times New Roman" w:cs="Times New Roman"/>
                <w:color w:val="7F7F7F" w:themeColor="text1" w:themeTint="80"/>
                <w:sz w:val="14"/>
                <w:szCs w:val="14"/>
              </w:rPr>
              <w:t>, 7, 8, 65-66, 266</w:t>
            </w:r>
            <w:r w:rsidRPr="00AD22FD">
              <w:rPr>
                <w:rFonts w:ascii="Times New Roman" w:hAnsi="Times New Roman" w:cs="Times New Roman"/>
                <w:sz w:val="14"/>
                <w:szCs w:val="14"/>
              </w:rPr>
              <w:t>)</w:t>
            </w:r>
          </w:p>
          <w:p w14:paraId="01C51895" w14:textId="0ACC7395" w:rsidR="00C04B00" w:rsidRPr="00AD22FD" w:rsidRDefault="00C04B00" w:rsidP="001522F8">
            <w:pPr>
              <w:pStyle w:val="tablecontenttext"/>
              <w:spacing w:after="0" w:line="240" w:lineRule="auto"/>
              <w:rPr>
                <w:rFonts w:ascii="Times New Roman" w:hAnsi="Times New Roman" w:cs="Times New Roman"/>
                <w:sz w:val="14"/>
                <w:szCs w:val="14"/>
              </w:rPr>
            </w:pPr>
            <w:r w:rsidRPr="00AD22FD">
              <w:rPr>
                <w:rFonts w:ascii="Times New Roman" w:hAnsi="Times New Roman" w:cs="Times New Roman"/>
                <w:sz w:val="14"/>
                <w:szCs w:val="14"/>
              </w:rPr>
              <w:t>The main objective of the Project was to develop a FRM plan to manage tidal flood risk in the TE. Specific objectives were, e.g. ensuring sustainable urban development in the floodplain, analysing</w:t>
            </w:r>
            <w:r w:rsidRPr="00AD22FD">
              <w:rPr>
                <w:rFonts w:ascii="Times New Roman" w:hAnsi="Times New Roman" w:cs="Times New Roman"/>
                <w:i/>
                <w:sz w:val="14"/>
                <w:szCs w:val="14"/>
              </w:rPr>
              <w:t xml:space="preserve"> </w:t>
            </w:r>
            <w:r w:rsidRPr="00AD22FD">
              <w:rPr>
                <w:rFonts w:ascii="Times New Roman" w:hAnsi="Times New Roman" w:cs="Times New Roman"/>
                <w:iCs w:val="0"/>
                <w:sz w:val="14"/>
                <w:szCs w:val="14"/>
              </w:rPr>
              <w:t>when the existing FRM system might need modifications and produce a</w:t>
            </w:r>
            <w:r w:rsidRPr="00AD22FD">
              <w:rPr>
                <w:rFonts w:ascii="Times New Roman" w:hAnsi="Times New Roman" w:cs="Times New Roman"/>
                <w:sz w:val="14"/>
                <w:szCs w:val="14"/>
              </w:rPr>
              <w:t xml:space="preserve"> </w:t>
            </w:r>
            <w:r w:rsidRPr="00AD22FD">
              <w:rPr>
                <w:rFonts w:ascii="Times New Roman" w:hAnsi="Times New Roman" w:cs="Times New Roman"/>
                <w:i/>
                <w:sz w:val="14"/>
                <w:szCs w:val="14"/>
              </w:rPr>
              <w:t>forward plan</w:t>
            </w:r>
            <w:r w:rsidRPr="00AD22FD">
              <w:rPr>
                <w:rFonts w:ascii="Times New Roman" w:hAnsi="Times New Roman" w:cs="Times New Roman"/>
                <w:sz w:val="14"/>
                <w:szCs w:val="14"/>
              </w:rPr>
              <w:t xml:space="preserve"> up to 2100 (</w:t>
            </w:r>
            <w:r w:rsidRPr="00AD22FD">
              <w:rPr>
                <w:rFonts w:ascii="Times New Roman" w:hAnsi="Times New Roman" w:cs="Times New Roman"/>
                <w:color w:val="7F7F7F" w:themeColor="text1" w:themeTint="80"/>
                <w:sz w:val="14"/>
                <w:szCs w:val="14"/>
              </w:rPr>
              <w:t xml:space="preserve">EA 2012, p.32;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xml:space="preserve">, </w:t>
            </w:r>
            <w:proofErr w:type="spellStart"/>
            <w:r w:rsidRPr="00AD22FD">
              <w:rPr>
                <w:rFonts w:ascii="Times New Roman" w:hAnsi="Times New Roman" w:cs="Times New Roman"/>
                <w:color w:val="7F7F7F" w:themeColor="text1" w:themeTint="80"/>
                <w:sz w:val="14"/>
                <w:szCs w:val="14"/>
              </w:rPr>
              <w:t>p.vii</w:t>
            </w:r>
            <w:proofErr w:type="spellEnd"/>
            <w:r w:rsidRPr="00AD22FD">
              <w:rPr>
                <w:rFonts w:ascii="Times New Roman" w:hAnsi="Times New Roman" w:cs="Times New Roman"/>
                <w:color w:val="7F7F7F" w:themeColor="text1" w:themeTint="80"/>
                <w:sz w:val="14"/>
                <w:szCs w:val="14"/>
              </w:rPr>
              <w:t>, 7; Ranger et al. 2013, p.239; Ramsbottom and Sheppard 2017, p.</w:t>
            </w:r>
            <w:r w:rsidRPr="00AD22FD">
              <w:rPr>
                <w:rFonts w:ascii="Times New Roman" w:hAnsi="Times New Roman" w:cs="Times New Roman"/>
                <w:sz w:val="14"/>
                <w:szCs w:val="14"/>
              </w:rPr>
              <w:t>).</w:t>
            </w:r>
          </w:p>
        </w:tc>
      </w:tr>
      <w:tr w:rsidR="00C04B00" w:rsidRPr="00AD22FD" w14:paraId="06A9E76F" w14:textId="77777777" w:rsidTr="001522F8">
        <w:tc>
          <w:tcPr>
            <w:tcW w:w="562" w:type="dxa"/>
            <w:vMerge/>
            <w:textDirection w:val="btLr"/>
          </w:tcPr>
          <w:p w14:paraId="7711FDFB" w14:textId="77777777" w:rsidR="00C04B00" w:rsidRPr="00AD22FD" w:rsidRDefault="00C04B00" w:rsidP="001522F8">
            <w:pPr>
              <w:pStyle w:val="tablecontenttext"/>
              <w:spacing w:line="240" w:lineRule="auto"/>
              <w:ind w:left="113" w:right="113"/>
              <w:jc w:val="center"/>
              <w:rPr>
                <w:rFonts w:ascii="Times New Roman" w:hAnsi="Times New Roman" w:cs="Times New Roman"/>
                <w:sz w:val="14"/>
                <w:szCs w:val="14"/>
              </w:rPr>
            </w:pPr>
          </w:p>
        </w:tc>
        <w:tc>
          <w:tcPr>
            <w:tcW w:w="993" w:type="dxa"/>
            <w:vMerge/>
            <w:tcBorders>
              <w:bottom w:val="nil"/>
            </w:tcBorders>
          </w:tcPr>
          <w:p w14:paraId="08498842" w14:textId="77777777" w:rsidR="00C04B00" w:rsidRPr="00AD22FD" w:rsidRDefault="00C04B00" w:rsidP="001522F8">
            <w:pPr>
              <w:pStyle w:val="tablecontenttext"/>
              <w:spacing w:line="240" w:lineRule="auto"/>
              <w:ind w:left="-50"/>
              <w:rPr>
                <w:rFonts w:ascii="Times New Roman" w:hAnsi="Times New Roman" w:cs="Times New Roman"/>
                <w:sz w:val="14"/>
                <w:szCs w:val="14"/>
              </w:rPr>
            </w:pPr>
          </w:p>
        </w:tc>
        <w:tc>
          <w:tcPr>
            <w:tcW w:w="8363" w:type="dxa"/>
          </w:tcPr>
          <w:p w14:paraId="07FCF903" w14:textId="77777777" w:rsidR="00C04B00" w:rsidRPr="00AD22FD" w:rsidRDefault="00C04B00" w:rsidP="001522F8">
            <w:pPr>
              <w:pStyle w:val="tablecontenttext"/>
              <w:numPr>
                <w:ilvl w:val="0"/>
                <w:numId w:val="21"/>
              </w:numPr>
              <w:spacing w:after="0" w:line="240" w:lineRule="auto"/>
              <w:ind w:left="128" w:hanging="128"/>
              <w:rPr>
                <w:rFonts w:ascii="Times New Roman" w:hAnsi="Times New Roman" w:cs="Times New Roman"/>
                <w:sz w:val="14"/>
                <w:szCs w:val="14"/>
              </w:rPr>
            </w:pPr>
            <w:r w:rsidRPr="00AD22FD">
              <w:rPr>
                <w:rFonts w:ascii="Times New Roman" w:hAnsi="Times New Roman" w:cs="Times New Roman"/>
                <w:sz w:val="14"/>
                <w:szCs w:val="14"/>
              </w:rPr>
              <w:t>Specifying constraints and decision criteria</w:t>
            </w:r>
          </w:p>
          <w:p w14:paraId="0EE9A1F0" w14:textId="77777777" w:rsidR="00C04B00" w:rsidRPr="00AD22FD" w:rsidRDefault="00C04B00" w:rsidP="001522F8">
            <w:pPr>
              <w:pStyle w:val="tablecontenttext"/>
              <w:spacing w:line="240" w:lineRule="auto"/>
              <w:rPr>
                <w:rFonts w:ascii="Times New Roman" w:hAnsi="Times New Roman" w:cs="Times New Roman"/>
                <w:sz w:val="14"/>
                <w:szCs w:val="14"/>
                <w:lang w:val="en-US"/>
              </w:rPr>
            </w:pPr>
            <w:r w:rsidRPr="00AD22FD">
              <w:rPr>
                <w:rFonts w:ascii="Times New Roman" w:hAnsi="Times New Roman" w:cs="Times New Roman"/>
                <w:sz w:val="14"/>
                <w:szCs w:val="14"/>
              </w:rPr>
              <w:t>This implied identifying constraints on the responses. The Plan must be justifiable in terms of cost-benefit (</w:t>
            </w:r>
            <w:r w:rsidRPr="00AD22FD">
              <w:rPr>
                <w:rFonts w:ascii="Times New Roman" w:hAnsi="Times New Roman" w:cs="Times New Roman"/>
                <w:i/>
                <w:iCs w:val="0"/>
                <w:sz w:val="14"/>
                <w:szCs w:val="14"/>
              </w:rPr>
              <w:t>value for money</w:t>
            </w:r>
            <w:r w:rsidRPr="00AD22FD">
              <w:rPr>
                <w:rFonts w:ascii="Times New Roman" w:hAnsi="Times New Roman" w:cs="Times New Roman"/>
                <w:sz w:val="14"/>
                <w:szCs w:val="14"/>
              </w:rPr>
              <w:t xml:space="preserve">), and against policy, coordinate diverse stakeholders’ interests and trade-offs, meet social, economic and environmental objectives, and </w:t>
            </w:r>
            <w:r w:rsidRPr="00AD22FD">
              <w:rPr>
                <w:rFonts w:ascii="Times New Roman" w:hAnsi="Times New Roman" w:cs="Times New Roman"/>
                <w:sz w:val="14"/>
                <w:szCs w:val="14"/>
                <w:lang w:val="en-US"/>
              </w:rPr>
              <w:t xml:space="preserve">account for multiple uncertainties, namely about the rate of plausible future increases in the water level, </w:t>
            </w:r>
            <w:r w:rsidRPr="00AD22FD">
              <w:rPr>
                <w:rFonts w:ascii="Times New Roman" w:hAnsi="Times New Roman" w:cs="Times New Roman"/>
                <w:sz w:val="14"/>
                <w:szCs w:val="14"/>
              </w:rPr>
              <w:t>climate projections, and valuation of non-monetary impacts</w:t>
            </w:r>
            <w:r w:rsidRPr="00AD22FD">
              <w:rPr>
                <w:rFonts w:ascii="Times New Roman" w:hAnsi="Times New Roman" w:cs="Times New Roman"/>
                <w:sz w:val="14"/>
                <w:szCs w:val="14"/>
                <w:lang w:val="en-US"/>
              </w:rPr>
              <w:t>. It was decided that the Plan must be ‘</w:t>
            </w:r>
            <w:r w:rsidRPr="00AD22FD">
              <w:rPr>
                <w:rFonts w:ascii="Times New Roman" w:hAnsi="Times New Roman" w:cs="Times New Roman"/>
                <w:i/>
                <w:iCs w:val="0"/>
                <w:sz w:val="14"/>
                <w:szCs w:val="14"/>
                <w:lang w:val="en-US"/>
              </w:rPr>
              <w:t>as robust as possible</w:t>
            </w:r>
            <w:proofErr w:type="gramStart"/>
            <w:r w:rsidRPr="00AD22FD">
              <w:rPr>
                <w:rFonts w:ascii="Times New Roman" w:hAnsi="Times New Roman" w:cs="Times New Roman"/>
                <w:sz w:val="14"/>
                <w:szCs w:val="14"/>
                <w:lang w:val="en-US"/>
              </w:rPr>
              <w:t>’, ‘</w:t>
            </w:r>
            <w:proofErr w:type="gramEnd"/>
            <w:r w:rsidRPr="00AD22FD">
              <w:rPr>
                <w:rFonts w:ascii="Times New Roman" w:hAnsi="Times New Roman" w:cs="Times New Roman"/>
                <w:i/>
                <w:iCs w:val="0"/>
                <w:sz w:val="14"/>
                <w:szCs w:val="14"/>
                <w:lang w:val="en-US"/>
              </w:rPr>
              <w:t>adaptable to change and remain fit for purpose throughout its 100-year lifetime</w:t>
            </w:r>
            <w:r w:rsidRPr="00AD22FD">
              <w:rPr>
                <w:rFonts w:ascii="Times New Roman" w:hAnsi="Times New Roman" w:cs="Times New Roman"/>
                <w:sz w:val="14"/>
                <w:szCs w:val="14"/>
                <w:lang w:val="en-US"/>
              </w:rPr>
              <w:t>’ (</w:t>
            </w:r>
            <w:r w:rsidRPr="00AD22FD">
              <w:rPr>
                <w:rFonts w:ascii="Times New Roman" w:hAnsi="Times New Roman" w:cs="Times New Roman"/>
                <w:color w:val="7F7F7F" w:themeColor="text1" w:themeTint="80"/>
                <w:sz w:val="14"/>
                <w:szCs w:val="14"/>
                <w:lang w:val="en-US"/>
              </w:rPr>
              <w:t xml:space="preserve">EA 2012, p.36, 38, 27, 29, 35; Ranger et al. 2013, p.239, 240-242; </w:t>
            </w:r>
            <w:r w:rsidRPr="00AD22FD">
              <w:rPr>
                <w:rFonts w:ascii="Times New Roman" w:hAnsi="Times New Roman" w:cs="Times New Roman"/>
                <w:color w:val="7F7F7F" w:themeColor="text1" w:themeTint="80"/>
                <w:sz w:val="14"/>
                <w:szCs w:val="14"/>
              </w:rPr>
              <w:t>Bloemen et al. 2018, p.8</w:t>
            </w:r>
            <w:r w:rsidRPr="00AD22FD">
              <w:rPr>
                <w:rFonts w:ascii="Times New Roman" w:hAnsi="Times New Roman" w:cs="Times New Roman"/>
                <w:sz w:val="14"/>
                <w:szCs w:val="14"/>
                <w:lang w:val="en-US"/>
              </w:rPr>
              <w:t>).</w:t>
            </w:r>
          </w:p>
          <w:p w14:paraId="33F6305B" w14:textId="1A8BFA18" w:rsidR="00C04B00" w:rsidRPr="00AD22FD" w:rsidRDefault="00C04B00" w:rsidP="001522F8">
            <w:pPr>
              <w:pStyle w:val="tablecontenttext"/>
              <w:spacing w:after="0" w:line="240" w:lineRule="auto"/>
              <w:rPr>
                <w:rFonts w:ascii="Times New Roman" w:hAnsi="Times New Roman" w:cs="Times New Roman"/>
                <w:sz w:val="14"/>
                <w:szCs w:val="14"/>
              </w:rPr>
            </w:pPr>
            <w:r w:rsidRPr="00AD22FD">
              <w:rPr>
                <w:rFonts w:ascii="Times New Roman" w:hAnsi="Times New Roman" w:cs="Times New Roman"/>
                <w:sz w:val="14"/>
                <w:szCs w:val="14"/>
              </w:rPr>
              <w:t>This step also implied identifying the main drivers of changing flood risk in the TE (CC, urban development in the floodplain, increasing population, growing economic value at risk, ageing flood defences) (</w:t>
            </w:r>
            <w:r w:rsidRPr="00AD22FD">
              <w:rPr>
                <w:rFonts w:ascii="Times New Roman" w:hAnsi="Times New Roman" w:cs="Times New Roman"/>
                <w:color w:val="7F7F7F" w:themeColor="text1" w:themeTint="80"/>
                <w:sz w:val="14"/>
                <w:szCs w:val="14"/>
              </w:rPr>
              <w:t xml:space="preserve">Ranger et al. 2013, p.242; Marchand and Ludwig 2014, p.13; LC TEC 2007;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p.74-84; Bloemen et al. 2018, p.8</w:t>
            </w:r>
            <w:r w:rsidRPr="00AD22FD">
              <w:rPr>
                <w:rFonts w:ascii="Times New Roman" w:hAnsi="Times New Roman" w:cs="Times New Roman"/>
                <w:sz w:val="14"/>
                <w:szCs w:val="14"/>
              </w:rPr>
              <w:t>).</w:t>
            </w:r>
          </w:p>
        </w:tc>
      </w:tr>
      <w:tr w:rsidR="00C04B00" w:rsidRPr="00AD22FD" w14:paraId="424349D5" w14:textId="77777777" w:rsidTr="001522F8">
        <w:tc>
          <w:tcPr>
            <w:tcW w:w="562" w:type="dxa"/>
            <w:vMerge/>
            <w:textDirection w:val="btLr"/>
          </w:tcPr>
          <w:p w14:paraId="3F202EAB" w14:textId="77777777" w:rsidR="00C04B00" w:rsidRPr="00AD22FD" w:rsidRDefault="00C04B00" w:rsidP="001522F8">
            <w:pPr>
              <w:pStyle w:val="tablecontenttext"/>
              <w:spacing w:line="240" w:lineRule="auto"/>
              <w:ind w:left="113" w:right="113"/>
              <w:jc w:val="center"/>
              <w:rPr>
                <w:rFonts w:ascii="Times New Roman" w:hAnsi="Times New Roman" w:cs="Times New Roman"/>
                <w:sz w:val="14"/>
                <w:szCs w:val="14"/>
              </w:rPr>
            </w:pPr>
          </w:p>
        </w:tc>
        <w:tc>
          <w:tcPr>
            <w:tcW w:w="993" w:type="dxa"/>
            <w:vMerge w:val="restart"/>
          </w:tcPr>
          <w:p w14:paraId="50AB2971" w14:textId="77777777" w:rsidR="00C04B00" w:rsidRPr="00AD22FD" w:rsidRDefault="00C04B00" w:rsidP="001522F8">
            <w:pPr>
              <w:pStyle w:val="tablecontenttext"/>
              <w:spacing w:line="240" w:lineRule="auto"/>
              <w:ind w:left="-50"/>
              <w:rPr>
                <w:rFonts w:ascii="Times New Roman" w:hAnsi="Times New Roman" w:cs="Times New Roman"/>
                <w:sz w:val="14"/>
                <w:szCs w:val="14"/>
              </w:rPr>
            </w:pPr>
            <w:r w:rsidRPr="00AD22FD">
              <w:rPr>
                <w:rFonts w:ascii="Times New Roman" w:hAnsi="Times New Roman" w:cs="Times New Roman"/>
                <w:sz w:val="14"/>
                <w:szCs w:val="14"/>
              </w:rPr>
              <w:t>1b. Understanding and assessing flood risk, and analysing the vulnerability of the system</w:t>
            </w:r>
          </w:p>
          <w:p w14:paraId="5161AD4A" w14:textId="77777777" w:rsidR="00C04B00" w:rsidRPr="00AD22FD" w:rsidRDefault="00C04B00" w:rsidP="001522F8">
            <w:pPr>
              <w:pStyle w:val="tablecontenttext"/>
              <w:spacing w:line="240" w:lineRule="auto"/>
              <w:ind w:left="-50"/>
              <w:rPr>
                <w:rFonts w:ascii="Times New Roman" w:hAnsi="Times New Roman" w:cs="Times New Roman"/>
                <w:sz w:val="14"/>
                <w:szCs w:val="14"/>
              </w:rPr>
            </w:pPr>
            <w:r w:rsidRPr="00AD22FD">
              <w:rPr>
                <w:rFonts w:ascii="Times New Roman" w:hAnsi="Times New Roman" w:cs="Times New Roman"/>
                <w:sz w:val="14"/>
                <w:szCs w:val="14"/>
              </w:rPr>
              <w:t>(flood risk assessment + vulnerability analysis)</w:t>
            </w:r>
          </w:p>
          <w:p w14:paraId="2B41D689" w14:textId="77777777" w:rsidR="00C04B00" w:rsidRPr="00AD22FD" w:rsidRDefault="00C04B00" w:rsidP="001522F8">
            <w:pPr>
              <w:pStyle w:val="tablecontenttext"/>
              <w:spacing w:line="240" w:lineRule="auto"/>
              <w:ind w:left="-50"/>
              <w:rPr>
                <w:rFonts w:ascii="Times New Roman" w:hAnsi="Times New Roman" w:cs="Times New Roman"/>
                <w:sz w:val="14"/>
                <w:szCs w:val="14"/>
              </w:rPr>
            </w:pPr>
          </w:p>
          <w:p w14:paraId="17D019C4" w14:textId="77777777" w:rsidR="00C04B00" w:rsidRPr="00AD22FD" w:rsidRDefault="00C04B00" w:rsidP="001522F8">
            <w:pPr>
              <w:pStyle w:val="tablecontenttext"/>
              <w:spacing w:after="0" w:line="240" w:lineRule="auto"/>
              <w:rPr>
                <w:rFonts w:ascii="Times New Roman" w:hAnsi="Times New Roman" w:cs="Times New Roman"/>
                <w:sz w:val="14"/>
                <w:szCs w:val="14"/>
              </w:rPr>
            </w:pPr>
            <w:r w:rsidRPr="00AD22FD">
              <w:rPr>
                <w:rFonts w:ascii="Times New Roman" w:hAnsi="Times New Roman" w:cs="Times New Roman"/>
                <w:i/>
                <w:sz w:val="14"/>
                <w:szCs w:val="14"/>
              </w:rPr>
              <w:t>Understanding flood risk and the TE</w:t>
            </w:r>
            <w:r w:rsidRPr="00AD22FD">
              <w:rPr>
                <w:rFonts w:ascii="Times New Roman" w:hAnsi="Times New Roman" w:cs="Times New Roman"/>
                <w:sz w:val="14"/>
                <w:szCs w:val="14"/>
              </w:rPr>
              <w:t xml:space="preserve"> (studying flood risk and </w:t>
            </w:r>
            <w:r w:rsidRPr="00AD22FD">
              <w:rPr>
                <w:rFonts w:ascii="Times New Roman" w:hAnsi="Times New Roman" w:cs="Times New Roman"/>
                <w:i/>
                <w:iCs w:val="0"/>
                <w:sz w:val="14"/>
                <w:szCs w:val="14"/>
              </w:rPr>
              <w:t>how it might change in the future</w:t>
            </w:r>
            <w:r w:rsidRPr="00AD22FD">
              <w:rPr>
                <w:rFonts w:ascii="Times New Roman" w:hAnsi="Times New Roman" w:cs="Times New Roman"/>
                <w:sz w:val="14"/>
                <w:szCs w:val="14"/>
              </w:rPr>
              <w:t>) (</w:t>
            </w:r>
            <w:r w:rsidRPr="00AD22FD">
              <w:rPr>
                <w:rFonts w:ascii="Times New Roman" w:hAnsi="Times New Roman" w:cs="Times New Roman"/>
                <w:color w:val="7F7F7F" w:themeColor="text1" w:themeTint="80"/>
                <w:sz w:val="14"/>
                <w:szCs w:val="14"/>
              </w:rPr>
              <w:t>EA 2012, p.32</w:t>
            </w:r>
            <w:r w:rsidRPr="00AD22FD">
              <w:rPr>
                <w:rFonts w:ascii="Times New Roman" w:hAnsi="Times New Roman" w:cs="Times New Roman"/>
                <w:sz w:val="14"/>
                <w:szCs w:val="14"/>
              </w:rPr>
              <w:t>)</w:t>
            </w:r>
          </w:p>
        </w:tc>
        <w:tc>
          <w:tcPr>
            <w:tcW w:w="8363" w:type="dxa"/>
          </w:tcPr>
          <w:p w14:paraId="25793F6F" w14:textId="77777777" w:rsidR="00C04B00" w:rsidRPr="00AD22FD" w:rsidRDefault="00C04B00" w:rsidP="001522F8">
            <w:pPr>
              <w:pStyle w:val="tablecontenttext"/>
              <w:spacing w:after="0" w:line="240" w:lineRule="auto"/>
              <w:rPr>
                <w:rFonts w:ascii="Times New Roman" w:hAnsi="Times New Roman" w:cs="Times New Roman"/>
                <w:sz w:val="14"/>
                <w:szCs w:val="14"/>
              </w:rPr>
            </w:pPr>
            <w:r w:rsidRPr="00AD22FD">
              <w:rPr>
                <w:rFonts w:ascii="Times New Roman" w:hAnsi="Times New Roman" w:cs="Times New Roman"/>
                <w:i/>
                <w:sz w:val="14"/>
                <w:szCs w:val="14"/>
              </w:rPr>
              <w:t>Understanding flood risk and the TE</w:t>
            </w:r>
          </w:p>
          <w:p w14:paraId="378346E3" w14:textId="52668EDA"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The Team studied current flood risk and </w:t>
            </w:r>
            <w:r w:rsidRPr="00AD22FD">
              <w:rPr>
                <w:rFonts w:ascii="Times New Roman" w:hAnsi="Times New Roman" w:cs="Times New Roman"/>
                <w:i/>
                <w:iCs w:val="0"/>
                <w:sz w:val="14"/>
                <w:szCs w:val="14"/>
              </w:rPr>
              <w:t>how it might change in the future</w:t>
            </w:r>
            <w:r w:rsidRPr="00AD22FD">
              <w:rPr>
                <w:rFonts w:ascii="Times New Roman" w:hAnsi="Times New Roman" w:cs="Times New Roman"/>
                <w:sz w:val="14"/>
                <w:szCs w:val="14"/>
              </w:rPr>
              <w:t xml:space="preserve"> (</w:t>
            </w:r>
            <w:r w:rsidRPr="00AD22FD">
              <w:rPr>
                <w:rFonts w:ascii="Times New Roman" w:hAnsi="Times New Roman" w:cs="Times New Roman"/>
                <w:color w:val="7F7F7F" w:themeColor="text1" w:themeTint="80"/>
                <w:sz w:val="14"/>
                <w:szCs w:val="14"/>
              </w:rPr>
              <w:t>EA 2012, p.32</w:t>
            </w:r>
            <w:r w:rsidRPr="00AD22FD">
              <w:rPr>
                <w:rFonts w:ascii="Times New Roman" w:hAnsi="Times New Roman" w:cs="Times New Roman"/>
                <w:sz w:val="14"/>
                <w:szCs w:val="14"/>
              </w:rPr>
              <w:t xml:space="preserve">), </w:t>
            </w:r>
            <w:proofErr w:type="spellStart"/>
            <w:r w:rsidRPr="00AD22FD">
              <w:rPr>
                <w:rFonts w:ascii="Times New Roman" w:hAnsi="Times New Roman" w:cs="Times New Roman"/>
                <w:sz w:val="14"/>
                <w:szCs w:val="14"/>
              </w:rPr>
              <w:t>i.e</w:t>
            </w:r>
            <w:proofErr w:type="spellEnd"/>
            <w:r w:rsidRPr="00AD22FD">
              <w:rPr>
                <w:rFonts w:ascii="Times New Roman" w:hAnsi="Times New Roman" w:cs="Times New Roman"/>
                <w:sz w:val="14"/>
                <w:szCs w:val="14"/>
              </w:rPr>
              <w:t xml:space="preserve"> understand and assess current flood risk and future flood risk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p.8, 23, 70</w:t>
            </w:r>
            <w:r w:rsidRPr="00AD22FD">
              <w:rPr>
                <w:rFonts w:ascii="Times New Roman" w:hAnsi="Times New Roman" w:cs="Times New Roman"/>
                <w:sz w:val="14"/>
                <w:szCs w:val="14"/>
              </w:rPr>
              <w:t>). A comprehensive flood risk assessment was conducted, it involved an in-depth analysis of the existing flood defence system (type, dimension, crest level of defences), areas at risk of flooding, TE’s natural processes and habitats, and inspections to defences from the TB to the sea, and collection of data on sediments (</w:t>
            </w:r>
            <w:r w:rsidRPr="00AD22FD">
              <w:rPr>
                <w:rFonts w:ascii="Times New Roman" w:hAnsi="Times New Roman" w:cs="Times New Roman"/>
                <w:color w:val="7F7F7F" w:themeColor="text1" w:themeTint="80"/>
                <w:sz w:val="14"/>
                <w:szCs w:val="14"/>
              </w:rPr>
              <w:t xml:space="preserve">EA 2012, p.32; London Councils’ TEC 2007; Ramsbottom and Sheppard 2017, p.5,16;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xml:space="preserve">, </w:t>
            </w:r>
            <w:proofErr w:type="spellStart"/>
            <w:r w:rsidRPr="00AD22FD">
              <w:rPr>
                <w:rFonts w:ascii="Times New Roman" w:hAnsi="Times New Roman" w:cs="Times New Roman"/>
                <w:color w:val="7F7F7F" w:themeColor="text1" w:themeTint="80"/>
                <w:sz w:val="14"/>
                <w:szCs w:val="14"/>
              </w:rPr>
              <w:t>p.vii</w:t>
            </w:r>
            <w:proofErr w:type="spellEnd"/>
            <w:r w:rsidRPr="00AD22FD">
              <w:rPr>
                <w:rFonts w:ascii="Times New Roman" w:hAnsi="Times New Roman" w:cs="Times New Roman"/>
                <w:sz w:val="14"/>
                <w:szCs w:val="14"/>
              </w:rPr>
              <w:t xml:space="preserve">). </w:t>
            </w:r>
          </w:p>
        </w:tc>
      </w:tr>
      <w:tr w:rsidR="00C04B00" w:rsidRPr="00AD22FD" w14:paraId="7788414D" w14:textId="77777777" w:rsidTr="001522F8">
        <w:tc>
          <w:tcPr>
            <w:tcW w:w="562" w:type="dxa"/>
            <w:vMerge/>
            <w:textDirection w:val="btLr"/>
          </w:tcPr>
          <w:p w14:paraId="2A744247" w14:textId="77777777" w:rsidR="00C04B00" w:rsidRPr="00AD22FD" w:rsidRDefault="00C04B00" w:rsidP="001522F8">
            <w:pPr>
              <w:pStyle w:val="tablecontenttext"/>
              <w:spacing w:line="240" w:lineRule="auto"/>
              <w:ind w:left="113" w:right="113"/>
              <w:jc w:val="center"/>
              <w:rPr>
                <w:rFonts w:ascii="Times New Roman" w:hAnsi="Times New Roman" w:cs="Times New Roman"/>
                <w:sz w:val="14"/>
                <w:szCs w:val="14"/>
              </w:rPr>
            </w:pPr>
          </w:p>
        </w:tc>
        <w:tc>
          <w:tcPr>
            <w:tcW w:w="993" w:type="dxa"/>
            <w:vMerge/>
          </w:tcPr>
          <w:p w14:paraId="491F65B9" w14:textId="77777777" w:rsidR="00C04B00" w:rsidRPr="00AD22FD" w:rsidRDefault="00C04B00" w:rsidP="001522F8">
            <w:pPr>
              <w:pStyle w:val="tablecontenttext"/>
              <w:spacing w:line="240" w:lineRule="auto"/>
              <w:ind w:left="-50"/>
              <w:rPr>
                <w:rFonts w:ascii="Times New Roman" w:hAnsi="Times New Roman" w:cs="Times New Roman"/>
                <w:sz w:val="14"/>
                <w:szCs w:val="14"/>
              </w:rPr>
            </w:pPr>
          </w:p>
        </w:tc>
        <w:tc>
          <w:tcPr>
            <w:tcW w:w="8363" w:type="dxa"/>
          </w:tcPr>
          <w:p w14:paraId="548E526E" w14:textId="77777777" w:rsidR="00C04B00" w:rsidRPr="00AD22FD" w:rsidRDefault="00C04B00" w:rsidP="001522F8">
            <w:pPr>
              <w:pStyle w:val="tablecontenttext"/>
              <w:numPr>
                <w:ilvl w:val="0"/>
                <w:numId w:val="4"/>
              </w:numPr>
              <w:spacing w:after="0" w:line="240" w:lineRule="auto"/>
              <w:ind w:left="38" w:hanging="90"/>
              <w:rPr>
                <w:rFonts w:ascii="Times New Roman" w:hAnsi="Times New Roman" w:cs="Times New Roman"/>
                <w:sz w:val="14"/>
                <w:szCs w:val="14"/>
              </w:rPr>
            </w:pPr>
            <w:r w:rsidRPr="00AD22FD">
              <w:rPr>
                <w:rFonts w:ascii="Times New Roman" w:hAnsi="Times New Roman" w:cs="Times New Roman"/>
                <w:sz w:val="14"/>
                <w:szCs w:val="14"/>
              </w:rPr>
              <w:t>1b1) Assessing current flood risk and vulnerabilities of the system</w:t>
            </w:r>
          </w:p>
          <w:p w14:paraId="72FD3933" w14:textId="162FCB46" w:rsidR="00C04B00" w:rsidRPr="00AD22FD" w:rsidRDefault="00C04B00" w:rsidP="001522F8">
            <w:pPr>
              <w:pStyle w:val="tablecontenttext"/>
              <w:spacing w:after="0" w:line="240" w:lineRule="auto"/>
              <w:rPr>
                <w:rFonts w:ascii="Times New Roman" w:hAnsi="Times New Roman" w:cs="Times New Roman"/>
                <w:i/>
                <w:sz w:val="14"/>
                <w:szCs w:val="14"/>
              </w:rPr>
            </w:pPr>
            <w:r w:rsidRPr="00AD22FD">
              <w:rPr>
                <w:rFonts w:ascii="Times New Roman" w:hAnsi="Times New Roman" w:cs="Times New Roman"/>
                <w:sz w:val="14"/>
                <w:szCs w:val="14"/>
              </w:rPr>
              <w:t xml:space="preserve">A detailed assessment of the current level of flood risk was carried, which involved analysing the existent </w:t>
            </w:r>
            <w:r w:rsidRPr="00AD22FD">
              <w:rPr>
                <w:rFonts w:ascii="Times New Roman" w:hAnsi="Times New Roman" w:cs="Times New Roman"/>
                <w:i/>
                <w:iCs w:val="0"/>
                <w:sz w:val="14"/>
                <w:szCs w:val="14"/>
              </w:rPr>
              <w:t>Standards of Protection</w:t>
            </w:r>
            <w:r w:rsidRPr="00AD22FD">
              <w:rPr>
                <w:rFonts w:ascii="Times New Roman" w:hAnsi="Times New Roman" w:cs="Times New Roman"/>
                <w:sz w:val="14"/>
                <w:szCs w:val="14"/>
              </w:rPr>
              <w:t xml:space="preserve"> (</w:t>
            </w:r>
            <w:r w:rsidRPr="00AD22FD">
              <w:rPr>
                <w:rFonts w:ascii="Times New Roman" w:hAnsi="Times New Roman" w:cs="Times New Roman"/>
                <w:i/>
                <w:iCs w:val="0"/>
                <w:sz w:val="14"/>
                <w:szCs w:val="14"/>
              </w:rPr>
              <w:t>SOPs</w:t>
            </w:r>
            <w:r w:rsidRPr="00AD22FD">
              <w:rPr>
                <w:rFonts w:ascii="Times New Roman" w:hAnsi="Times New Roman" w:cs="Times New Roman"/>
                <w:sz w:val="14"/>
                <w:szCs w:val="14"/>
              </w:rPr>
              <w:t>) in the TE and current vulnerability of the defence system (</w:t>
            </w:r>
            <w:r w:rsidRPr="00AD22FD">
              <w:rPr>
                <w:rFonts w:ascii="Times New Roman" w:hAnsi="Times New Roman" w:cs="Times New Roman"/>
                <w:color w:val="7F7F7F" w:themeColor="text1" w:themeTint="80"/>
                <w:sz w:val="14"/>
                <w:szCs w:val="14"/>
              </w:rPr>
              <w:t xml:space="preserve">Ranger et al. 2013, p.242; Reeder and Ranger 2011, p.5; Bloemen et al. 2018, p.7;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p.23, 33-54</w:t>
            </w:r>
            <w:r w:rsidRPr="00AD22FD">
              <w:rPr>
                <w:rFonts w:ascii="Times New Roman" w:hAnsi="Times New Roman" w:cs="Times New Roman"/>
                <w:sz w:val="14"/>
                <w:szCs w:val="14"/>
              </w:rPr>
              <w:t xml:space="preserve">). Firstly, flood risk was assessed without existing defences (to examine its magnitude and the importance of defences), and then with defences. </w:t>
            </w:r>
            <w:bookmarkStart w:id="2" w:name="_Hlk25167216"/>
            <w:r w:rsidRPr="00AD22FD">
              <w:rPr>
                <w:rFonts w:ascii="Times New Roman" w:hAnsi="Times New Roman" w:cs="Times New Roman"/>
                <w:sz w:val="14"/>
                <w:szCs w:val="14"/>
              </w:rPr>
              <w:t xml:space="preserve">To calculate current risk, the Team has estimated the </w:t>
            </w:r>
            <w:r w:rsidRPr="00AD22FD">
              <w:rPr>
                <w:rFonts w:ascii="Times New Roman" w:hAnsi="Times New Roman" w:cs="Times New Roman"/>
                <w:i/>
                <w:iCs w:val="0"/>
                <w:sz w:val="14"/>
                <w:szCs w:val="14"/>
              </w:rPr>
              <w:t>current flood probability</w:t>
            </w:r>
            <w:r w:rsidRPr="00AD22FD">
              <w:rPr>
                <w:rFonts w:ascii="Times New Roman" w:hAnsi="Times New Roman" w:cs="Times New Roman"/>
                <w:sz w:val="14"/>
                <w:szCs w:val="14"/>
              </w:rPr>
              <w:t xml:space="preserve"> and analysed existent ‘</w:t>
            </w:r>
            <w:r w:rsidRPr="00AD22FD">
              <w:rPr>
                <w:rFonts w:ascii="Times New Roman" w:hAnsi="Times New Roman" w:cs="Times New Roman"/>
                <w:i/>
                <w:iCs w:val="0"/>
                <w:sz w:val="14"/>
                <w:szCs w:val="14"/>
              </w:rPr>
              <w:t xml:space="preserve">design </w:t>
            </w:r>
            <w:proofErr w:type="spellStart"/>
            <w:r w:rsidRPr="00AD22FD">
              <w:rPr>
                <w:rFonts w:ascii="Times New Roman" w:hAnsi="Times New Roman" w:cs="Times New Roman"/>
                <w:sz w:val="14"/>
                <w:szCs w:val="14"/>
              </w:rPr>
              <w:t>SoPs’</w:t>
            </w:r>
            <w:proofErr w:type="spellEnd"/>
            <w:r w:rsidRPr="00AD22FD">
              <w:rPr>
                <w:rFonts w:ascii="Times New Roman" w:hAnsi="Times New Roman" w:cs="Times New Roman"/>
                <w:sz w:val="14"/>
                <w:szCs w:val="14"/>
              </w:rPr>
              <w:t xml:space="preserve"> (expressed as an </w:t>
            </w:r>
            <w:r w:rsidRPr="00AD22FD">
              <w:rPr>
                <w:rFonts w:ascii="Times New Roman" w:hAnsi="Times New Roman" w:cs="Times New Roman"/>
                <w:i/>
                <w:iCs w:val="0"/>
                <w:sz w:val="14"/>
                <w:szCs w:val="14"/>
              </w:rPr>
              <w:t>annual flood probability</w:t>
            </w:r>
            <w:r w:rsidRPr="00AD22FD">
              <w:rPr>
                <w:rFonts w:ascii="Times New Roman" w:hAnsi="Times New Roman" w:cs="Times New Roman"/>
                <w:sz w:val="14"/>
                <w:szCs w:val="14"/>
              </w:rPr>
              <w:t xml:space="preserve"> and available in previous studies</w:t>
            </w:r>
            <w:bookmarkEnd w:id="2"/>
            <w:r w:rsidRPr="00AD22FD">
              <w:rPr>
                <w:rFonts w:ascii="Times New Roman" w:hAnsi="Times New Roman" w:cs="Times New Roman"/>
                <w:sz w:val="14"/>
                <w:szCs w:val="14"/>
              </w:rPr>
              <w:t xml:space="preserve"> or projects) (</w:t>
            </w:r>
            <w:r w:rsidRPr="00AD22FD">
              <w:rPr>
                <w:rFonts w:ascii="Times New Roman" w:hAnsi="Times New Roman" w:cs="Times New Roman"/>
                <w:color w:val="7F7F7F" w:themeColor="text1" w:themeTint="80"/>
                <w:sz w:val="14"/>
                <w:szCs w:val="14"/>
              </w:rPr>
              <w:t>Ramsbottom and Sheppard 2017, p.8, 10</w:t>
            </w:r>
            <w:r w:rsidRPr="00AD22FD">
              <w:rPr>
                <w:rFonts w:ascii="Times New Roman" w:hAnsi="Times New Roman" w:cs="Times New Roman"/>
                <w:sz w:val="14"/>
                <w:szCs w:val="14"/>
              </w:rPr>
              <w:t>).</w:t>
            </w:r>
          </w:p>
        </w:tc>
      </w:tr>
      <w:tr w:rsidR="00C04B00" w:rsidRPr="00AD22FD" w14:paraId="730EC69C" w14:textId="77777777" w:rsidTr="001522F8">
        <w:trPr>
          <w:trHeight w:val="47"/>
        </w:trPr>
        <w:tc>
          <w:tcPr>
            <w:tcW w:w="562" w:type="dxa"/>
            <w:vMerge/>
            <w:textDirection w:val="btLr"/>
          </w:tcPr>
          <w:p w14:paraId="413E16D7" w14:textId="77777777" w:rsidR="00C04B00" w:rsidRPr="00AD22FD" w:rsidRDefault="00C04B00" w:rsidP="001522F8">
            <w:pPr>
              <w:pStyle w:val="tablecontenttext"/>
              <w:spacing w:line="240" w:lineRule="auto"/>
              <w:ind w:left="113" w:right="113"/>
              <w:jc w:val="center"/>
              <w:rPr>
                <w:rFonts w:ascii="Times New Roman" w:hAnsi="Times New Roman" w:cs="Times New Roman"/>
                <w:sz w:val="14"/>
                <w:szCs w:val="14"/>
              </w:rPr>
            </w:pPr>
          </w:p>
        </w:tc>
        <w:tc>
          <w:tcPr>
            <w:tcW w:w="993" w:type="dxa"/>
            <w:vMerge/>
          </w:tcPr>
          <w:p w14:paraId="05FF174B" w14:textId="77777777" w:rsidR="00C04B00" w:rsidRPr="00AD22FD" w:rsidRDefault="00C04B00" w:rsidP="001522F8">
            <w:pPr>
              <w:pStyle w:val="tablecontenttext"/>
              <w:spacing w:line="240" w:lineRule="auto"/>
              <w:ind w:left="-50"/>
              <w:rPr>
                <w:rFonts w:ascii="Times New Roman" w:hAnsi="Times New Roman" w:cs="Times New Roman"/>
                <w:sz w:val="14"/>
                <w:szCs w:val="14"/>
              </w:rPr>
            </w:pPr>
          </w:p>
        </w:tc>
        <w:tc>
          <w:tcPr>
            <w:tcW w:w="8363" w:type="dxa"/>
          </w:tcPr>
          <w:p w14:paraId="262D3BEA" w14:textId="77777777" w:rsidR="00C04B00" w:rsidRPr="00AD22FD" w:rsidRDefault="00C04B00" w:rsidP="001522F8">
            <w:pPr>
              <w:pStyle w:val="tablecontenttext"/>
              <w:numPr>
                <w:ilvl w:val="0"/>
                <w:numId w:val="3"/>
              </w:numPr>
              <w:spacing w:after="0" w:line="240" w:lineRule="auto"/>
              <w:ind w:left="38" w:hanging="90"/>
              <w:rPr>
                <w:rFonts w:ascii="Times New Roman" w:hAnsi="Times New Roman" w:cs="Times New Roman"/>
                <w:sz w:val="14"/>
                <w:szCs w:val="14"/>
              </w:rPr>
            </w:pPr>
            <w:r w:rsidRPr="00AD22FD">
              <w:rPr>
                <w:rFonts w:ascii="Times New Roman" w:hAnsi="Times New Roman" w:cs="Times New Roman"/>
                <w:sz w:val="14"/>
                <w:szCs w:val="14"/>
              </w:rPr>
              <w:t>1b2) Assessing future vulnerabilities and identifying sensitivities of the system; understanding how flood risk might change in the future</w:t>
            </w:r>
          </w:p>
          <w:p w14:paraId="3060452B" w14:textId="06E656A7" w:rsidR="00C04B00" w:rsidRPr="00AD22FD" w:rsidRDefault="00C04B00" w:rsidP="001522F8">
            <w:pPr>
              <w:pStyle w:val="tablecontenttext"/>
              <w:spacing w:after="0" w:line="240" w:lineRule="auto"/>
              <w:rPr>
                <w:rFonts w:ascii="Times New Roman" w:hAnsi="Times New Roman" w:cs="Times New Roman"/>
                <w:sz w:val="14"/>
                <w:szCs w:val="14"/>
              </w:rPr>
            </w:pPr>
            <w:r w:rsidRPr="00AD22FD">
              <w:rPr>
                <w:rFonts w:ascii="Times New Roman" w:hAnsi="Times New Roman" w:cs="Times New Roman"/>
                <w:sz w:val="14"/>
                <w:szCs w:val="14"/>
              </w:rPr>
              <w:t>The Team sought to assess and map potential future vulnerabilities and identify sensitivities of the defence system to plausible futures increases in the water level, and to CC-related risks (</w:t>
            </w:r>
            <w:r w:rsidRPr="00AD22FD">
              <w:rPr>
                <w:rFonts w:ascii="Times New Roman" w:hAnsi="Times New Roman" w:cs="Times New Roman"/>
                <w:color w:val="7F7F7F" w:themeColor="text1" w:themeTint="80"/>
                <w:sz w:val="14"/>
                <w:szCs w:val="14"/>
              </w:rPr>
              <w:t>Ranger et al. 2013, p.242; Reeder and Ranger 2011, p.6; Bloemen et al. 2018, p.7</w:t>
            </w:r>
            <w:r w:rsidRPr="00AD22FD">
              <w:rPr>
                <w:rFonts w:ascii="Times New Roman" w:hAnsi="Times New Roman" w:cs="Times New Roman"/>
                <w:sz w:val="14"/>
                <w:szCs w:val="14"/>
              </w:rPr>
              <w:t>). This implied analysing how flood risk might change in the future due to CC effects, socioeconomic development, and ageing defences (</w:t>
            </w:r>
            <w:r w:rsidRPr="00AD22FD">
              <w:rPr>
                <w:rFonts w:ascii="Times New Roman" w:hAnsi="Times New Roman" w:cs="Times New Roman"/>
                <w:color w:val="7F7F7F" w:themeColor="text1" w:themeTint="80"/>
                <w:sz w:val="14"/>
                <w:szCs w:val="14"/>
              </w:rPr>
              <w:t>EA 2012, p.32, 25; Ranger et al. 2013, p.239</w:t>
            </w:r>
            <w:r w:rsidRPr="00AD22FD">
              <w:rPr>
                <w:rFonts w:ascii="Times New Roman" w:hAnsi="Times New Roman" w:cs="Times New Roman"/>
                <w:sz w:val="14"/>
                <w:szCs w:val="14"/>
              </w:rPr>
              <w:t xml:space="preserve">). </w:t>
            </w:r>
            <w:bookmarkStart w:id="3" w:name="_Hlk121922875"/>
            <w:r w:rsidRPr="00AD22FD">
              <w:rPr>
                <w:rFonts w:ascii="Times New Roman" w:hAnsi="Times New Roman" w:cs="Times New Roman"/>
                <w:sz w:val="14"/>
                <w:szCs w:val="14"/>
              </w:rPr>
              <w:t xml:space="preserve">Thus, at this stage, the Project Team commissioned research work </w:t>
            </w:r>
            <w:r w:rsidRPr="00AD22FD">
              <w:rPr>
                <w:rFonts w:ascii="Times New Roman" w:hAnsi="Times New Roman" w:cs="Times New Roman"/>
                <w:color w:val="000000"/>
                <w:sz w:val="14"/>
                <w:szCs w:val="14"/>
              </w:rPr>
              <w:t>to better understand the effects of CC on relative SLR, storm surges and river flows, and quantify the plausible future increases in water levels in the TE, and generate a range of plausible scenarios of water level rise up to 2100 (</w:t>
            </w:r>
            <w:r w:rsidRPr="00AD22FD">
              <w:rPr>
                <w:rFonts w:ascii="Times New Roman" w:hAnsi="Times New Roman" w:cs="Times New Roman"/>
                <w:color w:val="7F7F7F" w:themeColor="text1" w:themeTint="80"/>
                <w:sz w:val="14"/>
                <w:szCs w:val="14"/>
              </w:rPr>
              <w:t xml:space="preserve">Ranger et al. 2013, p.246; Reeder and Ranger 2011, p.7; Ramsbottom and Sheppard 2017, p.7; EA 2012, p.28; </w:t>
            </w:r>
            <w:r w:rsidR="00F77E53" w:rsidRPr="00AD22FD">
              <w:rPr>
                <w:rFonts w:ascii="Times New Roman" w:hAnsi="Times New Roman" w:cs="Times New Roman"/>
                <w:color w:val="7F7F7F" w:themeColor="text1" w:themeTint="80"/>
                <w:sz w:val="14"/>
                <w:szCs w:val="14"/>
              </w:rPr>
              <w:t>EA 2009b</w:t>
            </w:r>
            <w:r w:rsidRPr="00AD22FD">
              <w:rPr>
                <w:rFonts w:ascii="Times New Roman" w:hAnsi="Times New Roman" w:cs="Times New Roman"/>
                <w:color w:val="7F7F7F" w:themeColor="text1" w:themeTint="80"/>
                <w:sz w:val="14"/>
                <w:szCs w:val="14"/>
              </w:rPr>
              <w:t xml:space="preserve">, p.2, 5; Lowe et al. 2009, p.88;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p.71</w:t>
            </w:r>
            <w:r w:rsidRPr="00AD22FD">
              <w:rPr>
                <w:rFonts w:ascii="Times New Roman" w:hAnsi="Times New Roman" w:cs="Times New Roman"/>
                <w:sz w:val="14"/>
                <w:szCs w:val="14"/>
              </w:rPr>
              <w:t>)</w:t>
            </w:r>
            <w:r w:rsidRPr="00AD22FD">
              <w:rPr>
                <w:rFonts w:ascii="Times New Roman" w:hAnsi="Times New Roman" w:cs="Times New Roman"/>
                <w:color w:val="000000"/>
                <w:sz w:val="14"/>
                <w:szCs w:val="14"/>
              </w:rPr>
              <w:t xml:space="preserve">. This research work proceeded in parallel with the development of </w:t>
            </w:r>
            <w:r w:rsidRPr="00AD22FD">
              <w:rPr>
                <w:rFonts w:ascii="Times New Roman" w:hAnsi="Times New Roman" w:cs="Times New Roman"/>
                <w:i/>
                <w:iCs w:val="0"/>
                <w:color w:val="000000"/>
                <w:sz w:val="14"/>
                <w:szCs w:val="14"/>
              </w:rPr>
              <w:t>Options</w:t>
            </w:r>
            <w:r w:rsidRPr="00AD22FD">
              <w:rPr>
                <w:rFonts w:ascii="Times New Roman" w:hAnsi="Times New Roman" w:cs="Times New Roman"/>
                <w:color w:val="000000"/>
                <w:sz w:val="14"/>
                <w:szCs w:val="14"/>
              </w:rPr>
              <w:t xml:space="preserve"> in the TE2100 (as a ‘second track’ to the planning process)</w:t>
            </w:r>
            <w:r w:rsidR="00995F3E" w:rsidRPr="00AD22FD">
              <w:rPr>
                <w:rFonts w:ascii="Times New Roman" w:hAnsi="Times New Roman" w:cs="Times New Roman"/>
                <w:color w:val="000000"/>
                <w:sz w:val="14"/>
                <w:szCs w:val="14"/>
              </w:rPr>
              <w:t xml:space="preserve"> </w:t>
            </w:r>
            <w:r w:rsidRPr="00AD22FD">
              <w:rPr>
                <w:rFonts w:ascii="Times New Roman" w:hAnsi="Times New Roman" w:cs="Times New Roman"/>
                <w:color w:val="000000"/>
                <w:sz w:val="14"/>
                <w:szCs w:val="14"/>
              </w:rPr>
              <w:t>(</w:t>
            </w:r>
            <w:r w:rsidRPr="00AD22FD">
              <w:rPr>
                <w:rFonts w:ascii="Times New Roman" w:hAnsi="Times New Roman" w:cs="Times New Roman"/>
                <w:color w:val="7F7F7F" w:themeColor="text1" w:themeTint="80"/>
                <w:sz w:val="14"/>
                <w:szCs w:val="14"/>
              </w:rPr>
              <w:t xml:space="preserve">Ranger et al. 2013, p.246; Reeder and Ranger 2011, p.7; Ramsbottom and Sheppard 2017, p.7; EA 2012, p.28; </w:t>
            </w:r>
            <w:r w:rsidR="00F77E53" w:rsidRPr="00AD22FD">
              <w:rPr>
                <w:rFonts w:ascii="Times New Roman" w:hAnsi="Times New Roman" w:cs="Times New Roman"/>
                <w:color w:val="7F7F7F" w:themeColor="text1" w:themeTint="80"/>
                <w:sz w:val="14"/>
                <w:szCs w:val="14"/>
              </w:rPr>
              <w:t>EA 2009b</w:t>
            </w:r>
            <w:r w:rsidRPr="00AD22FD">
              <w:rPr>
                <w:rFonts w:ascii="Times New Roman" w:hAnsi="Times New Roman" w:cs="Times New Roman"/>
                <w:color w:val="7F7F7F" w:themeColor="text1" w:themeTint="80"/>
                <w:sz w:val="14"/>
                <w:szCs w:val="14"/>
              </w:rPr>
              <w:t>, p.2, 5;</w:t>
            </w:r>
            <w:r w:rsidRPr="00AD22FD">
              <w:rPr>
                <w:rFonts w:ascii="Times New Roman" w:hAnsi="Times New Roman" w:cs="Times New Roman"/>
                <w:sz w:val="14"/>
                <w:szCs w:val="14"/>
              </w:rPr>
              <w:t xml:space="preserve"> </w:t>
            </w:r>
            <w:r w:rsidRPr="00AD22FD">
              <w:rPr>
                <w:rFonts w:ascii="Times New Roman" w:hAnsi="Times New Roman" w:cs="Times New Roman"/>
                <w:color w:val="7F7F7F" w:themeColor="text1" w:themeTint="80"/>
                <w:sz w:val="14"/>
                <w:szCs w:val="14"/>
              </w:rPr>
              <w:t>Lowe et al. 2009, p.88</w:t>
            </w:r>
            <w:r w:rsidRPr="00AD22FD">
              <w:rPr>
                <w:rFonts w:ascii="Times New Roman" w:hAnsi="Times New Roman" w:cs="Times New Roman"/>
                <w:sz w:val="14"/>
                <w:szCs w:val="14"/>
              </w:rPr>
              <w:t>).</w:t>
            </w:r>
            <w:r w:rsidRPr="00AD22FD">
              <w:rPr>
                <w:rStyle w:val="Refdenotaderodap"/>
                <w:rFonts w:ascii="Times New Roman" w:hAnsi="Times New Roman" w:cs="Times New Roman"/>
                <w:sz w:val="14"/>
                <w:szCs w:val="14"/>
              </w:rPr>
              <w:footnoteReference w:id="3"/>
            </w:r>
            <w:r w:rsidRPr="00AD22FD">
              <w:rPr>
                <w:rFonts w:ascii="Times New Roman" w:hAnsi="Times New Roman" w:cs="Times New Roman"/>
                <w:sz w:val="14"/>
                <w:szCs w:val="14"/>
              </w:rPr>
              <w:t xml:space="preserve"> In the meantime, to address future flood risk and its plausible increase, the Team developed and used an extreme / high SLR scenario – the </w:t>
            </w:r>
            <w:r w:rsidRPr="00AD22FD">
              <w:rPr>
                <w:rFonts w:ascii="Times New Roman" w:hAnsi="Times New Roman" w:cs="Times New Roman"/>
                <w:i/>
                <w:iCs w:val="0"/>
                <w:sz w:val="14"/>
                <w:szCs w:val="14"/>
              </w:rPr>
              <w:t>High++</w:t>
            </w:r>
            <w:r w:rsidRPr="00AD22FD">
              <w:rPr>
                <w:rFonts w:ascii="Times New Roman" w:hAnsi="Times New Roman" w:cs="Times New Roman"/>
                <w:sz w:val="14"/>
                <w:szCs w:val="14"/>
              </w:rPr>
              <w:t xml:space="preserve"> (</w:t>
            </w:r>
            <w:r w:rsidRPr="00AD22FD">
              <w:rPr>
                <w:rFonts w:ascii="Times New Roman" w:hAnsi="Times New Roman" w:cs="Times New Roman"/>
                <w:i/>
                <w:iCs w:val="0"/>
                <w:sz w:val="14"/>
                <w:szCs w:val="14"/>
              </w:rPr>
              <w:t>first guess</w:t>
            </w:r>
            <w:r w:rsidRPr="00AD22FD">
              <w:rPr>
                <w:rFonts w:ascii="Times New Roman" w:hAnsi="Times New Roman" w:cs="Times New Roman"/>
                <w:sz w:val="14"/>
                <w:szCs w:val="14"/>
              </w:rPr>
              <w:t>) (4,2m by 2100) (</w:t>
            </w:r>
            <w:r w:rsidRPr="00AD22FD">
              <w:rPr>
                <w:rFonts w:ascii="Times New Roman" w:hAnsi="Times New Roman" w:cs="Times New Roman"/>
                <w:iCs w:val="0"/>
                <w:sz w:val="14"/>
                <w:szCs w:val="14"/>
                <w:lang w:val="en-US"/>
              </w:rPr>
              <w:t>based on expert judgement</w:t>
            </w:r>
            <w:r w:rsidRPr="00AD22FD">
              <w:rPr>
                <w:rFonts w:ascii="Times New Roman" w:hAnsi="Times New Roman" w:cs="Times New Roman"/>
                <w:sz w:val="14"/>
                <w:szCs w:val="14"/>
              </w:rPr>
              <w:t>, it captured plausible ‘worst-case’ estimates of the influence of physical processes) – which</w:t>
            </w:r>
            <w:r w:rsidRPr="00AD22FD">
              <w:rPr>
                <w:rFonts w:ascii="Times New Roman" w:hAnsi="Times New Roman" w:cs="Times New Roman"/>
                <w:iCs w:val="0"/>
                <w:color w:val="00B050"/>
                <w:sz w:val="14"/>
                <w:szCs w:val="14"/>
                <w:lang w:val="en-US"/>
              </w:rPr>
              <w:t xml:space="preserve"> </w:t>
            </w:r>
            <w:r w:rsidRPr="00AD22FD">
              <w:rPr>
                <w:rFonts w:ascii="Times New Roman" w:hAnsi="Times New Roman" w:cs="Times New Roman"/>
                <w:sz w:val="14"/>
                <w:szCs w:val="14"/>
              </w:rPr>
              <w:t xml:space="preserve">set </w:t>
            </w:r>
            <w:r w:rsidRPr="00AD22FD">
              <w:rPr>
                <w:rFonts w:ascii="Times New Roman" w:hAnsi="Times New Roman" w:cs="Times New Roman"/>
                <w:iCs w:val="0"/>
                <w:sz w:val="14"/>
                <w:szCs w:val="14"/>
                <w:lang w:val="en-US"/>
              </w:rPr>
              <w:t xml:space="preserve">an </w:t>
            </w:r>
            <w:r w:rsidRPr="00AD22FD">
              <w:rPr>
                <w:rFonts w:ascii="Times New Roman" w:hAnsi="Times New Roman" w:cs="Times New Roman"/>
                <w:i/>
                <w:sz w:val="14"/>
                <w:szCs w:val="14"/>
                <w:lang w:val="en-US"/>
              </w:rPr>
              <w:t xml:space="preserve">upper bound </w:t>
            </w:r>
            <w:r w:rsidRPr="00AD22FD">
              <w:rPr>
                <w:rFonts w:ascii="Times New Roman" w:hAnsi="Times New Roman" w:cs="Times New Roman"/>
                <w:iCs w:val="0"/>
                <w:sz w:val="14"/>
                <w:szCs w:val="14"/>
                <w:lang w:val="en-US"/>
              </w:rPr>
              <w:t xml:space="preserve">on the </w:t>
            </w:r>
            <w:r w:rsidRPr="00AD22FD">
              <w:rPr>
                <w:rFonts w:ascii="Times New Roman" w:hAnsi="Times New Roman" w:cs="Times New Roman"/>
                <w:i/>
                <w:sz w:val="14"/>
                <w:szCs w:val="14"/>
                <w:lang w:val="en-US"/>
              </w:rPr>
              <w:t xml:space="preserve">Options development </w:t>
            </w:r>
            <w:r w:rsidRPr="00AD22FD">
              <w:rPr>
                <w:rFonts w:ascii="Times New Roman" w:hAnsi="Times New Roman" w:cs="Times New Roman"/>
                <w:iCs w:val="0"/>
                <w:sz w:val="14"/>
                <w:szCs w:val="14"/>
                <w:lang w:val="en-US"/>
              </w:rPr>
              <w:t>(</w:t>
            </w:r>
            <w:r w:rsidRPr="00AD22FD">
              <w:rPr>
                <w:rFonts w:ascii="Times New Roman" w:hAnsi="Times New Roman" w:cs="Times New Roman"/>
                <w:color w:val="7F7F7F" w:themeColor="text1" w:themeTint="80"/>
                <w:sz w:val="14"/>
                <w:szCs w:val="14"/>
              </w:rPr>
              <w:t>Ranger et al. 2013, p.246, 242; Reeder and Ranger 2011, p.7, 6</w:t>
            </w:r>
            <w:r w:rsidRPr="00AD22FD">
              <w:rPr>
                <w:rFonts w:ascii="Times New Roman" w:hAnsi="Times New Roman" w:cs="Times New Roman"/>
                <w:sz w:val="14"/>
                <w:szCs w:val="14"/>
              </w:rPr>
              <w:t xml:space="preserve">). This </w:t>
            </w:r>
            <w:r w:rsidRPr="00AD22FD">
              <w:rPr>
                <w:rFonts w:ascii="Times New Roman" w:hAnsi="Times New Roman" w:cs="Times New Roman"/>
                <w:i/>
                <w:iCs w:val="0"/>
                <w:sz w:val="14"/>
                <w:szCs w:val="14"/>
              </w:rPr>
              <w:t>High++</w:t>
            </w:r>
            <w:r w:rsidRPr="00AD22FD">
              <w:rPr>
                <w:rFonts w:ascii="Times New Roman" w:hAnsi="Times New Roman" w:cs="Times New Roman"/>
                <w:sz w:val="14"/>
                <w:szCs w:val="14"/>
              </w:rPr>
              <w:t xml:space="preserve"> (first guess) was then used for </w:t>
            </w:r>
            <w:r w:rsidRPr="00AD22FD">
              <w:rPr>
                <w:rFonts w:ascii="Times New Roman" w:hAnsi="Times New Roman" w:cs="Times New Roman"/>
                <w:i/>
                <w:iCs w:val="0"/>
                <w:sz w:val="14"/>
                <w:szCs w:val="14"/>
              </w:rPr>
              <w:t>sensitivity testing</w:t>
            </w:r>
            <w:r w:rsidRPr="00AD22FD">
              <w:rPr>
                <w:rFonts w:ascii="Times New Roman" w:hAnsi="Times New Roman" w:cs="Times New Roman"/>
                <w:sz w:val="14"/>
                <w:szCs w:val="14"/>
              </w:rPr>
              <w:t xml:space="preserve"> the robustness of adaptation / FRM measures to uncertainties (this value was used in the initial identification of measures and design of Options) (</w:t>
            </w:r>
            <w:r w:rsidRPr="00AD22FD">
              <w:rPr>
                <w:rFonts w:ascii="Times New Roman" w:hAnsi="Times New Roman" w:cs="Times New Roman"/>
                <w:color w:val="7F7F7F" w:themeColor="text1" w:themeTint="80"/>
                <w:sz w:val="14"/>
                <w:szCs w:val="14"/>
              </w:rPr>
              <w:t>Ranger et al. 2013, p.246, 247; Reeder and Ranger 2011, p.7</w:t>
            </w:r>
            <w:r w:rsidRPr="00AD22FD">
              <w:rPr>
                <w:rFonts w:ascii="Times New Roman" w:hAnsi="Times New Roman" w:cs="Times New Roman"/>
                <w:sz w:val="14"/>
                <w:szCs w:val="14"/>
              </w:rPr>
              <w:t>).</w:t>
            </w:r>
            <w:r w:rsidRPr="00AD22FD">
              <w:rPr>
                <w:rStyle w:val="Refdenotaderodap"/>
                <w:rFonts w:ascii="Times New Roman" w:hAnsi="Times New Roman" w:cs="Times New Roman"/>
                <w:sz w:val="14"/>
                <w:szCs w:val="14"/>
              </w:rPr>
              <w:footnoteReference w:id="4"/>
            </w:r>
            <w:r w:rsidRPr="00AD22FD">
              <w:rPr>
                <w:rFonts w:ascii="Times New Roman" w:hAnsi="Times New Roman" w:cs="Times New Roman"/>
                <w:sz w:val="14"/>
                <w:szCs w:val="14"/>
              </w:rPr>
              <w:t xml:space="preserve"> </w:t>
            </w:r>
            <w:r w:rsidRPr="00AD22FD">
              <w:rPr>
                <w:rFonts w:ascii="Times New Roman" w:hAnsi="Times New Roman" w:cs="Times New Roman"/>
                <w:iCs w:val="0"/>
                <w:sz w:val="14"/>
                <w:szCs w:val="14"/>
                <w:lang w:val="en-US"/>
              </w:rPr>
              <w:t>In addition, four socioeconomic scenarios were developed (based on expert elicitation), which also set an upper-bound for the</w:t>
            </w:r>
            <w:r w:rsidRPr="00AD22FD">
              <w:rPr>
                <w:rFonts w:ascii="Times New Roman" w:hAnsi="Times New Roman" w:cs="Times New Roman"/>
                <w:i/>
                <w:sz w:val="14"/>
                <w:szCs w:val="14"/>
                <w:lang w:val="en-US"/>
              </w:rPr>
              <w:t xml:space="preserve"> Options</w:t>
            </w:r>
            <w:r w:rsidRPr="00AD22FD">
              <w:rPr>
                <w:rFonts w:ascii="Times New Roman" w:hAnsi="Times New Roman" w:cs="Times New Roman"/>
                <w:iCs w:val="0"/>
                <w:sz w:val="14"/>
                <w:szCs w:val="14"/>
                <w:lang w:val="en-US"/>
              </w:rPr>
              <w:t xml:space="preserve"> development (</w:t>
            </w:r>
            <w:r w:rsidRPr="00AD22FD">
              <w:rPr>
                <w:rFonts w:ascii="Times New Roman" w:hAnsi="Times New Roman" w:cs="Times New Roman"/>
                <w:color w:val="7F7F7F" w:themeColor="text1" w:themeTint="80"/>
                <w:sz w:val="14"/>
                <w:szCs w:val="14"/>
              </w:rPr>
              <w:t xml:space="preserve">Ranger et al. 2013, p.242; Penning-Rowsell et al. 2013, p.1401; </w:t>
            </w:r>
            <w:proofErr w:type="spellStart"/>
            <w:r w:rsidRPr="00AD22FD">
              <w:rPr>
                <w:rFonts w:ascii="Times New Roman" w:hAnsi="Times New Roman" w:cs="Times New Roman"/>
                <w:color w:val="7F7F7F" w:themeColor="text1" w:themeTint="80"/>
                <w:sz w:val="14"/>
                <w:szCs w:val="14"/>
              </w:rPr>
              <w:t>Jeuken</w:t>
            </w:r>
            <w:proofErr w:type="spellEnd"/>
            <w:r w:rsidRPr="00AD22FD">
              <w:rPr>
                <w:rFonts w:ascii="Times New Roman" w:hAnsi="Times New Roman" w:cs="Times New Roman"/>
                <w:color w:val="7F7F7F" w:themeColor="text1" w:themeTint="80"/>
                <w:sz w:val="14"/>
                <w:szCs w:val="14"/>
              </w:rPr>
              <w:t xml:space="preserve"> et al. 2014, p.13;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p.11, 83-84</w:t>
            </w:r>
            <w:r w:rsidRPr="00AD22FD">
              <w:rPr>
                <w:rFonts w:ascii="Times New Roman" w:hAnsi="Times New Roman" w:cs="Times New Roman"/>
                <w:sz w:val="14"/>
                <w:szCs w:val="14"/>
              </w:rPr>
              <w:t xml:space="preserve">). </w:t>
            </w:r>
            <w:bookmarkStart w:id="5" w:name="_Hlk121923490"/>
            <w:bookmarkEnd w:id="3"/>
          </w:p>
          <w:p w14:paraId="784A4F32" w14:textId="4152E201" w:rsidR="00C04B00" w:rsidRPr="00AD22FD" w:rsidRDefault="00C04B00" w:rsidP="001522F8">
            <w:pPr>
              <w:pStyle w:val="tablecontenttext"/>
              <w:spacing w:after="0" w:line="240" w:lineRule="auto"/>
              <w:rPr>
                <w:rFonts w:ascii="Times New Roman" w:hAnsi="Times New Roman" w:cs="Times New Roman"/>
                <w:sz w:val="14"/>
                <w:szCs w:val="14"/>
              </w:rPr>
            </w:pPr>
            <w:r w:rsidRPr="00AD22FD">
              <w:rPr>
                <w:rFonts w:ascii="Times New Roman" w:hAnsi="Times New Roman" w:cs="Times New Roman"/>
                <w:sz w:val="14"/>
                <w:szCs w:val="14"/>
              </w:rPr>
              <w:t xml:space="preserve">The commissioned research work was scheduled to finish by the end of the TE2100 Project timeline, therefore, in the interim, the Project devised / developed a set of scenarios of water level rise up to 2100 </w:t>
            </w:r>
            <w:r w:rsidRPr="00AD22FD">
              <w:rPr>
                <w:rFonts w:ascii="Times New Roman" w:hAnsi="Times New Roman" w:cs="Times New Roman"/>
                <w:i/>
                <w:sz w:val="14"/>
                <w:szCs w:val="14"/>
              </w:rPr>
              <w:t>to use in the interim to develop the Options</w:t>
            </w:r>
            <w:r w:rsidRPr="00AD22FD">
              <w:rPr>
                <w:rFonts w:ascii="Times New Roman" w:hAnsi="Times New Roman" w:cs="Times New Roman"/>
                <w:sz w:val="14"/>
                <w:szCs w:val="14"/>
              </w:rPr>
              <w:t xml:space="preserve"> (</w:t>
            </w:r>
            <w:r w:rsidR="00F77E53" w:rsidRPr="00AD22FD">
              <w:rPr>
                <w:rFonts w:ascii="Times New Roman" w:hAnsi="Times New Roman" w:cs="Times New Roman"/>
                <w:color w:val="7F7F7F" w:themeColor="text1" w:themeTint="80"/>
                <w:sz w:val="14"/>
                <w:szCs w:val="14"/>
              </w:rPr>
              <w:t>EA 2009b</w:t>
            </w:r>
            <w:r w:rsidRPr="00AD22FD">
              <w:rPr>
                <w:rFonts w:ascii="Times New Roman" w:hAnsi="Times New Roman" w:cs="Times New Roman"/>
                <w:color w:val="7F7F7F" w:themeColor="text1" w:themeTint="80"/>
                <w:sz w:val="14"/>
                <w:szCs w:val="14"/>
              </w:rPr>
              <w:t xml:space="preserve">, p.2, 7; Lowe et al. 2009, p.88; HM Treasury 2009, p.22;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p.229; Ramsbottom and Sheppard 2017, p.7-8</w:t>
            </w:r>
            <w:r w:rsidRPr="00AD22FD">
              <w:rPr>
                <w:rFonts w:ascii="Times New Roman" w:hAnsi="Times New Roman" w:cs="Times New Roman"/>
                <w:sz w:val="14"/>
                <w:szCs w:val="14"/>
              </w:rPr>
              <w:t>):</w:t>
            </w:r>
            <w:r w:rsidR="00A57EA5" w:rsidRPr="00AD22FD">
              <w:rPr>
                <w:rFonts w:ascii="Times New Roman" w:hAnsi="Times New Roman" w:cs="Times New Roman"/>
                <w:sz w:val="14"/>
                <w:szCs w:val="14"/>
              </w:rPr>
              <w:t xml:space="preserve"> </w:t>
            </w:r>
            <w:r w:rsidR="00A57EA5" w:rsidRPr="00AD22FD">
              <w:rPr>
                <w:rFonts w:ascii="Times New Roman" w:hAnsi="Times New Roman" w:cs="Times New Roman"/>
                <w:i/>
                <w:iCs w:val="0"/>
                <w:sz w:val="14"/>
                <w:szCs w:val="14"/>
              </w:rPr>
              <w:t>High++</w:t>
            </w:r>
            <w:r w:rsidR="00A57EA5" w:rsidRPr="00AD22FD">
              <w:rPr>
                <w:rFonts w:ascii="Times New Roman" w:hAnsi="Times New Roman" w:cs="Times New Roman"/>
                <w:sz w:val="14"/>
                <w:szCs w:val="14"/>
              </w:rPr>
              <w:t xml:space="preserve"> (4,2m, </w:t>
            </w:r>
            <w:r w:rsidR="00A57EA5" w:rsidRPr="00AD22FD">
              <w:rPr>
                <w:rFonts w:ascii="Times New Roman" w:hAnsi="Times New Roman" w:cs="Times New Roman"/>
                <w:i/>
                <w:iCs w:val="0"/>
                <w:sz w:val="14"/>
                <w:szCs w:val="14"/>
              </w:rPr>
              <w:t>first guess</w:t>
            </w:r>
            <w:r w:rsidR="00A57EA5" w:rsidRPr="00AD22FD">
              <w:rPr>
                <w:rFonts w:ascii="Times New Roman" w:hAnsi="Times New Roman" w:cs="Times New Roman"/>
                <w:sz w:val="14"/>
                <w:szCs w:val="14"/>
              </w:rPr>
              <w:t>)</w:t>
            </w:r>
            <w:r w:rsidRPr="00AD22FD">
              <w:rPr>
                <w:rFonts w:ascii="Times New Roman" w:hAnsi="Times New Roman" w:cs="Times New Roman"/>
                <w:sz w:val="14"/>
                <w:szCs w:val="14"/>
              </w:rPr>
              <w:t xml:space="preserve">; </w:t>
            </w:r>
            <w:r w:rsidRPr="00AD22FD">
              <w:rPr>
                <w:rFonts w:ascii="Times New Roman" w:hAnsi="Times New Roman" w:cs="Times New Roman"/>
                <w:i/>
                <w:iCs w:val="0"/>
                <w:sz w:val="14"/>
                <w:szCs w:val="14"/>
              </w:rPr>
              <w:t>Medium-High</w:t>
            </w:r>
            <w:r w:rsidRPr="00AD22FD">
              <w:rPr>
                <w:rFonts w:ascii="Times New Roman" w:hAnsi="Times New Roman" w:cs="Times New Roman"/>
                <w:sz w:val="14"/>
                <w:szCs w:val="14"/>
              </w:rPr>
              <w:t xml:space="preserve"> (1,5m rise ); </w:t>
            </w:r>
            <w:r w:rsidRPr="00AD22FD">
              <w:rPr>
                <w:rFonts w:ascii="Times New Roman" w:hAnsi="Times New Roman" w:cs="Times New Roman"/>
                <w:i/>
                <w:iCs w:val="0"/>
                <w:sz w:val="14"/>
                <w:szCs w:val="14"/>
              </w:rPr>
              <w:t>High+</w:t>
            </w:r>
            <w:r w:rsidRPr="00AD22FD">
              <w:rPr>
                <w:rFonts w:ascii="Times New Roman" w:hAnsi="Times New Roman" w:cs="Times New Roman"/>
                <w:sz w:val="14"/>
                <w:szCs w:val="14"/>
              </w:rPr>
              <w:t xml:space="preserve"> (2,7m rise)</w:t>
            </w:r>
            <w:r w:rsidR="00A57EA5" w:rsidRPr="00AD22FD">
              <w:rPr>
                <w:rFonts w:ascii="Times New Roman" w:hAnsi="Times New Roman" w:cs="Times New Roman"/>
                <w:sz w:val="14"/>
                <w:szCs w:val="14"/>
              </w:rPr>
              <w:t xml:space="preserve">; and </w:t>
            </w:r>
            <w:r w:rsidR="00A57EA5" w:rsidRPr="00AD22FD">
              <w:rPr>
                <w:rFonts w:ascii="Times New Roman" w:hAnsi="Times New Roman" w:cs="Times New Roman"/>
                <w:i/>
                <w:iCs w:val="0"/>
                <w:sz w:val="14"/>
                <w:szCs w:val="14"/>
              </w:rPr>
              <w:t>Defra06 central</w:t>
            </w:r>
            <w:r w:rsidR="00A57EA5" w:rsidRPr="00AD22FD">
              <w:rPr>
                <w:rFonts w:ascii="Times New Roman" w:hAnsi="Times New Roman" w:cs="Times New Roman"/>
                <w:sz w:val="14"/>
                <w:szCs w:val="14"/>
              </w:rPr>
              <w:t xml:space="preserve"> (0,9m rise)</w:t>
            </w:r>
            <w:r w:rsidRPr="00AD22FD">
              <w:rPr>
                <w:rFonts w:ascii="Times New Roman" w:hAnsi="Times New Roman" w:cs="Times New Roman"/>
                <w:sz w:val="14"/>
                <w:szCs w:val="14"/>
              </w:rPr>
              <w:t xml:space="preserve"> (</w:t>
            </w:r>
            <w:r w:rsidR="00F77E53" w:rsidRPr="00AD22FD">
              <w:rPr>
                <w:rFonts w:ascii="Times New Roman" w:hAnsi="Times New Roman" w:cs="Times New Roman"/>
                <w:color w:val="7F7F7F" w:themeColor="text1" w:themeTint="80"/>
                <w:sz w:val="14"/>
                <w:szCs w:val="14"/>
              </w:rPr>
              <w:t>EA 2009b</w:t>
            </w:r>
            <w:r w:rsidRPr="00AD22FD">
              <w:rPr>
                <w:rFonts w:ascii="Times New Roman" w:hAnsi="Times New Roman" w:cs="Times New Roman"/>
                <w:color w:val="7F7F7F" w:themeColor="text1" w:themeTint="80"/>
                <w:sz w:val="14"/>
                <w:szCs w:val="14"/>
              </w:rPr>
              <w:t xml:space="preserve">, p.2, 7; </w:t>
            </w:r>
            <w:r w:rsidRPr="00AD22FD">
              <w:rPr>
                <w:rFonts w:ascii="Times New Roman" w:eastAsia="Frutiger-Roman" w:hAnsi="Times New Roman" w:cs="Times New Roman"/>
                <w:color w:val="7F7F7F" w:themeColor="text1" w:themeTint="80"/>
                <w:sz w:val="14"/>
                <w:szCs w:val="14"/>
              </w:rPr>
              <w:t>Lowe et al. 2009, p.88-89</w:t>
            </w:r>
            <w:r w:rsidRPr="00AD22FD">
              <w:rPr>
                <w:rFonts w:ascii="Times New Roman" w:eastAsia="Frutiger-Roman" w:hAnsi="Times New Roman" w:cs="Times New Roman"/>
                <w:color w:val="7F7F7F" w:themeColor="text1" w:themeTint="80"/>
                <w:sz w:val="14"/>
                <w:szCs w:val="14"/>
                <w:lang w:val="en-US"/>
              </w:rPr>
              <w:t xml:space="preserve">; </w:t>
            </w:r>
            <w:r w:rsidRPr="00AD22FD">
              <w:rPr>
                <w:rFonts w:ascii="Times New Roman" w:hAnsi="Times New Roman" w:cs="Times New Roman"/>
                <w:color w:val="7F7F7F" w:themeColor="text1" w:themeTint="80"/>
                <w:sz w:val="14"/>
                <w:szCs w:val="14"/>
              </w:rPr>
              <w:t>EA 2012, p.28;</w:t>
            </w:r>
            <w:r w:rsidRPr="00AD22FD">
              <w:rPr>
                <w:rFonts w:ascii="Times New Roman" w:eastAsia="Frutiger-Roman" w:hAnsi="Times New Roman" w:cs="Times New Roman"/>
                <w:color w:val="7F7F7F" w:themeColor="text1" w:themeTint="80"/>
                <w:sz w:val="14"/>
                <w:szCs w:val="14"/>
              </w:rPr>
              <w:t xml:space="preserve"> </w:t>
            </w:r>
            <w:r w:rsidRPr="00AD22FD">
              <w:rPr>
                <w:rFonts w:ascii="Times New Roman" w:hAnsi="Times New Roman" w:cs="Times New Roman"/>
                <w:color w:val="7F7F7F" w:themeColor="text1" w:themeTint="80"/>
                <w:sz w:val="14"/>
                <w:szCs w:val="14"/>
              </w:rPr>
              <w:t xml:space="preserve">HM Treasury 2009, p.22; Ranger et al. 2013, p.247, 246, 242; Reeder and Ranger 2011, p.7, 6; Ramsbottom and Sheppard 2017, p.8;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p.229, 72-73</w:t>
            </w:r>
            <w:r w:rsidRPr="00AD22FD">
              <w:rPr>
                <w:rFonts w:ascii="Times New Roman" w:hAnsi="Times New Roman" w:cs="Times New Roman"/>
                <w:sz w:val="14"/>
                <w:szCs w:val="14"/>
              </w:rPr>
              <w:t xml:space="preserve">). </w:t>
            </w:r>
          </w:p>
          <w:bookmarkEnd w:id="5"/>
          <w:p w14:paraId="55CD236E" w14:textId="4F837C89" w:rsidR="00C04B00" w:rsidRPr="00AD22FD" w:rsidRDefault="00C04B00" w:rsidP="001522F8">
            <w:pPr>
              <w:pStyle w:val="tablecontenttext"/>
              <w:spacing w:after="0" w:line="240" w:lineRule="auto"/>
              <w:rPr>
                <w:rFonts w:ascii="Times New Roman" w:hAnsi="Times New Roman" w:cs="Times New Roman"/>
                <w:color w:val="C00000"/>
                <w:sz w:val="14"/>
                <w:szCs w:val="14"/>
              </w:rPr>
            </w:pPr>
            <w:r w:rsidRPr="00AD22FD">
              <w:rPr>
                <w:rFonts w:ascii="Times New Roman" w:hAnsi="Times New Roman" w:cs="Times New Roman"/>
                <w:iCs w:val="0"/>
                <w:sz w:val="14"/>
                <w:szCs w:val="14"/>
              </w:rPr>
              <w:t>These were used (this set of scenarios was used) in the Early Conceptual</w:t>
            </w:r>
            <w:r w:rsidRPr="00AD22FD">
              <w:rPr>
                <w:rFonts w:ascii="Times New Roman" w:hAnsi="Times New Roman" w:cs="Times New Roman"/>
                <w:i/>
                <w:sz w:val="14"/>
                <w:szCs w:val="14"/>
              </w:rPr>
              <w:t xml:space="preserve"> Option</w:t>
            </w:r>
            <w:r w:rsidRPr="00AD22FD">
              <w:rPr>
                <w:rFonts w:ascii="Times New Roman" w:hAnsi="Times New Roman" w:cs="Times New Roman"/>
                <w:sz w:val="14"/>
                <w:szCs w:val="14"/>
              </w:rPr>
              <w:t xml:space="preserve"> (ECO) and subsequent </w:t>
            </w:r>
            <w:r w:rsidRPr="00AD22FD">
              <w:rPr>
                <w:rFonts w:ascii="Times New Roman" w:hAnsi="Times New Roman" w:cs="Times New Roman"/>
                <w:i/>
                <w:sz w:val="14"/>
                <w:szCs w:val="14"/>
              </w:rPr>
              <w:t>High-Level Option</w:t>
            </w:r>
            <w:r w:rsidRPr="00AD22FD">
              <w:rPr>
                <w:rFonts w:ascii="Times New Roman" w:hAnsi="Times New Roman" w:cs="Times New Roman"/>
                <w:sz w:val="14"/>
                <w:szCs w:val="14"/>
              </w:rPr>
              <w:t xml:space="preserve"> development (</w:t>
            </w:r>
            <w:r w:rsidRPr="00AD22FD">
              <w:rPr>
                <w:rFonts w:ascii="Times New Roman" w:hAnsi="Times New Roman" w:cs="Times New Roman"/>
                <w:i/>
                <w:sz w:val="14"/>
                <w:szCs w:val="14"/>
              </w:rPr>
              <w:t>Phase 2</w:t>
            </w:r>
            <w:r w:rsidRPr="00AD22FD">
              <w:rPr>
                <w:rFonts w:ascii="Times New Roman" w:hAnsi="Times New Roman" w:cs="Times New Roman"/>
                <w:sz w:val="14"/>
                <w:szCs w:val="14"/>
              </w:rPr>
              <w:t xml:space="preserve">) and in the first part of </w:t>
            </w:r>
            <w:r w:rsidRPr="00AD22FD">
              <w:rPr>
                <w:rFonts w:ascii="Times New Roman" w:hAnsi="Times New Roman" w:cs="Times New Roman"/>
                <w:i/>
                <w:sz w:val="14"/>
                <w:szCs w:val="14"/>
              </w:rPr>
              <w:t>Phase 3 - Option Development</w:t>
            </w:r>
            <w:r w:rsidRPr="00AD22FD">
              <w:rPr>
                <w:rFonts w:ascii="Times New Roman" w:hAnsi="Times New Roman" w:cs="Times New Roman"/>
                <w:sz w:val="14"/>
                <w:szCs w:val="14"/>
              </w:rPr>
              <w:t xml:space="preserve"> (e.g. four scenarios were used for testing the </w:t>
            </w:r>
            <w:r w:rsidRPr="00AD22FD">
              <w:rPr>
                <w:rFonts w:ascii="Times New Roman" w:hAnsi="Times New Roman" w:cs="Times New Roman"/>
                <w:i/>
                <w:sz w:val="14"/>
                <w:szCs w:val="14"/>
              </w:rPr>
              <w:t>Early Conceptual Options</w:t>
            </w:r>
            <w:r w:rsidRPr="00AD22FD">
              <w:rPr>
                <w:rFonts w:ascii="Times New Roman" w:hAnsi="Times New Roman" w:cs="Times New Roman"/>
                <w:sz w:val="14"/>
                <w:szCs w:val="14"/>
              </w:rPr>
              <w:t xml:space="preserve"> –</w:t>
            </w:r>
            <w:r w:rsidRPr="00AD22FD">
              <w:rPr>
                <w:rFonts w:ascii="Times New Roman" w:hAnsi="Times New Roman" w:cs="Times New Roman"/>
                <w:i/>
                <w:sz w:val="14"/>
                <w:szCs w:val="14"/>
              </w:rPr>
              <w:t xml:space="preserve">Defra 2003 </w:t>
            </w:r>
            <w:r w:rsidRPr="00AD22FD">
              <w:rPr>
                <w:rFonts w:ascii="Times New Roman" w:hAnsi="Times New Roman" w:cs="Times New Roman"/>
                <w:sz w:val="14"/>
                <w:szCs w:val="14"/>
              </w:rPr>
              <w:t xml:space="preserve">(around 0,60m by 2100), </w:t>
            </w:r>
            <w:r w:rsidRPr="00AD22FD">
              <w:rPr>
                <w:rFonts w:ascii="Times New Roman" w:hAnsi="Times New Roman" w:cs="Times New Roman"/>
                <w:i/>
                <w:sz w:val="14"/>
                <w:szCs w:val="14"/>
              </w:rPr>
              <w:t>Medium-High</w:t>
            </w:r>
            <w:r w:rsidRPr="00AD22FD">
              <w:rPr>
                <w:rFonts w:ascii="Times New Roman" w:hAnsi="Times New Roman" w:cs="Times New Roman"/>
                <w:sz w:val="14"/>
                <w:szCs w:val="14"/>
              </w:rPr>
              <w:t>,</w:t>
            </w:r>
            <w:r w:rsidRPr="00AD22FD">
              <w:rPr>
                <w:rFonts w:ascii="Times New Roman" w:hAnsi="Times New Roman" w:cs="Times New Roman"/>
                <w:i/>
                <w:sz w:val="14"/>
                <w:szCs w:val="14"/>
              </w:rPr>
              <w:t xml:space="preserve"> High+ </w:t>
            </w:r>
            <w:r w:rsidRPr="00AD22FD">
              <w:rPr>
                <w:rFonts w:ascii="Times New Roman" w:hAnsi="Times New Roman" w:cs="Times New Roman"/>
                <w:sz w:val="14"/>
                <w:szCs w:val="14"/>
              </w:rPr>
              <w:t xml:space="preserve">and </w:t>
            </w:r>
            <w:r w:rsidRPr="00AD22FD">
              <w:rPr>
                <w:rFonts w:ascii="Times New Roman" w:hAnsi="Times New Roman" w:cs="Times New Roman"/>
                <w:i/>
                <w:sz w:val="14"/>
                <w:szCs w:val="14"/>
              </w:rPr>
              <w:t>High++</w:t>
            </w:r>
            <w:r w:rsidRPr="00AD22FD">
              <w:rPr>
                <w:rFonts w:ascii="Times New Roman" w:hAnsi="Times New Roman" w:cs="Times New Roman"/>
                <w:sz w:val="14"/>
                <w:szCs w:val="14"/>
              </w:rPr>
              <w:t>)</w:t>
            </w:r>
            <w:r w:rsidRPr="00AD22FD">
              <w:rPr>
                <w:rFonts w:ascii="Times New Roman" w:hAnsi="Times New Roman" w:cs="Times New Roman"/>
                <w:i/>
                <w:sz w:val="14"/>
                <w:szCs w:val="14"/>
              </w:rPr>
              <w:t xml:space="preserve"> </w:t>
            </w:r>
            <w:r w:rsidRPr="00AD22FD">
              <w:rPr>
                <w:rFonts w:ascii="Times New Roman" w:hAnsi="Times New Roman" w:cs="Times New Roman"/>
                <w:sz w:val="14"/>
                <w:szCs w:val="14"/>
              </w:rPr>
              <w:t>(</w:t>
            </w:r>
            <w:r w:rsidR="00F77E53" w:rsidRPr="00AD22FD">
              <w:rPr>
                <w:rFonts w:ascii="Times New Roman" w:hAnsi="Times New Roman" w:cs="Times New Roman"/>
                <w:color w:val="7F7F7F" w:themeColor="text1" w:themeTint="80"/>
                <w:sz w:val="14"/>
                <w:szCs w:val="14"/>
              </w:rPr>
              <w:t>EA 2009b</w:t>
            </w:r>
            <w:r w:rsidRPr="00AD22FD">
              <w:rPr>
                <w:rFonts w:ascii="Times New Roman" w:hAnsi="Times New Roman" w:cs="Times New Roman"/>
                <w:color w:val="7F7F7F" w:themeColor="text1" w:themeTint="80"/>
                <w:sz w:val="14"/>
                <w:szCs w:val="14"/>
              </w:rPr>
              <w:t>, p.2, 188,195</w:t>
            </w:r>
            <w:r w:rsidRPr="00AD22FD">
              <w:rPr>
                <w:rFonts w:ascii="Times New Roman" w:hAnsi="Times New Roman" w:cs="Times New Roman"/>
                <w:sz w:val="14"/>
                <w:szCs w:val="14"/>
              </w:rPr>
              <w:t xml:space="preserve">). </w:t>
            </w:r>
          </w:p>
          <w:p w14:paraId="059239F1" w14:textId="77777777" w:rsidR="00995F3E" w:rsidRPr="00AD22FD" w:rsidRDefault="00C04B00" w:rsidP="001522F8">
            <w:pPr>
              <w:pStyle w:val="TEXTBODY"/>
              <w:spacing w:after="60"/>
              <w:jc w:val="left"/>
              <w:rPr>
                <w:bCs/>
                <w:sz w:val="14"/>
                <w:szCs w:val="14"/>
              </w:rPr>
            </w:pPr>
            <w:r w:rsidRPr="00AD22FD">
              <w:rPr>
                <w:bCs/>
                <w:sz w:val="14"/>
                <w:szCs w:val="14"/>
              </w:rPr>
              <w:t xml:space="preserve">Later, the results of the commissioned research work showed that the Project had been planning for the right potential range of water levels over this century, and that the previous </w:t>
            </w:r>
            <w:r w:rsidRPr="00AD22FD">
              <w:rPr>
                <w:bCs/>
                <w:i/>
                <w:iCs/>
                <w:sz w:val="14"/>
                <w:szCs w:val="14"/>
              </w:rPr>
              <w:t>worst-case scenario</w:t>
            </w:r>
            <w:r w:rsidRPr="00AD22FD">
              <w:rPr>
                <w:bCs/>
                <w:sz w:val="14"/>
                <w:szCs w:val="14"/>
              </w:rPr>
              <w:t xml:space="preserve"> could be revised down from 4,2m to 2,7 m</w:t>
            </w:r>
            <w:r w:rsidRPr="00AD22FD">
              <w:rPr>
                <w:bCs/>
                <w:i/>
                <w:iCs/>
                <w:color w:val="00B050"/>
                <w:sz w:val="14"/>
                <w:szCs w:val="14"/>
              </w:rPr>
              <w:t xml:space="preserve"> </w:t>
            </w:r>
            <w:r w:rsidRPr="00AD22FD">
              <w:rPr>
                <w:bCs/>
                <w:sz w:val="14"/>
                <w:szCs w:val="14"/>
              </w:rPr>
              <w:t>(</w:t>
            </w:r>
            <w:r w:rsidRPr="00AD22FD">
              <w:rPr>
                <w:bCs/>
                <w:color w:val="7F7F7F" w:themeColor="text1" w:themeTint="80"/>
                <w:sz w:val="14"/>
                <w:szCs w:val="14"/>
              </w:rPr>
              <w:t>Lowe et al. 2009, p.89</w:t>
            </w:r>
            <w:r w:rsidRPr="00AD22FD">
              <w:rPr>
                <w:bCs/>
                <w:sz w:val="14"/>
                <w:szCs w:val="14"/>
              </w:rPr>
              <w:t xml:space="preserve">; </w:t>
            </w:r>
            <w:r w:rsidRPr="00AD22FD">
              <w:rPr>
                <w:bCs/>
                <w:color w:val="7F7F7F" w:themeColor="text1" w:themeTint="80"/>
                <w:sz w:val="14"/>
                <w:szCs w:val="14"/>
              </w:rPr>
              <w:t>EA 2012, p.28</w:t>
            </w:r>
            <w:r w:rsidRPr="00AD22FD">
              <w:rPr>
                <w:bCs/>
                <w:sz w:val="14"/>
                <w:szCs w:val="14"/>
              </w:rPr>
              <w:t>); these results also served to identify which scenario is the most probable to allow the final Options to be refined (redeveloped under such scenario)</w:t>
            </w:r>
            <w:r w:rsidRPr="00AD22FD">
              <w:rPr>
                <w:bCs/>
                <w:i/>
                <w:iCs/>
                <w:sz w:val="14"/>
                <w:szCs w:val="14"/>
              </w:rPr>
              <w:t xml:space="preserve"> </w:t>
            </w:r>
            <w:r w:rsidRPr="00AD22FD">
              <w:rPr>
                <w:bCs/>
                <w:sz w:val="14"/>
                <w:szCs w:val="14"/>
              </w:rPr>
              <w:t>(</w:t>
            </w:r>
            <w:r w:rsidR="00F77E53" w:rsidRPr="00AD22FD">
              <w:rPr>
                <w:bCs/>
                <w:color w:val="7F7F7F" w:themeColor="text1" w:themeTint="80"/>
                <w:sz w:val="14"/>
                <w:szCs w:val="14"/>
              </w:rPr>
              <w:t>EA 2009b</w:t>
            </w:r>
            <w:r w:rsidRPr="00AD22FD">
              <w:rPr>
                <w:bCs/>
                <w:color w:val="7F7F7F" w:themeColor="text1" w:themeTint="80"/>
                <w:sz w:val="14"/>
                <w:szCs w:val="14"/>
              </w:rPr>
              <w:t>, p.2</w:t>
            </w:r>
            <w:r w:rsidRPr="00AD22FD">
              <w:rPr>
                <w:bCs/>
                <w:sz w:val="14"/>
                <w:szCs w:val="14"/>
              </w:rPr>
              <w:t>). Further TE2100 modelling work (done in collaboration with UKCIP) later confirmed the levels suggested by the</w:t>
            </w:r>
            <w:r w:rsidRPr="00AD22FD">
              <w:rPr>
                <w:bCs/>
                <w:i/>
                <w:iCs/>
                <w:sz w:val="14"/>
                <w:szCs w:val="14"/>
              </w:rPr>
              <w:t xml:space="preserve"> central</w:t>
            </w:r>
            <w:r w:rsidRPr="00AD22FD">
              <w:rPr>
                <w:bCs/>
                <w:sz w:val="14"/>
                <w:szCs w:val="14"/>
              </w:rPr>
              <w:t xml:space="preserve"> </w:t>
            </w:r>
            <w:proofErr w:type="gramStart"/>
            <w:r w:rsidRPr="00AD22FD">
              <w:rPr>
                <w:bCs/>
                <w:i/>
                <w:iCs/>
                <w:sz w:val="14"/>
                <w:szCs w:val="14"/>
              </w:rPr>
              <w:t>scenario</w:t>
            </w:r>
            <w:r w:rsidRPr="00AD22FD">
              <w:rPr>
                <w:bCs/>
                <w:sz w:val="14"/>
                <w:szCs w:val="14"/>
              </w:rPr>
              <w:t>, and</w:t>
            </w:r>
            <w:proofErr w:type="gramEnd"/>
            <w:r w:rsidRPr="00AD22FD">
              <w:rPr>
                <w:bCs/>
                <w:sz w:val="14"/>
                <w:szCs w:val="14"/>
              </w:rPr>
              <w:t xml:space="preserve"> showed that the “worst-case situation’ is more likely to be nearer the </w:t>
            </w:r>
            <w:r w:rsidRPr="00AD22FD">
              <w:rPr>
                <w:bCs/>
                <w:i/>
                <w:iCs/>
                <w:sz w:val="14"/>
                <w:szCs w:val="14"/>
              </w:rPr>
              <w:t>High+</w:t>
            </w:r>
            <w:r w:rsidRPr="00AD22FD">
              <w:rPr>
                <w:bCs/>
                <w:sz w:val="14"/>
                <w:szCs w:val="14"/>
              </w:rPr>
              <w:t xml:space="preserve"> than the </w:t>
            </w:r>
            <w:r w:rsidRPr="00AD22FD">
              <w:rPr>
                <w:bCs/>
                <w:i/>
                <w:iCs/>
                <w:sz w:val="14"/>
                <w:szCs w:val="14"/>
              </w:rPr>
              <w:t>High++</w:t>
            </w:r>
            <w:r w:rsidRPr="00AD22FD">
              <w:rPr>
                <w:bCs/>
                <w:sz w:val="14"/>
                <w:szCs w:val="14"/>
              </w:rPr>
              <w:t xml:space="preserve"> (</w:t>
            </w:r>
            <w:r w:rsidRPr="00AD22FD">
              <w:rPr>
                <w:bCs/>
                <w:color w:val="7F7F7F" w:themeColor="text1" w:themeTint="80"/>
                <w:sz w:val="14"/>
                <w:szCs w:val="14"/>
              </w:rPr>
              <w:t>HM Treasury 2009, p.22</w:t>
            </w:r>
            <w:r w:rsidRPr="00AD22FD">
              <w:rPr>
                <w:bCs/>
                <w:sz w:val="14"/>
                <w:szCs w:val="14"/>
              </w:rPr>
              <w:t xml:space="preserve">). </w:t>
            </w:r>
          </w:p>
          <w:p w14:paraId="3D5EA5E3" w14:textId="46AA1270" w:rsidR="00C04B00" w:rsidRPr="00AD22FD" w:rsidRDefault="00C04B00" w:rsidP="001522F8">
            <w:pPr>
              <w:pStyle w:val="TEXTBODY"/>
              <w:spacing w:after="60"/>
              <w:jc w:val="left"/>
              <w:rPr>
                <w:bCs/>
                <w:sz w:val="14"/>
                <w:szCs w:val="14"/>
              </w:rPr>
            </w:pPr>
            <w:r w:rsidRPr="00AD22FD">
              <w:rPr>
                <w:bCs/>
                <w:sz w:val="14"/>
                <w:szCs w:val="14"/>
              </w:rPr>
              <w:t xml:space="preserve">Overall, the TE2100 studies involved the estimation of future extreme water levels in the TE, which range from a 0,94m rise (which is based on </w:t>
            </w:r>
            <w:r w:rsidRPr="00AD22FD">
              <w:rPr>
                <w:bCs/>
                <w:i/>
                <w:iCs/>
                <w:sz w:val="14"/>
                <w:szCs w:val="14"/>
              </w:rPr>
              <w:t>2009 Government guidance</w:t>
            </w:r>
            <w:r w:rsidRPr="00AD22FD">
              <w:rPr>
                <w:bCs/>
                <w:sz w:val="14"/>
                <w:szCs w:val="14"/>
              </w:rPr>
              <w:t>) up to a 2,7m rise until 2100</w:t>
            </w:r>
            <w:r w:rsidRPr="00AD22FD">
              <w:rPr>
                <w:bCs/>
                <w:i/>
                <w:iCs/>
                <w:sz w:val="14"/>
                <w:szCs w:val="14"/>
              </w:rPr>
              <w:t xml:space="preserve"> </w:t>
            </w:r>
            <w:r w:rsidRPr="00AD22FD">
              <w:rPr>
                <w:bCs/>
                <w:sz w:val="14"/>
                <w:szCs w:val="14"/>
              </w:rPr>
              <w:t>(</w:t>
            </w:r>
            <w:r w:rsidR="00F77E53" w:rsidRPr="00AD22FD">
              <w:rPr>
                <w:bCs/>
                <w:color w:val="7F7F7F" w:themeColor="text1" w:themeTint="80"/>
                <w:sz w:val="14"/>
                <w:szCs w:val="14"/>
              </w:rPr>
              <w:t>EA 2009A</w:t>
            </w:r>
            <w:r w:rsidRPr="00AD22FD">
              <w:rPr>
                <w:bCs/>
                <w:color w:val="7F7F7F" w:themeColor="text1" w:themeTint="80"/>
                <w:sz w:val="14"/>
                <w:szCs w:val="14"/>
              </w:rPr>
              <w:t>, p.72, 229</w:t>
            </w:r>
            <w:r w:rsidRPr="00AD22FD">
              <w:rPr>
                <w:bCs/>
                <w:sz w:val="14"/>
                <w:szCs w:val="14"/>
              </w:rPr>
              <w:t>)</w:t>
            </w:r>
            <w:r w:rsidRPr="00AD22FD">
              <w:rPr>
                <w:bCs/>
                <w:color w:val="0070C0"/>
                <w:sz w:val="14"/>
                <w:szCs w:val="14"/>
              </w:rPr>
              <w:t>.</w:t>
            </w:r>
          </w:p>
        </w:tc>
      </w:tr>
      <w:tr w:rsidR="00C04B00" w:rsidRPr="00AD22FD" w14:paraId="6242D2B6" w14:textId="77777777" w:rsidTr="001522F8">
        <w:tc>
          <w:tcPr>
            <w:tcW w:w="562" w:type="dxa"/>
            <w:vMerge/>
          </w:tcPr>
          <w:p w14:paraId="18E64403" w14:textId="77777777" w:rsidR="00C04B00" w:rsidRPr="00AD22FD" w:rsidRDefault="00C04B00" w:rsidP="001522F8">
            <w:pPr>
              <w:pStyle w:val="tablecontenttext"/>
              <w:spacing w:line="240" w:lineRule="auto"/>
              <w:rPr>
                <w:rFonts w:ascii="Times New Roman" w:hAnsi="Times New Roman" w:cs="Times New Roman"/>
                <w:sz w:val="14"/>
                <w:szCs w:val="14"/>
              </w:rPr>
            </w:pPr>
          </w:p>
        </w:tc>
        <w:tc>
          <w:tcPr>
            <w:tcW w:w="993" w:type="dxa"/>
            <w:vMerge w:val="restart"/>
          </w:tcPr>
          <w:p w14:paraId="54CBEBF3" w14:textId="77777777"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1c. </w:t>
            </w:r>
            <w:bookmarkStart w:id="6" w:name="_Hlk138671646"/>
            <w:r w:rsidRPr="00AD22FD">
              <w:rPr>
                <w:rFonts w:ascii="Times New Roman" w:hAnsi="Times New Roman" w:cs="Times New Roman"/>
                <w:sz w:val="14"/>
                <w:szCs w:val="14"/>
              </w:rPr>
              <w:t xml:space="preserve">Identifying thresholds in the system’s </w:t>
            </w:r>
            <w:r w:rsidRPr="00AD22FD">
              <w:rPr>
                <w:rFonts w:ascii="Times New Roman" w:hAnsi="Times New Roman" w:cs="Times New Roman"/>
                <w:sz w:val="14"/>
                <w:szCs w:val="14"/>
              </w:rPr>
              <w:lastRenderedPageBreak/>
              <w:t>sensitivity and vulnerability</w:t>
            </w:r>
            <w:bookmarkEnd w:id="6"/>
            <w:r w:rsidRPr="00AD22FD">
              <w:rPr>
                <w:rFonts w:ascii="Times New Roman" w:hAnsi="Times New Roman" w:cs="Times New Roman"/>
                <w:sz w:val="14"/>
                <w:szCs w:val="14"/>
              </w:rPr>
              <w:t xml:space="preserve">; </w:t>
            </w:r>
            <w:r w:rsidRPr="00AD22FD">
              <w:rPr>
                <w:rFonts w:ascii="Times New Roman" w:hAnsi="Times New Roman" w:cs="Times New Roman"/>
                <w:sz w:val="14"/>
                <w:szCs w:val="14"/>
                <w:lang w:val="en-US"/>
              </w:rPr>
              <w:t xml:space="preserve">&amp; </w:t>
            </w:r>
            <w:r w:rsidRPr="00AD22FD">
              <w:rPr>
                <w:rFonts w:ascii="Times New Roman" w:hAnsi="Times New Roman" w:cs="Times New Roman"/>
                <w:sz w:val="14"/>
                <w:szCs w:val="14"/>
              </w:rPr>
              <w:t xml:space="preserve">define FRM policies and assign one to different areas </w:t>
            </w:r>
          </w:p>
        </w:tc>
        <w:tc>
          <w:tcPr>
            <w:tcW w:w="8363" w:type="dxa"/>
          </w:tcPr>
          <w:p w14:paraId="2E27A058" w14:textId="0CB7B3E5" w:rsidR="00C04B00" w:rsidRPr="00AD22FD" w:rsidRDefault="00C04B00" w:rsidP="001522F8">
            <w:pPr>
              <w:pStyle w:val="tablecontenttext"/>
              <w:numPr>
                <w:ilvl w:val="0"/>
                <w:numId w:val="20"/>
              </w:numPr>
              <w:spacing w:after="0" w:line="240" w:lineRule="auto"/>
              <w:ind w:left="38" w:hanging="90"/>
              <w:rPr>
                <w:rFonts w:ascii="Times New Roman" w:hAnsi="Times New Roman" w:cs="Times New Roman"/>
                <w:sz w:val="14"/>
                <w:szCs w:val="14"/>
              </w:rPr>
            </w:pPr>
            <w:bookmarkStart w:id="7" w:name="_Hlk138672390"/>
            <w:r w:rsidRPr="00AD22FD">
              <w:rPr>
                <w:rFonts w:ascii="Times New Roman" w:hAnsi="Times New Roman" w:cs="Times New Roman"/>
                <w:sz w:val="14"/>
                <w:szCs w:val="14"/>
              </w:rPr>
              <w:lastRenderedPageBreak/>
              <w:t>1c1)</w:t>
            </w:r>
            <w:r w:rsidRPr="00AD22FD">
              <w:rPr>
                <w:rFonts w:ascii="Times New Roman" w:hAnsi="Times New Roman" w:cs="Times New Roman"/>
                <w:color w:val="C00000"/>
                <w:sz w:val="14"/>
                <w:szCs w:val="14"/>
              </w:rPr>
              <w:t xml:space="preserve"> </w:t>
            </w:r>
            <w:r w:rsidRPr="00AD22FD">
              <w:rPr>
                <w:rFonts w:ascii="Times New Roman" w:hAnsi="Times New Roman" w:cs="Times New Roman"/>
                <w:sz w:val="14"/>
                <w:szCs w:val="14"/>
              </w:rPr>
              <w:t>Identification of key thresholds in terms of system’s sensitivity and vulnerability</w:t>
            </w:r>
          </w:p>
          <w:p w14:paraId="413F2C5B" w14:textId="01ACB505" w:rsidR="00C04B00" w:rsidRPr="00AD22FD" w:rsidRDefault="00C04B00" w:rsidP="001522F8">
            <w:pPr>
              <w:pStyle w:val="tablecontenttext"/>
              <w:spacing w:after="0" w:line="240" w:lineRule="auto"/>
              <w:rPr>
                <w:rFonts w:ascii="Times New Roman" w:hAnsi="Times New Roman" w:cs="Times New Roman"/>
                <w:sz w:val="14"/>
                <w:szCs w:val="14"/>
              </w:rPr>
            </w:pPr>
            <w:r w:rsidRPr="00AD22FD">
              <w:rPr>
                <w:rFonts w:ascii="Times New Roman" w:hAnsi="Times New Roman" w:cs="Times New Roman"/>
                <w:sz w:val="14"/>
                <w:szCs w:val="14"/>
              </w:rPr>
              <w:t xml:space="preserve">The Team identified </w:t>
            </w:r>
            <w:r w:rsidRPr="00AD22FD">
              <w:rPr>
                <w:rFonts w:ascii="Times New Roman" w:hAnsi="Times New Roman" w:cs="Times New Roman"/>
                <w:i/>
                <w:iCs w:val="0"/>
                <w:sz w:val="14"/>
                <w:szCs w:val="14"/>
              </w:rPr>
              <w:t>critical thresholds</w:t>
            </w:r>
            <w:r w:rsidRPr="00AD22FD">
              <w:rPr>
                <w:rFonts w:ascii="Times New Roman" w:hAnsi="Times New Roman" w:cs="Times New Roman"/>
                <w:sz w:val="14"/>
                <w:szCs w:val="14"/>
              </w:rPr>
              <w:t xml:space="preserve"> for the sensitivity and vulnerability of the system to flood risk, i.e. limits that would be disruptive for the FRM system, and which may occur between the present and the upper-bound figure of SLR considered (</w:t>
            </w:r>
            <w:r w:rsidRPr="00AD22FD">
              <w:rPr>
                <w:rFonts w:ascii="Times New Roman" w:hAnsi="Times New Roman" w:cs="Times New Roman"/>
                <w:i/>
                <w:iCs w:val="0"/>
                <w:sz w:val="14"/>
                <w:szCs w:val="14"/>
              </w:rPr>
              <w:t>High++, first guess</w:t>
            </w:r>
            <w:r w:rsidRPr="00AD22FD">
              <w:rPr>
                <w:rFonts w:ascii="Times New Roman" w:hAnsi="Times New Roman" w:cs="Times New Roman"/>
                <w:sz w:val="14"/>
                <w:szCs w:val="14"/>
              </w:rPr>
              <w:t>), and which might imply modifying existing defences, namely:</w:t>
            </w:r>
          </w:p>
          <w:p w14:paraId="2F95777A" w14:textId="77777777" w:rsidR="00C04B00" w:rsidRPr="00AD22FD" w:rsidRDefault="00C04B00" w:rsidP="001522F8">
            <w:pPr>
              <w:pStyle w:val="tablecontenttext"/>
              <w:numPr>
                <w:ilvl w:val="0"/>
                <w:numId w:val="2"/>
              </w:numPr>
              <w:spacing w:after="0" w:line="240" w:lineRule="auto"/>
              <w:ind w:left="218" w:hanging="180"/>
              <w:rPr>
                <w:rFonts w:ascii="Times New Roman" w:hAnsi="Times New Roman" w:cs="Times New Roman"/>
                <w:sz w:val="14"/>
                <w:szCs w:val="14"/>
              </w:rPr>
            </w:pPr>
            <w:r w:rsidRPr="00AD22FD">
              <w:rPr>
                <w:rFonts w:ascii="Times New Roman" w:hAnsi="Times New Roman" w:cs="Times New Roman"/>
                <w:sz w:val="14"/>
                <w:szCs w:val="14"/>
              </w:rPr>
              <w:lastRenderedPageBreak/>
              <w:t>limits (of protection) of the existing flood defence system (floodwalls and embankments), e.g. the level of SLR at which the existing defences would fail.</w:t>
            </w:r>
          </w:p>
          <w:p w14:paraId="141543B0" w14:textId="77777777" w:rsidR="00C04B00" w:rsidRPr="00AD22FD" w:rsidRDefault="00C04B00" w:rsidP="001522F8">
            <w:pPr>
              <w:pStyle w:val="tablecontenttext"/>
              <w:numPr>
                <w:ilvl w:val="0"/>
                <w:numId w:val="2"/>
              </w:numPr>
              <w:spacing w:after="0" w:line="240" w:lineRule="auto"/>
              <w:ind w:left="218" w:hanging="180"/>
              <w:rPr>
                <w:rFonts w:ascii="Times New Roman" w:hAnsi="Times New Roman" w:cs="Times New Roman"/>
                <w:sz w:val="14"/>
                <w:szCs w:val="14"/>
              </w:rPr>
            </w:pPr>
            <w:r w:rsidRPr="00AD22FD">
              <w:rPr>
                <w:rFonts w:ascii="Times New Roman" w:hAnsi="Times New Roman" w:cs="Times New Roman"/>
                <w:sz w:val="14"/>
                <w:szCs w:val="14"/>
              </w:rPr>
              <w:t>engineering limits of the TB as existent and with modifications.</w:t>
            </w:r>
          </w:p>
          <w:p w14:paraId="0ED26B8A" w14:textId="77777777" w:rsidR="00C04B00" w:rsidRPr="00AD22FD" w:rsidRDefault="00C04B00" w:rsidP="001522F8">
            <w:pPr>
              <w:pStyle w:val="tablecontenttext"/>
              <w:numPr>
                <w:ilvl w:val="0"/>
                <w:numId w:val="2"/>
              </w:numPr>
              <w:spacing w:after="0" w:line="240" w:lineRule="auto"/>
              <w:ind w:left="218" w:hanging="180"/>
              <w:rPr>
                <w:rFonts w:ascii="Times New Roman" w:hAnsi="Times New Roman" w:cs="Times New Roman"/>
                <w:sz w:val="14"/>
                <w:szCs w:val="14"/>
              </w:rPr>
            </w:pPr>
            <w:r w:rsidRPr="00AD22FD">
              <w:rPr>
                <w:rFonts w:ascii="Times New Roman" w:hAnsi="Times New Roman" w:cs="Times New Roman"/>
                <w:sz w:val="14"/>
                <w:szCs w:val="14"/>
              </w:rPr>
              <w:t>the SLR level at which the TB (as designed) falls below the target protection level (1 in 1000 years).</w:t>
            </w:r>
          </w:p>
          <w:p w14:paraId="3974543E" w14:textId="3F550216" w:rsidR="00C04B00" w:rsidRPr="00AD22FD" w:rsidRDefault="00C04B00" w:rsidP="001522F8">
            <w:pPr>
              <w:pStyle w:val="tablecontenttext"/>
              <w:numPr>
                <w:ilvl w:val="0"/>
                <w:numId w:val="2"/>
              </w:numPr>
              <w:spacing w:line="240" w:lineRule="auto"/>
              <w:ind w:left="218" w:hanging="180"/>
              <w:rPr>
                <w:rFonts w:ascii="Times New Roman" w:hAnsi="Times New Roman" w:cs="Times New Roman"/>
                <w:sz w:val="14"/>
                <w:szCs w:val="14"/>
              </w:rPr>
            </w:pPr>
            <w:r w:rsidRPr="00AD22FD">
              <w:rPr>
                <w:rFonts w:ascii="Times New Roman" w:hAnsi="Times New Roman" w:cs="Times New Roman"/>
                <w:sz w:val="14"/>
                <w:szCs w:val="14"/>
              </w:rPr>
              <w:t xml:space="preserve">the ‘limit of adaptation’ of the defence system, e.g. the level of SRL at which it will be quite difficult to continue to protect London in its current form and some retreat will be needed. This level represented a limit to continuing with upgrades and additions to the existing defences. It was estimated to be a 5m SLR </w:t>
            </w:r>
            <w:bookmarkStart w:id="8" w:name="_Hlk123658297"/>
            <w:r w:rsidRPr="00AD22FD">
              <w:rPr>
                <w:rFonts w:ascii="Times New Roman" w:hAnsi="Times New Roman" w:cs="Times New Roman"/>
                <w:sz w:val="14"/>
                <w:szCs w:val="14"/>
              </w:rPr>
              <w:t>(</w:t>
            </w:r>
            <w:r w:rsidRPr="00AD22FD">
              <w:rPr>
                <w:rFonts w:ascii="Times New Roman" w:hAnsi="Times New Roman" w:cs="Times New Roman"/>
                <w:color w:val="7F7F7F" w:themeColor="text1" w:themeTint="80"/>
                <w:sz w:val="14"/>
                <w:szCs w:val="14"/>
              </w:rPr>
              <w:t xml:space="preserve">Ranger et al. 2013, p. 241, 242, 255, Reeder and Ranger 2011, p.6; Bloemen et al. 2018, p.7, 8; Ramsbottom and Sheppard 2017, p.4;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p.149-151</w:t>
            </w:r>
            <w:r w:rsidRPr="00AD22FD">
              <w:rPr>
                <w:rFonts w:ascii="Times New Roman" w:hAnsi="Times New Roman" w:cs="Times New Roman"/>
                <w:sz w:val="14"/>
                <w:szCs w:val="14"/>
              </w:rPr>
              <w:t>).</w:t>
            </w:r>
            <w:r w:rsidRPr="00AD22FD">
              <w:rPr>
                <w:rFonts w:ascii="Times New Roman" w:eastAsia="Calibri" w:hAnsi="Times New Roman" w:cs="Times New Roman"/>
                <w:sz w:val="14"/>
                <w:szCs w:val="14"/>
              </w:rPr>
              <w:t xml:space="preserve"> </w:t>
            </w:r>
            <w:bookmarkEnd w:id="8"/>
          </w:p>
          <w:p w14:paraId="4D09DB9B" w14:textId="77777777"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The Team focused on examining ‘</w:t>
            </w:r>
            <w:r w:rsidRPr="00AD22FD">
              <w:rPr>
                <w:rFonts w:ascii="Times New Roman" w:hAnsi="Times New Roman" w:cs="Times New Roman"/>
                <w:i/>
                <w:iCs w:val="0"/>
                <w:sz w:val="14"/>
                <w:szCs w:val="14"/>
              </w:rPr>
              <w:t>w</w:t>
            </w:r>
            <w:r w:rsidRPr="00AD22FD">
              <w:rPr>
                <w:rFonts w:ascii="Times New Roman" w:hAnsi="Times New Roman" w:cs="Times New Roman"/>
                <w:i/>
                <w:iCs w:val="0"/>
                <w:sz w:val="14"/>
                <w:szCs w:val="14"/>
                <w:lang w:val="en-US"/>
              </w:rPr>
              <w:t>hat change can the system handle before it runs into trouble’</w:t>
            </w:r>
            <w:r w:rsidRPr="00AD22FD">
              <w:rPr>
                <w:rFonts w:ascii="Times New Roman" w:hAnsi="Times New Roman" w:cs="Times New Roman"/>
                <w:sz w:val="14"/>
                <w:szCs w:val="14"/>
                <w:lang w:val="en-US"/>
              </w:rPr>
              <w:t xml:space="preserve">, particularly what increase in SLR and peak river discharge could cause a technical failure or overtopping of the </w:t>
            </w:r>
            <w:proofErr w:type="spellStart"/>
            <w:r w:rsidRPr="00AD22FD">
              <w:rPr>
                <w:rFonts w:ascii="Times New Roman" w:hAnsi="Times New Roman" w:cs="Times New Roman"/>
                <w:sz w:val="14"/>
                <w:szCs w:val="14"/>
                <w:lang w:val="en-US"/>
              </w:rPr>
              <w:t>defence</w:t>
            </w:r>
            <w:proofErr w:type="spellEnd"/>
            <w:r w:rsidRPr="00AD22FD">
              <w:rPr>
                <w:rFonts w:ascii="Times New Roman" w:hAnsi="Times New Roman" w:cs="Times New Roman"/>
                <w:sz w:val="14"/>
                <w:szCs w:val="14"/>
                <w:lang w:val="en-US"/>
              </w:rPr>
              <w:t xml:space="preserve"> system, including its embankments, floodwalls and the TB </w:t>
            </w:r>
            <w:r w:rsidRPr="00AD22FD">
              <w:rPr>
                <w:rFonts w:ascii="Times New Roman" w:hAnsi="Times New Roman" w:cs="Times New Roman"/>
                <w:sz w:val="14"/>
                <w:szCs w:val="14"/>
              </w:rPr>
              <w:t>(</w:t>
            </w:r>
            <w:proofErr w:type="spellStart"/>
            <w:r w:rsidRPr="00AD22FD">
              <w:rPr>
                <w:rFonts w:ascii="Times New Roman" w:hAnsi="Times New Roman" w:cs="Times New Roman"/>
                <w:color w:val="7F7F7F" w:themeColor="text1" w:themeTint="80"/>
                <w:sz w:val="14"/>
                <w:szCs w:val="14"/>
              </w:rPr>
              <w:t>Jeuken</w:t>
            </w:r>
            <w:proofErr w:type="spellEnd"/>
            <w:r w:rsidRPr="00AD22FD">
              <w:rPr>
                <w:rFonts w:ascii="Times New Roman" w:hAnsi="Times New Roman" w:cs="Times New Roman"/>
                <w:color w:val="7F7F7F" w:themeColor="text1" w:themeTint="80"/>
                <w:sz w:val="14"/>
                <w:szCs w:val="14"/>
              </w:rPr>
              <w:t xml:space="preserve"> and Reeder 2011, p.4</w:t>
            </w:r>
            <w:r w:rsidRPr="00AD22FD">
              <w:rPr>
                <w:rFonts w:ascii="Times New Roman" w:hAnsi="Times New Roman" w:cs="Times New Roman"/>
                <w:sz w:val="14"/>
                <w:szCs w:val="14"/>
              </w:rPr>
              <w:t>). Thus, in the TE2100, the analysis of thresholds in the vulnerability of the existing system was the starting point of the planning process (</w:t>
            </w:r>
            <w:proofErr w:type="spellStart"/>
            <w:r w:rsidRPr="00AD22FD">
              <w:rPr>
                <w:rFonts w:ascii="Times New Roman" w:hAnsi="Times New Roman" w:cs="Times New Roman"/>
                <w:color w:val="7F7F7F" w:themeColor="text1" w:themeTint="80"/>
                <w:sz w:val="14"/>
                <w:szCs w:val="14"/>
              </w:rPr>
              <w:t>Jeuken</w:t>
            </w:r>
            <w:proofErr w:type="spellEnd"/>
            <w:r w:rsidRPr="00AD22FD">
              <w:rPr>
                <w:rFonts w:ascii="Times New Roman" w:hAnsi="Times New Roman" w:cs="Times New Roman"/>
                <w:color w:val="7F7F7F" w:themeColor="text1" w:themeTint="80"/>
                <w:sz w:val="14"/>
                <w:szCs w:val="14"/>
              </w:rPr>
              <w:t xml:space="preserve"> and Reeder 2011, p.4</w:t>
            </w:r>
            <w:r w:rsidRPr="00AD22FD">
              <w:rPr>
                <w:rFonts w:ascii="Times New Roman" w:hAnsi="Times New Roman" w:cs="Times New Roman"/>
                <w:sz w:val="14"/>
                <w:szCs w:val="14"/>
              </w:rPr>
              <w:t>).  Such thresholds helped to identify limits for current measures and signalize conditions under which new measures are needed (</w:t>
            </w:r>
            <w:r w:rsidRPr="00AD22FD">
              <w:rPr>
                <w:rFonts w:ascii="Times New Roman" w:hAnsi="Times New Roman" w:cs="Times New Roman"/>
                <w:color w:val="7F7F7F" w:themeColor="text1" w:themeTint="80"/>
                <w:sz w:val="14"/>
                <w:szCs w:val="14"/>
              </w:rPr>
              <w:t>Reeder and Ranger 2011, p.5</w:t>
            </w:r>
            <w:r w:rsidRPr="00AD22FD">
              <w:rPr>
                <w:rFonts w:ascii="Times New Roman" w:hAnsi="Times New Roman" w:cs="Times New Roman"/>
                <w:sz w:val="14"/>
                <w:szCs w:val="14"/>
              </w:rPr>
              <w:t>).</w:t>
            </w:r>
            <w:bookmarkEnd w:id="7"/>
          </w:p>
          <w:p w14:paraId="283070F0" w14:textId="6A90E465" w:rsidR="00404FF0" w:rsidRPr="00AD22FD" w:rsidRDefault="00404FF0" w:rsidP="001522F8">
            <w:pPr>
              <w:autoSpaceDE w:val="0"/>
              <w:autoSpaceDN w:val="0"/>
              <w:adjustRightInd w:val="0"/>
              <w:ind w:left="57"/>
              <w:jc w:val="left"/>
              <w:textAlignment w:val="center"/>
              <w:rPr>
                <w:rFonts w:ascii="Times New Roman" w:eastAsiaTheme="minorHAnsi" w:hAnsi="Times New Roman"/>
                <w:bCs/>
                <w:color w:val="000000"/>
                <w:sz w:val="14"/>
                <w:szCs w:val="14"/>
                <w:lang w:eastAsia="en-US" w:bidi="he-IL"/>
              </w:rPr>
            </w:pPr>
            <w:r w:rsidRPr="00AD22FD">
              <w:rPr>
                <w:rFonts w:ascii="Times New Roman" w:eastAsiaTheme="minorHAnsi" w:hAnsi="Times New Roman"/>
                <w:bCs/>
                <w:color w:val="000000"/>
                <w:sz w:val="14"/>
                <w:szCs w:val="14"/>
                <w:lang w:eastAsia="en-US" w:bidi="he-IL"/>
              </w:rPr>
              <w:t>Key-thresholds for tidal FRM (at which one</w:t>
            </w:r>
            <w:r w:rsidRPr="00AD22FD">
              <w:rPr>
                <w:rFonts w:ascii="Times New Roman" w:eastAsiaTheme="minorHAnsi" w:hAnsi="Times New Roman"/>
                <w:bCs/>
                <w:i/>
                <w:iCs/>
                <w:color w:val="000000"/>
                <w:sz w:val="14"/>
                <w:szCs w:val="14"/>
                <w:lang w:eastAsia="en-US" w:bidi="he-IL"/>
              </w:rPr>
              <w:t xml:space="preserve"> portfolio </w:t>
            </w:r>
            <w:r w:rsidRPr="00AD22FD">
              <w:rPr>
                <w:rFonts w:ascii="Times New Roman" w:eastAsiaTheme="minorHAnsi" w:hAnsi="Times New Roman"/>
                <w:bCs/>
                <w:color w:val="000000"/>
                <w:sz w:val="14"/>
                <w:szCs w:val="14"/>
                <w:lang w:eastAsia="en-US" w:bidi="he-IL"/>
              </w:rPr>
              <w:t xml:space="preserve">must change to another </w:t>
            </w:r>
            <w:r w:rsidRPr="00AD22FD">
              <w:rPr>
                <w:rFonts w:ascii="Times New Roman" w:eastAsiaTheme="minorHAnsi" w:hAnsi="Times New Roman"/>
                <w:bCs/>
                <w:i/>
                <w:iCs/>
                <w:color w:val="000000"/>
                <w:sz w:val="14"/>
                <w:szCs w:val="14"/>
                <w:lang w:eastAsia="en-US" w:bidi="he-IL"/>
              </w:rPr>
              <w:t>portfolio</w:t>
            </w:r>
            <w:r w:rsidRPr="00AD22FD">
              <w:rPr>
                <w:rFonts w:ascii="Times New Roman" w:eastAsiaTheme="minorHAnsi" w:hAnsi="Times New Roman"/>
                <w:bCs/>
                <w:color w:val="000000"/>
                <w:sz w:val="14"/>
                <w:szCs w:val="14"/>
                <w:lang w:eastAsia="en-US" w:bidi="he-IL"/>
              </w:rPr>
              <w:t>) included, for example (</w:t>
            </w:r>
            <w:r w:rsidR="00F77E53" w:rsidRPr="00AD22FD">
              <w:rPr>
                <w:rFonts w:ascii="Times New Roman" w:eastAsiaTheme="minorHAnsi" w:hAnsi="Times New Roman"/>
                <w:bCs/>
                <w:color w:val="38424F"/>
                <w:sz w:val="14"/>
                <w:szCs w:val="14"/>
                <w:lang w:eastAsia="en-US" w:bidi="he-IL"/>
              </w:rPr>
              <w:t>EA 2009A</w:t>
            </w:r>
            <w:r w:rsidRPr="00AD22FD">
              <w:rPr>
                <w:rFonts w:ascii="Times New Roman" w:eastAsiaTheme="minorHAnsi" w:hAnsi="Times New Roman"/>
                <w:bCs/>
                <w:color w:val="38424F"/>
                <w:sz w:val="14"/>
                <w:szCs w:val="14"/>
                <w:lang w:eastAsia="en-US" w:bidi="he-IL"/>
              </w:rPr>
              <w:t>, p.139, 149-151, 116, 95, xi-xii</w:t>
            </w:r>
            <w:r w:rsidRPr="00AD22FD">
              <w:rPr>
                <w:rFonts w:ascii="Times New Roman" w:eastAsiaTheme="minorHAnsi" w:hAnsi="Times New Roman"/>
                <w:bCs/>
                <w:color w:val="000000"/>
                <w:sz w:val="14"/>
                <w:szCs w:val="14"/>
                <w:lang w:eastAsia="en-US" w:bidi="he-IL"/>
              </w:rPr>
              <w:t>):</w:t>
            </w:r>
          </w:p>
          <w:p w14:paraId="65696C0B" w14:textId="77777777" w:rsidR="00404FF0" w:rsidRPr="00AD22FD" w:rsidRDefault="00404FF0" w:rsidP="001522F8">
            <w:pPr>
              <w:autoSpaceDE w:val="0"/>
              <w:autoSpaceDN w:val="0"/>
              <w:adjustRightInd w:val="0"/>
              <w:ind w:left="340" w:hanging="283"/>
              <w:jc w:val="left"/>
              <w:textAlignment w:val="center"/>
              <w:rPr>
                <w:rFonts w:ascii="Times New Roman" w:eastAsiaTheme="minorHAnsi" w:hAnsi="Times New Roman"/>
                <w:bCs/>
                <w:color w:val="000000"/>
                <w:sz w:val="14"/>
                <w:szCs w:val="14"/>
                <w:lang w:eastAsia="en-US" w:bidi="he-IL"/>
              </w:rPr>
            </w:pPr>
            <w:r w:rsidRPr="00AD22FD">
              <w:rPr>
                <w:rFonts w:ascii="Times New Roman" w:eastAsiaTheme="minorHAnsi" w:hAnsi="Times New Roman"/>
                <w:bCs/>
                <w:color w:val="000000"/>
                <w:sz w:val="14"/>
                <w:szCs w:val="14"/>
                <w:lang w:eastAsia="en-US" w:bidi="he-IL"/>
              </w:rPr>
              <w:t>•</w:t>
            </w:r>
            <w:r w:rsidRPr="00AD22FD">
              <w:rPr>
                <w:rFonts w:ascii="Times New Roman" w:eastAsiaTheme="minorHAnsi" w:hAnsi="Times New Roman"/>
                <w:bCs/>
                <w:color w:val="000000"/>
                <w:sz w:val="14"/>
                <w:szCs w:val="14"/>
                <w:lang w:eastAsia="en-US" w:bidi="he-IL"/>
              </w:rPr>
              <w:tab/>
              <w:t>The point when tide reaches the maximum design water level at the TB.</w:t>
            </w:r>
          </w:p>
          <w:p w14:paraId="1862DF6E" w14:textId="77777777" w:rsidR="00404FF0" w:rsidRPr="00AD22FD" w:rsidRDefault="00404FF0" w:rsidP="001522F8">
            <w:pPr>
              <w:autoSpaceDE w:val="0"/>
              <w:autoSpaceDN w:val="0"/>
              <w:adjustRightInd w:val="0"/>
              <w:ind w:left="340" w:hanging="283"/>
              <w:jc w:val="left"/>
              <w:textAlignment w:val="center"/>
              <w:rPr>
                <w:rFonts w:ascii="Times New Roman" w:eastAsiaTheme="minorHAnsi" w:hAnsi="Times New Roman"/>
                <w:bCs/>
                <w:color w:val="000000"/>
                <w:sz w:val="14"/>
                <w:szCs w:val="14"/>
                <w:lang w:eastAsia="en-US" w:bidi="he-IL"/>
              </w:rPr>
            </w:pPr>
            <w:r w:rsidRPr="00AD22FD">
              <w:rPr>
                <w:rFonts w:ascii="Times New Roman" w:eastAsiaTheme="minorHAnsi" w:hAnsi="Times New Roman"/>
                <w:bCs/>
                <w:color w:val="000000"/>
                <w:sz w:val="14"/>
                <w:szCs w:val="14"/>
                <w:lang w:eastAsia="en-US" w:bidi="he-IL"/>
              </w:rPr>
              <w:t>•</w:t>
            </w:r>
            <w:r w:rsidRPr="00AD22FD">
              <w:rPr>
                <w:rFonts w:ascii="Times New Roman" w:eastAsiaTheme="minorHAnsi" w:hAnsi="Times New Roman"/>
                <w:bCs/>
                <w:color w:val="000000"/>
                <w:sz w:val="14"/>
                <w:szCs w:val="14"/>
                <w:lang w:eastAsia="en-US" w:bidi="he-IL"/>
              </w:rPr>
              <w:tab/>
              <w:t>The point when the tide reaches the maximum design water level at other parts of the fixed defence system.</w:t>
            </w:r>
          </w:p>
          <w:p w14:paraId="242234FC" w14:textId="77777777" w:rsidR="00404FF0" w:rsidRPr="00AD22FD" w:rsidRDefault="00404FF0" w:rsidP="001522F8">
            <w:pPr>
              <w:autoSpaceDE w:val="0"/>
              <w:autoSpaceDN w:val="0"/>
              <w:adjustRightInd w:val="0"/>
              <w:ind w:left="340" w:hanging="283"/>
              <w:jc w:val="left"/>
              <w:textAlignment w:val="center"/>
              <w:rPr>
                <w:rFonts w:ascii="Times New Roman" w:eastAsiaTheme="minorHAnsi" w:hAnsi="Times New Roman"/>
                <w:bCs/>
                <w:color w:val="000000"/>
                <w:sz w:val="14"/>
                <w:szCs w:val="14"/>
                <w:lang w:eastAsia="en-US" w:bidi="he-IL"/>
              </w:rPr>
            </w:pPr>
            <w:r w:rsidRPr="00AD22FD">
              <w:rPr>
                <w:rFonts w:ascii="Times New Roman" w:eastAsiaTheme="minorHAnsi" w:hAnsi="Times New Roman"/>
                <w:bCs/>
                <w:color w:val="000000"/>
                <w:sz w:val="14"/>
                <w:szCs w:val="14"/>
                <w:lang w:eastAsia="en-US" w:bidi="he-IL"/>
              </w:rPr>
              <w:t>•</w:t>
            </w:r>
            <w:r w:rsidRPr="00AD22FD">
              <w:rPr>
                <w:rFonts w:ascii="Times New Roman" w:eastAsiaTheme="minorHAnsi" w:hAnsi="Times New Roman"/>
                <w:bCs/>
                <w:color w:val="000000"/>
                <w:sz w:val="14"/>
                <w:szCs w:val="14"/>
                <w:lang w:eastAsia="en-US" w:bidi="he-IL"/>
              </w:rPr>
              <w:tab/>
              <w:t>The point at which the number of closures per year of the TB or other new barriers reaches 50. This represents the operational limit of the TB (an average maximum of 50 closures per year; when this threshold is reached, it will be necessary to raise upriver defences or convert the TB to a barrier with locks).</w:t>
            </w:r>
          </w:p>
          <w:p w14:paraId="4F577FF6" w14:textId="77777777" w:rsidR="00404FF0" w:rsidRPr="00AD22FD" w:rsidRDefault="00404FF0" w:rsidP="001522F8">
            <w:pPr>
              <w:autoSpaceDE w:val="0"/>
              <w:autoSpaceDN w:val="0"/>
              <w:adjustRightInd w:val="0"/>
              <w:ind w:left="340" w:hanging="283"/>
              <w:jc w:val="left"/>
              <w:textAlignment w:val="center"/>
              <w:rPr>
                <w:rFonts w:ascii="Times New Roman" w:eastAsiaTheme="minorHAnsi" w:hAnsi="Times New Roman"/>
                <w:bCs/>
                <w:color w:val="000000"/>
                <w:sz w:val="14"/>
                <w:szCs w:val="14"/>
                <w:lang w:eastAsia="en-US" w:bidi="he-IL"/>
              </w:rPr>
            </w:pPr>
            <w:r w:rsidRPr="00AD22FD">
              <w:rPr>
                <w:rFonts w:ascii="Times New Roman" w:eastAsiaTheme="minorHAnsi" w:hAnsi="Times New Roman"/>
                <w:bCs/>
                <w:color w:val="000000"/>
                <w:sz w:val="14"/>
                <w:szCs w:val="14"/>
                <w:lang w:eastAsia="en-US" w:bidi="he-IL"/>
              </w:rPr>
              <w:t>•</w:t>
            </w:r>
            <w:r w:rsidRPr="00AD22FD">
              <w:rPr>
                <w:rFonts w:ascii="Times New Roman" w:eastAsiaTheme="minorHAnsi" w:hAnsi="Times New Roman"/>
                <w:bCs/>
                <w:color w:val="000000"/>
                <w:sz w:val="14"/>
                <w:szCs w:val="14"/>
                <w:lang w:eastAsia="en-US" w:bidi="he-IL"/>
              </w:rPr>
              <w:tab/>
              <w:t>the maximum increase in defence levels upriver of the TB (assumed as 1m, due to aesthetic reasons).</w:t>
            </w:r>
          </w:p>
          <w:p w14:paraId="6AD4E717" w14:textId="77777777" w:rsidR="00404FF0" w:rsidRPr="00AD22FD" w:rsidRDefault="00404FF0" w:rsidP="001522F8">
            <w:pPr>
              <w:autoSpaceDE w:val="0"/>
              <w:autoSpaceDN w:val="0"/>
              <w:adjustRightInd w:val="0"/>
              <w:ind w:left="340" w:hanging="283"/>
              <w:jc w:val="left"/>
              <w:textAlignment w:val="center"/>
              <w:rPr>
                <w:rFonts w:ascii="Times New Roman" w:eastAsiaTheme="minorHAnsi" w:hAnsi="Times New Roman"/>
                <w:bCs/>
                <w:color w:val="000000"/>
                <w:sz w:val="14"/>
                <w:szCs w:val="14"/>
                <w:lang w:eastAsia="en-US" w:bidi="he-IL"/>
              </w:rPr>
            </w:pPr>
            <w:r w:rsidRPr="00AD22FD">
              <w:rPr>
                <w:rFonts w:ascii="Times New Roman" w:eastAsiaTheme="minorHAnsi" w:hAnsi="Times New Roman"/>
                <w:bCs/>
                <w:color w:val="000000"/>
                <w:sz w:val="14"/>
                <w:szCs w:val="14"/>
                <w:lang w:eastAsia="en-US" w:bidi="he-IL"/>
              </w:rPr>
              <w:t>•</w:t>
            </w:r>
            <w:r w:rsidRPr="00AD22FD">
              <w:rPr>
                <w:rFonts w:ascii="Times New Roman" w:eastAsiaTheme="minorHAnsi" w:hAnsi="Times New Roman"/>
                <w:bCs/>
                <w:color w:val="000000"/>
                <w:sz w:val="14"/>
                <w:szCs w:val="14"/>
                <w:lang w:eastAsia="en-US" w:bidi="he-IL"/>
              </w:rPr>
              <w:tab/>
              <w:t>the limit of options involving barriers (assumed to be a 1,5m SLR, as at this point the TB would have to close about 50 times per year, and the upriver defences would be raised by 1m).</w:t>
            </w:r>
          </w:p>
          <w:p w14:paraId="04B25EB0" w14:textId="77777777" w:rsidR="00404FF0" w:rsidRPr="00AD22FD" w:rsidRDefault="00404FF0" w:rsidP="001522F8">
            <w:pPr>
              <w:autoSpaceDE w:val="0"/>
              <w:autoSpaceDN w:val="0"/>
              <w:adjustRightInd w:val="0"/>
              <w:ind w:left="340" w:hanging="283"/>
              <w:jc w:val="left"/>
              <w:textAlignment w:val="center"/>
              <w:rPr>
                <w:rFonts w:ascii="Times New Roman" w:eastAsiaTheme="minorHAnsi" w:hAnsi="Times New Roman"/>
                <w:bCs/>
                <w:color w:val="000000"/>
                <w:sz w:val="14"/>
                <w:szCs w:val="14"/>
                <w:lang w:eastAsia="en-US" w:bidi="he-IL"/>
              </w:rPr>
            </w:pPr>
            <w:r w:rsidRPr="00AD22FD">
              <w:rPr>
                <w:rFonts w:ascii="Times New Roman" w:eastAsiaTheme="minorHAnsi" w:hAnsi="Times New Roman"/>
                <w:bCs/>
                <w:color w:val="000000"/>
                <w:sz w:val="14"/>
                <w:szCs w:val="14"/>
                <w:lang w:eastAsia="en-US" w:bidi="he-IL"/>
              </w:rPr>
              <w:t>•</w:t>
            </w:r>
            <w:r w:rsidRPr="00AD22FD">
              <w:rPr>
                <w:rFonts w:ascii="Times New Roman" w:eastAsiaTheme="minorHAnsi" w:hAnsi="Times New Roman"/>
                <w:bCs/>
                <w:color w:val="000000"/>
                <w:sz w:val="14"/>
                <w:szCs w:val="14"/>
                <w:lang w:eastAsia="en-US" w:bidi="he-IL"/>
              </w:rPr>
              <w:tab/>
              <w:t>the area required for habitat replacement to be provided by managed realignments.</w:t>
            </w:r>
          </w:p>
          <w:p w14:paraId="3ED09076" w14:textId="058C201A" w:rsidR="00404FF0" w:rsidRPr="00AD22FD" w:rsidRDefault="00404FF0" w:rsidP="001522F8">
            <w:pPr>
              <w:autoSpaceDE w:val="0"/>
              <w:autoSpaceDN w:val="0"/>
              <w:adjustRightInd w:val="0"/>
              <w:ind w:left="340" w:hanging="283"/>
              <w:jc w:val="left"/>
              <w:textAlignment w:val="center"/>
              <w:rPr>
                <w:rFonts w:ascii="Times New Roman" w:eastAsiaTheme="minorHAnsi" w:hAnsi="Times New Roman"/>
                <w:bCs/>
                <w:color w:val="000000"/>
                <w:sz w:val="14"/>
                <w:szCs w:val="14"/>
                <w:lang w:eastAsia="en-US" w:bidi="he-IL"/>
              </w:rPr>
            </w:pPr>
            <w:r w:rsidRPr="00AD22FD">
              <w:rPr>
                <w:rFonts w:ascii="Times New Roman" w:eastAsiaTheme="minorHAnsi" w:hAnsi="Times New Roman"/>
                <w:bCs/>
                <w:color w:val="000000"/>
                <w:sz w:val="14"/>
                <w:szCs w:val="14"/>
                <w:lang w:eastAsia="en-US" w:bidi="he-IL"/>
              </w:rPr>
              <w:t>•</w:t>
            </w:r>
            <w:r w:rsidRPr="00AD22FD">
              <w:rPr>
                <w:rFonts w:ascii="Times New Roman" w:eastAsiaTheme="minorHAnsi" w:hAnsi="Times New Roman"/>
                <w:bCs/>
                <w:color w:val="000000"/>
                <w:sz w:val="14"/>
                <w:szCs w:val="14"/>
                <w:lang w:eastAsia="en-US" w:bidi="he-IL"/>
              </w:rPr>
              <w:tab/>
              <w:t>the design life of engineering interventions (assumed as 100 years).</w:t>
            </w:r>
          </w:p>
        </w:tc>
      </w:tr>
      <w:tr w:rsidR="00C04B00" w:rsidRPr="00AD22FD" w14:paraId="0C74980F" w14:textId="77777777" w:rsidTr="001522F8">
        <w:tc>
          <w:tcPr>
            <w:tcW w:w="562" w:type="dxa"/>
            <w:vMerge/>
          </w:tcPr>
          <w:p w14:paraId="389A73C6" w14:textId="77777777" w:rsidR="00C04B00" w:rsidRPr="00AD22FD" w:rsidRDefault="00C04B00" w:rsidP="001522F8">
            <w:pPr>
              <w:pStyle w:val="tablecontenttext"/>
              <w:spacing w:line="240" w:lineRule="auto"/>
              <w:rPr>
                <w:rFonts w:ascii="Times New Roman" w:hAnsi="Times New Roman" w:cs="Times New Roman"/>
                <w:sz w:val="14"/>
                <w:szCs w:val="14"/>
              </w:rPr>
            </w:pPr>
          </w:p>
        </w:tc>
        <w:tc>
          <w:tcPr>
            <w:tcW w:w="993" w:type="dxa"/>
            <w:vMerge/>
          </w:tcPr>
          <w:p w14:paraId="18583CBD" w14:textId="77777777" w:rsidR="00C04B00" w:rsidRPr="00AD22FD" w:rsidRDefault="00C04B00" w:rsidP="001522F8">
            <w:pPr>
              <w:pStyle w:val="tablecontenttext"/>
              <w:spacing w:line="240" w:lineRule="auto"/>
              <w:rPr>
                <w:rFonts w:ascii="Times New Roman" w:hAnsi="Times New Roman" w:cs="Times New Roman"/>
                <w:sz w:val="14"/>
                <w:szCs w:val="14"/>
              </w:rPr>
            </w:pPr>
          </w:p>
        </w:tc>
        <w:tc>
          <w:tcPr>
            <w:tcW w:w="8363" w:type="dxa"/>
          </w:tcPr>
          <w:p w14:paraId="0C1ECEEB" w14:textId="77777777" w:rsidR="00C04B00" w:rsidRPr="00AD22FD" w:rsidRDefault="00C04B00" w:rsidP="001522F8">
            <w:pPr>
              <w:pStyle w:val="tablecontenttext"/>
              <w:numPr>
                <w:ilvl w:val="0"/>
                <w:numId w:val="20"/>
              </w:numPr>
              <w:spacing w:after="0" w:line="240" w:lineRule="auto"/>
              <w:ind w:left="129" w:hanging="129"/>
              <w:rPr>
                <w:rFonts w:ascii="Times New Roman" w:hAnsi="Times New Roman" w:cs="Times New Roman"/>
                <w:sz w:val="14"/>
                <w:szCs w:val="14"/>
              </w:rPr>
            </w:pPr>
            <w:r w:rsidRPr="00AD22FD">
              <w:rPr>
                <w:rFonts w:ascii="Times New Roman" w:hAnsi="Times New Roman" w:cs="Times New Roman"/>
                <w:iCs w:val="0"/>
                <w:sz w:val="14"/>
                <w:szCs w:val="14"/>
              </w:rPr>
              <w:t>1c2) Defining FRM policies and assigning one to different areas in the TE (</w:t>
            </w:r>
            <w:r w:rsidRPr="00AD22FD">
              <w:rPr>
                <w:rFonts w:ascii="Times New Roman" w:hAnsi="Times New Roman" w:cs="Times New Roman"/>
                <w:i/>
                <w:sz w:val="14"/>
                <w:szCs w:val="14"/>
              </w:rPr>
              <w:t>policy-units</w:t>
            </w:r>
            <w:r w:rsidRPr="00AD22FD">
              <w:rPr>
                <w:rFonts w:ascii="Times New Roman" w:hAnsi="Times New Roman" w:cs="Times New Roman"/>
                <w:iCs w:val="0"/>
                <w:sz w:val="14"/>
                <w:szCs w:val="14"/>
              </w:rPr>
              <w:t>)</w:t>
            </w:r>
          </w:p>
          <w:p w14:paraId="14F4BFF3" w14:textId="5D9C6E20"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Five policies were defined (P1 to P5). Each policy sets the level / standard of FRM justifiable in an area, given the number of people, assets, and value at-risk in such area. The policies served as the basis for the exploration of actions (each policy sets different design criteria for actions). Based on an assessment of how much FRM activity could be justified in different parts of the TE, a policy was assigned to each part, called </w:t>
            </w:r>
            <w:r w:rsidRPr="00AD22FD">
              <w:rPr>
                <w:rFonts w:ascii="Times New Roman" w:hAnsi="Times New Roman" w:cs="Times New Roman"/>
                <w:i/>
                <w:iCs w:val="0"/>
                <w:sz w:val="14"/>
                <w:szCs w:val="14"/>
              </w:rPr>
              <w:t xml:space="preserve">policy-unit </w:t>
            </w:r>
            <w:r w:rsidRPr="00AD22FD">
              <w:rPr>
                <w:rFonts w:ascii="Times New Roman" w:hAnsi="Times New Roman" w:cs="Times New Roman"/>
                <w:sz w:val="14"/>
                <w:szCs w:val="14"/>
              </w:rPr>
              <w:t>(</w:t>
            </w:r>
            <w:r w:rsidRPr="00AD22FD">
              <w:rPr>
                <w:rFonts w:ascii="Times New Roman" w:hAnsi="Times New Roman" w:cs="Times New Roman"/>
                <w:color w:val="7F7F7F" w:themeColor="text1" w:themeTint="80"/>
                <w:sz w:val="14"/>
                <w:szCs w:val="14"/>
              </w:rPr>
              <w:t xml:space="preserve">EA 2012, p.32, 34, 44-45; </w:t>
            </w:r>
            <w:bookmarkStart w:id="9" w:name="_Hlk122966569"/>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xml:space="preserve">, </w:t>
            </w:r>
            <w:proofErr w:type="spellStart"/>
            <w:r w:rsidRPr="00AD22FD">
              <w:rPr>
                <w:rFonts w:ascii="Times New Roman" w:hAnsi="Times New Roman" w:cs="Times New Roman"/>
                <w:color w:val="7F7F7F" w:themeColor="text1" w:themeTint="80"/>
                <w:sz w:val="14"/>
                <w:szCs w:val="14"/>
              </w:rPr>
              <w:t>p.viii</w:t>
            </w:r>
            <w:proofErr w:type="spellEnd"/>
            <w:r w:rsidRPr="00AD22FD">
              <w:rPr>
                <w:rFonts w:ascii="Times New Roman" w:hAnsi="Times New Roman" w:cs="Times New Roman"/>
                <w:color w:val="7F7F7F" w:themeColor="text1" w:themeTint="80"/>
                <w:sz w:val="14"/>
                <w:szCs w:val="14"/>
              </w:rPr>
              <w:t>-ix</w:t>
            </w:r>
            <w:bookmarkEnd w:id="9"/>
            <w:r w:rsidRPr="00AD22FD">
              <w:rPr>
                <w:rFonts w:ascii="Times New Roman" w:hAnsi="Times New Roman" w:cs="Times New Roman"/>
                <w:color w:val="7F7F7F" w:themeColor="text1" w:themeTint="80"/>
                <w:sz w:val="14"/>
                <w:szCs w:val="14"/>
              </w:rPr>
              <w:t>, 8, 95, 111, 113, 123-126, 150-151, 266; London Councils’ TEC 2007, p.4; Penning-Rowsell et al. 2013, p.1388</w:t>
            </w:r>
            <w:r w:rsidRPr="00AD22FD">
              <w:rPr>
                <w:rFonts w:ascii="Times New Roman" w:hAnsi="Times New Roman" w:cs="Times New Roman"/>
                <w:sz w:val="14"/>
                <w:szCs w:val="14"/>
              </w:rPr>
              <w:t xml:space="preserve">). The Plan’s area is divided into 23 </w:t>
            </w:r>
            <w:r w:rsidRPr="00AD22FD">
              <w:rPr>
                <w:rFonts w:ascii="Times New Roman" w:hAnsi="Times New Roman" w:cs="Times New Roman"/>
                <w:i/>
                <w:iCs w:val="0"/>
                <w:sz w:val="14"/>
                <w:szCs w:val="14"/>
              </w:rPr>
              <w:t>policy-units</w:t>
            </w:r>
            <w:r w:rsidRPr="00AD22FD">
              <w:rPr>
                <w:rFonts w:ascii="Times New Roman" w:hAnsi="Times New Roman" w:cs="Times New Roman"/>
                <w:sz w:val="14"/>
                <w:szCs w:val="14"/>
              </w:rPr>
              <w:t xml:space="preserve">. The allocation of policies required assessing the existing flood risk per zone, including the existing </w:t>
            </w:r>
            <w:proofErr w:type="spellStart"/>
            <w:r w:rsidRPr="00AD22FD">
              <w:rPr>
                <w:rFonts w:ascii="Times New Roman" w:hAnsi="Times New Roman" w:cs="Times New Roman"/>
                <w:sz w:val="14"/>
                <w:szCs w:val="14"/>
              </w:rPr>
              <w:t>SoPs</w:t>
            </w:r>
            <w:proofErr w:type="spellEnd"/>
            <w:r w:rsidRPr="00AD22FD">
              <w:rPr>
                <w:rFonts w:ascii="Times New Roman" w:hAnsi="Times New Roman" w:cs="Times New Roman"/>
                <w:sz w:val="14"/>
                <w:szCs w:val="14"/>
              </w:rPr>
              <w:t xml:space="preserve">, and examining whether such </w:t>
            </w:r>
            <w:proofErr w:type="spellStart"/>
            <w:r w:rsidRPr="00AD22FD">
              <w:rPr>
                <w:rFonts w:ascii="Times New Roman" w:hAnsi="Times New Roman" w:cs="Times New Roman"/>
                <w:sz w:val="14"/>
                <w:szCs w:val="14"/>
              </w:rPr>
              <w:t>SoPs</w:t>
            </w:r>
            <w:proofErr w:type="spellEnd"/>
            <w:r w:rsidRPr="00AD22FD">
              <w:rPr>
                <w:rFonts w:ascii="Times New Roman" w:hAnsi="Times New Roman" w:cs="Times New Roman"/>
                <w:sz w:val="14"/>
                <w:szCs w:val="14"/>
              </w:rPr>
              <w:t xml:space="preserve"> should be increased, maintained, or reduced (</w:t>
            </w:r>
            <w:r w:rsidRPr="00AD22FD">
              <w:rPr>
                <w:rFonts w:ascii="Times New Roman" w:hAnsi="Times New Roman" w:cs="Times New Roman"/>
                <w:color w:val="7F7F7F" w:themeColor="text1" w:themeTint="80"/>
                <w:sz w:val="14"/>
                <w:szCs w:val="14"/>
              </w:rPr>
              <w:t>Ramsbottom &amp; Sheppard 2017, p.9</w:t>
            </w:r>
            <w:r w:rsidRPr="00AD22FD">
              <w:rPr>
                <w:rFonts w:ascii="Times New Roman" w:hAnsi="Times New Roman" w:cs="Times New Roman"/>
                <w:sz w:val="14"/>
                <w:szCs w:val="14"/>
              </w:rPr>
              <w:t>).</w:t>
            </w:r>
          </w:p>
        </w:tc>
      </w:tr>
      <w:tr w:rsidR="00C04B00" w:rsidRPr="00AD22FD" w14:paraId="75179A1C" w14:textId="77777777" w:rsidTr="001522F8">
        <w:tc>
          <w:tcPr>
            <w:tcW w:w="562" w:type="dxa"/>
            <w:vMerge w:val="restart"/>
          </w:tcPr>
          <w:p w14:paraId="6FFA3590" w14:textId="77777777" w:rsidR="00C04B00" w:rsidRPr="00AD22FD" w:rsidRDefault="00C04B00" w:rsidP="001522F8">
            <w:pPr>
              <w:pStyle w:val="tablecontenttext"/>
              <w:spacing w:line="240" w:lineRule="auto"/>
              <w:ind w:left="-46"/>
              <w:rPr>
                <w:rFonts w:ascii="Times New Roman" w:hAnsi="Times New Roman" w:cs="Times New Roman"/>
                <w:sz w:val="14"/>
                <w:szCs w:val="14"/>
              </w:rPr>
            </w:pPr>
            <w:r w:rsidRPr="00AD22FD">
              <w:rPr>
                <w:rFonts w:ascii="Times New Roman" w:hAnsi="Times New Roman" w:cs="Times New Roman"/>
                <w:sz w:val="14"/>
                <w:szCs w:val="14"/>
              </w:rPr>
              <w:t xml:space="preserve">Identifying </w:t>
            </w:r>
            <w:proofErr w:type="gramStart"/>
            <w:r w:rsidRPr="00AD22FD">
              <w:rPr>
                <w:rFonts w:ascii="Times New Roman" w:hAnsi="Times New Roman" w:cs="Times New Roman"/>
                <w:sz w:val="14"/>
                <w:szCs w:val="14"/>
              </w:rPr>
              <w:t>measures,  designing</w:t>
            </w:r>
            <w:proofErr w:type="gramEnd"/>
            <w:r w:rsidRPr="00AD22FD">
              <w:rPr>
                <w:rFonts w:ascii="Times New Roman" w:hAnsi="Times New Roman" w:cs="Times New Roman"/>
                <w:sz w:val="14"/>
                <w:szCs w:val="14"/>
              </w:rPr>
              <w:t xml:space="preserve"> pathways and appraising them</w:t>
            </w:r>
          </w:p>
          <w:p w14:paraId="6CE5C567" w14:textId="77777777" w:rsidR="00C04B00" w:rsidRPr="00AD22FD" w:rsidRDefault="00C04B00" w:rsidP="001522F8">
            <w:pPr>
              <w:pStyle w:val="tablecontenttext"/>
              <w:spacing w:line="240" w:lineRule="auto"/>
              <w:ind w:left="-46"/>
              <w:rPr>
                <w:rFonts w:ascii="Times New Roman" w:hAnsi="Times New Roman" w:cs="Times New Roman"/>
                <w:sz w:val="14"/>
                <w:szCs w:val="14"/>
              </w:rPr>
            </w:pPr>
            <w:r w:rsidRPr="00AD22FD">
              <w:rPr>
                <w:rFonts w:ascii="Times New Roman" w:hAnsi="Times New Roman" w:cs="Times New Roman"/>
                <w:sz w:val="14"/>
                <w:szCs w:val="14"/>
              </w:rPr>
              <w:t xml:space="preserve">Development of pathways (HLOs / </w:t>
            </w:r>
            <w:r w:rsidRPr="00AD22FD">
              <w:rPr>
                <w:rFonts w:ascii="Times New Roman" w:hAnsi="Times New Roman" w:cs="Times New Roman"/>
                <w:i/>
                <w:iCs w:val="0"/>
                <w:sz w:val="14"/>
                <w:szCs w:val="14"/>
              </w:rPr>
              <w:t>Options</w:t>
            </w:r>
            <w:r w:rsidRPr="00AD22FD">
              <w:rPr>
                <w:rFonts w:ascii="Times New Roman" w:hAnsi="Times New Roman" w:cs="Times New Roman"/>
                <w:sz w:val="14"/>
                <w:szCs w:val="14"/>
              </w:rPr>
              <w:t>) in an iterative way, through the sub-steps 2a, 2b, 2c</w:t>
            </w:r>
          </w:p>
          <w:p w14:paraId="45D2F66E" w14:textId="77777777" w:rsidR="00C04B00" w:rsidRPr="00AD22FD" w:rsidRDefault="00C04B00" w:rsidP="001522F8">
            <w:pPr>
              <w:pStyle w:val="tablecontenttext"/>
              <w:spacing w:line="240" w:lineRule="auto"/>
              <w:ind w:left="-46"/>
              <w:rPr>
                <w:rFonts w:ascii="Times New Roman" w:hAnsi="Times New Roman" w:cs="Times New Roman"/>
                <w:sz w:val="14"/>
                <w:szCs w:val="14"/>
              </w:rPr>
            </w:pPr>
          </w:p>
          <w:p w14:paraId="4944B719" w14:textId="104169C8" w:rsidR="00C04B00" w:rsidRPr="00AD22FD" w:rsidRDefault="00C04B00" w:rsidP="001522F8">
            <w:pPr>
              <w:pStyle w:val="TEXTBODY"/>
              <w:ind w:right="-15"/>
              <w:jc w:val="left"/>
              <w:rPr>
                <w:bCs/>
                <w:sz w:val="14"/>
                <w:szCs w:val="14"/>
              </w:rPr>
            </w:pPr>
            <w:r w:rsidRPr="00AD22FD">
              <w:rPr>
                <w:bCs/>
                <w:sz w:val="14"/>
                <w:szCs w:val="14"/>
              </w:rPr>
              <w:t>The pathways (</w:t>
            </w:r>
            <w:r w:rsidRPr="00AD22FD">
              <w:rPr>
                <w:bCs/>
                <w:i/>
                <w:iCs/>
                <w:sz w:val="14"/>
                <w:szCs w:val="14"/>
              </w:rPr>
              <w:t>Options</w:t>
            </w:r>
            <w:r w:rsidRPr="00AD22FD">
              <w:rPr>
                <w:bCs/>
                <w:sz w:val="14"/>
                <w:szCs w:val="14"/>
              </w:rPr>
              <w:t xml:space="preserve">) were developed in an </w:t>
            </w:r>
            <w:r w:rsidRPr="00AD22FD">
              <w:rPr>
                <w:bCs/>
                <w:sz w:val="14"/>
                <w:szCs w:val="14"/>
              </w:rPr>
              <w:lastRenderedPageBreak/>
              <w:t>iterative way, in three main steps – 2a, 2b 2c (</w:t>
            </w:r>
            <w:proofErr w:type="spellStart"/>
            <w:r w:rsidRPr="00AD22FD">
              <w:rPr>
                <w:bCs/>
                <w:color w:val="7F7F7F" w:themeColor="text1" w:themeTint="80"/>
                <w:sz w:val="14"/>
                <w:szCs w:val="14"/>
              </w:rPr>
              <w:t>Jeuken</w:t>
            </w:r>
            <w:proofErr w:type="spellEnd"/>
            <w:r w:rsidRPr="00AD22FD">
              <w:rPr>
                <w:bCs/>
                <w:color w:val="7F7F7F" w:themeColor="text1" w:themeTint="80"/>
                <w:sz w:val="14"/>
                <w:szCs w:val="14"/>
              </w:rPr>
              <w:t xml:space="preserve"> et al. 2014, p.6</w:t>
            </w:r>
            <w:r w:rsidRPr="00AD22FD">
              <w:rPr>
                <w:bCs/>
                <w:sz w:val="14"/>
                <w:szCs w:val="14"/>
              </w:rPr>
              <w:t xml:space="preserve">). To develop the pathways </w:t>
            </w:r>
            <w:r w:rsidRPr="00AD22FD">
              <w:rPr>
                <w:bCs/>
                <w:iCs/>
                <w:sz w:val="14"/>
                <w:szCs w:val="14"/>
              </w:rPr>
              <w:t>– so-called ‘</w:t>
            </w:r>
            <w:r w:rsidRPr="00AD22FD">
              <w:rPr>
                <w:bCs/>
                <w:i/>
                <w:sz w:val="14"/>
                <w:szCs w:val="14"/>
              </w:rPr>
              <w:t>High-Level Options</w:t>
            </w:r>
            <w:r w:rsidRPr="00AD22FD">
              <w:rPr>
                <w:bCs/>
                <w:iCs/>
                <w:sz w:val="14"/>
                <w:szCs w:val="14"/>
              </w:rPr>
              <w:t>’ –</w:t>
            </w:r>
            <w:r w:rsidRPr="00AD22FD">
              <w:rPr>
                <w:bCs/>
                <w:sz w:val="14"/>
                <w:szCs w:val="14"/>
              </w:rPr>
              <w:t xml:space="preserve"> the Team devised and applied the ‘Route-map approach’ (</w:t>
            </w:r>
            <w:r w:rsidR="00F77E53" w:rsidRPr="00AD22FD">
              <w:rPr>
                <w:bCs/>
                <w:color w:val="7F7F7F" w:themeColor="text1" w:themeTint="80"/>
                <w:sz w:val="14"/>
                <w:szCs w:val="14"/>
              </w:rPr>
              <w:t>EA 2009b</w:t>
            </w:r>
            <w:r w:rsidRPr="00AD22FD">
              <w:rPr>
                <w:bCs/>
                <w:color w:val="7F7F7F" w:themeColor="text1" w:themeTint="80"/>
                <w:sz w:val="14"/>
                <w:szCs w:val="14"/>
              </w:rPr>
              <w:t>, p.3-4</w:t>
            </w:r>
            <w:bookmarkStart w:id="10" w:name="_Hlk25235646"/>
            <w:r w:rsidRPr="00AD22FD">
              <w:rPr>
                <w:bCs/>
                <w:sz w:val="14"/>
                <w:szCs w:val="14"/>
              </w:rPr>
              <w:t xml:space="preserve">). </w:t>
            </w:r>
            <w:bookmarkEnd w:id="10"/>
          </w:p>
          <w:p w14:paraId="6C310B74" w14:textId="77777777" w:rsidR="00C04B00" w:rsidRPr="00AD22FD" w:rsidRDefault="00C04B00" w:rsidP="001522F8">
            <w:pPr>
              <w:pStyle w:val="tablecontenttext"/>
              <w:spacing w:line="240" w:lineRule="auto"/>
              <w:ind w:left="-46"/>
              <w:rPr>
                <w:rFonts w:ascii="Times New Roman" w:hAnsi="Times New Roman" w:cs="Times New Roman"/>
                <w:sz w:val="14"/>
                <w:szCs w:val="14"/>
              </w:rPr>
            </w:pPr>
          </w:p>
        </w:tc>
        <w:tc>
          <w:tcPr>
            <w:tcW w:w="993" w:type="dxa"/>
          </w:tcPr>
          <w:p w14:paraId="30914505" w14:textId="6D49446F"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lastRenderedPageBreak/>
              <w:t xml:space="preserve">2a. Identifying FRM / adaptation measures </w:t>
            </w:r>
          </w:p>
          <w:p w14:paraId="5011AF9A" w14:textId="77777777" w:rsidR="00C04B00" w:rsidRPr="00AD22FD" w:rsidRDefault="00C04B00" w:rsidP="001522F8">
            <w:pPr>
              <w:pStyle w:val="tablecontenttext"/>
              <w:spacing w:line="240" w:lineRule="auto"/>
              <w:rPr>
                <w:rFonts w:ascii="Times New Roman" w:hAnsi="Times New Roman" w:cs="Times New Roman"/>
                <w:sz w:val="14"/>
                <w:szCs w:val="14"/>
              </w:rPr>
            </w:pPr>
          </w:p>
          <w:p w14:paraId="518A782B" w14:textId="77777777" w:rsidR="00C04B00" w:rsidRPr="00AD22FD" w:rsidRDefault="00C04B00" w:rsidP="001522F8">
            <w:pPr>
              <w:pStyle w:val="tablecontenttext"/>
              <w:spacing w:line="240" w:lineRule="auto"/>
              <w:rPr>
                <w:rFonts w:ascii="Times New Roman" w:hAnsi="Times New Roman" w:cs="Times New Roman"/>
                <w:sz w:val="14"/>
                <w:szCs w:val="14"/>
                <w:lang w:val="en-US"/>
              </w:rPr>
            </w:pPr>
          </w:p>
        </w:tc>
        <w:tc>
          <w:tcPr>
            <w:tcW w:w="8363" w:type="dxa"/>
          </w:tcPr>
          <w:p w14:paraId="4830DF90" w14:textId="77777777"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Exploring and identifying possible FRM measures (i.e. actions, </w:t>
            </w:r>
            <w:r w:rsidRPr="00AD22FD">
              <w:rPr>
                <w:rFonts w:ascii="Times New Roman" w:hAnsi="Times New Roman" w:cs="Times New Roman"/>
                <w:i/>
                <w:iCs w:val="0"/>
                <w:sz w:val="14"/>
                <w:szCs w:val="14"/>
              </w:rPr>
              <w:t>responses</w:t>
            </w:r>
            <w:r w:rsidRPr="00AD22FD">
              <w:rPr>
                <w:rFonts w:ascii="Times New Roman" w:hAnsi="Times New Roman" w:cs="Times New Roman"/>
                <w:sz w:val="14"/>
                <w:szCs w:val="14"/>
              </w:rPr>
              <w:t xml:space="preserve">) </w:t>
            </w:r>
          </w:p>
          <w:p w14:paraId="15FD7E44" w14:textId="4D4333BC"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The Team identified possible / feasible FRM measures, so-called </w:t>
            </w:r>
            <w:r w:rsidRPr="00AD22FD">
              <w:rPr>
                <w:rFonts w:ascii="Times New Roman" w:hAnsi="Times New Roman" w:cs="Times New Roman"/>
                <w:i/>
                <w:iCs w:val="0"/>
                <w:sz w:val="14"/>
                <w:szCs w:val="14"/>
              </w:rPr>
              <w:t>responses</w:t>
            </w:r>
            <w:r w:rsidRPr="00AD22FD">
              <w:rPr>
                <w:rFonts w:ascii="Times New Roman" w:hAnsi="Times New Roman" w:cs="Times New Roman"/>
                <w:sz w:val="14"/>
                <w:szCs w:val="14"/>
              </w:rPr>
              <w:t xml:space="preserve"> (</w:t>
            </w:r>
            <w:r w:rsidRPr="00AD22FD">
              <w:rPr>
                <w:rFonts w:ascii="Times New Roman" w:hAnsi="Times New Roman" w:cs="Times New Roman"/>
                <w:color w:val="7F7F7F" w:themeColor="text1" w:themeTint="80"/>
                <w:sz w:val="14"/>
                <w:szCs w:val="14"/>
              </w:rPr>
              <w:t>EA 2012, p.32; Reeder and Ranger 2011, p.6; Ranger et al. 2013, p.242-243; Ramsbottom and Sheppard 2017, p.4-6, 10-11; Bloemen et al. 2018, p.7</w:t>
            </w:r>
            <w:r w:rsidRPr="00AD22FD">
              <w:rPr>
                <w:rFonts w:ascii="Times New Roman" w:hAnsi="Times New Roman" w:cs="Times New Roman"/>
                <w:sz w:val="14"/>
                <w:szCs w:val="14"/>
              </w:rPr>
              <w:t>). A measure (</w:t>
            </w:r>
            <w:r w:rsidRPr="00AD22FD">
              <w:rPr>
                <w:rFonts w:ascii="Times New Roman" w:hAnsi="Times New Roman" w:cs="Times New Roman"/>
                <w:i/>
                <w:sz w:val="14"/>
                <w:szCs w:val="14"/>
              </w:rPr>
              <w:t>response</w:t>
            </w:r>
            <w:r w:rsidRPr="00AD22FD">
              <w:rPr>
                <w:rFonts w:ascii="Times New Roman" w:hAnsi="Times New Roman" w:cs="Times New Roman"/>
                <w:sz w:val="14"/>
                <w:szCs w:val="14"/>
              </w:rPr>
              <w:t xml:space="preserve">) is an action to keep </w:t>
            </w:r>
            <w:r w:rsidRPr="00AD22FD">
              <w:rPr>
                <w:rFonts w:ascii="Times New Roman" w:hAnsi="Times New Roman" w:cs="Times New Roman"/>
                <w:i/>
                <w:sz w:val="14"/>
                <w:szCs w:val="14"/>
              </w:rPr>
              <w:t>risk below target levels</w:t>
            </w:r>
            <w:r w:rsidRPr="00AD22FD">
              <w:rPr>
                <w:rFonts w:ascii="Times New Roman" w:hAnsi="Times New Roman" w:cs="Times New Roman"/>
                <w:sz w:val="14"/>
                <w:szCs w:val="14"/>
              </w:rPr>
              <w:t xml:space="preserve"> (as defined in the policy) (</w:t>
            </w:r>
            <w:r w:rsidRPr="00AD22FD">
              <w:rPr>
                <w:rFonts w:ascii="Times New Roman" w:hAnsi="Times New Roman" w:cs="Times New Roman"/>
                <w:color w:val="7F7F7F" w:themeColor="text1" w:themeTint="80"/>
                <w:sz w:val="14"/>
                <w:szCs w:val="14"/>
              </w:rPr>
              <w:t>HM Treasury 2009, p.23</w:t>
            </w:r>
            <w:r w:rsidRPr="00AD22FD">
              <w:rPr>
                <w:rFonts w:ascii="Times New Roman" w:hAnsi="Times New Roman" w:cs="Times New Roman"/>
                <w:sz w:val="14"/>
                <w:szCs w:val="14"/>
              </w:rPr>
              <w:t>).</w:t>
            </w:r>
            <w:r w:rsidRPr="00AD22FD">
              <w:rPr>
                <w:rFonts w:ascii="Times New Roman" w:hAnsi="Times New Roman" w:cs="Times New Roman"/>
                <w:strike/>
                <w:sz w:val="14"/>
                <w:szCs w:val="14"/>
              </w:rPr>
              <w:t xml:space="preserve">  </w:t>
            </w:r>
            <w:r w:rsidRPr="00AD22FD">
              <w:rPr>
                <w:rFonts w:ascii="Times New Roman" w:hAnsi="Times New Roman" w:cs="Times New Roman"/>
                <w:sz w:val="14"/>
                <w:szCs w:val="14"/>
              </w:rPr>
              <w:t>Various measures to deliver the policies were explored (</w:t>
            </w:r>
            <w:r w:rsidRPr="00AD22FD">
              <w:rPr>
                <w:rFonts w:ascii="Times New Roman" w:hAnsi="Times New Roman" w:cs="Times New Roman"/>
                <w:color w:val="7F7F7F" w:themeColor="text1" w:themeTint="80"/>
                <w:sz w:val="14"/>
                <w:szCs w:val="14"/>
              </w:rPr>
              <w:t>London Councils’ TEC 2007, p.4</w:t>
            </w:r>
            <w:r w:rsidRPr="00AD22FD">
              <w:rPr>
                <w:rFonts w:ascii="Times New Roman" w:hAnsi="Times New Roman" w:cs="Times New Roman"/>
                <w:sz w:val="14"/>
                <w:szCs w:val="14"/>
              </w:rPr>
              <w:t>).</w:t>
            </w:r>
          </w:p>
          <w:p w14:paraId="38E1C035" w14:textId="72D5D3D2"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Firstly, various measures were identified (by experts) through a conceptual analysis based on the High++ scenario (first guess) (</w:t>
            </w:r>
            <w:r w:rsidRPr="00AD22FD">
              <w:rPr>
                <w:rFonts w:ascii="Times New Roman" w:hAnsi="Times New Roman" w:cs="Times New Roman"/>
                <w:color w:val="7F7F7F" w:themeColor="text1" w:themeTint="80"/>
                <w:sz w:val="14"/>
                <w:szCs w:val="14"/>
              </w:rPr>
              <w:t>Ranger et al. 2013, p.242, 243</w:t>
            </w:r>
            <w:r w:rsidRPr="00AD22FD">
              <w:rPr>
                <w:rFonts w:ascii="Times New Roman" w:hAnsi="Times New Roman" w:cs="Times New Roman"/>
                <w:sz w:val="14"/>
                <w:szCs w:val="14"/>
              </w:rPr>
              <w:t xml:space="preserve">); these measures were named </w:t>
            </w:r>
            <w:r w:rsidRPr="00AD22FD">
              <w:rPr>
                <w:rFonts w:ascii="Times New Roman" w:hAnsi="Times New Roman" w:cs="Times New Roman"/>
                <w:i/>
                <w:sz w:val="14"/>
                <w:szCs w:val="14"/>
              </w:rPr>
              <w:t xml:space="preserve">Early Conceptual Options </w:t>
            </w:r>
            <w:r w:rsidRPr="00AD22FD">
              <w:rPr>
                <w:rFonts w:ascii="Times New Roman" w:hAnsi="Times New Roman" w:cs="Times New Roman"/>
                <w:iCs w:val="0"/>
                <w:sz w:val="14"/>
                <w:szCs w:val="14"/>
              </w:rPr>
              <w:t>(and presented for public consultation in 2005)</w:t>
            </w:r>
            <w:r w:rsidRPr="00AD22FD">
              <w:rPr>
                <w:rStyle w:val="Refdenotaderodap"/>
                <w:rFonts w:ascii="Times New Roman" w:hAnsi="Times New Roman" w:cs="Times New Roman"/>
                <w:iCs w:val="0"/>
                <w:sz w:val="14"/>
                <w:szCs w:val="14"/>
              </w:rPr>
              <w:t xml:space="preserve"> </w:t>
            </w:r>
            <w:r w:rsidRPr="00AD22FD">
              <w:rPr>
                <w:rStyle w:val="Refdenotaderodap"/>
                <w:rFonts w:ascii="Times New Roman" w:hAnsi="Times New Roman" w:cs="Times New Roman"/>
                <w:iCs w:val="0"/>
                <w:sz w:val="14"/>
                <w:szCs w:val="14"/>
                <w:highlight w:val="lightGray"/>
              </w:rPr>
              <w:footnoteReference w:id="5"/>
            </w:r>
            <w:r w:rsidRPr="00AD22FD">
              <w:rPr>
                <w:rFonts w:ascii="Times New Roman" w:hAnsi="Times New Roman" w:cs="Times New Roman"/>
                <w:sz w:val="14"/>
                <w:szCs w:val="14"/>
              </w:rPr>
              <w:t xml:space="preserve">  (</w:t>
            </w:r>
            <w:r w:rsidRPr="00AD22FD">
              <w:rPr>
                <w:rFonts w:ascii="Times New Roman" w:hAnsi="Times New Roman" w:cs="Times New Roman"/>
                <w:color w:val="7F7F7F" w:themeColor="text1" w:themeTint="80"/>
                <w:sz w:val="14"/>
                <w:szCs w:val="14"/>
              </w:rPr>
              <w:t xml:space="preserve">EA 2012, p.34, 32;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xml:space="preserve">, </w:t>
            </w:r>
            <w:proofErr w:type="spellStart"/>
            <w:r w:rsidRPr="00AD22FD">
              <w:rPr>
                <w:rFonts w:ascii="Times New Roman" w:hAnsi="Times New Roman" w:cs="Times New Roman"/>
                <w:color w:val="7F7F7F" w:themeColor="text1" w:themeTint="80"/>
                <w:sz w:val="14"/>
                <w:szCs w:val="14"/>
              </w:rPr>
              <w:t>p.xi</w:t>
            </w:r>
            <w:proofErr w:type="spellEnd"/>
            <w:r w:rsidRPr="00AD22FD">
              <w:rPr>
                <w:rFonts w:ascii="Times New Roman" w:hAnsi="Times New Roman" w:cs="Times New Roman"/>
                <w:color w:val="7F7F7F" w:themeColor="text1" w:themeTint="80"/>
                <w:sz w:val="14"/>
                <w:szCs w:val="14"/>
              </w:rPr>
              <w:t>, 141, 266, 296; Ramsbottom and Sheppard 2017, p.6</w:t>
            </w:r>
            <w:r w:rsidRPr="00AD22FD">
              <w:rPr>
                <w:rFonts w:ascii="Times New Roman" w:hAnsi="Times New Roman" w:cs="Times New Roman"/>
                <w:sz w:val="14"/>
                <w:szCs w:val="14"/>
              </w:rPr>
              <w:t>). At this stage</w:t>
            </w:r>
            <w:r w:rsidRPr="00AD22FD">
              <w:rPr>
                <w:rFonts w:ascii="Times New Roman" w:hAnsi="Times New Roman" w:cs="Times New Roman"/>
                <w:color w:val="00B050"/>
                <w:sz w:val="14"/>
                <w:szCs w:val="14"/>
              </w:rPr>
              <w:t xml:space="preserve">, </w:t>
            </w:r>
            <w:r w:rsidRPr="00AD22FD">
              <w:rPr>
                <w:rFonts w:ascii="Times New Roman" w:hAnsi="Times New Roman" w:cs="Times New Roman"/>
                <w:sz w:val="14"/>
                <w:szCs w:val="14"/>
              </w:rPr>
              <w:t>the Team sought to identify all available measures to manage flood risk, either ‘</w:t>
            </w:r>
            <w:r w:rsidRPr="00AD22FD">
              <w:rPr>
                <w:rFonts w:ascii="Times New Roman" w:hAnsi="Times New Roman" w:cs="Times New Roman"/>
                <w:i/>
                <w:iCs w:val="0"/>
                <w:sz w:val="14"/>
                <w:szCs w:val="14"/>
              </w:rPr>
              <w:t>individual responses</w:t>
            </w:r>
            <w:r w:rsidRPr="00AD22FD">
              <w:rPr>
                <w:rFonts w:ascii="Times New Roman" w:hAnsi="Times New Roman" w:cs="Times New Roman"/>
                <w:sz w:val="14"/>
                <w:szCs w:val="14"/>
              </w:rPr>
              <w:t>’ or ‘</w:t>
            </w:r>
            <w:r w:rsidRPr="00AD22FD">
              <w:rPr>
                <w:rFonts w:ascii="Times New Roman" w:hAnsi="Times New Roman" w:cs="Times New Roman"/>
                <w:i/>
                <w:iCs w:val="0"/>
                <w:sz w:val="14"/>
                <w:szCs w:val="14"/>
              </w:rPr>
              <w:t xml:space="preserve">portfolios of responses’ </w:t>
            </w:r>
            <w:r w:rsidRPr="00AD22FD">
              <w:rPr>
                <w:rFonts w:ascii="Times New Roman" w:hAnsi="Times New Roman" w:cs="Times New Roman"/>
                <w:sz w:val="14"/>
                <w:szCs w:val="14"/>
              </w:rPr>
              <w:t>(combined measures) (</w:t>
            </w:r>
            <w:r w:rsidRPr="00AD22FD">
              <w:rPr>
                <w:rFonts w:ascii="Times New Roman" w:hAnsi="Times New Roman" w:cs="Times New Roman"/>
                <w:color w:val="7F7F7F" w:themeColor="text1" w:themeTint="80"/>
                <w:sz w:val="14"/>
                <w:szCs w:val="14"/>
              </w:rPr>
              <w:t>EA 2012, p.31-33</w:t>
            </w:r>
            <w:r w:rsidRPr="00AD22FD">
              <w:rPr>
                <w:rFonts w:ascii="Times New Roman" w:hAnsi="Times New Roman" w:cs="Times New Roman"/>
                <w:sz w:val="14"/>
                <w:szCs w:val="14"/>
              </w:rPr>
              <w:t xml:space="preserve">; </w:t>
            </w:r>
            <w:r w:rsidRPr="00AD22FD">
              <w:rPr>
                <w:rFonts w:ascii="Times New Roman" w:hAnsi="Times New Roman" w:cs="Times New Roman"/>
                <w:color w:val="7F7F7F" w:themeColor="text1" w:themeTint="80"/>
                <w:sz w:val="14"/>
                <w:szCs w:val="14"/>
              </w:rPr>
              <w:t>Ramsbottom and Sheppard 2017, p.5; HM Treasury 2009, p.23</w:t>
            </w:r>
            <w:r w:rsidRPr="00AD22FD">
              <w:rPr>
                <w:rFonts w:ascii="Times New Roman" w:hAnsi="Times New Roman" w:cs="Times New Roman"/>
                <w:sz w:val="14"/>
                <w:szCs w:val="14"/>
              </w:rPr>
              <w:t>).</w:t>
            </w:r>
            <w:r w:rsidRPr="00AD22FD">
              <w:rPr>
                <w:rFonts w:ascii="Times New Roman" w:hAnsi="Times New Roman" w:cs="Times New Roman"/>
                <w:iCs w:val="0"/>
                <w:sz w:val="14"/>
                <w:szCs w:val="14"/>
              </w:rPr>
              <w:t xml:space="preserve"> </w:t>
            </w:r>
            <w:r w:rsidRPr="00AD22FD">
              <w:rPr>
                <w:rFonts w:ascii="Times New Roman" w:hAnsi="Times New Roman" w:cs="Times New Roman"/>
                <w:sz w:val="14"/>
                <w:szCs w:val="14"/>
              </w:rPr>
              <w:t>A measure (</w:t>
            </w:r>
            <w:r w:rsidRPr="00AD22FD">
              <w:rPr>
                <w:rFonts w:ascii="Times New Roman" w:hAnsi="Times New Roman" w:cs="Times New Roman"/>
                <w:i/>
                <w:sz w:val="14"/>
                <w:szCs w:val="14"/>
              </w:rPr>
              <w:t>response</w:t>
            </w:r>
            <w:r w:rsidRPr="00AD22FD">
              <w:rPr>
                <w:rFonts w:ascii="Times New Roman" w:hAnsi="Times New Roman" w:cs="Times New Roman"/>
                <w:sz w:val="14"/>
                <w:szCs w:val="14"/>
              </w:rPr>
              <w:t xml:space="preserve">) can be either an </w:t>
            </w:r>
            <w:r w:rsidRPr="00AD22FD">
              <w:rPr>
                <w:rFonts w:ascii="Times New Roman" w:hAnsi="Times New Roman" w:cs="Times New Roman"/>
                <w:i/>
                <w:iCs w:val="0"/>
                <w:sz w:val="14"/>
                <w:szCs w:val="14"/>
              </w:rPr>
              <w:t>individual measure</w:t>
            </w:r>
            <w:r w:rsidRPr="00AD22FD">
              <w:rPr>
                <w:rFonts w:ascii="Times New Roman" w:hAnsi="Times New Roman" w:cs="Times New Roman"/>
                <w:sz w:val="14"/>
                <w:szCs w:val="14"/>
              </w:rPr>
              <w:t xml:space="preserve"> or a </w:t>
            </w:r>
            <w:r w:rsidRPr="00AD22FD">
              <w:rPr>
                <w:rFonts w:ascii="Times New Roman" w:hAnsi="Times New Roman" w:cs="Times New Roman"/>
                <w:i/>
                <w:sz w:val="14"/>
                <w:szCs w:val="14"/>
              </w:rPr>
              <w:t>portfolio of measures</w:t>
            </w:r>
            <w:r w:rsidRPr="00AD22FD">
              <w:rPr>
                <w:rFonts w:ascii="Times New Roman" w:hAnsi="Times New Roman" w:cs="Times New Roman"/>
                <w:sz w:val="14"/>
                <w:szCs w:val="14"/>
              </w:rPr>
              <w:t xml:space="preserve"> (a combination of measures that work together), and it can be a generic ‘estuary-wide’ measure</w:t>
            </w:r>
            <w:r w:rsidRPr="00AD22FD">
              <w:rPr>
                <w:rStyle w:val="Refdenotaderodap"/>
                <w:rFonts w:ascii="Times New Roman" w:hAnsi="Times New Roman" w:cs="Times New Roman"/>
                <w:sz w:val="14"/>
                <w:szCs w:val="14"/>
              </w:rPr>
              <w:footnoteReference w:id="6"/>
            </w:r>
            <w:r w:rsidRPr="00AD22FD">
              <w:rPr>
                <w:rFonts w:ascii="Times New Roman" w:hAnsi="Times New Roman" w:cs="Times New Roman"/>
                <w:sz w:val="14"/>
                <w:szCs w:val="14"/>
              </w:rPr>
              <w:t xml:space="preserve"> or a measure for a specific area of the TE (</w:t>
            </w:r>
            <w:r w:rsidRPr="00AD22FD">
              <w:rPr>
                <w:rFonts w:ascii="Times New Roman" w:hAnsi="Times New Roman" w:cs="Times New Roman"/>
                <w:color w:val="7F7F7F" w:themeColor="text1" w:themeTint="80"/>
                <w:sz w:val="14"/>
                <w:szCs w:val="14"/>
              </w:rPr>
              <w:t>EA 2012, p.34, 32-33; Ramsbottom and Sheppard 2017, p.5-6; HM Treasury 2009, p.23</w:t>
            </w:r>
            <w:r w:rsidRPr="00AD22FD">
              <w:rPr>
                <w:rFonts w:ascii="Times New Roman" w:hAnsi="Times New Roman" w:cs="Times New Roman"/>
                <w:sz w:val="14"/>
                <w:szCs w:val="14"/>
              </w:rPr>
              <w:t>).</w:t>
            </w:r>
          </w:p>
          <w:p w14:paraId="4797925C" w14:textId="365F1B7A"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Then, each measure (</w:t>
            </w:r>
            <w:r w:rsidRPr="00AD22FD">
              <w:rPr>
                <w:rFonts w:ascii="Times New Roman" w:hAnsi="Times New Roman" w:cs="Times New Roman"/>
                <w:i/>
                <w:iCs w:val="0"/>
                <w:sz w:val="14"/>
                <w:szCs w:val="14"/>
              </w:rPr>
              <w:t>response</w:t>
            </w:r>
            <w:r w:rsidRPr="00AD22FD">
              <w:rPr>
                <w:rFonts w:ascii="Times New Roman" w:hAnsi="Times New Roman" w:cs="Times New Roman"/>
                <w:sz w:val="14"/>
                <w:szCs w:val="14"/>
              </w:rPr>
              <w:t xml:space="preserve">) was examined on its lifetime, engineering limits, effectiveness, environmental implications, and potential for flexibility (for </w:t>
            </w:r>
            <w:proofErr w:type="gramStart"/>
            <w:r w:rsidRPr="00AD22FD">
              <w:rPr>
                <w:rFonts w:ascii="Times New Roman" w:hAnsi="Times New Roman" w:cs="Times New Roman"/>
                <w:sz w:val="14"/>
                <w:szCs w:val="14"/>
              </w:rPr>
              <w:t>making adjustments</w:t>
            </w:r>
            <w:proofErr w:type="gramEnd"/>
            <w:r w:rsidRPr="00AD22FD">
              <w:rPr>
                <w:rFonts w:ascii="Times New Roman" w:hAnsi="Times New Roman" w:cs="Times New Roman"/>
                <w:sz w:val="14"/>
                <w:szCs w:val="14"/>
              </w:rPr>
              <w:t xml:space="preserve"> over time) (</w:t>
            </w:r>
            <w:r w:rsidRPr="00AD22FD">
              <w:rPr>
                <w:rFonts w:ascii="Times New Roman" w:hAnsi="Times New Roman" w:cs="Times New Roman"/>
                <w:color w:val="7F7F7F" w:themeColor="text1" w:themeTint="80"/>
                <w:sz w:val="14"/>
                <w:szCs w:val="14"/>
              </w:rPr>
              <w:t xml:space="preserve">Ranger et al. 2013, p.242; Reeder and Ranger 2011, p.6; EA 2012, p.35; </w:t>
            </w:r>
            <w:r w:rsidR="00F77E53" w:rsidRPr="00AD22FD">
              <w:rPr>
                <w:rFonts w:ascii="Times New Roman" w:hAnsi="Times New Roman" w:cs="Times New Roman"/>
                <w:color w:val="7F7F7F" w:themeColor="text1" w:themeTint="80"/>
                <w:sz w:val="14"/>
                <w:szCs w:val="14"/>
              </w:rPr>
              <w:t>EA 2009b</w:t>
            </w:r>
            <w:r w:rsidRPr="00AD22FD">
              <w:rPr>
                <w:rFonts w:ascii="Times New Roman" w:hAnsi="Times New Roman" w:cs="Times New Roman"/>
                <w:color w:val="7F7F7F" w:themeColor="text1" w:themeTint="80"/>
                <w:sz w:val="14"/>
                <w:szCs w:val="14"/>
              </w:rPr>
              <w:t>, p.3; Ramsbottom and Sheppard 2017, p.10,11; Bloemen et al. 2018, p.7</w:t>
            </w:r>
            <w:r w:rsidRPr="00AD22FD">
              <w:rPr>
                <w:rFonts w:ascii="Times New Roman" w:hAnsi="Times New Roman" w:cs="Times New Roman"/>
                <w:sz w:val="14"/>
                <w:szCs w:val="14"/>
              </w:rPr>
              <w:t>).</w:t>
            </w:r>
            <w:r w:rsidRPr="00AD22FD">
              <w:rPr>
                <w:rFonts w:ascii="Times New Roman" w:hAnsi="Times New Roman" w:cs="Times New Roman"/>
                <w:iCs w:val="0"/>
                <w:sz w:val="14"/>
                <w:szCs w:val="14"/>
              </w:rPr>
              <w:t xml:space="preserve"> </w:t>
            </w:r>
          </w:p>
          <w:p w14:paraId="1CD6BCD9" w14:textId="569A500A" w:rsidR="00C04B00" w:rsidRPr="00AD22FD" w:rsidRDefault="00C04B00" w:rsidP="001522F8">
            <w:pPr>
              <w:pStyle w:val="tablecontenttext"/>
              <w:spacing w:line="240" w:lineRule="auto"/>
              <w:rPr>
                <w:rFonts w:ascii="Times New Roman" w:hAnsi="Times New Roman" w:cs="Times New Roman"/>
                <w:color w:val="C00000"/>
                <w:sz w:val="14"/>
                <w:szCs w:val="14"/>
              </w:rPr>
            </w:pPr>
            <w:r w:rsidRPr="00AD22FD">
              <w:rPr>
                <w:rFonts w:ascii="Times New Roman" w:hAnsi="Times New Roman" w:cs="Times New Roman"/>
                <w:sz w:val="14"/>
                <w:szCs w:val="14"/>
              </w:rPr>
              <w:t xml:space="preserve">In sum, in Step 2a, the Team explored a wide range of possible measures, and through successive investigations, identified those promising that should be further studied – the </w:t>
            </w:r>
            <w:r w:rsidRPr="00AD22FD">
              <w:rPr>
                <w:rFonts w:ascii="Times New Roman" w:hAnsi="Times New Roman" w:cs="Times New Roman"/>
                <w:i/>
                <w:iCs w:val="0"/>
                <w:sz w:val="14"/>
                <w:szCs w:val="14"/>
              </w:rPr>
              <w:t>Early Conceptual Options</w:t>
            </w:r>
            <w:r w:rsidRPr="00AD22FD">
              <w:rPr>
                <w:rFonts w:ascii="Times New Roman" w:hAnsi="Times New Roman" w:cs="Times New Roman"/>
                <w:sz w:val="14"/>
                <w:szCs w:val="14"/>
              </w:rPr>
              <w:t xml:space="preserve"> – which were subsequently used for the development of </w:t>
            </w:r>
            <w:r w:rsidRPr="00AD22FD">
              <w:rPr>
                <w:rFonts w:ascii="Times New Roman" w:hAnsi="Times New Roman" w:cs="Times New Roman"/>
                <w:i/>
                <w:iCs w:val="0"/>
                <w:sz w:val="14"/>
                <w:szCs w:val="14"/>
              </w:rPr>
              <w:t>High-Level Options</w:t>
            </w:r>
            <w:r w:rsidRPr="00AD22FD">
              <w:rPr>
                <w:rFonts w:ascii="Times New Roman" w:hAnsi="Times New Roman" w:cs="Times New Roman"/>
                <w:sz w:val="14"/>
                <w:szCs w:val="14"/>
              </w:rPr>
              <w:t xml:space="preserve"> (</w:t>
            </w:r>
            <w:r w:rsidRPr="00AD22FD">
              <w:rPr>
                <w:rFonts w:ascii="Times New Roman" w:hAnsi="Times New Roman" w:cs="Times New Roman"/>
                <w:color w:val="7F7F7F" w:themeColor="text1" w:themeTint="80"/>
                <w:sz w:val="14"/>
                <w:szCs w:val="14"/>
              </w:rPr>
              <w:t>EA 2012, p.32-33;</w:t>
            </w:r>
            <w:r w:rsidR="00F77E53" w:rsidRPr="00AD22FD">
              <w:rPr>
                <w:rFonts w:ascii="Times New Roman" w:hAnsi="Times New Roman" w:cs="Times New Roman"/>
                <w:color w:val="7F7F7F" w:themeColor="text1" w:themeTint="80"/>
                <w:sz w:val="14"/>
                <w:szCs w:val="14"/>
              </w:rPr>
              <w:t xml:space="preserve"> 2009A</w:t>
            </w:r>
            <w:r w:rsidRPr="00AD22FD">
              <w:rPr>
                <w:rFonts w:ascii="Times New Roman" w:hAnsi="Times New Roman" w:cs="Times New Roman"/>
                <w:color w:val="7F7F7F" w:themeColor="text1" w:themeTint="80"/>
                <w:sz w:val="14"/>
                <w:szCs w:val="14"/>
              </w:rPr>
              <w:t>, p.141</w:t>
            </w:r>
            <w:r w:rsidRPr="00AD22FD">
              <w:rPr>
                <w:rFonts w:ascii="Times New Roman" w:hAnsi="Times New Roman" w:cs="Times New Roman"/>
                <w:sz w:val="14"/>
                <w:szCs w:val="14"/>
              </w:rPr>
              <w:t>).</w:t>
            </w:r>
          </w:p>
        </w:tc>
      </w:tr>
      <w:tr w:rsidR="00C04B00" w:rsidRPr="00AD22FD" w14:paraId="45CAAEB9" w14:textId="77777777" w:rsidTr="001522F8">
        <w:tc>
          <w:tcPr>
            <w:tcW w:w="562" w:type="dxa"/>
            <w:vMerge/>
          </w:tcPr>
          <w:p w14:paraId="258016BD" w14:textId="77777777" w:rsidR="00C04B00" w:rsidRPr="00AD22FD" w:rsidRDefault="00C04B00" w:rsidP="001522F8">
            <w:pPr>
              <w:pStyle w:val="tablecontenttext"/>
              <w:spacing w:line="240" w:lineRule="auto"/>
              <w:rPr>
                <w:rFonts w:ascii="Times New Roman" w:hAnsi="Times New Roman" w:cs="Times New Roman"/>
                <w:sz w:val="14"/>
                <w:szCs w:val="14"/>
              </w:rPr>
            </w:pPr>
          </w:p>
        </w:tc>
        <w:tc>
          <w:tcPr>
            <w:tcW w:w="993" w:type="dxa"/>
          </w:tcPr>
          <w:p w14:paraId="3DF52029" w14:textId="77777777"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2b. Designing </w:t>
            </w:r>
            <w:r w:rsidRPr="00AD22FD">
              <w:rPr>
                <w:rFonts w:ascii="Times New Roman" w:hAnsi="Times New Roman" w:cs="Times New Roman"/>
                <w:i/>
                <w:iCs w:val="0"/>
                <w:sz w:val="14"/>
                <w:szCs w:val="14"/>
              </w:rPr>
              <w:t>pathways</w:t>
            </w:r>
            <w:r w:rsidRPr="00AD22FD">
              <w:rPr>
                <w:rFonts w:ascii="Times New Roman" w:hAnsi="Times New Roman" w:cs="Times New Roman"/>
                <w:sz w:val="14"/>
                <w:szCs w:val="14"/>
              </w:rPr>
              <w:t xml:space="preserve"> / </w:t>
            </w:r>
            <w:r w:rsidRPr="00AD22FD">
              <w:rPr>
                <w:rFonts w:ascii="Times New Roman" w:hAnsi="Times New Roman" w:cs="Times New Roman"/>
                <w:i/>
                <w:iCs w:val="0"/>
                <w:sz w:val="14"/>
                <w:szCs w:val="14"/>
              </w:rPr>
              <w:t xml:space="preserve">routes </w:t>
            </w:r>
            <w:r w:rsidRPr="00AD22FD">
              <w:rPr>
                <w:rFonts w:ascii="Times New Roman" w:hAnsi="Times New Roman" w:cs="Times New Roman"/>
                <w:sz w:val="14"/>
                <w:szCs w:val="14"/>
              </w:rPr>
              <w:t>(the HLOs, i.e. packages of measures implemented in sequence to manage risk over time)</w:t>
            </w:r>
          </w:p>
        </w:tc>
        <w:tc>
          <w:tcPr>
            <w:tcW w:w="8363" w:type="dxa"/>
          </w:tcPr>
          <w:p w14:paraId="7FDF9404" w14:textId="77777777"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Developing the </w:t>
            </w:r>
            <w:r w:rsidRPr="00AD22FD">
              <w:rPr>
                <w:rFonts w:ascii="Times New Roman" w:hAnsi="Times New Roman" w:cs="Times New Roman"/>
                <w:i/>
                <w:iCs w:val="0"/>
                <w:sz w:val="14"/>
                <w:szCs w:val="14"/>
              </w:rPr>
              <w:t xml:space="preserve">High-Level Options </w:t>
            </w:r>
            <w:r w:rsidRPr="00AD22FD">
              <w:rPr>
                <w:rFonts w:ascii="Times New Roman" w:hAnsi="Times New Roman" w:cs="Times New Roman"/>
                <w:sz w:val="14"/>
                <w:szCs w:val="14"/>
              </w:rPr>
              <w:t>(pathways)</w:t>
            </w:r>
          </w:p>
          <w:p w14:paraId="3F3E5676" w14:textId="2ED34DE9"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The Team developed several adaptation pathways / routes, so-called </w:t>
            </w:r>
            <w:r w:rsidRPr="00AD22FD">
              <w:rPr>
                <w:rFonts w:ascii="Times New Roman" w:hAnsi="Times New Roman" w:cs="Times New Roman"/>
                <w:i/>
                <w:sz w:val="14"/>
                <w:szCs w:val="14"/>
              </w:rPr>
              <w:t>High-Level Options</w:t>
            </w:r>
            <w:r w:rsidRPr="00AD22FD">
              <w:rPr>
                <w:rFonts w:ascii="Times New Roman" w:hAnsi="Times New Roman" w:cs="Times New Roman"/>
                <w:sz w:val="14"/>
                <w:szCs w:val="14"/>
              </w:rPr>
              <w:t xml:space="preserve"> (HLOs) (</w:t>
            </w:r>
            <w:r w:rsidRPr="00AD22FD">
              <w:rPr>
                <w:rFonts w:ascii="Times New Roman" w:hAnsi="Times New Roman" w:cs="Times New Roman"/>
                <w:color w:val="7F7F7F" w:themeColor="text1" w:themeTint="80"/>
                <w:sz w:val="14"/>
                <w:szCs w:val="14"/>
              </w:rPr>
              <w:t xml:space="preserve">Reeder and Ranger 2011, p.5, 6, 8; Ranger et al. 2013, p.242, 233, 239, 258; Ramsbottom and Sheppard 2017, p.6, 10; Bloemen et al. 2018, p.7; </w:t>
            </w:r>
            <w:proofErr w:type="spellStart"/>
            <w:r w:rsidRPr="00AD22FD">
              <w:rPr>
                <w:rFonts w:ascii="Times New Roman" w:hAnsi="Times New Roman" w:cs="Times New Roman"/>
                <w:color w:val="7F7F7F" w:themeColor="text1" w:themeTint="80"/>
                <w:sz w:val="14"/>
                <w:szCs w:val="14"/>
              </w:rPr>
              <w:t>Jeuken</w:t>
            </w:r>
            <w:proofErr w:type="spellEnd"/>
            <w:r w:rsidRPr="00AD22FD">
              <w:rPr>
                <w:rFonts w:ascii="Times New Roman" w:hAnsi="Times New Roman" w:cs="Times New Roman"/>
                <w:color w:val="7F7F7F" w:themeColor="text1" w:themeTint="80"/>
                <w:sz w:val="14"/>
                <w:szCs w:val="14"/>
              </w:rPr>
              <w:t xml:space="preserve"> et al. 2014, p.6</w:t>
            </w:r>
            <w:r w:rsidRPr="00AD22FD">
              <w:rPr>
                <w:rFonts w:ascii="Times New Roman" w:hAnsi="Times New Roman" w:cs="Times New Roman"/>
                <w:sz w:val="14"/>
                <w:szCs w:val="14"/>
              </w:rPr>
              <w:t xml:space="preserve">). By using the measures previously </w:t>
            </w:r>
            <w:proofErr w:type="gramStart"/>
            <w:r w:rsidRPr="00AD22FD">
              <w:rPr>
                <w:rFonts w:ascii="Times New Roman" w:hAnsi="Times New Roman" w:cs="Times New Roman"/>
                <w:sz w:val="14"/>
                <w:szCs w:val="14"/>
              </w:rPr>
              <w:t>identified, and</w:t>
            </w:r>
            <w:proofErr w:type="gramEnd"/>
            <w:r w:rsidRPr="00AD22FD">
              <w:rPr>
                <w:rFonts w:ascii="Times New Roman" w:hAnsi="Times New Roman" w:cs="Times New Roman"/>
                <w:sz w:val="14"/>
                <w:szCs w:val="14"/>
              </w:rPr>
              <w:t xml:space="preserve"> based on the engineering limits and effectiveness of each measure (investigated in Step 2a), diverse pathways were designed (assembled) and represented in a </w:t>
            </w:r>
            <w:r w:rsidRPr="00AD22FD">
              <w:rPr>
                <w:rFonts w:ascii="Times New Roman" w:hAnsi="Times New Roman" w:cs="Times New Roman"/>
                <w:i/>
                <w:iCs w:val="0"/>
                <w:sz w:val="14"/>
                <w:szCs w:val="14"/>
              </w:rPr>
              <w:t>route-map</w:t>
            </w:r>
            <w:r w:rsidRPr="00AD22FD">
              <w:rPr>
                <w:rFonts w:ascii="Times New Roman" w:hAnsi="Times New Roman" w:cs="Times New Roman"/>
                <w:sz w:val="14"/>
                <w:szCs w:val="14"/>
              </w:rPr>
              <w:t xml:space="preserve"> (</w:t>
            </w:r>
            <w:r w:rsidRPr="00AD22FD">
              <w:rPr>
                <w:rFonts w:ascii="Times New Roman" w:hAnsi="Times New Roman" w:cs="Times New Roman"/>
                <w:color w:val="7F7F7F" w:themeColor="text1" w:themeTint="80"/>
                <w:sz w:val="14"/>
                <w:szCs w:val="14"/>
              </w:rPr>
              <w:t>Haigh and Fisher 2010</w:t>
            </w:r>
            <w:r w:rsidRPr="00AD22FD">
              <w:rPr>
                <w:rFonts w:ascii="Times New Roman" w:hAnsi="Times New Roman" w:cs="Times New Roman"/>
                <w:color w:val="FF0000"/>
                <w:sz w:val="14"/>
                <w:szCs w:val="14"/>
              </w:rPr>
              <w:t xml:space="preserve">; </w:t>
            </w:r>
            <w:r w:rsidRPr="00AD22FD">
              <w:rPr>
                <w:rFonts w:ascii="Times New Roman" w:hAnsi="Times New Roman" w:cs="Times New Roman"/>
                <w:color w:val="7F7F7F" w:themeColor="text1" w:themeTint="80"/>
                <w:sz w:val="14"/>
                <w:szCs w:val="14"/>
              </w:rPr>
              <w:t>Ranger et al. 2013, p.242; Reeder and Ranger 2011, p.6</w:t>
            </w:r>
            <w:r w:rsidRPr="00AD22FD">
              <w:rPr>
                <w:rFonts w:ascii="Times New Roman" w:hAnsi="Times New Roman" w:cs="Times New Roman"/>
                <w:sz w:val="14"/>
                <w:szCs w:val="14"/>
              </w:rPr>
              <w:t xml:space="preserve">). Each HLO is a pathway, i.e. a </w:t>
            </w:r>
            <w:r w:rsidRPr="00AD22FD">
              <w:rPr>
                <w:rFonts w:ascii="Times New Roman" w:hAnsi="Times New Roman" w:cs="Times New Roman"/>
                <w:i/>
                <w:iCs w:val="0"/>
                <w:sz w:val="14"/>
                <w:szCs w:val="14"/>
              </w:rPr>
              <w:t>package</w:t>
            </w:r>
            <w:r w:rsidRPr="00AD22FD">
              <w:rPr>
                <w:rFonts w:ascii="Times New Roman" w:hAnsi="Times New Roman" w:cs="Times New Roman"/>
                <w:sz w:val="14"/>
                <w:szCs w:val="14"/>
              </w:rPr>
              <w:t xml:space="preserve"> of FRM measures sequenced and implemented over time (</w:t>
            </w:r>
            <w:r w:rsidR="00F77E53" w:rsidRPr="00AD22FD">
              <w:rPr>
                <w:rFonts w:ascii="Times New Roman" w:hAnsi="Times New Roman" w:cs="Times New Roman"/>
                <w:color w:val="7F7F7F" w:themeColor="text1" w:themeTint="80"/>
                <w:sz w:val="14"/>
                <w:szCs w:val="14"/>
              </w:rPr>
              <w:t>EA 2009b</w:t>
            </w:r>
            <w:r w:rsidRPr="00AD22FD">
              <w:rPr>
                <w:rFonts w:ascii="Times New Roman" w:hAnsi="Times New Roman" w:cs="Times New Roman"/>
                <w:color w:val="7F7F7F" w:themeColor="text1" w:themeTint="80"/>
                <w:sz w:val="14"/>
                <w:szCs w:val="14"/>
              </w:rPr>
              <w:t xml:space="preserve">, p.3-4, 1, 10; Reeder and Ranger 2011, p.8; Ranger et al. 2013, p.249; EA 2012, p.34, 38; </w:t>
            </w:r>
            <w:proofErr w:type="spellStart"/>
            <w:r w:rsidRPr="00AD22FD">
              <w:rPr>
                <w:rFonts w:ascii="Times New Roman" w:hAnsi="Times New Roman" w:cs="Times New Roman"/>
                <w:iCs w:val="0"/>
                <w:color w:val="7F7F7F" w:themeColor="text1" w:themeTint="80"/>
                <w:sz w:val="14"/>
                <w:szCs w:val="14"/>
              </w:rPr>
              <w:t>Jeuken</w:t>
            </w:r>
            <w:proofErr w:type="spellEnd"/>
            <w:r w:rsidRPr="00AD22FD">
              <w:rPr>
                <w:rFonts w:ascii="Times New Roman" w:hAnsi="Times New Roman" w:cs="Times New Roman"/>
                <w:iCs w:val="0"/>
                <w:color w:val="7F7F7F" w:themeColor="text1" w:themeTint="80"/>
                <w:sz w:val="14"/>
                <w:szCs w:val="14"/>
              </w:rPr>
              <w:t xml:space="preserve"> and Reeder 2011, p.4</w:t>
            </w:r>
            <w:r w:rsidRPr="00AD22FD">
              <w:rPr>
                <w:rFonts w:ascii="Times New Roman" w:hAnsi="Times New Roman" w:cs="Times New Roman"/>
                <w:sz w:val="14"/>
                <w:szCs w:val="14"/>
              </w:rPr>
              <w:t>). More specifically, each HLO consists of a sequence of measures (</w:t>
            </w:r>
            <w:r w:rsidRPr="00AD22FD">
              <w:rPr>
                <w:rFonts w:ascii="Times New Roman" w:hAnsi="Times New Roman" w:cs="Times New Roman"/>
                <w:i/>
                <w:iCs w:val="0"/>
                <w:sz w:val="14"/>
                <w:szCs w:val="14"/>
              </w:rPr>
              <w:t>individual</w:t>
            </w:r>
            <w:r w:rsidRPr="00AD22FD">
              <w:rPr>
                <w:rFonts w:ascii="Times New Roman" w:hAnsi="Times New Roman" w:cs="Times New Roman"/>
                <w:sz w:val="14"/>
                <w:szCs w:val="14"/>
              </w:rPr>
              <w:t xml:space="preserve"> or </w:t>
            </w:r>
            <w:r w:rsidRPr="00AD22FD">
              <w:rPr>
                <w:rFonts w:ascii="Times New Roman" w:hAnsi="Times New Roman" w:cs="Times New Roman"/>
                <w:i/>
                <w:iCs w:val="0"/>
                <w:sz w:val="14"/>
                <w:szCs w:val="14"/>
              </w:rPr>
              <w:t>portfolios</w:t>
            </w:r>
            <w:r w:rsidRPr="00AD22FD">
              <w:rPr>
                <w:rFonts w:ascii="Times New Roman" w:hAnsi="Times New Roman" w:cs="Times New Roman"/>
                <w:sz w:val="14"/>
                <w:szCs w:val="14"/>
              </w:rPr>
              <w:t>) (</w:t>
            </w:r>
            <w:r w:rsidRPr="00AD22FD">
              <w:rPr>
                <w:rFonts w:ascii="Times New Roman" w:hAnsi="Times New Roman" w:cs="Times New Roman"/>
                <w:color w:val="7F7F7F" w:themeColor="text1" w:themeTint="80"/>
                <w:sz w:val="14"/>
                <w:szCs w:val="14"/>
              </w:rPr>
              <w:t xml:space="preserve">Ramsbottom and Sheppard 2017, p.4, 2;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p.138-139</w:t>
            </w:r>
            <w:r w:rsidRPr="00AD22FD">
              <w:rPr>
                <w:rFonts w:ascii="Times New Roman" w:hAnsi="Times New Roman" w:cs="Times New Roman"/>
                <w:sz w:val="14"/>
                <w:szCs w:val="14"/>
              </w:rPr>
              <w:t>).</w:t>
            </w:r>
            <w:r w:rsidRPr="00AD22FD">
              <w:rPr>
                <w:rFonts w:ascii="Times New Roman" w:hAnsi="Times New Roman" w:cs="Times New Roman"/>
                <w:strike/>
                <w:sz w:val="14"/>
                <w:szCs w:val="14"/>
              </w:rPr>
              <w:t xml:space="preserve"> </w:t>
            </w:r>
          </w:p>
          <w:p w14:paraId="5587D431" w14:textId="77777777" w:rsidR="00C04B00" w:rsidRPr="00AD22FD" w:rsidRDefault="00C04B00" w:rsidP="001522F8">
            <w:pPr>
              <w:pStyle w:val="tablecontenttext"/>
              <w:numPr>
                <w:ilvl w:val="0"/>
                <w:numId w:val="8"/>
              </w:numPr>
              <w:spacing w:line="240" w:lineRule="auto"/>
              <w:ind w:left="178" w:hanging="178"/>
              <w:rPr>
                <w:rFonts w:ascii="Times New Roman" w:hAnsi="Times New Roman" w:cs="Times New Roman"/>
                <w:sz w:val="14"/>
                <w:szCs w:val="14"/>
              </w:rPr>
            </w:pPr>
            <w:r w:rsidRPr="00AD22FD">
              <w:rPr>
                <w:rFonts w:ascii="Times New Roman" w:hAnsi="Times New Roman" w:cs="Times New Roman"/>
                <w:sz w:val="14"/>
                <w:szCs w:val="14"/>
              </w:rPr>
              <w:t>To develop the HLOs (pathways), the Team applied the Route-map / APs’ approach. The APs approach served to identify the timing for and sequencing of measures and, in this way, develop (assemble) several possible ‘adaptation pathways’ (</w:t>
            </w:r>
            <w:r w:rsidRPr="00AD22FD">
              <w:rPr>
                <w:rFonts w:ascii="Times New Roman" w:hAnsi="Times New Roman" w:cs="Times New Roman"/>
                <w:color w:val="7F7F7F" w:themeColor="text1" w:themeTint="80"/>
                <w:sz w:val="14"/>
                <w:szCs w:val="14"/>
              </w:rPr>
              <w:t>Ranger et al. 2013, p.233, 239, 258</w:t>
            </w:r>
            <w:r w:rsidRPr="00AD22FD">
              <w:rPr>
                <w:rFonts w:ascii="Times New Roman" w:hAnsi="Times New Roman" w:cs="Times New Roman"/>
                <w:sz w:val="14"/>
                <w:szCs w:val="14"/>
              </w:rPr>
              <w:t>).</w:t>
            </w:r>
            <w:r w:rsidRPr="00AD22FD">
              <w:rPr>
                <w:rFonts w:ascii="Times New Roman" w:hAnsi="Times New Roman" w:cs="Times New Roman"/>
                <w:color w:val="C00000"/>
                <w:sz w:val="14"/>
                <w:szCs w:val="14"/>
              </w:rPr>
              <w:t xml:space="preserve"> </w:t>
            </w:r>
            <w:r w:rsidRPr="00AD22FD">
              <w:rPr>
                <w:rFonts w:ascii="Times New Roman" w:hAnsi="Times New Roman" w:cs="Times New Roman"/>
                <w:sz w:val="14"/>
                <w:szCs w:val="14"/>
              </w:rPr>
              <w:t>In other words, the Team has used the measures previously identified, explored their timing and sequencing over time under different amounts/ figures of water level rise, and in this way, designed various possible pathways (</w:t>
            </w:r>
            <w:r w:rsidRPr="00AD22FD">
              <w:rPr>
                <w:rFonts w:ascii="Times New Roman" w:hAnsi="Times New Roman" w:cs="Times New Roman"/>
                <w:color w:val="7F7F7F" w:themeColor="text1" w:themeTint="80"/>
                <w:sz w:val="14"/>
                <w:szCs w:val="14"/>
              </w:rPr>
              <w:t>ibid</w:t>
            </w:r>
            <w:r w:rsidRPr="00AD22FD">
              <w:rPr>
                <w:rFonts w:ascii="Times New Roman" w:hAnsi="Times New Roman" w:cs="Times New Roman"/>
                <w:sz w:val="14"/>
                <w:szCs w:val="14"/>
              </w:rPr>
              <w:t>). Based on the lifetime, engineering limits and cost-effectiveness of each measure (investigated in Step 2a), several HLOs were assembled and represented in a preliminary route-map (</w:t>
            </w:r>
            <w:r w:rsidRPr="00AD22FD">
              <w:rPr>
                <w:rFonts w:ascii="Times New Roman" w:hAnsi="Times New Roman" w:cs="Times New Roman"/>
                <w:color w:val="7F7F7F" w:themeColor="text1" w:themeTint="80"/>
                <w:sz w:val="14"/>
                <w:szCs w:val="14"/>
              </w:rPr>
              <w:t>Ranger et al. 2013, p.242</w:t>
            </w:r>
            <w:r w:rsidRPr="00AD22FD">
              <w:rPr>
                <w:rFonts w:ascii="Times New Roman" w:hAnsi="Times New Roman" w:cs="Times New Roman"/>
                <w:sz w:val="14"/>
                <w:szCs w:val="14"/>
              </w:rPr>
              <w:t>). The High++ scenario set the upper bound for the route-map (</w:t>
            </w:r>
            <w:r w:rsidRPr="00AD22FD">
              <w:rPr>
                <w:rFonts w:ascii="Times New Roman" w:hAnsi="Times New Roman" w:cs="Times New Roman"/>
                <w:color w:val="7F7F7F" w:themeColor="text1" w:themeTint="80"/>
                <w:sz w:val="14"/>
                <w:szCs w:val="14"/>
              </w:rPr>
              <w:t>Ranger et al. 2013, p.243</w:t>
            </w:r>
            <w:r w:rsidRPr="00AD22FD">
              <w:rPr>
                <w:rFonts w:ascii="Times New Roman" w:hAnsi="Times New Roman" w:cs="Times New Roman"/>
                <w:sz w:val="14"/>
                <w:szCs w:val="14"/>
              </w:rPr>
              <w:t xml:space="preserve">). </w:t>
            </w:r>
          </w:p>
          <w:p w14:paraId="56E44825" w14:textId="012E146E" w:rsidR="00C04B00" w:rsidRPr="00AD22FD" w:rsidRDefault="00C04B00" w:rsidP="001522F8">
            <w:pPr>
              <w:pStyle w:val="tablecontenttext"/>
              <w:numPr>
                <w:ilvl w:val="0"/>
                <w:numId w:val="8"/>
              </w:numPr>
              <w:spacing w:line="240" w:lineRule="auto"/>
              <w:ind w:left="178" w:hanging="178"/>
              <w:rPr>
                <w:rFonts w:ascii="Times New Roman" w:hAnsi="Times New Roman" w:cs="Times New Roman"/>
                <w:sz w:val="14"/>
                <w:szCs w:val="14"/>
              </w:rPr>
            </w:pPr>
            <w:r w:rsidRPr="00AD22FD">
              <w:rPr>
                <w:rFonts w:ascii="Times New Roman" w:hAnsi="Times New Roman" w:cs="Times New Roman"/>
                <w:sz w:val="14"/>
                <w:szCs w:val="14"/>
              </w:rPr>
              <w:t>The development of the HLOs implied the detection of critical thresholds – i.e. a</w:t>
            </w:r>
            <w:r w:rsidRPr="00AD22FD">
              <w:rPr>
                <w:rFonts w:ascii="Times New Roman" w:hAnsi="Times New Roman" w:cs="Times New Roman"/>
                <w:i/>
                <w:iCs w:val="0"/>
                <w:sz w:val="14"/>
                <w:szCs w:val="14"/>
              </w:rPr>
              <w:t xml:space="preserve"> threshold analysis</w:t>
            </w:r>
            <w:r w:rsidRPr="00AD22FD">
              <w:rPr>
                <w:rFonts w:ascii="Times New Roman" w:hAnsi="Times New Roman" w:cs="Times New Roman"/>
                <w:sz w:val="14"/>
                <w:szCs w:val="14"/>
              </w:rPr>
              <w:t xml:space="preserve"> (testing the diverse measures on their suitability under rising water levels) (</w:t>
            </w:r>
            <w:r w:rsidR="00F77E53" w:rsidRPr="00AD22FD">
              <w:rPr>
                <w:rFonts w:ascii="Times New Roman" w:hAnsi="Times New Roman" w:cs="Times New Roman"/>
                <w:color w:val="7F7F7F" w:themeColor="text1" w:themeTint="80"/>
                <w:sz w:val="14"/>
                <w:szCs w:val="14"/>
              </w:rPr>
              <w:t>EA 2009b</w:t>
            </w:r>
            <w:r w:rsidRPr="00AD22FD">
              <w:rPr>
                <w:rFonts w:ascii="Times New Roman" w:hAnsi="Times New Roman" w:cs="Times New Roman"/>
                <w:color w:val="7F7F7F" w:themeColor="text1" w:themeTint="80"/>
                <w:sz w:val="14"/>
                <w:szCs w:val="14"/>
              </w:rPr>
              <w:t>, p.3, 10</w:t>
            </w:r>
            <w:r w:rsidRPr="00AD22FD">
              <w:rPr>
                <w:rFonts w:ascii="Times New Roman" w:hAnsi="Times New Roman" w:cs="Times New Roman"/>
                <w:sz w:val="14"/>
                <w:szCs w:val="14"/>
              </w:rPr>
              <w:t>), including thresholds for existing defences</w:t>
            </w:r>
            <w:r w:rsidRPr="00AD22FD">
              <w:rPr>
                <w:rFonts w:ascii="Times New Roman" w:hAnsi="Times New Roman" w:cs="Times New Roman"/>
                <w:color w:val="00B050"/>
                <w:sz w:val="14"/>
                <w:szCs w:val="14"/>
              </w:rPr>
              <w:t xml:space="preserve"> </w:t>
            </w:r>
            <w:r w:rsidRPr="00AD22FD">
              <w:rPr>
                <w:rFonts w:ascii="Times New Roman" w:hAnsi="Times New Roman" w:cs="Times New Roman"/>
                <w:sz w:val="14"/>
                <w:szCs w:val="14"/>
              </w:rPr>
              <w:t>(e.g. their useful life) and conditions under which a measure no longer meets pre-specified criteria and it is necessary to take a new measure (</w:t>
            </w:r>
            <w:r w:rsidRPr="00AD22FD">
              <w:rPr>
                <w:rFonts w:ascii="Times New Roman" w:hAnsi="Times New Roman" w:cs="Times New Roman"/>
                <w:color w:val="7F7F7F" w:themeColor="text1" w:themeTint="80"/>
                <w:sz w:val="14"/>
                <w:szCs w:val="14"/>
              </w:rPr>
              <w:t>Ranger et al. 2013, p.250</w:t>
            </w:r>
            <w:r w:rsidRPr="00AD22FD">
              <w:rPr>
                <w:rFonts w:ascii="Times New Roman" w:hAnsi="Times New Roman" w:cs="Times New Roman"/>
                <w:sz w:val="14"/>
                <w:szCs w:val="14"/>
              </w:rPr>
              <w:t>). In this way, it was possible to design various pathways (</w:t>
            </w:r>
            <w:r w:rsidRPr="00AD22FD">
              <w:rPr>
                <w:rFonts w:ascii="Times New Roman" w:hAnsi="Times New Roman" w:cs="Times New Roman"/>
                <w:color w:val="7F7F7F" w:themeColor="text1" w:themeTint="80"/>
                <w:sz w:val="14"/>
                <w:szCs w:val="14"/>
              </w:rPr>
              <w:t>Ranger et al. 2013, p.233, 239, 258; Reeder and Ranger 2011, p.6</w:t>
            </w:r>
            <w:r w:rsidRPr="00AD22FD">
              <w:rPr>
                <w:rFonts w:ascii="Times New Roman" w:hAnsi="Times New Roman" w:cs="Times New Roman"/>
                <w:sz w:val="14"/>
                <w:szCs w:val="14"/>
              </w:rPr>
              <w:t>). Hence, each HLO / pathway is made up of measures to cope with thresholds over time (</w:t>
            </w:r>
            <w:r w:rsidRPr="00AD22FD">
              <w:rPr>
                <w:rFonts w:ascii="Times New Roman" w:hAnsi="Times New Roman" w:cs="Times New Roman"/>
                <w:color w:val="7F7F7F" w:themeColor="text1" w:themeTint="80"/>
                <w:sz w:val="14"/>
                <w:szCs w:val="14"/>
              </w:rPr>
              <w:t>Reeder and Ranger 2011, p.6,</w:t>
            </w:r>
            <w:r w:rsidRPr="00AD22FD">
              <w:rPr>
                <w:rFonts w:ascii="Times New Roman" w:hAnsi="Times New Roman" w:cs="Times New Roman"/>
                <w:sz w:val="14"/>
                <w:szCs w:val="14"/>
              </w:rPr>
              <w:t>).</w:t>
            </w:r>
          </w:p>
          <w:p w14:paraId="0EB0A64F" w14:textId="605546C8" w:rsidR="00C04B00" w:rsidRPr="00AD22FD" w:rsidRDefault="00C04B00" w:rsidP="001522F8">
            <w:pPr>
              <w:pStyle w:val="tablecontenttext"/>
              <w:spacing w:line="240" w:lineRule="auto"/>
              <w:ind w:left="320"/>
              <w:rPr>
                <w:rFonts w:ascii="Times New Roman" w:hAnsi="Times New Roman" w:cs="Times New Roman"/>
                <w:sz w:val="14"/>
                <w:szCs w:val="14"/>
              </w:rPr>
            </w:pPr>
            <w:r w:rsidRPr="00AD22FD">
              <w:rPr>
                <w:rFonts w:ascii="Times New Roman" w:hAnsi="Times New Roman" w:cs="Times New Roman"/>
                <w:sz w:val="14"/>
                <w:szCs w:val="14"/>
              </w:rPr>
              <w:t>In step 2a, the Team had identified and assessed diverse measures and ‘</w:t>
            </w:r>
            <w:r w:rsidRPr="00AD22FD">
              <w:rPr>
                <w:rFonts w:ascii="Times New Roman" w:hAnsi="Times New Roman" w:cs="Times New Roman"/>
                <w:i/>
                <w:iCs w:val="0"/>
                <w:sz w:val="14"/>
                <w:szCs w:val="14"/>
              </w:rPr>
              <w:t xml:space="preserve">portfolios </w:t>
            </w:r>
            <w:r w:rsidRPr="00AD22FD">
              <w:rPr>
                <w:rFonts w:ascii="Times New Roman" w:hAnsi="Times New Roman" w:cs="Times New Roman"/>
                <w:sz w:val="14"/>
                <w:szCs w:val="14"/>
              </w:rPr>
              <w:t xml:space="preserve">of measures’ on their effectiveness (e.g. using hydraulic modelling). Using this method, it was possible to identify thresholds (conditions under which a measure ceases to be effective) and explore </w:t>
            </w:r>
            <w:r w:rsidRPr="00AD22FD">
              <w:rPr>
                <w:rFonts w:ascii="Times New Roman" w:hAnsi="Times New Roman" w:cs="Times New Roman"/>
                <w:sz w:val="14"/>
                <w:szCs w:val="14"/>
              </w:rPr>
              <w:lastRenderedPageBreak/>
              <w:t>alternative measures to tackle such thresholds. In this way, the pathways emerged. Several pathways were designed, then tested and refined (leading to the HLOs shown in the route-map) (</w:t>
            </w:r>
            <w:r w:rsidRPr="00AD22FD">
              <w:rPr>
                <w:rFonts w:ascii="Times New Roman" w:hAnsi="Times New Roman" w:cs="Times New Roman"/>
                <w:color w:val="7F7F7F" w:themeColor="text1" w:themeTint="80"/>
                <w:sz w:val="14"/>
                <w:szCs w:val="14"/>
              </w:rPr>
              <w:t xml:space="preserve">Ramsbottom and Sheppard 2017, p.10, 5;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p.285-286</w:t>
            </w:r>
            <w:r w:rsidRPr="00AD22FD">
              <w:rPr>
                <w:rFonts w:ascii="Times New Roman" w:hAnsi="Times New Roman" w:cs="Times New Roman"/>
                <w:sz w:val="14"/>
                <w:szCs w:val="14"/>
              </w:rPr>
              <w:t xml:space="preserve">). </w:t>
            </w:r>
          </w:p>
          <w:p w14:paraId="29E8E9A3" w14:textId="1F0FC02C" w:rsidR="00C04B00" w:rsidRPr="00AD22FD" w:rsidRDefault="00C04B00" w:rsidP="001522F8">
            <w:pPr>
              <w:pStyle w:val="tablecontenttext"/>
              <w:numPr>
                <w:ilvl w:val="0"/>
                <w:numId w:val="8"/>
              </w:numPr>
              <w:spacing w:line="240" w:lineRule="auto"/>
              <w:ind w:left="183" w:hanging="183"/>
              <w:rPr>
                <w:rFonts w:ascii="Times New Roman" w:hAnsi="Times New Roman" w:cs="Times New Roman"/>
                <w:sz w:val="14"/>
                <w:szCs w:val="14"/>
                <w:lang w:val="en-US"/>
              </w:rPr>
            </w:pPr>
            <w:r w:rsidRPr="00AD22FD">
              <w:rPr>
                <w:rFonts w:ascii="Times New Roman" w:hAnsi="Times New Roman" w:cs="Times New Roman"/>
                <w:sz w:val="14"/>
                <w:szCs w:val="14"/>
              </w:rPr>
              <w:t>To design the pathways (HLOs), it was necessary to assemble sequences of measures (</w:t>
            </w:r>
            <w:r w:rsidRPr="00AD22FD">
              <w:rPr>
                <w:rFonts w:ascii="Times New Roman" w:hAnsi="Times New Roman" w:cs="Times New Roman"/>
                <w:i/>
                <w:iCs w:val="0"/>
                <w:sz w:val="14"/>
                <w:szCs w:val="14"/>
              </w:rPr>
              <w:t>individual measures</w:t>
            </w:r>
            <w:r w:rsidRPr="00AD22FD">
              <w:rPr>
                <w:rFonts w:ascii="Times New Roman" w:hAnsi="Times New Roman" w:cs="Times New Roman"/>
                <w:sz w:val="14"/>
                <w:szCs w:val="14"/>
              </w:rPr>
              <w:t xml:space="preserve"> or </w:t>
            </w:r>
            <w:r w:rsidRPr="00AD22FD">
              <w:rPr>
                <w:rFonts w:ascii="Times New Roman" w:hAnsi="Times New Roman" w:cs="Times New Roman"/>
                <w:i/>
                <w:iCs w:val="0"/>
                <w:sz w:val="14"/>
                <w:szCs w:val="14"/>
              </w:rPr>
              <w:t>portfolios of measures</w:t>
            </w:r>
            <w:r w:rsidRPr="00AD22FD">
              <w:rPr>
                <w:rFonts w:ascii="Times New Roman" w:hAnsi="Times New Roman" w:cs="Times New Roman"/>
                <w:sz w:val="14"/>
                <w:szCs w:val="14"/>
              </w:rPr>
              <w:t xml:space="preserve">) to manage flood risk over </w:t>
            </w:r>
            <w:proofErr w:type="gramStart"/>
            <w:r w:rsidRPr="00AD22FD">
              <w:rPr>
                <w:rFonts w:ascii="Times New Roman" w:hAnsi="Times New Roman" w:cs="Times New Roman"/>
                <w:sz w:val="14"/>
                <w:szCs w:val="14"/>
              </w:rPr>
              <w:t>time;</w:t>
            </w:r>
            <w:proofErr w:type="gramEnd"/>
            <w:r w:rsidRPr="00AD22FD">
              <w:rPr>
                <w:rFonts w:ascii="Times New Roman" w:hAnsi="Times New Roman" w:cs="Times New Roman"/>
                <w:sz w:val="14"/>
                <w:szCs w:val="14"/>
              </w:rPr>
              <w:t xml:space="preserve"> which implied analysing when each measure (or </w:t>
            </w:r>
            <w:r w:rsidRPr="00AD22FD">
              <w:rPr>
                <w:rFonts w:ascii="Times New Roman" w:hAnsi="Times New Roman" w:cs="Times New Roman"/>
                <w:i/>
                <w:iCs w:val="0"/>
                <w:sz w:val="14"/>
                <w:szCs w:val="14"/>
              </w:rPr>
              <w:t>portfolio</w:t>
            </w:r>
            <w:r w:rsidRPr="00AD22FD">
              <w:rPr>
                <w:rFonts w:ascii="Times New Roman" w:hAnsi="Times New Roman" w:cs="Times New Roman"/>
                <w:sz w:val="14"/>
                <w:szCs w:val="14"/>
              </w:rPr>
              <w:t>) will reach a threshold (the maximum acceptable flood probability) and another measure is needed (</w:t>
            </w:r>
            <w:r w:rsidRPr="00AD22FD">
              <w:rPr>
                <w:rFonts w:ascii="Times New Roman" w:hAnsi="Times New Roman" w:cs="Times New Roman"/>
                <w:color w:val="7F7F7F" w:themeColor="text1" w:themeTint="80"/>
                <w:sz w:val="14"/>
                <w:szCs w:val="14"/>
              </w:rPr>
              <w:t>Ramsbottom and Sheppard 2017, p.4-5</w:t>
            </w:r>
            <w:r w:rsidRPr="00AD22FD">
              <w:rPr>
                <w:rFonts w:ascii="Times New Roman" w:hAnsi="Times New Roman" w:cs="Times New Roman"/>
                <w:sz w:val="14"/>
                <w:szCs w:val="14"/>
              </w:rPr>
              <w:t xml:space="preserve">). The </w:t>
            </w:r>
            <w:r w:rsidRPr="00AD22FD">
              <w:rPr>
                <w:rFonts w:ascii="Times New Roman" w:hAnsi="Times New Roman" w:cs="Times New Roman"/>
                <w:i/>
                <w:iCs w:val="0"/>
                <w:sz w:val="14"/>
                <w:szCs w:val="14"/>
              </w:rPr>
              <w:t>measures</w:t>
            </w:r>
            <w:r w:rsidRPr="00AD22FD">
              <w:rPr>
                <w:rFonts w:ascii="Times New Roman" w:hAnsi="Times New Roman" w:cs="Times New Roman"/>
                <w:sz w:val="14"/>
                <w:szCs w:val="14"/>
              </w:rPr>
              <w:t xml:space="preserve"> and </w:t>
            </w:r>
            <w:r w:rsidRPr="00AD22FD">
              <w:rPr>
                <w:rFonts w:ascii="Times New Roman" w:hAnsi="Times New Roman" w:cs="Times New Roman"/>
                <w:i/>
                <w:sz w:val="14"/>
                <w:szCs w:val="14"/>
              </w:rPr>
              <w:t>portfolios</w:t>
            </w:r>
            <w:r w:rsidRPr="00AD22FD">
              <w:rPr>
                <w:rFonts w:ascii="Times New Roman" w:hAnsi="Times New Roman" w:cs="Times New Roman"/>
                <w:sz w:val="14"/>
                <w:szCs w:val="14"/>
              </w:rPr>
              <w:t xml:space="preserve"> pre</w:t>
            </w:r>
            <w:r w:rsidRPr="00AD22FD">
              <w:rPr>
                <w:rFonts w:ascii="Times New Roman" w:hAnsi="Times New Roman" w:cs="Times New Roman"/>
                <w:iCs w:val="0"/>
                <w:sz w:val="14"/>
                <w:szCs w:val="14"/>
              </w:rPr>
              <w:t xml:space="preserve">identified </w:t>
            </w:r>
            <w:r w:rsidRPr="00AD22FD">
              <w:rPr>
                <w:rFonts w:ascii="Times New Roman" w:hAnsi="Times New Roman" w:cs="Times New Roman"/>
                <w:sz w:val="14"/>
                <w:szCs w:val="14"/>
              </w:rPr>
              <w:t>(in Step 2a) were used to create (assemble) several pathways (HLOs); b</w:t>
            </w:r>
            <w:r w:rsidRPr="00AD22FD">
              <w:rPr>
                <w:rFonts w:ascii="Times New Roman" w:hAnsi="Times New Roman" w:cs="Times New Roman"/>
                <w:iCs w:val="0"/>
                <w:sz w:val="14"/>
                <w:szCs w:val="14"/>
              </w:rPr>
              <w:t>y sequencing them in diverse ways</w:t>
            </w:r>
            <w:r w:rsidRPr="00AD22FD">
              <w:rPr>
                <w:rFonts w:ascii="Times New Roman" w:hAnsi="Times New Roman" w:cs="Times New Roman"/>
                <w:sz w:val="14"/>
                <w:szCs w:val="14"/>
              </w:rPr>
              <w:t>, it was possible to produce different pathways (i.e. packages of sequenced measures or sequenced portfolios) (</w:t>
            </w:r>
            <w:r w:rsidRPr="00AD22FD">
              <w:rPr>
                <w:rFonts w:ascii="Times New Roman" w:hAnsi="Times New Roman" w:cs="Times New Roman"/>
                <w:color w:val="7F7F7F" w:themeColor="text1" w:themeTint="80"/>
                <w:sz w:val="14"/>
                <w:szCs w:val="14"/>
              </w:rPr>
              <w:t xml:space="preserve">Ramsbottom and Sheppard 2017, p.5; HM Treasury 2009, p.23;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p.149-150; 285-286, 296</w:t>
            </w:r>
            <w:r w:rsidRPr="00AD22FD">
              <w:rPr>
                <w:rFonts w:ascii="Times New Roman" w:hAnsi="Times New Roman" w:cs="Times New Roman"/>
                <w:sz w:val="14"/>
                <w:szCs w:val="14"/>
              </w:rPr>
              <w:t xml:space="preserve">). Thus, the development of the </w:t>
            </w:r>
            <w:r w:rsidRPr="00AD22FD">
              <w:rPr>
                <w:rFonts w:ascii="Times New Roman" w:hAnsi="Times New Roman" w:cs="Times New Roman"/>
                <w:i/>
                <w:iCs w:val="0"/>
                <w:sz w:val="14"/>
                <w:szCs w:val="14"/>
              </w:rPr>
              <w:t>HLOs</w:t>
            </w:r>
            <w:r w:rsidRPr="00AD22FD">
              <w:rPr>
                <w:rFonts w:ascii="Times New Roman" w:hAnsi="Times New Roman" w:cs="Times New Roman"/>
                <w:sz w:val="14"/>
                <w:szCs w:val="14"/>
              </w:rPr>
              <w:t xml:space="preserve"> implied</w:t>
            </w:r>
            <w:r w:rsidRPr="00AD22FD">
              <w:rPr>
                <w:rFonts w:ascii="Times New Roman" w:hAnsi="Times New Roman" w:cs="Times New Roman"/>
                <w:strike/>
                <w:sz w:val="14"/>
                <w:szCs w:val="14"/>
              </w:rPr>
              <w:t xml:space="preserve"> </w:t>
            </w:r>
            <w:r w:rsidRPr="00AD22FD">
              <w:rPr>
                <w:rFonts w:ascii="Times New Roman" w:hAnsi="Times New Roman" w:cs="Times New Roman"/>
                <w:sz w:val="14"/>
                <w:szCs w:val="14"/>
              </w:rPr>
              <w:t>sequencing measures to assemble several possible pathways: when a measure reached a threshold level, another measure was needed, and a pathway emerged. The pathways created (</w:t>
            </w:r>
            <w:r w:rsidRPr="00AD22FD">
              <w:rPr>
                <w:rFonts w:ascii="Times New Roman" w:hAnsi="Times New Roman" w:cs="Times New Roman"/>
                <w:iCs w:val="0"/>
                <w:sz w:val="14"/>
                <w:szCs w:val="14"/>
              </w:rPr>
              <w:t xml:space="preserve">HLOs) </w:t>
            </w:r>
            <w:proofErr w:type="gramStart"/>
            <w:r w:rsidRPr="00AD22FD">
              <w:rPr>
                <w:rFonts w:ascii="Times New Roman" w:hAnsi="Times New Roman" w:cs="Times New Roman"/>
                <w:iCs w:val="0"/>
                <w:sz w:val="14"/>
                <w:szCs w:val="14"/>
              </w:rPr>
              <w:t xml:space="preserve">are </w:t>
            </w:r>
            <w:r w:rsidRPr="00AD22FD">
              <w:rPr>
                <w:rFonts w:ascii="Times New Roman" w:hAnsi="Times New Roman" w:cs="Times New Roman"/>
                <w:sz w:val="14"/>
                <w:szCs w:val="14"/>
              </w:rPr>
              <w:t>able to</w:t>
            </w:r>
            <w:proofErr w:type="gramEnd"/>
            <w:r w:rsidRPr="00AD22FD">
              <w:rPr>
                <w:rFonts w:ascii="Times New Roman" w:hAnsi="Times New Roman" w:cs="Times New Roman"/>
                <w:sz w:val="14"/>
                <w:szCs w:val="14"/>
              </w:rPr>
              <w:t xml:space="preserve"> deal with differing levels of water level rise </w:t>
            </w:r>
            <w:r w:rsidRPr="00AD22FD">
              <w:rPr>
                <w:rFonts w:ascii="Times New Roman" w:hAnsi="Times New Roman" w:cs="Times New Roman"/>
                <w:sz w:val="14"/>
                <w:szCs w:val="14"/>
                <w:lang w:val="en-US"/>
              </w:rPr>
              <w:t xml:space="preserve">(expressed in </w:t>
            </w:r>
            <w:proofErr w:type="spellStart"/>
            <w:r w:rsidRPr="00AD22FD">
              <w:rPr>
                <w:rFonts w:ascii="Times New Roman" w:hAnsi="Times New Roman" w:cs="Times New Roman"/>
                <w:sz w:val="14"/>
                <w:szCs w:val="14"/>
                <w:lang w:val="en-US"/>
              </w:rPr>
              <w:t>metres</w:t>
            </w:r>
            <w:proofErr w:type="spellEnd"/>
            <w:r w:rsidRPr="00AD22FD">
              <w:rPr>
                <w:rFonts w:ascii="Times New Roman" w:hAnsi="Times New Roman" w:cs="Times New Roman"/>
                <w:sz w:val="14"/>
                <w:szCs w:val="14"/>
                <w:lang w:val="en-US"/>
              </w:rPr>
              <w:t>, without considering time at this stage</w:t>
            </w:r>
            <w:r w:rsidRPr="00AD22FD">
              <w:rPr>
                <w:rFonts w:ascii="Times New Roman" w:hAnsi="Times New Roman" w:cs="Times New Roman"/>
                <w:sz w:val="14"/>
                <w:szCs w:val="14"/>
              </w:rPr>
              <w:t>)</w:t>
            </w:r>
            <w:r w:rsidRPr="00AD22FD">
              <w:rPr>
                <w:rStyle w:val="Refdenotaderodap"/>
                <w:rFonts w:ascii="Times New Roman" w:hAnsi="Times New Roman" w:cs="Times New Roman"/>
                <w:sz w:val="14"/>
                <w:szCs w:val="14"/>
              </w:rPr>
              <w:footnoteReference w:id="7"/>
            </w:r>
            <w:r w:rsidRPr="00AD22FD">
              <w:rPr>
                <w:rFonts w:ascii="Times New Roman" w:hAnsi="Times New Roman" w:cs="Times New Roman"/>
                <w:sz w:val="14"/>
                <w:szCs w:val="14"/>
              </w:rPr>
              <w:t xml:space="preserve"> (</w:t>
            </w:r>
            <w:r w:rsidRPr="00AD22FD">
              <w:rPr>
                <w:rFonts w:ascii="Times New Roman" w:hAnsi="Times New Roman" w:cs="Times New Roman"/>
                <w:color w:val="7F7F7F" w:themeColor="text1" w:themeTint="80"/>
                <w:sz w:val="14"/>
                <w:szCs w:val="14"/>
              </w:rPr>
              <w:t>Ramsbottom and Sheppard 2017, p.10; HM Treasury 2009, p.23</w:t>
            </w:r>
            <w:r w:rsidRPr="00AD22FD">
              <w:rPr>
                <w:rFonts w:ascii="Times New Roman" w:hAnsi="Times New Roman" w:cs="Times New Roman"/>
                <w:sz w:val="14"/>
                <w:szCs w:val="14"/>
              </w:rPr>
              <w:t xml:space="preserve">). </w:t>
            </w:r>
          </w:p>
          <w:p w14:paraId="6757C9E2" w14:textId="156E5C5E" w:rsidR="00C04B00" w:rsidRPr="00AD22FD" w:rsidRDefault="00C04B00" w:rsidP="001522F8">
            <w:pPr>
              <w:pStyle w:val="tablecontenttext"/>
              <w:numPr>
                <w:ilvl w:val="0"/>
                <w:numId w:val="8"/>
              </w:numPr>
              <w:spacing w:line="240" w:lineRule="auto"/>
              <w:ind w:left="183" w:hanging="183"/>
              <w:rPr>
                <w:rFonts w:ascii="Times New Roman" w:hAnsi="Times New Roman" w:cs="Times New Roman"/>
                <w:sz w:val="14"/>
                <w:szCs w:val="14"/>
              </w:rPr>
            </w:pPr>
            <w:r w:rsidRPr="00AD22FD">
              <w:rPr>
                <w:rFonts w:ascii="Times New Roman" w:hAnsi="Times New Roman" w:cs="Times New Roman"/>
                <w:sz w:val="14"/>
                <w:szCs w:val="14"/>
              </w:rPr>
              <w:t xml:space="preserve">The HLOs designed were represented in a </w:t>
            </w:r>
            <w:r w:rsidRPr="00AD22FD">
              <w:rPr>
                <w:rFonts w:ascii="Times New Roman" w:hAnsi="Times New Roman" w:cs="Times New Roman"/>
                <w:i/>
                <w:sz w:val="14"/>
                <w:szCs w:val="14"/>
              </w:rPr>
              <w:t>route-map</w:t>
            </w:r>
            <w:r w:rsidRPr="00AD22FD">
              <w:rPr>
                <w:rFonts w:ascii="Times New Roman" w:hAnsi="Times New Roman" w:cs="Times New Roman"/>
                <w:sz w:val="14"/>
                <w:szCs w:val="14"/>
              </w:rPr>
              <w:t xml:space="preserve">. // Five possible HLOs (pathways) were developed and represented in a </w:t>
            </w:r>
            <w:r w:rsidRPr="00AD22FD">
              <w:rPr>
                <w:rFonts w:ascii="Times New Roman" w:hAnsi="Times New Roman" w:cs="Times New Roman"/>
                <w:i/>
                <w:iCs w:val="0"/>
                <w:sz w:val="14"/>
                <w:szCs w:val="14"/>
              </w:rPr>
              <w:t>route-map</w:t>
            </w:r>
            <w:r w:rsidRPr="00AD22FD">
              <w:rPr>
                <w:rFonts w:ascii="Times New Roman" w:hAnsi="Times New Roman" w:cs="Times New Roman"/>
                <w:sz w:val="14"/>
                <w:szCs w:val="14"/>
              </w:rPr>
              <w:t>. On their whole, the HLOs can cope with the estimated plausible range of increases in water levels in the TE until 2100 (up to 4,2m) (</w:t>
            </w:r>
            <w:r w:rsidRPr="00AD22FD">
              <w:rPr>
                <w:rFonts w:ascii="Times New Roman" w:hAnsi="Times New Roman" w:cs="Times New Roman"/>
                <w:color w:val="7F7F7F" w:themeColor="text1" w:themeTint="80"/>
                <w:sz w:val="14"/>
                <w:szCs w:val="14"/>
              </w:rPr>
              <w:t xml:space="preserve">Reeder and Ranger 2011, p.8; Ranger et al. 2013, p.250; </w:t>
            </w:r>
            <w:proofErr w:type="spellStart"/>
            <w:r w:rsidRPr="00AD22FD">
              <w:rPr>
                <w:rFonts w:ascii="Times New Roman" w:hAnsi="Times New Roman" w:cs="Times New Roman"/>
                <w:color w:val="7F7F7F" w:themeColor="text1" w:themeTint="80"/>
                <w:sz w:val="14"/>
                <w:szCs w:val="14"/>
              </w:rPr>
              <w:t>Jeuken</w:t>
            </w:r>
            <w:proofErr w:type="spellEnd"/>
            <w:r w:rsidRPr="00AD22FD">
              <w:rPr>
                <w:rFonts w:ascii="Times New Roman" w:hAnsi="Times New Roman" w:cs="Times New Roman"/>
                <w:color w:val="7F7F7F" w:themeColor="text1" w:themeTint="80"/>
                <w:sz w:val="14"/>
                <w:szCs w:val="14"/>
              </w:rPr>
              <w:t xml:space="preserve"> and Reeder 2011, p.4; Bloemen et al. 2018, p.7;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p.140</w:t>
            </w:r>
            <w:r w:rsidRPr="00AD22FD">
              <w:rPr>
                <w:rFonts w:ascii="Times New Roman" w:hAnsi="Times New Roman" w:cs="Times New Roman"/>
                <w:sz w:val="14"/>
                <w:szCs w:val="14"/>
              </w:rPr>
              <w:t>).</w:t>
            </w:r>
            <w:r w:rsidRPr="00AD22FD">
              <w:rPr>
                <w:rFonts w:ascii="Times New Roman" w:hAnsi="Times New Roman" w:cs="Times New Roman"/>
                <w:color w:val="0070C0"/>
                <w:sz w:val="14"/>
                <w:szCs w:val="14"/>
              </w:rPr>
              <w:t xml:space="preserve"> </w:t>
            </w:r>
          </w:p>
          <w:p w14:paraId="2DE8E1BB" w14:textId="24A10406" w:rsidR="00C04B00" w:rsidRPr="00AD22FD" w:rsidRDefault="00C04B00" w:rsidP="001522F8">
            <w:pPr>
              <w:pStyle w:val="tablecontenttext"/>
              <w:spacing w:line="240" w:lineRule="auto"/>
              <w:ind w:left="321"/>
              <w:rPr>
                <w:rFonts w:ascii="Times New Roman" w:hAnsi="Times New Roman" w:cs="Times New Roman"/>
                <w:iCs w:val="0"/>
                <w:sz w:val="14"/>
                <w:szCs w:val="14"/>
              </w:rPr>
            </w:pPr>
            <w:r w:rsidRPr="00AD22FD">
              <w:rPr>
                <w:rFonts w:ascii="Times New Roman" w:hAnsi="Times New Roman" w:cs="Times New Roman"/>
                <w:sz w:val="14"/>
                <w:szCs w:val="14"/>
              </w:rPr>
              <w:t>Step 2b resulted in a series (a range) of adaptation pathways</w:t>
            </w:r>
            <w:r w:rsidRPr="00AD22FD">
              <w:rPr>
                <w:rFonts w:ascii="Times New Roman" w:hAnsi="Times New Roman" w:cs="Times New Roman"/>
                <w:i/>
                <w:sz w:val="14"/>
                <w:szCs w:val="14"/>
              </w:rPr>
              <w:t xml:space="preserve"> </w:t>
            </w:r>
            <w:r w:rsidRPr="00AD22FD">
              <w:rPr>
                <w:rFonts w:ascii="Times New Roman" w:hAnsi="Times New Roman" w:cs="Times New Roman"/>
                <w:sz w:val="14"/>
                <w:szCs w:val="14"/>
              </w:rPr>
              <w:t>that are</w:t>
            </w:r>
            <w:r w:rsidRPr="00AD22FD">
              <w:rPr>
                <w:rFonts w:ascii="Times New Roman" w:hAnsi="Times New Roman" w:cs="Times New Roman"/>
                <w:i/>
                <w:sz w:val="14"/>
                <w:szCs w:val="14"/>
              </w:rPr>
              <w:t xml:space="preserve"> ‘appropriate to cope with the plausible range of climatic changes that could be seen by 2100</w:t>
            </w:r>
            <w:r w:rsidRPr="00AD22FD">
              <w:rPr>
                <w:rFonts w:ascii="Times New Roman" w:hAnsi="Times New Roman" w:cs="Times New Roman"/>
                <w:sz w:val="14"/>
                <w:szCs w:val="14"/>
              </w:rPr>
              <w:t>’ (</w:t>
            </w:r>
            <w:r w:rsidRPr="00AD22FD">
              <w:rPr>
                <w:rFonts w:ascii="Times New Roman" w:hAnsi="Times New Roman" w:cs="Times New Roman"/>
                <w:color w:val="7F7F7F" w:themeColor="text1" w:themeTint="80"/>
                <w:sz w:val="14"/>
                <w:szCs w:val="14"/>
              </w:rPr>
              <w:t>Reeder and Ranger 2011, p.5</w:t>
            </w:r>
            <w:r w:rsidRPr="00AD22FD">
              <w:rPr>
                <w:rFonts w:ascii="Times New Roman" w:hAnsi="Times New Roman" w:cs="Times New Roman"/>
                <w:sz w:val="14"/>
                <w:szCs w:val="14"/>
              </w:rPr>
              <w:t>), and that can be adapted to changes and uncertain future conditions (</w:t>
            </w:r>
            <w:r w:rsidR="00F77E53" w:rsidRPr="00AD22FD">
              <w:rPr>
                <w:rFonts w:ascii="Times New Roman" w:hAnsi="Times New Roman" w:cs="Times New Roman"/>
                <w:color w:val="7F7F7F" w:themeColor="text1" w:themeTint="80"/>
                <w:sz w:val="14"/>
                <w:szCs w:val="14"/>
              </w:rPr>
              <w:t>EA 2009b</w:t>
            </w:r>
            <w:r w:rsidRPr="00AD22FD">
              <w:rPr>
                <w:rFonts w:ascii="Times New Roman" w:hAnsi="Times New Roman" w:cs="Times New Roman"/>
                <w:color w:val="7F7F7F" w:themeColor="text1" w:themeTint="80"/>
                <w:sz w:val="14"/>
                <w:szCs w:val="14"/>
              </w:rPr>
              <w:t>, p.4, 1</w:t>
            </w:r>
            <w:r w:rsidRPr="00AD22FD">
              <w:rPr>
                <w:rFonts w:ascii="Times New Roman" w:hAnsi="Times New Roman" w:cs="Times New Roman"/>
                <w:sz w:val="14"/>
                <w:szCs w:val="14"/>
              </w:rPr>
              <w:t xml:space="preserve">). The various pathways keep risk below acceptable levels while maintaining </w:t>
            </w:r>
            <w:r w:rsidRPr="00AD22FD">
              <w:rPr>
                <w:rFonts w:ascii="Times New Roman" w:hAnsi="Times New Roman" w:cs="Times New Roman"/>
                <w:i/>
                <w:iCs w:val="0"/>
                <w:sz w:val="14"/>
                <w:szCs w:val="14"/>
              </w:rPr>
              <w:t>flexibility</w:t>
            </w:r>
            <w:r w:rsidRPr="00AD22FD">
              <w:rPr>
                <w:rFonts w:ascii="Times New Roman" w:hAnsi="Times New Roman" w:cs="Times New Roman"/>
                <w:sz w:val="14"/>
                <w:szCs w:val="14"/>
              </w:rPr>
              <w:t xml:space="preserve"> by keeping open options (alternatives) to manage future risk (</w:t>
            </w:r>
            <w:r w:rsidRPr="00AD22FD">
              <w:rPr>
                <w:rFonts w:ascii="Times New Roman" w:hAnsi="Times New Roman" w:cs="Times New Roman"/>
                <w:color w:val="7F7F7F" w:themeColor="text1" w:themeTint="80"/>
                <w:sz w:val="14"/>
                <w:szCs w:val="14"/>
              </w:rPr>
              <w:t>Ranger et al. 2013, p.233, 239, 258, 249</w:t>
            </w:r>
            <w:r w:rsidRPr="00AD22FD">
              <w:rPr>
                <w:rFonts w:ascii="Times New Roman" w:hAnsi="Times New Roman" w:cs="Times New Roman"/>
                <w:sz w:val="14"/>
                <w:szCs w:val="14"/>
              </w:rPr>
              <w:t>).</w:t>
            </w:r>
          </w:p>
          <w:p w14:paraId="5A289BB9" w14:textId="1F7139A6" w:rsidR="00C04B00" w:rsidRPr="00AD22FD" w:rsidRDefault="00C04B00" w:rsidP="001522F8">
            <w:pPr>
              <w:pStyle w:val="tablecontenttext"/>
              <w:spacing w:after="120" w:line="240" w:lineRule="auto"/>
              <w:ind w:left="323"/>
              <w:rPr>
                <w:rFonts w:ascii="Times New Roman" w:eastAsiaTheme="minorHAnsi" w:hAnsi="Times New Roman" w:cs="Times New Roman"/>
                <w:color w:val="7F7F7F" w:themeColor="text1" w:themeTint="80"/>
                <w:sz w:val="14"/>
                <w:szCs w:val="14"/>
                <w:lang w:eastAsia="en-US"/>
              </w:rPr>
            </w:pPr>
            <w:r w:rsidRPr="00AD22FD">
              <w:rPr>
                <w:rFonts w:ascii="Times New Roman" w:eastAsiaTheme="minorHAnsi" w:hAnsi="Times New Roman" w:cs="Times New Roman"/>
                <w:sz w:val="14"/>
                <w:szCs w:val="14"/>
                <w:lang w:eastAsia="en-US"/>
              </w:rPr>
              <w:t>The HLOs are a set of five possible pathways (HLO 1, 2, 3a, 3b, 4). Each HLO consists of</w:t>
            </w:r>
            <w:r w:rsidRPr="00AD22FD">
              <w:rPr>
                <w:rFonts w:ascii="Times New Roman" w:eastAsiaTheme="minorHAnsi" w:hAnsi="Times New Roman" w:cs="Times New Roman"/>
                <w:i/>
                <w:sz w:val="14"/>
                <w:szCs w:val="14"/>
                <w:lang w:eastAsia="en-US"/>
              </w:rPr>
              <w:t xml:space="preserve"> </w:t>
            </w:r>
            <w:r w:rsidRPr="00AD22FD">
              <w:rPr>
                <w:rFonts w:ascii="Times New Roman" w:eastAsiaTheme="minorHAnsi" w:hAnsi="Times New Roman" w:cs="Times New Roman"/>
                <w:sz w:val="14"/>
                <w:szCs w:val="14"/>
                <w:lang w:eastAsia="en-US"/>
              </w:rPr>
              <w:t>‘</w:t>
            </w:r>
            <w:r w:rsidRPr="00AD22FD">
              <w:rPr>
                <w:rFonts w:ascii="Times New Roman" w:eastAsiaTheme="minorHAnsi" w:hAnsi="Times New Roman" w:cs="Times New Roman"/>
                <w:i/>
                <w:sz w:val="14"/>
                <w:szCs w:val="14"/>
                <w:lang w:eastAsia="en-US"/>
              </w:rPr>
              <w:t>a pathway or route through the century that can be adapted to the rate of change that we experience</w:t>
            </w:r>
            <w:r w:rsidRPr="00AD22FD">
              <w:rPr>
                <w:rFonts w:ascii="Times New Roman" w:eastAsiaTheme="minorHAnsi" w:hAnsi="Times New Roman" w:cs="Times New Roman"/>
                <w:sz w:val="14"/>
                <w:szCs w:val="14"/>
                <w:lang w:eastAsia="en-US"/>
              </w:rPr>
              <w:t>’ (</w:t>
            </w:r>
            <w:r w:rsidR="00F77E53" w:rsidRPr="00AD22FD">
              <w:rPr>
                <w:rFonts w:ascii="Times New Roman" w:eastAsiaTheme="minorHAnsi" w:hAnsi="Times New Roman" w:cs="Times New Roman"/>
                <w:color w:val="7F7F7F" w:themeColor="text1" w:themeTint="80"/>
                <w:sz w:val="14"/>
                <w:szCs w:val="14"/>
                <w:lang w:eastAsia="en-US"/>
              </w:rPr>
              <w:t>EA 2009b</w:t>
            </w:r>
            <w:r w:rsidRPr="00AD22FD">
              <w:rPr>
                <w:rFonts w:ascii="Times New Roman" w:eastAsiaTheme="minorHAnsi" w:hAnsi="Times New Roman" w:cs="Times New Roman"/>
                <w:color w:val="7F7F7F" w:themeColor="text1" w:themeTint="80"/>
                <w:sz w:val="14"/>
                <w:szCs w:val="14"/>
                <w:lang w:eastAsia="en-US"/>
              </w:rPr>
              <w:t>, p.3</w:t>
            </w:r>
            <w:r w:rsidRPr="00AD22FD">
              <w:rPr>
                <w:rFonts w:ascii="Times New Roman" w:eastAsiaTheme="minorHAnsi" w:hAnsi="Times New Roman" w:cs="Times New Roman"/>
                <w:sz w:val="14"/>
                <w:szCs w:val="14"/>
                <w:lang w:eastAsia="en-US"/>
              </w:rPr>
              <w:t>).</w:t>
            </w:r>
            <w:r w:rsidRPr="00AD22FD">
              <w:rPr>
                <w:rFonts w:ascii="Times New Roman" w:hAnsi="Times New Roman" w:cs="Times New Roman"/>
                <w:iCs w:val="0"/>
                <w:sz w:val="14"/>
                <w:szCs w:val="14"/>
              </w:rPr>
              <w:t xml:space="preserve"> </w:t>
            </w:r>
            <w:r w:rsidRPr="00AD22FD">
              <w:rPr>
                <w:rFonts w:ascii="Times New Roman" w:eastAsiaTheme="minorHAnsi" w:hAnsi="Times New Roman" w:cs="Times New Roman"/>
                <w:sz w:val="14"/>
                <w:szCs w:val="14"/>
                <w:lang w:eastAsia="en-US"/>
              </w:rPr>
              <w:t xml:space="preserve">The route-map shows the HLOs under the range of updated SLR scenarios </w:t>
            </w:r>
            <w:r w:rsidRPr="00AD22FD">
              <w:rPr>
                <w:rFonts w:ascii="Times New Roman" w:eastAsiaTheme="minorHAnsi" w:hAnsi="Times New Roman" w:cs="Times New Roman"/>
                <w:color w:val="C00000"/>
                <w:sz w:val="14"/>
                <w:szCs w:val="14"/>
                <w:lang w:eastAsia="en-US"/>
              </w:rPr>
              <w:t>later</w:t>
            </w:r>
            <w:r w:rsidRPr="00AD22FD">
              <w:rPr>
                <w:rFonts w:ascii="Times New Roman" w:eastAsiaTheme="minorHAnsi" w:hAnsi="Times New Roman" w:cs="Times New Roman"/>
                <w:sz w:val="14"/>
                <w:szCs w:val="14"/>
                <w:lang w:eastAsia="en-US"/>
              </w:rPr>
              <w:t xml:space="preserve"> considered (</w:t>
            </w:r>
            <w:r w:rsidR="00F77E53" w:rsidRPr="00AD22FD">
              <w:rPr>
                <w:rFonts w:ascii="Times New Roman" w:eastAsiaTheme="minorHAnsi" w:hAnsi="Times New Roman" w:cs="Times New Roman"/>
                <w:color w:val="7F7F7F" w:themeColor="text1" w:themeTint="80"/>
                <w:sz w:val="14"/>
                <w:szCs w:val="14"/>
                <w:lang w:eastAsia="en-US"/>
              </w:rPr>
              <w:t>EA 2009b</w:t>
            </w:r>
            <w:r w:rsidRPr="00AD22FD">
              <w:rPr>
                <w:rFonts w:ascii="Times New Roman" w:eastAsiaTheme="minorHAnsi" w:hAnsi="Times New Roman" w:cs="Times New Roman"/>
                <w:color w:val="7F7F7F" w:themeColor="text1" w:themeTint="80"/>
                <w:sz w:val="14"/>
                <w:szCs w:val="14"/>
                <w:lang w:eastAsia="en-US"/>
              </w:rPr>
              <w:t>, p.3, 10</w:t>
            </w:r>
            <w:r w:rsidRPr="00AD22FD">
              <w:rPr>
                <w:rFonts w:ascii="Times New Roman" w:eastAsiaTheme="minorHAnsi" w:hAnsi="Times New Roman" w:cs="Times New Roman"/>
                <w:sz w:val="14"/>
                <w:szCs w:val="14"/>
                <w:lang w:eastAsia="en-US"/>
              </w:rPr>
              <w:t>).</w:t>
            </w:r>
            <w:r w:rsidRPr="00AD22FD">
              <w:rPr>
                <w:rFonts w:ascii="Times New Roman" w:hAnsi="Times New Roman" w:cs="Times New Roman"/>
                <w:iCs w:val="0"/>
                <w:sz w:val="14"/>
                <w:szCs w:val="14"/>
              </w:rPr>
              <w:t xml:space="preserve"> The </w:t>
            </w:r>
            <w:r w:rsidRPr="00AD22FD">
              <w:rPr>
                <w:rFonts w:ascii="Times New Roman" w:hAnsi="Times New Roman" w:cs="Times New Roman"/>
                <w:i/>
                <w:sz w:val="14"/>
                <w:szCs w:val="14"/>
              </w:rPr>
              <w:t>HLOs</w:t>
            </w:r>
            <w:r w:rsidRPr="00AD22FD">
              <w:rPr>
                <w:rFonts w:ascii="Times New Roman" w:hAnsi="Times New Roman" w:cs="Times New Roman"/>
                <w:iCs w:val="0"/>
                <w:sz w:val="14"/>
                <w:szCs w:val="14"/>
              </w:rPr>
              <w:t xml:space="preserve"> were produced in 2007 and subjected of extensive online stakeholder engagement (</w:t>
            </w:r>
            <w:r w:rsidRPr="00AD22FD">
              <w:rPr>
                <w:rFonts w:ascii="Times New Roman" w:hAnsi="Times New Roman" w:cs="Times New Roman"/>
                <w:iCs w:val="0"/>
                <w:color w:val="7F7F7F" w:themeColor="text1" w:themeTint="80"/>
                <w:sz w:val="14"/>
                <w:szCs w:val="14"/>
              </w:rPr>
              <w:t xml:space="preserve">Reeder and Ranger 2011; </w:t>
            </w:r>
            <w:r w:rsidR="00F77E53" w:rsidRPr="00AD22FD">
              <w:rPr>
                <w:rFonts w:ascii="Times New Roman" w:eastAsiaTheme="minorHAnsi" w:hAnsi="Times New Roman" w:cs="Times New Roman"/>
                <w:color w:val="7F7F7F" w:themeColor="text1" w:themeTint="80"/>
                <w:sz w:val="14"/>
                <w:szCs w:val="14"/>
                <w:lang w:eastAsia="en-US"/>
              </w:rPr>
              <w:t>EA 2009b</w:t>
            </w:r>
            <w:r w:rsidRPr="00AD22FD">
              <w:rPr>
                <w:rFonts w:ascii="Times New Roman" w:eastAsiaTheme="minorHAnsi" w:hAnsi="Times New Roman" w:cs="Times New Roman"/>
                <w:color w:val="7F7F7F" w:themeColor="text1" w:themeTint="80"/>
                <w:sz w:val="14"/>
                <w:szCs w:val="14"/>
                <w:lang w:eastAsia="en-US"/>
              </w:rPr>
              <w:t>, p.3; Lowe et al. 2009, p.86</w:t>
            </w:r>
            <w:r w:rsidRPr="00AD22FD">
              <w:rPr>
                <w:rFonts w:ascii="Times New Roman" w:eastAsiaTheme="minorHAnsi" w:hAnsi="Times New Roman" w:cs="Times New Roman"/>
                <w:sz w:val="14"/>
                <w:szCs w:val="14"/>
                <w:lang w:eastAsia="en-US"/>
              </w:rPr>
              <w:t>).</w:t>
            </w:r>
            <w:r w:rsidRPr="00AD22FD">
              <w:rPr>
                <w:rFonts w:ascii="Times New Roman" w:eastAsiaTheme="minorHAnsi" w:hAnsi="Times New Roman" w:cs="Times New Roman"/>
                <w:color w:val="7F7F7F" w:themeColor="text1" w:themeTint="80"/>
                <w:sz w:val="14"/>
                <w:szCs w:val="14"/>
                <w:lang w:eastAsia="en-US"/>
              </w:rPr>
              <w:t xml:space="preserve"> </w:t>
            </w:r>
            <w:r w:rsidRPr="00AD22FD">
              <w:rPr>
                <w:rFonts w:ascii="Times New Roman" w:hAnsi="Times New Roman" w:cs="Times New Roman"/>
                <w:sz w:val="14"/>
                <w:szCs w:val="14"/>
              </w:rPr>
              <w:t xml:space="preserve"> </w:t>
            </w:r>
          </w:p>
          <w:p w14:paraId="5050D571" w14:textId="20387BFC" w:rsidR="00F1509D"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Overall, the design of the </w:t>
            </w:r>
            <w:r w:rsidRPr="00AD22FD">
              <w:rPr>
                <w:rFonts w:ascii="Times New Roman" w:hAnsi="Times New Roman" w:cs="Times New Roman"/>
                <w:i/>
                <w:iCs w:val="0"/>
                <w:sz w:val="14"/>
                <w:szCs w:val="14"/>
              </w:rPr>
              <w:t>HLOs</w:t>
            </w:r>
            <w:r w:rsidR="00F1509D" w:rsidRPr="00AD22FD">
              <w:rPr>
                <w:rFonts w:ascii="Times New Roman" w:hAnsi="Times New Roman" w:cs="Times New Roman"/>
                <w:i/>
                <w:iCs w:val="0"/>
                <w:sz w:val="14"/>
                <w:szCs w:val="14"/>
              </w:rPr>
              <w:t xml:space="preserve"> </w:t>
            </w:r>
            <w:r w:rsidR="00F1509D" w:rsidRPr="00AD22FD">
              <w:rPr>
                <w:rFonts w:ascii="Times New Roman" w:hAnsi="Times New Roman" w:cs="Times New Roman"/>
                <w:sz w:val="14"/>
                <w:szCs w:val="14"/>
              </w:rPr>
              <w:t xml:space="preserve">/ </w:t>
            </w:r>
            <w:r w:rsidR="00F1509D" w:rsidRPr="00AD22FD">
              <w:rPr>
                <w:rFonts w:ascii="Times New Roman" w:hAnsi="Times New Roman" w:cs="Times New Roman"/>
                <w:i/>
                <w:iCs w:val="0"/>
                <w:sz w:val="14"/>
                <w:szCs w:val="14"/>
              </w:rPr>
              <w:t>Options</w:t>
            </w:r>
            <w:r w:rsidRPr="00AD22FD">
              <w:rPr>
                <w:rFonts w:ascii="Times New Roman" w:hAnsi="Times New Roman" w:cs="Times New Roman"/>
                <w:sz w:val="14"/>
                <w:szCs w:val="14"/>
              </w:rPr>
              <w:t xml:space="preserve"> (pathways) involved an iterative process, in which measures and ‘portfolios of measures’ were identified and tested on their effectiveness (to detect thresholds)</w:t>
            </w:r>
            <w:r w:rsidR="00F1509D" w:rsidRPr="00AD22FD">
              <w:rPr>
                <w:rFonts w:ascii="Times New Roman" w:hAnsi="Times New Roman" w:cs="Times New Roman"/>
                <w:sz w:val="14"/>
                <w:szCs w:val="14"/>
              </w:rPr>
              <w:t xml:space="preserve"> – through </w:t>
            </w:r>
            <w:r w:rsidR="00F1509D" w:rsidRPr="00AD22FD">
              <w:rPr>
                <w:rFonts w:ascii="Times New Roman" w:hAnsi="Times New Roman" w:cs="Times New Roman"/>
                <w:i/>
                <w:iCs w:val="0"/>
                <w:sz w:val="14"/>
                <w:szCs w:val="14"/>
              </w:rPr>
              <w:t>threshold analyses</w:t>
            </w:r>
            <w:r w:rsidR="00F1509D" w:rsidRPr="00AD22FD">
              <w:rPr>
                <w:rFonts w:ascii="Times New Roman" w:hAnsi="Times New Roman" w:cs="Times New Roman"/>
                <w:sz w:val="14"/>
                <w:szCs w:val="14"/>
              </w:rPr>
              <w:t xml:space="preserve"> –</w:t>
            </w:r>
            <w:r w:rsidRPr="00AD22FD">
              <w:rPr>
                <w:rFonts w:ascii="Times New Roman" w:hAnsi="Times New Roman" w:cs="Times New Roman"/>
                <w:sz w:val="14"/>
                <w:szCs w:val="14"/>
              </w:rPr>
              <w:t xml:space="preserve"> and</w:t>
            </w:r>
            <w:r w:rsidR="00F1509D" w:rsidRPr="00AD22FD">
              <w:rPr>
                <w:rFonts w:ascii="Times New Roman" w:hAnsi="Times New Roman" w:cs="Times New Roman"/>
                <w:sz w:val="14"/>
                <w:szCs w:val="14"/>
              </w:rPr>
              <w:t xml:space="preserve"> then</w:t>
            </w:r>
            <w:r w:rsidRPr="00AD22FD">
              <w:rPr>
                <w:rFonts w:ascii="Times New Roman" w:hAnsi="Times New Roman" w:cs="Times New Roman"/>
                <w:sz w:val="14"/>
                <w:szCs w:val="14"/>
              </w:rPr>
              <w:t xml:space="preserve"> used to design (assemble) diverse possible pathways, which were subsequently tested against diverse criteria and progressively iterated and refined, and appraised under different SLR </w:t>
            </w:r>
            <w:r w:rsidR="00F1509D" w:rsidRPr="00AD22FD">
              <w:rPr>
                <w:rFonts w:ascii="Times New Roman" w:hAnsi="Times New Roman" w:cs="Times New Roman"/>
                <w:sz w:val="14"/>
                <w:szCs w:val="14"/>
              </w:rPr>
              <w:t xml:space="preserve">and socioeconomic </w:t>
            </w:r>
            <w:r w:rsidRPr="00AD22FD">
              <w:rPr>
                <w:rFonts w:ascii="Times New Roman" w:hAnsi="Times New Roman" w:cs="Times New Roman"/>
                <w:sz w:val="14"/>
                <w:szCs w:val="14"/>
              </w:rPr>
              <w:t>scenarios (</w:t>
            </w:r>
            <w:proofErr w:type="spellStart"/>
            <w:r w:rsidRPr="00AD22FD">
              <w:rPr>
                <w:rFonts w:ascii="Times New Roman" w:hAnsi="Times New Roman" w:cs="Times New Roman"/>
                <w:sz w:val="14"/>
                <w:szCs w:val="14"/>
              </w:rPr>
              <w:t>substep</w:t>
            </w:r>
            <w:proofErr w:type="spellEnd"/>
            <w:r w:rsidRPr="00AD22FD">
              <w:rPr>
                <w:rFonts w:ascii="Times New Roman" w:hAnsi="Times New Roman" w:cs="Times New Roman"/>
                <w:sz w:val="14"/>
                <w:szCs w:val="14"/>
              </w:rPr>
              <w:t xml:space="preserve"> 3c) (</w:t>
            </w:r>
            <w:r w:rsidR="00F77E53" w:rsidRPr="00AD22FD">
              <w:rPr>
                <w:rFonts w:ascii="Times New Roman" w:hAnsi="Times New Roman" w:cs="Times New Roman"/>
                <w:color w:val="7F7F7F" w:themeColor="text1" w:themeTint="80"/>
                <w:sz w:val="14"/>
                <w:szCs w:val="14"/>
              </w:rPr>
              <w:t>EA 2009b</w:t>
            </w:r>
            <w:r w:rsidRPr="00AD22FD">
              <w:rPr>
                <w:rFonts w:ascii="Times New Roman" w:hAnsi="Times New Roman" w:cs="Times New Roman"/>
                <w:color w:val="7F7F7F" w:themeColor="text1" w:themeTint="80"/>
                <w:sz w:val="14"/>
                <w:szCs w:val="14"/>
              </w:rPr>
              <w:t xml:space="preserve">, p.3, 1; Lowe et al. 2009, p.86;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xml:space="preserve">, </w:t>
            </w:r>
            <w:proofErr w:type="spellStart"/>
            <w:r w:rsidRPr="00AD22FD">
              <w:rPr>
                <w:rFonts w:ascii="Times New Roman" w:hAnsi="Times New Roman" w:cs="Times New Roman"/>
                <w:color w:val="7F7F7F" w:themeColor="text1" w:themeTint="80"/>
                <w:sz w:val="14"/>
                <w:szCs w:val="14"/>
              </w:rPr>
              <w:t>p.x</w:t>
            </w:r>
            <w:proofErr w:type="spellEnd"/>
            <w:r w:rsidRPr="00AD22FD">
              <w:rPr>
                <w:rFonts w:ascii="Times New Roman" w:hAnsi="Times New Roman" w:cs="Times New Roman"/>
                <w:color w:val="7F7F7F" w:themeColor="text1" w:themeTint="80"/>
                <w:sz w:val="14"/>
                <w:szCs w:val="14"/>
              </w:rPr>
              <w:t>-xii</w:t>
            </w:r>
            <w:r w:rsidRPr="00AD22FD">
              <w:rPr>
                <w:rFonts w:ascii="Times New Roman" w:hAnsi="Times New Roman" w:cs="Times New Roman"/>
                <w:sz w:val="14"/>
                <w:szCs w:val="14"/>
              </w:rPr>
              <w:t>).</w:t>
            </w:r>
            <w:r w:rsidRPr="00AD22FD">
              <w:rPr>
                <w:rStyle w:val="Refdenotaderodap"/>
                <w:rFonts w:ascii="Times New Roman" w:hAnsi="Times New Roman" w:cs="Times New Roman"/>
                <w:sz w:val="14"/>
                <w:szCs w:val="14"/>
              </w:rPr>
              <w:footnoteReference w:id="8"/>
            </w:r>
          </w:p>
          <w:p w14:paraId="695607DD" w14:textId="3F7289B5" w:rsidR="00C04B00" w:rsidRPr="00AD22FD" w:rsidRDefault="00C04B00" w:rsidP="001522F8">
            <w:pPr>
              <w:pStyle w:val="tablecontenttext"/>
              <w:spacing w:line="240" w:lineRule="auto"/>
              <w:rPr>
                <w:rFonts w:ascii="Times New Roman" w:eastAsiaTheme="minorHAnsi" w:hAnsi="Times New Roman" w:cs="Times New Roman"/>
                <w:sz w:val="14"/>
                <w:szCs w:val="14"/>
                <w:lang w:val="en-US" w:eastAsia="en-US"/>
              </w:rPr>
            </w:pPr>
            <w:r w:rsidRPr="00AD22FD">
              <w:rPr>
                <w:rFonts w:ascii="Times New Roman" w:hAnsi="Times New Roman" w:cs="Times New Roman"/>
                <w:sz w:val="14"/>
                <w:szCs w:val="14"/>
              </w:rPr>
              <w:t>Then, each HLO (pathway) was tested under different scenarios, to assess its suitability and robustness (</w:t>
            </w:r>
            <w:r w:rsidRPr="00AD22FD">
              <w:rPr>
                <w:rFonts w:ascii="Times New Roman" w:hAnsi="Times New Roman" w:cs="Times New Roman"/>
                <w:color w:val="7F7F7F" w:themeColor="text1" w:themeTint="80"/>
                <w:sz w:val="14"/>
                <w:szCs w:val="14"/>
              </w:rPr>
              <w:t xml:space="preserve">Reeder and Ranger 2011, p.9; </w:t>
            </w:r>
            <w:proofErr w:type="spellStart"/>
            <w:r w:rsidRPr="00AD22FD">
              <w:rPr>
                <w:rFonts w:ascii="Times New Roman" w:hAnsi="Times New Roman" w:cs="Times New Roman"/>
                <w:color w:val="7F7F7F" w:themeColor="text1" w:themeTint="80"/>
                <w:sz w:val="14"/>
                <w:szCs w:val="14"/>
              </w:rPr>
              <w:t>Jeuken</w:t>
            </w:r>
            <w:proofErr w:type="spellEnd"/>
            <w:r w:rsidRPr="00AD22FD">
              <w:rPr>
                <w:rFonts w:ascii="Times New Roman" w:hAnsi="Times New Roman" w:cs="Times New Roman"/>
                <w:color w:val="7F7F7F" w:themeColor="text1" w:themeTint="80"/>
                <w:sz w:val="14"/>
                <w:szCs w:val="14"/>
              </w:rPr>
              <w:t xml:space="preserve"> and Reeder 2011, p.4</w:t>
            </w:r>
            <w:r w:rsidRPr="00AD22FD">
              <w:rPr>
                <w:rFonts w:ascii="Times New Roman" w:hAnsi="Times New Roman" w:cs="Times New Roman"/>
                <w:sz w:val="14"/>
                <w:szCs w:val="14"/>
              </w:rPr>
              <w:t>), i.e. in the next step, the suitability of the HLOs was assessed under diverse futures (associated to different socioeconomic and climate scenarios) (</w:t>
            </w:r>
            <w:r w:rsidR="00F77E53" w:rsidRPr="00AD22FD">
              <w:rPr>
                <w:rFonts w:ascii="Times New Roman" w:hAnsi="Times New Roman" w:cs="Times New Roman"/>
                <w:color w:val="7F7F7F" w:themeColor="text1" w:themeTint="80"/>
                <w:sz w:val="14"/>
                <w:szCs w:val="14"/>
              </w:rPr>
              <w:t>EA 2009b</w:t>
            </w:r>
            <w:r w:rsidRPr="00AD22FD">
              <w:rPr>
                <w:rFonts w:ascii="Times New Roman" w:hAnsi="Times New Roman" w:cs="Times New Roman"/>
                <w:color w:val="7F7F7F" w:themeColor="text1" w:themeTint="80"/>
                <w:sz w:val="14"/>
                <w:szCs w:val="14"/>
              </w:rPr>
              <w:t>, p.3; Lowe et al. 2009, p.86</w:t>
            </w:r>
            <w:r w:rsidRPr="00AD22FD">
              <w:rPr>
                <w:rFonts w:ascii="Times New Roman" w:hAnsi="Times New Roman" w:cs="Times New Roman"/>
                <w:sz w:val="14"/>
                <w:szCs w:val="14"/>
              </w:rPr>
              <w:t xml:space="preserve">). The </w:t>
            </w:r>
            <w:r w:rsidRPr="00AD22FD">
              <w:rPr>
                <w:rFonts w:ascii="Times New Roman" w:hAnsi="Times New Roman" w:cs="Times New Roman"/>
                <w:sz w:val="14"/>
                <w:szCs w:val="14"/>
                <w:lang w:val="en-US"/>
              </w:rPr>
              <w:t xml:space="preserve">HLOs were refined into </w:t>
            </w:r>
            <w:r w:rsidRPr="00AD22FD">
              <w:rPr>
                <w:rFonts w:ascii="Times New Roman" w:hAnsi="Times New Roman" w:cs="Times New Roman"/>
                <w:i/>
                <w:iCs w:val="0"/>
                <w:sz w:val="14"/>
                <w:szCs w:val="14"/>
                <w:lang w:val="en-US"/>
              </w:rPr>
              <w:t>Options</w:t>
            </w:r>
            <w:r w:rsidRPr="00AD22FD">
              <w:rPr>
                <w:rFonts w:ascii="Times New Roman" w:hAnsi="Times New Roman" w:cs="Times New Roman"/>
                <w:sz w:val="14"/>
                <w:szCs w:val="14"/>
                <w:lang w:val="en-US"/>
              </w:rPr>
              <w:t xml:space="preserve"> that were then appraised </w:t>
            </w:r>
            <w:r w:rsidRPr="00AD22FD">
              <w:rPr>
                <w:rFonts w:ascii="Times New Roman" w:hAnsi="Times New Roman" w:cs="Times New Roman"/>
                <w:sz w:val="14"/>
                <w:szCs w:val="14"/>
              </w:rPr>
              <w:t>(</w:t>
            </w:r>
            <w:r w:rsidRPr="00AD22FD">
              <w:rPr>
                <w:rFonts w:ascii="Times New Roman" w:hAnsi="Times New Roman" w:cs="Times New Roman"/>
                <w:i/>
                <w:iCs w:val="0"/>
                <w:sz w:val="14"/>
                <w:szCs w:val="14"/>
              </w:rPr>
              <w:t>Detailed Options</w:t>
            </w:r>
            <w:r w:rsidRPr="00AD22FD">
              <w:rPr>
                <w:rFonts w:ascii="Times New Roman" w:hAnsi="Times New Roman" w:cs="Times New Roman"/>
                <w:sz w:val="14"/>
                <w:szCs w:val="14"/>
              </w:rPr>
              <w:t xml:space="preserve"> for appraisal), </w:t>
            </w:r>
            <w:r w:rsidRPr="00AD22FD">
              <w:rPr>
                <w:rFonts w:ascii="Times New Roman" w:hAnsi="Times New Roman" w:cs="Times New Roman"/>
                <w:sz w:val="14"/>
                <w:szCs w:val="14"/>
                <w:lang w:val="en-US"/>
              </w:rPr>
              <w:t>and the most effective (cost-beneficial) option was identified</w:t>
            </w:r>
            <w:r w:rsidRPr="00AD22FD">
              <w:rPr>
                <w:rFonts w:ascii="Times New Roman" w:hAnsi="Times New Roman" w:cs="Times New Roman"/>
                <w:sz w:val="14"/>
                <w:szCs w:val="14"/>
              </w:rPr>
              <w:t xml:space="preserve"> (</w:t>
            </w:r>
            <w:r w:rsidR="00F77E53" w:rsidRPr="00AD22FD">
              <w:rPr>
                <w:rFonts w:ascii="Times New Roman" w:hAnsi="Times New Roman" w:cs="Times New Roman"/>
                <w:color w:val="7F7F7F" w:themeColor="text1" w:themeTint="80"/>
                <w:sz w:val="14"/>
                <w:szCs w:val="14"/>
              </w:rPr>
              <w:t>EA 2009b</w:t>
            </w:r>
            <w:r w:rsidRPr="00AD22FD">
              <w:rPr>
                <w:rFonts w:ascii="Times New Roman" w:hAnsi="Times New Roman" w:cs="Times New Roman"/>
                <w:color w:val="7F7F7F" w:themeColor="text1" w:themeTint="80"/>
                <w:sz w:val="14"/>
                <w:szCs w:val="14"/>
              </w:rPr>
              <w:t>, p.3; Lowe et al. 2009, p.86</w:t>
            </w:r>
            <w:r w:rsidRPr="00AD22FD">
              <w:rPr>
                <w:rFonts w:ascii="Times New Roman" w:hAnsi="Times New Roman" w:cs="Times New Roman"/>
                <w:sz w:val="14"/>
                <w:szCs w:val="14"/>
              </w:rPr>
              <w:t xml:space="preserve">). </w:t>
            </w:r>
          </w:p>
          <w:p w14:paraId="247898A1" w14:textId="6663A4E9" w:rsidR="00C04B00" w:rsidRPr="00AD22FD" w:rsidRDefault="00C04B00" w:rsidP="001522F8">
            <w:pPr>
              <w:pStyle w:val="TEXTBODY"/>
              <w:jc w:val="left"/>
              <w:rPr>
                <w:bCs/>
                <w:sz w:val="14"/>
                <w:szCs w:val="14"/>
              </w:rPr>
            </w:pPr>
            <w:r w:rsidRPr="00AD22FD">
              <w:rPr>
                <w:bCs/>
                <w:sz w:val="14"/>
                <w:szCs w:val="14"/>
              </w:rPr>
              <w:t>A</w:t>
            </w:r>
            <w:r w:rsidRPr="00AD22FD">
              <w:rPr>
                <w:bCs/>
                <w:i/>
                <w:iCs/>
                <w:sz w:val="14"/>
                <w:szCs w:val="14"/>
              </w:rPr>
              <w:t xml:space="preserve"> HLO</w:t>
            </w:r>
            <w:r w:rsidRPr="00AD22FD">
              <w:rPr>
                <w:bCs/>
                <w:sz w:val="14"/>
                <w:szCs w:val="14"/>
              </w:rPr>
              <w:t xml:space="preserve"> (later called</w:t>
            </w:r>
            <w:r w:rsidRPr="00AD22FD">
              <w:rPr>
                <w:bCs/>
                <w:i/>
                <w:iCs/>
                <w:sz w:val="14"/>
                <w:szCs w:val="14"/>
              </w:rPr>
              <w:t xml:space="preserve"> Option</w:t>
            </w:r>
            <w:r w:rsidRPr="00AD22FD">
              <w:rPr>
                <w:bCs/>
                <w:sz w:val="14"/>
                <w:szCs w:val="14"/>
              </w:rPr>
              <w:t xml:space="preserve">) is made up of different sequenced </w:t>
            </w:r>
            <w:r w:rsidRPr="00AD22FD">
              <w:rPr>
                <w:bCs/>
                <w:i/>
                <w:sz w:val="14"/>
                <w:szCs w:val="14"/>
              </w:rPr>
              <w:t>interventions</w:t>
            </w:r>
            <w:r w:rsidRPr="00AD22FD">
              <w:rPr>
                <w:bCs/>
                <w:sz w:val="14"/>
                <w:szCs w:val="14"/>
              </w:rPr>
              <w:t xml:space="preserve"> (or sequenced </w:t>
            </w:r>
            <w:r w:rsidRPr="00AD22FD">
              <w:rPr>
                <w:bCs/>
                <w:i/>
                <w:sz w:val="14"/>
                <w:szCs w:val="14"/>
              </w:rPr>
              <w:t>portfolios</w:t>
            </w:r>
            <w:r w:rsidRPr="00AD22FD">
              <w:rPr>
                <w:bCs/>
                <w:sz w:val="14"/>
                <w:szCs w:val="14"/>
              </w:rPr>
              <w:t xml:space="preserve">) which act together to achieve the recommended policy over time (as illustrated by the TE2100’s </w:t>
            </w:r>
            <w:r w:rsidRPr="00AD22FD">
              <w:rPr>
                <w:bCs/>
                <w:i/>
                <w:sz w:val="14"/>
                <w:szCs w:val="14"/>
              </w:rPr>
              <w:t>Managed Adaptive approach</w:t>
            </w:r>
            <w:r w:rsidRPr="00AD22FD">
              <w:rPr>
                <w:bCs/>
                <w:sz w:val="14"/>
                <w:szCs w:val="14"/>
              </w:rPr>
              <w:t>) (</w:t>
            </w:r>
            <w:r w:rsidRPr="00AD22FD">
              <w:rPr>
                <w:bCs/>
                <w:color w:val="7F7F7F" w:themeColor="text1" w:themeTint="80"/>
                <w:sz w:val="14"/>
                <w:szCs w:val="14"/>
              </w:rPr>
              <w:t xml:space="preserve">EA 2012, p.34, 30; </w:t>
            </w:r>
            <w:r w:rsidR="00F77E53" w:rsidRPr="00AD22FD">
              <w:rPr>
                <w:bCs/>
                <w:color w:val="7F7F7F" w:themeColor="text1" w:themeTint="80"/>
                <w:sz w:val="14"/>
                <w:szCs w:val="14"/>
              </w:rPr>
              <w:t>EA 2009A</w:t>
            </w:r>
            <w:r w:rsidRPr="00AD22FD">
              <w:rPr>
                <w:bCs/>
                <w:color w:val="7F7F7F" w:themeColor="text1" w:themeTint="80"/>
                <w:sz w:val="14"/>
                <w:szCs w:val="14"/>
              </w:rPr>
              <w:t xml:space="preserve">, </w:t>
            </w:r>
            <w:proofErr w:type="spellStart"/>
            <w:r w:rsidRPr="00AD22FD">
              <w:rPr>
                <w:bCs/>
                <w:color w:val="7F7F7F" w:themeColor="text1" w:themeTint="80"/>
                <w:sz w:val="14"/>
                <w:szCs w:val="14"/>
              </w:rPr>
              <w:t>p.xi</w:t>
            </w:r>
            <w:proofErr w:type="spellEnd"/>
            <w:r w:rsidRPr="00AD22FD">
              <w:rPr>
                <w:bCs/>
                <w:color w:val="7F7F7F" w:themeColor="text1" w:themeTint="80"/>
                <w:sz w:val="14"/>
                <w:szCs w:val="14"/>
              </w:rPr>
              <w:t>; 138-139</w:t>
            </w:r>
            <w:r w:rsidRPr="00AD22FD">
              <w:rPr>
                <w:bCs/>
                <w:sz w:val="14"/>
                <w:szCs w:val="14"/>
              </w:rPr>
              <w:t>).</w:t>
            </w:r>
            <w:r w:rsidRPr="00AD22FD">
              <w:rPr>
                <w:rStyle w:val="Refdenotaderodap"/>
                <w:bCs/>
                <w:sz w:val="14"/>
                <w:szCs w:val="14"/>
              </w:rPr>
              <w:footnoteReference w:id="9"/>
            </w:r>
            <w:r w:rsidRPr="00AD22FD">
              <w:rPr>
                <w:rStyle w:val="Refdenotaderodap"/>
                <w:bCs/>
                <w:sz w:val="14"/>
                <w:szCs w:val="14"/>
              </w:rPr>
              <w:t xml:space="preserve"> </w:t>
            </w:r>
            <w:r w:rsidRPr="00AD22FD">
              <w:rPr>
                <w:bCs/>
                <w:sz w:val="14"/>
                <w:szCs w:val="14"/>
              </w:rPr>
              <w:t xml:space="preserve">The Team has developed a series of generic </w:t>
            </w:r>
            <w:r w:rsidRPr="00AD22FD">
              <w:rPr>
                <w:bCs/>
                <w:i/>
                <w:sz w:val="14"/>
                <w:szCs w:val="14"/>
              </w:rPr>
              <w:t>Estuary-wide Options</w:t>
            </w:r>
            <w:r w:rsidRPr="00AD22FD">
              <w:rPr>
                <w:bCs/>
                <w:sz w:val="14"/>
                <w:szCs w:val="14"/>
              </w:rPr>
              <w:t xml:space="preserve"> to manage flood risk throughout the century; then, these </w:t>
            </w:r>
            <w:r w:rsidRPr="00AD22FD">
              <w:rPr>
                <w:bCs/>
                <w:i/>
                <w:sz w:val="14"/>
                <w:szCs w:val="14"/>
              </w:rPr>
              <w:t>Estuary-wide Options</w:t>
            </w:r>
            <w:r w:rsidRPr="00AD22FD">
              <w:rPr>
                <w:bCs/>
                <w:sz w:val="14"/>
                <w:szCs w:val="14"/>
              </w:rPr>
              <w:t xml:space="preserve"> were further developed (variations studied) and tested on their effectiveness in meeting the </w:t>
            </w:r>
            <w:r w:rsidRPr="00AD22FD">
              <w:rPr>
                <w:bCs/>
                <w:i/>
                <w:sz w:val="14"/>
                <w:szCs w:val="14"/>
              </w:rPr>
              <w:t xml:space="preserve">Vision </w:t>
            </w:r>
            <w:r w:rsidRPr="00AD22FD">
              <w:rPr>
                <w:bCs/>
                <w:iCs/>
                <w:sz w:val="14"/>
                <w:szCs w:val="14"/>
              </w:rPr>
              <w:t xml:space="preserve">(objectives) </w:t>
            </w:r>
            <w:r w:rsidRPr="00AD22FD">
              <w:rPr>
                <w:bCs/>
                <w:sz w:val="14"/>
                <w:szCs w:val="14"/>
              </w:rPr>
              <w:t>(</w:t>
            </w:r>
            <w:r w:rsidRPr="00AD22FD">
              <w:rPr>
                <w:bCs/>
                <w:color w:val="7F7F7F" w:themeColor="text1" w:themeTint="80"/>
                <w:sz w:val="14"/>
                <w:szCs w:val="14"/>
              </w:rPr>
              <w:t>EA 2012, p.34, 35, 30</w:t>
            </w:r>
            <w:r w:rsidRPr="00AD22FD">
              <w:rPr>
                <w:bCs/>
                <w:sz w:val="14"/>
                <w:szCs w:val="14"/>
              </w:rPr>
              <w:t>).</w:t>
            </w:r>
          </w:p>
          <w:p w14:paraId="41842F2E" w14:textId="735A6E71" w:rsidR="00C04B00" w:rsidRPr="00AD22FD" w:rsidRDefault="00C04B00" w:rsidP="001522F8">
            <w:pPr>
              <w:pStyle w:val="TEXTBODY"/>
              <w:jc w:val="left"/>
              <w:rPr>
                <w:bCs/>
                <w:sz w:val="14"/>
                <w:szCs w:val="14"/>
              </w:rPr>
            </w:pPr>
          </w:p>
          <w:p w14:paraId="0712D79F" w14:textId="2C8DD753" w:rsidR="00C04B00" w:rsidRPr="00AD22FD" w:rsidRDefault="00C04B00" w:rsidP="001522F8">
            <w:pPr>
              <w:pStyle w:val="TEXTBODY"/>
              <w:jc w:val="left"/>
              <w:rPr>
                <w:bCs/>
                <w:sz w:val="14"/>
                <w:szCs w:val="14"/>
              </w:rPr>
            </w:pPr>
            <w:r w:rsidRPr="00AD22FD">
              <w:rPr>
                <w:bCs/>
                <w:i/>
                <w:iCs/>
                <w:sz w:val="14"/>
                <w:szCs w:val="14"/>
              </w:rPr>
              <w:t>Detailed Options for appraisal</w:t>
            </w:r>
          </w:p>
          <w:p w14:paraId="78E6B56A" w14:textId="31F9A67C" w:rsidR="00C04B00" w:rsidRPr="00AD22FD" w:rsidRDefault="00C04B00" w:rsidP="001522F8">
            <w:pPr>
              <w:pStyle w:val="TEXTBODY"/>
              <w:spacing w:after="120"/>
              <w:jc w:val="left"/>
              <w:rPr>
                <w:bCs/>
                <w:sz w:val="14"/>
                <w:szCs w:val="14"/>
              </w:rPr>
            </w:pPr>
            <w:r w:rsidRPr="00AD22FD">
              <w:rPr>
                <w:bCs/>
                <w:sz w:val="14"/>
                <w:szCs w:val="14"/>
              </w:rPr>
              <w:t>Then, the Team further developed and refined the HLOs into ‘</w:t>
            </w:r>
            <w:r w:rsidRPr="00AD22FD">
              <w:rPr>
                <w:bCs/>
                <w:i/>
                <w:iCs/>
                <w:sz w:val="14"/>
                <w:szCs w:val="14"/>
              </w:rPr>
              <w:t>detailed Options for appraisal</w:t>
            </w:r>
            <w:r w:rsidRPr="00AD22FD">
              <w:rPr>
                <w:bCs/>
                <w:sz w:val="14"/>
                <w:szCs w:val="14"/>
              </w:rPr>
              <w:t xml:space="preserve">’ under the </w:t>
            </w:r>
            <w:r w:rsidRPr="00AD22FD">
              <w:rPr>
                <w:bCs/>
                <w:i/>
                <w:iCs/>
                <w:sz w:val="14"/>
                <w:szCs w:val="14"/>
              </w:rPr>
              <w:t>Defra06-central scenario</w:t>
            </w:r>
            <w:r w:rsidRPr="00AD22FD">
              <w:rPr>
                <w:bCs/>
                <w:sz w:val="14"/>
                <w:szCs w:val="14"/>
              </w:rPr>
              <w:t xml:space="preserve"> (the </w:t>
            </w:r>
            <w:r w:rsidRPr="00AD22FD">
              <w:rPr>
                <w:bCs/>
                <w:i/>
                <w:iCs/>
                <w:sz w:val="14"/>
                <w:szCs w:val="14"/>
              </w:rPr>
              <w:t>most likely</w:t>
            </w:r>
            <w:r w:rsidRPr="00AD22FD">
              <w:rPr>
                <w:bCs/>
                <w:sz w:val="14"/>
                <w:szCs w:val="14"/>
              </w:rPr>
              <w:t xml:space="preserve"> scenario based on 2010 Government guidance). Assuming this </w:t>
            </w:r>
            <w:r w:rsidRPr="00AD22FD">
              <w:rPr>
                <w:bCs/>
                <w:iCs/>
                <w:sz w:val="14"/>
                <w:szCs w:val="14"/>
              </w:rPr>
              <w:t xml:space="preserve">scenario, and </w:t>
            </w:r>
            <w:r w:rsidRPr="00AD22FD">
              <w:rPr>
                <w:bCs/>
                <w:sz w:val="14"/>
                <w:szCs w:val="14"/>
              </w:rPr>
              <w:t xml:space="preserve">drawing on the HLOs, </w:t>
            </w:r>
            <w:r w:rsidRPr="00AD22FD">
              <w:rPr>
                <w:bCs/>
                <w:iCs/>
                <w:sz w:val="14"/>
                <w:szCs w:val="14"/>
              </w:rPr>
              <w:t xml:space="preserve">the Team set out four refined generic </w:t>
            </w:r>
            <w:r w:rsidRPr="00AD22FD">
              <w:rPr>
                <w:bCs/>
                <w:i/>
                <w:iCs/>
                <w:sz w:val="14"/>
                <w:szCs w:val="14"/>
              </w:rPr>
              <w:t>Options</w:t>
            </w:r>
            <w:r w:rsidRPr="00AD22FD">
              <w:rPr>
                <w:bCs/>
                <w:sz w:val="14"/>
                <w:szCs w:val="14"/>
              </w:rPr>
              <w:t xml:space="preserve"> (</w:t>
            </w:r>
            <w:r w:rsidR="00F77E53" w:rsidRPr="00AD22FD">
              <w:rPr>
                <w:bCs/>
                <w:color w:val="7F7F7F" w:themeColor="text1" w:themeTint="80"/>
                <w:sz w:val="14"/>
                <w:szCs w:val="14"/>
              </w:rPr>
              <w:t>EA 2009b</w:t>
            </w:r>
            <w:r w:rsidRPr="00AD22FD">
              <w:rPr>
                <w:bCs/>
                <w:color w:val="7F7F7F" w:themeColor="text1" w:themeTint="80"/>
                <w:sz w:val="14"/>
                <w:szCs w:val="14"/>
              </w:rPr>
              <w:t xml:space="preserve">, p.4; Ramsbottom and Sheppard 2017, p.8, 10; </w:t>
            </w:r>
            <w:proofErr w:type="spellStart"/>
            <w:r w:rsidRPr="00AD22FD">
              <w:rPr>
                <w:bCs/>
                <w:color w:val="7F7F7F" w:themeColor="text1" w:themeTint="80"/>
                <w:sz w:val="14"/>
                <w:szCs w:val="14"/>
              </w:rPr>
              <w:t>Jeuken</w:t>
            </w:r>
            <w:proofErr w:type="spellEnd"/>
            <w:r w:rsidRPr="00AD22FD">
              <w:rPr>
                <w:bCs/>
                <w:color w:val="7F7F7F" w:themeColor="text1" w:themeTint="80"/>
                <w:sz w:val="14"/>
                <w:szCs w:val="14"/>
              </w:rPr>
              <w:t xml:space="preserve"> et al. 2014, p.6</w:t>
            </w:r>
            <w:r w:rsidRPr="00AD22FD">
              <w:rPr>
                <w:bCs/>
                <w:sz w:val="14"/>
                <w:szCs w:val="14"/>
              </w:rPr>
              <w:t xml:space="preserve">) – also called </w:t>
            </w:r>
            <w:r w:rsidRPr="00AD22FD">
              <w:rPr>
                <w:bCs/>
                <w:i/>
                <w:iCs/>
                <w:sz w:val="14"/>
                <w:szCs w:val="14"/>
              </w:rPr>
              <w:t>Estuary-wide Options.</w:t>
            </w:r>
            <w:r w:rsidRPr="00AD22FD">
              <w:rPr>
                <w:rStyle w:val="Refdenotaderodap"/>
                <w:bCs/>
                <w:sz w:val="14"/>
                <w:szCs w:val="14"/>
              </w:rPr>
              <w:footnoteReference w:id="10"/>
            </w:r>
            <w:r w:rsidRPr="00AD22FD">
              <w:rPr>
                <w:bCs/>
                <w:sz w:val="14"/>
                <w:szCs w:val="14"/>
              </w:rPr>
              <w:t xml:space="preserve"> </w:t>
            </w:r>
            <w:r w:rsidR="00722E16" w:rsidRPr="00AD22FD">
              <w:rPr>
                <w:bCs/>
                <w:sz w:val="14"/>
                <w:szCs w:val="14"/>
              </w:rPr>
              <w:t>T</w:t>
            </w:r>
            <w:r w:rsidRPr="00AD22FD">
              <w:rPr>
                <w:bCs/>
                <w:sz w:val="14"/>
                <w:szCs w:val="14"/>
              </w:rPr>
              <w:t>he Team devised four</w:t>
            </w:r>
            <w:r w:rsidRPr="00AD22FD">
              <w:rPr>
                <w:bCs/>
                <w:color w:val="C00000"/>
                <w:sz w:val="14"/>
                <w:szCs w:val="14"/>
              </w:rPr>
              <w:t xml:space="preserve"> </w:t>
            </w:r>
            <w:r w:rsidRPr="00AD22FD">
              <w:rPr>
                <w:bCs/>
                <w:i/>
                <w:iCs/>
                <w:sz w:val="14"/>
                <w:szCs w:val="14"/>
              </w:rPr>
              <w:t>Estuary-wide Options</w:t>
            </w:r>
            <w:r w:rsidRPr="00AD22FD">
              <w:rPr>
                <w:bCs/>
                <w:sz w:val="14"/>
                <w:szCs w:val="14"/>
              </w:rPr>
              <w:t xml:space="preserve"> (pathways) to manage flood risk throughout this century and deliver the </w:t>
            </w:r>
            <w:r w:rsidRPr="00AD22FD">
              <w:rPr>
                <w:bCs/>
                <w:i/>
                <w:iCs/>
                <w:sz w:val="14"/>
                <w:szCs w:val="14"/>
              </w:rPr>
              <w:t>Strategic Vision</w:t>
            </w:r>
            <w:r w:rsidRPr="00AD22FD">
              <w:rPr>
                <w:bCs/>
                <w:sz w:val="14"/>
                <w:szCs w:val="14"/>
              </w:rPr>
              <w:t xml:space="preserve"> (objectives), though they vary in the way of delivering it (</w:t>
            </w:r>
            <w:r w:rsidRPr="00AD22FD">
              <w:rPr>
                <w:bCs/>
                <w:color w:val="7F7F7F" w:themeColor="text1" w:themeTint="80"/>
                <w:sz w:val="14"/>
                <w:szCs w:val="14"/>
              </w:rPr>
              <w:t>EA 2012, p. 34-35</w:t>
            </w:r>
            <w:r w:rsidRPr="00AD22FD">
              <w:rPr>
                <w:bCs/>
                <w:sz w:val="14"/>
                <w:szCs w:val="14"/>
              </w:rPr>
              <w:t xml:space="preserve">, </w:t>
            </w:r>
            <w:r w:rsidRPr="00AD22FD">
              <w:rPr>
                <w:bCs/>
                <w:color w:val="7F7F7F" w:themeColor="text1" w:themeTint="80"/>
                <w:sz w:val="14"/>
                <w:szCs w:val="14"/>
              </w:rPr>
              <w:t>30, 6, 56</w:t>
            </w:r>
            <w:r w:rsidRPr="00AD22FD">
              <w:rPr>
                <w:bCs/>
                <w:sz w:val="14"/>
                <w:szCs w:val="14"/>
              </w:rPr>
              <w:t>). Subsequently, these</w:t>
            </w:r>
            <w:r w:rsidRPr="00AD22FD">
              <w:rPr>
                <w:bCs/>
                <w:i/>
                <w:iCs/>
                <w:sz w:val="14"/>
                <w:szCs w:val="14"/>
              </w:rPr>
              <w:t xml:space="preserve"> Options</w:t>
            </w:r>
            <w:r w:rsidRPr="00AD22FD">
              <w:rPr>
                <w:bCs/>
                <w:sz w:val="14"/>
                <w:szCs w:val="14"/>
              </w:rPr>
              <w:t xml:space="preserve"> (pathways) were appraised (in Step 2c). </w:t>
            </w:r>
          </w:p>
        </w:tc>
      </w:tr>
      <w:tr w:rsidR="00C04B00" w:rsidRPr="00AD22FD" w14:paraId="6F820F13" w14:textId="77777777" w:rsidTr="001522F8">
        <w:tc>
          <w:tcPr>
            <w:tcW w:w="562" w:type="dxa"/>
            <w:vMerge/>
          </w:tcPr>
          <w:p w14:paraId="0B9DDBEE" w14:textId="77777777" w:rsidR="00C04B00" w:rsidRPr="00AD22FD" w:rsidRDefault="00C04B00" w:rsidP="001522F8">
            <w:pPr>
              <w:pStyle w:val="tablecontenttext"/>
              <w:spacing w:line="240" w:lineRule="auto"/>
              <w:rPr>
                <w:rFonts w:ascii="Times New Roman" w:hAnsi="Times New Roman" w:cs="Times New Roman"/>
                <w:sz w:val="14"/>
                <w:szCs w:val="14"/>
              </w:rPr>
            </w:pPr>
          </w:p>
        </w:tc>
        <w:tc>
          <w:tcPr>
            <w:tcW w:w="993" w:type="dxa"/>
          </w:tcPr>
          <w:p w14:paraId="420B0271" w14:textId="77777777"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2c. Appraise the pathways (Detailed Options), against various criteria, and under different </w:t>
            </w:r>
            <w:r w:rsidRPr="00AD22FD">
              <w:rPr>
                <w:rFonts w:ascii="Times New Roman" w:hAnsi="Times New Roman" w:cs="Times New Roman"/>
                <w:sz w:val="14"/>
                <w:szCs w:val="14"/>
              </w:rPr>
              <w:lastRenderedPageBreak/>
              <w:t>scenarios; compare and rank the pathways</w:t>
            </w:r>
          </w:p>
          <w:p w14:paraId="3B697FBE" w14:textId="77777777" w:rsidR="00C04B00" w:rsidRPr="00AD22FD" w:rsidRDefault="00C04B00" w:rsidP="001522F8">
            <w:pPr>
              <w:pStyle w:val="tablecontenttext"/>
              <w:spacing w:line="240" w:lineRule="auto"/>
              <w:rPr>
                <w:rFonts w:ascii="Times New Roman" w:hAnsi="Times New Roman" w:cs="Times New Roman"/>
                <w:sz w:val="14"/>
                <w:szCs w:val="14"/>
              </w:rPr>
            </w:pPr>
          </w:p>
        </w:tc>
        <w:tc>
          <w:tcPr>
            <w:tcW w:w="8363" w:type="dxa"/>
          </w:tcPr>
          <w:p w14:paraId="59567BEE" w14:textId="48B7E963"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iCs w:val="0"/>
                <w:sz w:val="14"/>
                <w:szCs w:val="14"/>
              </w:rPr>
              <w:lastRenderedPageBreak/>
              <w:t xml:space="preserve">Appraising the </w:t>
            </w:r>
            <w:r w:rsidRPr="00AD22FD">
              <w:rPr>
                <w:rFonts w:ascii="Times New Roman" w:hAnsi="Times New Roman" w:cs="Times New Roman"/>
                <w:sz w:val="14"/>
                <w:szCs w:val="14"/>
              </w:rPr>
              <w:t>‘</w:t>
            </w:r>
            <w:r w:rsidRPr="00AD22FD">
              <w:rPr>
                <w:rFonts w:ascii="Times New Roman" w:hAnsi="Times New Roman" w:cs="Times New Roman"/>
                <w:i/>
                <w:iCs w:val="0"/>
                <w:sz w:val="14"/>
                <w:szCs w:val="14"/>
              </w:rPr>
              <w:t>Detailed</w:t>
            </w:r>
            <w:r w:rsidRPr="00AD22FD">
              <w:rPr>
                <w:rFonts w:ascii="Times New Roman" w:hAnsi="Times New Roman" w:cs="Times New Roman"/>
                <w:sz w:val="14"/>
                <w:szCs w:val="14"/>
              </w:rPr>
              <w:t xml:space="preserve"> </w:t>
            </w:r>
            <w:r w:rsidRPr="00AD22FD">
              <w:rPr>
                <w:rFonts w:ascii="Times New Roman" w:hAnsi="Times New Roman" w:cs="Times New Roman"/>
                <w:i/>
                <w:iCs w:val="0"/>
                <w:sz w:val="14"/>
                <w:szCs w:val="14"/>
              </w:rPr>
              <w:t>Options</w:t>
            </w:r>
            <w:r w:rsidRPr="00AD22FD">
              <w:rPr>
                <w:rFonts w:ascii="Times New Roman" w:hAnsi="Times New Roman" w:cs="Times New Roman"/>
                <w:sz w:val="14"/>
                <w:szCs w:val="14"/>
              </w:rPr>
              <w:t>’ (pathways) (</w:t>
            </w:r>
            <w:r w:rsidRPr="00AD22FD">
              <w:rPr>
                <w:rFonts w:ascii="Times New Roman" w:hAnsi="Times New Roman" w:cs="Times New Roman"/>
                <w:i/>
                <w:iCs w:val="0"/>
                <w:sz w:val="14"/>
                <w:szCs w:val="14"/>
              </w:rPr>
              <w:t>2009 Options Appraisal</w:t>
            </w:r>
            <w:r w:rsidRPr="00AD22FD">
              <w:rPr>
                <w:rFonts w:ascii="Times New Roman" w:hAnsi="Times New Roman" w:cs="Times New Roman"/>
                <w:sz w:val="14"/>
                <w:szCs w:val="14"/>
              </w:rPr>
              <w:t>)</w:t>
            </w:r>
          </w:p>
          <w:p w14:paraId="65DD467B" w14:textId="459F6005"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In this step, the </w:t>
            </w:r>
            <w:r w:rsidRPr="00AD22FD">
              <w:rPr>
                <w:rFonts w:ascii="Times New Roman" w:hAnsi="Times New Roman" w:cs="Times New Roman"/>
                <w:i/>
                <w:iCs w:val="0"/>
                <w:sz w:val="14"/>
                <w:szCs w:val="14"/>
              </w:rPr>
              <w:t>Detailed Options</w:t>
            </w:r>
            <w:r w:rsidRPr="00AD22FD">
              <w:rPr>
                <w:rFonts w:ascii="Times New Roman" w:hAnsi="Times New Roman" w:cs="Times New Roman"/>
                <w:sz w:val="14"/>
                <w:szCs w:val="14"/>
              </w:rPr>
              <w:t xml:space="preserve"> (</w:t>
            </w:r>
            <w:r w:rsidRPr="00AD22FD">
              <w:rPr>
                <w:rFonts w:ascii="Times New Roman" w:hAnsi="Times New Roman" w:cs="Times New Roman"/>
                <w:iCs w:val="0"/>
                <w:sz w:val="14"/>
                <w:szCs w:val="14"/>
              </w:rPr>
              <w:t xml:space="preserve">refined pathways) were appraised through a </w:t>
            </w:r>
            <w:r w:rsidRPr="00AD22FD">
              <w:rPr>
                <w:rFonts w:ascii="Times New Roman" w:hAnsi="Times New Roman" w:cs="Times New Roman"/>
                <w:i/>
                <w:sz w:val="14"/>
                <w:szCs w:val="14"/>
              </w:rPr>
              <w:t>Formal Options Appraisal</w:t>
            </w:r>
            <w:r w:rsidRPr="00AD22FD">
              <w:rPr>
                <w:rFonts w:ascii="Times New Roman" w:hAnsi="Times New Roman" w:cs="Times New Roman"/>
                <w:iCs w:val="0"/>
                <w:sz w:val="14"/>
                <w:szCs w:val="14"/>
              </w:rPr>
              <w:t xml:space="preserve"> and a </w:t>
            </w:r>
            <w:r w:rsidRPr="00AD22FD">
              <w:rPr>
                <w:rFonts w:ascii="Times New Roman" w:hAnsi="Times New Roman" w:cs="Times New Roman"/>
                <w:i/>
                <w:sz w:val="14"/>
                <w:szCs w:val="14"/>
              </w:rPr>
              <w:t>Strategic Environmental Assessment</w:t>
            </w:r>
            <w:r w:rsidRPr="00AD22FD">
              <w:rPr>
                <w:rFonts w:ascii="Times New Roman" w:hAnsi="Times New Roman" w:cs="Times New Roman"/>
                <w:iCs w:val="0"/>
                <w:sz w:val="14"/>
                <w:szCs w:val="14"/>
              </w:rPr>
              <w:t xml:space="preserve"> (</w:t>
            </w:r>
            <w:r w:rsidRPr="00AD22FD">
              <w:rPr>
                <w:rFonts w:ascii="Times New Roman" w:hAnsi="Times New Roman" w:cs="Times New Roman"/>
                <w:iCs w:val="0"/>
                <w:color w:val="7F7F7F" w:themeColor="text1" w:themeTint="80"/>
                <w:sz w:val="14"/>
                <w:szCs w:val="14"/>
              </w:rPr>
              <w:t xml:space="preserve">EA 2012, p.40; </w:t>
            </w:r>
            <w:bookmarkStart w:id="15" w:name="_Hlk122971115"/>
            <w:r w:rsidR="00F77E53" w:rsidRPr="00AD22FD">
              <w:rPr>
                <w:rFonts w:ascii="Times New Roman" w:hAnsi="Times New Roman" w:cs="Times New Roman"/>
                <w:iCs w:val="0"/>
                <w:color w:val="7F7F7F" w:themeColor="text1" w:themeTint="80"/>
                <w:sz w:val="14"/>
                <w:szCs w:val="14"/>
              </w:rPr>
              <w:t>EA 2009A</w:t>
            </w:r>
            <w:r w:rsidRPr="00AD22FD">
              <w:rPr>
                <w:rFonts w:ascii="Times New Roman" w:hAnsi="Times New Roman" w:cs="Times New Roman"/>
                <w:iCs w:val="0"/>
                <w:color w:val="7F7F7F" w:themeColor="text1" w:themeTint="80"/>
                <w:sz w:val="14"/>
                <w:szCs w:val="14"/>
              </w:rPr>
              <w:t xml:space="preserve">, </w:t>
            </w:r>
            <w:proofErr w:type="spellStart"/>
            <w:r w:rsidRPr="00AD22FD">
              <w:rPr>
                <w:rFonts w:ascii="Times New Roman" w:hAnsi="Times New Roman" w:cs="Times New Roman"/>
                <w:iCs w:val="0"/>
                <w:color w:val="7F7F7F" w:themeColor="text1" w:themeTint="80"/>
                <w:sz w:val="14"/>
                <w:szCs w:val="14"/>
              </w:rPr>
              <w:t>p.xx</w:t>
            </w:r>
            <w:bookmarkEnd w:id="15"/>
            <w:proofErr w:type="spellEnd"/>
            <w:r w:rsidRPr="00AD22FD">
              <w:rPr>
                <w:rFonts w:ascii="Times New Roman" w:hAnsi="Times New Roman" w:cs="Times New Roman"/>
                <w:iCs w:val="0"/>
                <w:color w:val="7F7F7F" w:themeColor="text1" w:themeTint="80"/>
                <w:sz w:val="14"/>
                <w:szCs w:val="14"/>
              </w:rPr>
              <w:t xml:space="preserve">, 186, 189, 190-234, 235-241, 266-267; </w:t>
            </w:r>
            <w:r w:rsidRPr="00AD22FD">
              <w:rPr>
                <w:rFonts w:ascii="Times New Roman" w:hAnsi="Times New Roman" w:cs="Times New Roman"/>
                <w:color w:val="7F7F7F" w:themeColor="text1" w:themeTint="80"/>
                <w:sz w:val="14"/>
                <w:szCs w:val="14"/>
              </w:rPr>
              <w:t>Ranger et al. 2013, p. 237, 239; Ramsbottom and Sheppard 2017, p.11; Bloemen et al. 2018, p.8</w:t>
            </w:r>
            <w:r w:rsidRPr="00AD22FD">
              <w:rPr>
                <w:rFonts w:ascii="Times New Roman" w:hAnsi="Times New Roman" w:cs="Times New Roman"/>
                <w:iCs w:val="0"/>
                <w:sz w:val="14"/>
                <w:szCs w:val="14"/>
              </w:rPr>
              <w:t xml:space="preserve">). </w:t>
            </w:r>
            <w:r w:rsidRPr="00AD22FD">
              <w:rPr>
                <w:rFonts w:ascii="Times New Roman" w:hAnsi="Times New Roman" w:cs="Times New Roman"/>
                <w:sz w:val="14"/>
                <w:szCs w:val="14"/>
              </w:rPr>
              <w:t xml:space="preserve">Two main methods were used to assess the Options: </w:t>
            </w:r>
            <w:proofErr w:type="gramStart"/>
            <w:r w:rsidRPr="00AD22FD">
              <w:rPr>
                <w:rFonts w:ascii="Times New Roman" w:hAnsi="Times New Roman" w:cs="Times New Roman"/>
                <w:sz w:val="14"/>
                <w:szCs w:val="14"/>
              </w:rPr>
              <w:t>a</w:t>
            </w:r>
            <w:proofErr w:type="gramEnd"/>
            <w:r w:rsidRPr="00AD22FD">
              <w:rPr>
                <w:rFonts w:ascii="Times New Roman" w:hAnsi="Times New Roman" w:cs="Times New Roman"/>
                <w:sz w:val="14"/>
                <w:szCs w:val="14"/>
              </w:rPr>
              <w:t xml:space="preserve"> </w:t>
            </w:r>
            <w:r w:rsidRPr="00AD22FD">
              <w:rPr>
                <w:rFonts w:ascii="Times New Roman" w:hAnsi="Times New Roman" w:cs="Times New Roman"/>
                <w:i/>
                <w:sz w:val="14"/>
                <w:szCs w:val="14"/>
              </w:rPr>
              <w:t>Formal Options Appraisal</w:t>
            </w:r>
            <w:r w:rsidRPr="00AD22FD">
              <w:rPr>
                <w:rFonts w:ascii="Times New Roman" w:hAnsi="Times New Roman" w:cs="Times New Roman"/>
                <w:sz w:val="14"/>
                <w:szCs w:val="14"/>
              </w:rPr>
              <w:t xml:space="preserve"> including a </w:t>
            </w:r>
            <w:r w:rsidRPr="00AD22FD">
              <w:rPr>
                <w:rFonts w:ascii="Times New Roman" w:hAnsi="Times New Roman" w:cs="Times New Roman"/>
                <w:iCs w:val="0"/>
                <w:sz w:val="14"/>
                <w:szCs w:val="14"/>
              </w:rPr>
              <w:t>C</w:t>
            </w:r>
            <w:r w:rsidRPr="00AD22FD">
              <w:rPr>
                <w:rFonts w:ascii="Times New Roman" w:hAnsi="Times New Roman" w:cs="Times New Roman"/>
                <w:sz w:val="14"/>
                <w:szCs w:val="14"/>
              </w:rPr>
              <w:t>ost-</w:t>
            </w:r>
            <w:r w:rsidRPr="00AD22FD">
              <w:rPr>
                <w:rFonts w:ascii="Times New Roman" w:hAnsi="Times New Roman" w:cs="Times New Roman"/>
                <w:iCs w:val="0"/>
                <w:sz w:val="14"/>
                <w:szCs w:val="14"/>
              </w:rPr>
              <w:t>B</w:t>
            </w:r>
            <w:r w:rsidRPr="00AD22FD">
              <w:rPr>
                <w:rFonts w:ascii="Times New Roman" w:hAnsi="Times New Roman" w:cs="Times New Roman"/>
                <w:sz w:val="14"/>
                <w:szCs w:val="14"/>
              </w:rPr>
              <w:t xml:space="preserve">enefit </w:t>
            </w:r>
            <w:r w:rsidRPr="00AD22FD">
              <w:rPr>
                <w:rFonts w:ascii="Times New Roman" w:hAnsi="Times New Roman" w:cs="Times New Roman"/>
                <w:iCs w:val="0"/>
                <w:sz w:val="14"/>
                <w:szCs w:val="14"/>
              </w:rPr>
              <w:t>A</w:t>
            </w:r>
            <w:r w:rsidRPr="00AD22FD">
              <w:rPr>
                <w:rFonts w:ascii="Times New Roman" w:hAnsi="Times New Roman" w:cs="Times New Roman"/>
                <w:sz w:val="14"/>
                <w:szCs w:val="14"/>
              </w:rPr>
              <w:t xml:space="preserve">nalysis and a </w:t>
            </w:r>
            <w:r w:rsidRPr="00AD22FD">
              <w:rPr>
                <w:rFonts w:ascii="Times New Roman" w:hAnsi="Times New Roman" w:cs="Times New Roman"/>
                <w:iCs w:val="0"/>
                <w:sz w:val="14"/>
                <w:szCs w:val="14"/>
              </w:rPr>
              <w:t>M</w:t>
            </w:r>
            <w:r w:rsidRPr="00AD22FD">
              <w:rPr>
                <w:rFonts w:ascii="Times New Roman" w:hAnsi="Times New Roman" w:cs="Times New Roman"/>
                <w:sz w:val="14"/>
                <w:szCs w:val="14"/>
              </w:rPr>
              <w:t>ulti-</w:t>
            </w:r>
            <w:r w:rsidRPr="00AD22FD">
              <w:rPr>
                <w:rFonts w:ascii="Times New Roman" w:hAnsi="Times New Roman" w:cs="Times New Roman"/>
                <w:iCs w:val="0"/>
                <w:sz w:val="14"/>
                <w:szCs w:val="14"/>
              </w:rPr>
              <w:t>C</w:t>
            </w:r>
            <w:r w:rsidRPr="00AD22FD">
              <w:rPr>
                <w:rFonts w:ascii="Times New Roman" w:hAnsi="Times New Roman" w:cs="Times New Roman"/>
                <w:sz w:val="14"/>
                <w:szCs w:val="14"/>
              </w:rPr>
              <w:t xml:space="preserve">riteria </w:t>
            </w:r>
            <w:r w:rsidRPr="00AD22FD">
              <w:rPr>
                <w:rFonts w:ascii="Times New Roman" w:hAnsi="Times New Roman" w:cs="Times New Roman"/>
                <w:iCs w:val="0"/>
                <w:sz w:val="14"/>
                <w:szCs w:val="14"/>
              </w:rPr>
              <w:t>A</w:t>
            </w:r>
            <w:r w:rsidRPr="00AD22FD">
              <w:rPr>
                <w:rFonts w:ascii="Times New Roman" w:hAnsi="Times New Roman" w:cs="Times New Roman"/>
                <w:sz w:val="14"/>
                <w:szCs w:val="14"/>
              </w:rPr>
              <w:t xml:space="preserve">nalysis, and a </w:t>
            </w:r>
            <w:r w:rsidRPr="00AD22FD">
              <w:rPr>
                <w:rFonts w:ascii="Times New Roman" w:hAnsi="Times New Roman" w:cs="Times New Roman"/>
                <w:i/>
                <w:sz w:val="14"/>
                <w:szCs w:val="14"/>
              </w:rPr>
              <w:t>Strategic Environmental Assessment</w:t>
            </w:r>
            <w:r w:rsidRPr="00AD22FD">
              <w:rPr>
                <w:rFonts w:ascii="Times New Roman" w:hAnsi="Times New Roman" w:cs="Times New Roman"/>
                <w:sz w:val="14"/>
                <w:szCs w:val="14"/>
              </w:rPr>
              <w:t xml:space="preserve"> (SEA). These methods were used to assess costs, benefits, cost-benefit ratio, and impacts of each Option, compare the Options on these aspects, and identify </w:t>
            </w:r>
            <w:r w:rsidRPr="00AD22FD">
              <w:rPr>
                <w:rFonts w:ascii="Times New Roman" w:hAnsi="Times New Roman" w:cs="Times New Roman"/>
                <w:i/>
                <w:sz w:val="14"/>
                <w:szCs w:val="14"/>
              </w:rPr>
              <w:t>the best course of action</w:t>
            </w:r>
            <w:r w:rsidRPr="00AD22FD">
              <w:rPr>
                <w:rFonts w:ascii="Times New Roman" w:hAnsi="Times New Roman" w:cs="Times New Roman"/>
                <w:sz w:val="14"/>
                <w:szCs w:val="14"/>
              </w:rPr>
              <w:t xml:space="preserve"> (the best Option(s)) (</w:t>
            </w:r>
            <w:r w:rsidRPr="00AD22FD">
              <w:rPr>
                <w:rFonts w:ascii="Times New Roman" w:hAnsi="Times New Roman" w:cs="Times New Roman"/>
                <w:color w:val="7F7F7F" w:themeColor="text1" w:themeTint="80"/>
                <w:sz w:val="14"/>
                <w:szCs w:val="14"/>
              </w:rPr>
              <w:t xml:space="preserve">EA 2012, p.46-48;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xml:space="preserve">, </w:t>
            </w:r>
            <w:proofErr w:type="spellStart"/>
            <w:r w:rsidRPr="00AD22FD">
              <w:rPr>
                <w:rFonts w:ascii="Times New Roman" w:hAnsi="Times New Roman" w:cs="Times New Roman"/>
                <w:color w:val="7F7F7F" w:themeColor="text1" w:themeTint="80"/>
                <w:sz w:val="14"/>
                <w:szCs w:val="14"/>
              </w:rPr>
              <w:t>p.xx</w:t>
            </w:r>
            <w:proofErr w:type="spellEnd"/>
            <w:r w:rsidRPr="00AD22FD">
              <w:rPr>
                <w:rFonts w:ascii="Times New Roman" w:hAnsi="Times New Roman" w:cs="Times New Roman"/>
                <w:color w:val="7F7F7F" w:themeColor="text1" w:themeTint="80"/>
                <w:sz w:val="14"/>
                <w:szCs w:val="14"/>
              </w:rPr>
              <w:t>, 189, 190-234</w:t>
            </w:r>
            <w:r w:rsidRPr="00AD22FD">
              <w:rPr>
                <w:rFonts w:ascii="Times New Roman" w:hAnsi="Times New Roman" w:cs="Times New Roman"/>
                <w:sz w:val="14"/>
                <w:szCs w:val="14"/>
              </w:rPr>
              <w:t>).</w:t>
            </w:r>
            <w:r w:rsidRPr="00AD22FD">
              <w:rPr>
                <w:rStyle w:val="Refdenotaderodap"/>
                <w:rFonts w:ascii="Times New Roman" w:hAnsi="Times New Roman" w:cs="Times New Roman"/>
                <w:sz w:val="14"/>
                <w:szCs w:val="14"/>
              </w:rPr>
              <w:footnoteReference w:id="11"/>
            </w:r>
            <w:r w:rsidRPr="00AD22FD">
              <w:rPr>
                <w:rFonts w:ascii="Times New Roman" w:hAnsi="Times New Roman" w:cs="Times New Roman"/>
                <w:sz w:val="14"/>
                <w:szCs w:val="14"/>
              </w:rPr>
              <w:t xml:space="preserve"> The </w:t>
            </w:r>
            <w:r w:rsidRPr="00AD22FD">
              <w:rPr>
                <w:rFonts w:ascii="Times New Roman" w:hAnsi="Times New Roman" w:cs="Times New Roman"/>
                <w:i/>
                <w:iCs w:val="0"/>
                <w:sz w:val="14"/>
                <w:szCs w:val="14"/>
              </w:rPr>
              <w:t xml:space="preserve">Options </w:t>
            </w:r>
            <w:r w:rsidRPr="00AD22FD">
              <w:rPr>
                <w:rFonts w:ascii="Times New Roman" w:hAnsi="Times New Roman" w:cs="Times New Roman"/>
                <w:sz w:val="14"/>
                <w:szCs w:val="14"/>
              </w:rPr>
              <w:t xml:space="preserve">(pathways) that were appraised are similar to the four HLOs shown in the </w:t>
            </w:r>
            <w:r w:rsidRPr="00AD22FD">
              <w:rPr>
                <w:rFonts w:ascii="Times New Roman" w:hAnsi="Times New Roman" w:cs="Times New Roman"/>
                <w:i/>
                <w:iCs w:val="0"/>
                <w:sz w:val="14"/>
                <w:szCs w:val="14"/>
              </w:rPr>
              <w:t>route-map</w:t>
            </w:r>
            <w:r w:rsidRPr="00AD22FD">
              <w:rPr>
                <w:rFonts w:ascii="Times New Roman" w:hAnsi="Times New Roman" w:cs="Times New Roman"/>
                <w:sz w:val="14"/>
                <w:szCs w:val="14"/>
              </w:rPr>
              <w:t xml:space="preserve"> but with some refinements (</w:t>
            </w:r>
            <w:r w:rsidRPr="00AD22FD">
              <w:rPr>
                <w:rFonts w:ascii="Times New Roman" w:hAnsi="Times New Roman" w:cs="Times New Roman"/>
                <w:color w:val="7F7F7F" w:themeColor="text1" w:themeTint="80"/>
                <w:sz w:val="14"/>
                <w:szCs w:val="14"/>
              </w:rPr>
              <w:t>Ranger et al. 2013, p.251</w:t>
            </w:r>
            <w:r w:rsidRPr="00AD22FD">
              <w:rPr>
                <w:rFonts w:ascii="Times New Roman" w:hAnsi="Times New Roman" w:cs="Times New Roman"/>
                <w:sz w:val="14"/>
                <w:szCs w:val="14"/>
              </w:rPr>
              <w:t>;</w:t>
            </w:r>
            <w:r w:rsidRPr="00AD22FD">
              <w:rPr>
                <w:rFonts w:ascii="Times New Roman" w:hAnsi="Times New Roman" w:cs="Times New Roman"/>
                <w:color w:val="7F7F7F" w:themeColor="text1" w:themeTint="80"/>
                <w:sz w:val="14"/>
                <w:szCs w:val="14"/>
              </w:rPr>
              <w:t xml:space="preserve"> Penning-Roswell et al. 2013, p.1389;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p.189, 201</w:t>
            </w:r>
            <w:r w:rsidRPr="00AD22FD">
              <w:rPr>
                <w:rFonts w:ascii="Times New Roman" w:hAnsi="Times New Roman" w:cs="Times New Roman"/>
                <w:sz w:val="14"/>
                <w:szCs w:val="14"/>
              </w:rPr>
              <w:t>).</w:t>
            </w:r>
          </w:p>
          <w:p w14:paraId="74E5C189" w14:textId="52814E22"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iCs w:val="0"/>
                <w:sz w:val="14"/>
                <w:szCs w:val="14"/>
              </w:rPr>
              <w:lastRenderedPageBreak/>
              <w:t xml:space="preserve">In the </w:t>
            </w:r>
            <w:r w:rsidRPr="00AD22FD">
              <w:rPr>
                <w:rFonts w:ascii="Times New Roman" w:hAnsi="Times New Roman" w:cs="Times New Roman"/>
                <w:i/>
                <w:sz w:val="14"/>
                <w:szCs w:val="14"/>
              </w:rPr>
              <w:t>Formal Options Appraisal</w:t>
            </w:r>
            <w:r w:rsidRPr="00AD22FD">
              <w:rPr>
                <w:rFonts w:ascii="Times New Roman" w:hAnsi="Times New Roman" w:cs="Times New Roman"/>
                <w:iCs w:val="0"/>
                <w:sz w:val="14"/>
                <w:szCs w:val="14"/>
              </w:rPr>
              <w:t xml:space="preserve">, the </w:t>
            </w:r>
            <w:r w:rsidRPr="00AD22FD">
              <w:rPr>
                <w:rFonts w:ascii="Times New Roman" w:hAnsi="Times New Roman" w:cs="Times New Roman"/>
                <w:i/>
                <w:sz w:val="14"/>
                <w:szCs w:val="14"/>
              </w:rPr>
              <w:t xml:space="preserve">Options </w:t>
            </w:r>
            <w:r w:rsidRPr="00AD22FD">
              <w:rPr>
                <w:rFonts w:ascii="Times New Roman" w:hAnsi="Times New Roman" w:cs="Times New Roman"/>
                <w:iCs w:val="0"/>
                <w:sz w:val="14"/>
                <w:szCs w:val="14"/>
              </w:rPr>
              <w:t xml:space="preserve">(pathways) were appraised / assessed under several scenarios, in a cost-benefit analysis (CBA) and a multi-criteria analysis (MCA) </w:t>
            </w:r>
            <w:r w:rsidRPr="00AD22FD">
              <w:rPr>
                <w:rFonts w:ascii="Times New Roman" w:hAnsi="Times New Roman" w:cs="Times New Roman"/>
                <w:sz w:val="14"/>
                <w:szCs w:val="14"/>
              </w:rPr>
              <w:t>(</w:t>
            </w:r>
            <w:r w:rsidRPr="00AD22FD">
              <w:rPr>
                <w:rFonts w:ascii="Times New Roman" w:hAnsi="Times New Roman" w:cs="Times New Roman"/>
                <w:color w:val="7F7F7F" w:themeColor="text1" w:themeTint="80"/>
                <w:sz w:val="14"/>
                <w:szCs w:val="14"/>
              </w:rPr>
              <w:t xml:space="preserve">Penning-Rowsell et al. 2013, p.1386-1387; Ranger et al. 2013, p.243, 251; Reeder and Ranger 2011, p.6; HM Treasury 2009, p.25; Bloemen et al. 2018, p.7; Ramsbottom and Sheppard 2017, p.11, 6;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p.11, 188-234</w:t>
            </w:r>
            <w:r w:rsidRPr="00AD22FD">
              <w:rPr>
                <w:rFonts w:ascii="Times New Roman" w:hAnsi="Times New Roman" w:cs="Times New Roman"/>
                <w:sz w:val="14"/>
                <w:szCs w:val="14"/>
              </w:rPr>
              <w:t>).</w:t>
            </w:r>
            <w:r w:rsidRPr="00AD22FD">
              <w:rPr>
                <w:rStyle w:val="Refdenotaderodap"/>
                <w:rFonts w:ascii="Times New Roman" w:hAnsi="Times New Roman" w:cs="Times New Roman"/>
                <w:sz w:val="14"/>
                <w:szCs w:val="14"/>
              </w:rPr>
              <w:footnoteReference w:id="12"/>
            </w:r>
            <w:r w:rsidRPr="00AD22FD">
              <w:rPr>
                <w:rFonts w:ascii="Times New Roman" w:hAnsi="Times New Roman" w:cs="Times New Roman"/>
                <w:sz w:val="14"/>
                <w:szCs w:val="14"/>
              </w:rPr>
              <w:t xml:space="preserve"> The </w:t>
            </w:r>
            <w:r w:rsidRPr="00AD22FD">
              <w:rPr>
                <w:rFonts w:ascii="Times New Roman" w:hAnsi="Times New Roman" w:cs="Times New Roman"/>
                <w:i/>
                <w:sz w:val="14"/>
                <w:szCs w:val="14"/>
              </w:rPr>
              <w:t>Options</w:t>
            </w:r>
            <w:r w:rsidRPr="00AD22FD">
              <w:rPr>
                <w:rFonts w:ascii="Times New Roman" w:hAnsi="Times New Roman" w:cs="Times New Roman"/>
                <w:sz w:val="14"/>
                <w:szCs w:val="14"/>
              </w:rPr>
              <w:t xml:space="preserve"> were assessed on their costs, benefits, and impacts, under various scenarios, and also through societal valuation (</w:t>
            </w:r>
            <w:r w:rsidRPr="00AD22FD">
              <w:rPr>
                <w:rFonts w:ascii="Times New Roman" w:hAnsi="Times New Roman" w:cs="Times New Roman"/>
                <w:color w:val="7F7F7F" w:themeColor="text1" w:themeTint="80"/>
                <w:sz w:val="14"/>
                <w:szCs w:val="14"/>
              </w:rPr>
              <w:t>ibid</w:t>
            </w:r>
            <w:r w:rsidRPr="00AD22FD">
              <w:rPr>
                <w:rFonts w:ascii="Times New Roman" w:hAnsi="Times New Roman" w:cs="Times New Roman"/>
                <w:sz w:val="14"/>
                <w:szCs w:val="14"/>
              </w:rPr>
              <w:t xml:space="preserve">). </w:t>
            </w:r>
            <w:r w:rsidRPr="00AD22FD">
              <w:rPr>
                <w:rStyle w:val="Refdenotaderodap"/>
                <w:rFonts w:ascii="Times New Roman" w:hAnsi="Times New Roman" w:cs="Times New Roman"/>
                <w:sz w:val="14"/>
                <w:szCs w:val="14"/>
              </w:rPr>
              <w:t xml:space="preserve"> </w:t>
            </w:r>
            <w:r w:rsidRPr="00AD22FD">
              <w:rPr>
                <w:rFonts w:ascii="Times New Roman" w:hAnsi="Times New Roman" w:cs="Times New Roman"/>
                <w:iCs w:val="0"/>
                <w:sz w:val="14"/>
                <w:szCs w:val="14"/>
              </w:rPr>
              <w:t xml:space="preserve">The </w:t>
            </w:r>
            <w:r w:rsidRPr="00AD22FD">
              <w:rPr>
                <w:rFonts w:ascii="Times New Roman" w:hAnsi="Times New Roman" w:cs="Times New Roman"/>
                <w:i/>
                <w:sz w:val="14"/>
                <w:szCs w:val="14"/>
              </w:rPr>
              <w:t>Formal Options Appraisal</w:t>
            </w:r>
            <w:r w:rsidRPr="00AD22FD">
              <w:rPr>
                <w:rFonts w:ascii="Times New Roman" w:hAnsi="Times New Roman" w:cs="Times New Roman"/>
                <w:iCs w:val="0"/>
                <w:sz w:val="14"/>
                <w:szCs w:val="14"/>
              </w:rPr>
              <w:t xml:space="preserve"> followed on from the adaptation pathways’ analysis. The appraisal employed traditional CBA and MCA to assess a set of four possible Options (with sub-options), which aligned with the four HLOs (with some refinements) (</w:t>
            </w:r>
            <w:r w:rsidRPr="00AD22FD">
              <w:rPr>
                <w:rFonts w:ascii="Times New Roman" w:hAnsi="Times New Roman" w:cs="Times New Roman"/>
                <w:iCs w:val="0"/>
                <w:color w:val="7F7F7F" w:themeColor="text1" w:themeTint="80"/>
                <w:sz w:val="14"/>
                <w:szCs w:val="14"/>
              </w:rPr>
              <w:t>Ranger et al. 2013, p.251</w:t>
            </w:r>
            <w:r w:rsidRPr="00AD22FD">
              <w:rPr>
                <w:rFonts w:ascii="Times New Roman" w:hAnsi="Times New Roman" w:cs="Times New Roman"/>
                <w:iCs w:val="0"/>
                <w:sz w:val="14"/>
                <w:szCs w:val="14"/>
              </w:rPr>
              <w:t>).</w:t>
            </w:r>
            <w:r w:rsidRPr="00AD22FD">
              <w:rPr>
                <w:rFonts w:ascii="Times New Roman" w:hAnsi="Times New Roman" w:cs="Times New Roman"/>
                <w:sz w:val="14"/>
                <w:szCs w:val="14"/>
              </w:rPr>
              <w:t xml:space="preserve"> The </w:t>
            </w:r>
            <w:r w:rsidRPr="00AD22FD">
              <w:rPr>
                <w:rFonts w:ascii="Times New Roman" w:hAnsi="Times New Roman" w:cs="Times New Roman"/>
                <w:i/>
                <w:iCs w:val="0"/>
                <w:sz w:val="14"/>
                <w:szCs w:val="14"/>
              </w:rPr>
              <w:t>Formal Options Appraisal</w:t>
            </w:r>
            <w:r w:rsidRPr="00AD22FD">
              <w:rPr>
                <w:rFonts w:ascii="Times New Roman" w:hAnsi="Times New Roman" w:cs="Times New Roman"/>
                <w:sz w:val="14"/>
                <w:szCs w:val="14"/>
              </w:rPr>
              <w:t xml:space="preserve"> is reported by </w:t>
            </w:r>
            <w:r w:rsidRPr="00AD22FD">
              <w:rPr>
                <w:rFonts w:ascii="Times New Roman" w:hAnsi="Times New Roman" w:cs="Times New Roman"/>
                <w:color w:val="7F7F7F" w:themeColor="text1" w:themeTint="80"/>
                <w:sz w:val="14"/>
                <w:szCs w:val="14"/>
              </w:rPr>
              <w:t xml:space="preserve">Penning-Rowsell et al. (2013) </w:t>
            </w:r>
            <w:r w:rsidRPr="00AD22FD">
              <w:rPr>
                <w:rFonts w:ascii="Times New Roman" w:hAnsi="Times New Roman" w:cs="Times New Roman"/>
                <w:sz w:val="14"/>
                <w:szCs w:val="14"/>
              </w:rPr>
              <w:t>and the technical report of TE2100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sz w:val="14"/>
                <w:szCs w:val="14"/>
              </w:rPr>
              <w:t>).</w:t>
            </w:r>
            <w:r w:rsidRPr="00AD22FD">
              <w:rPr>
                <w:rStyle w:val="Refdenotaderodap"/>
                <w:rFonts w:ascii="Times New Roman" w:hAnsi="Times New Roman" w:cs="Times New Roman"/>
                <w:sz w:val="14"/>
                <w:szCs w:val="14"/>
              </w:rPr>
              <w:footnoteReference w:id="13"/>
            </w:r>
            <w:r w:rsidRPr="00AD22FD">
              <w:rPr>
                <w:rFonts w:ascii="Times New Roman" w:hAnsi="Times New Roman" w:cs="Times New Roman"/>
                <w:sz w:val="14"/>
                <w:szCs w:val="14"/>
              </w:rPr>
              <w:t xml:space="preserve"> </w:t>
            </w:r>
          </w:p>
          <w:p w14:paraId="2D3E9158" w14:textId="1BC968A2"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In this Appraisal, the </w:t>
            </w:r>
            <w:r w:rsidRPr="00AD22FD">
              <w:rPr>
                <w:rFonts w:ascii="Times New Roman" w:hAnsi="Times New Roman" w:cs="Times New Roman"/>
                <w:i/>
                <w:sz w:val="14"/>
                <w:szCs w:val="14"/>
              </w:rPr>
              <w:t>Options</w:t>
            </w:r>
            <w:r w:rsidRPr="00AD22FD">
              <w:rPr>
                <w:rFonts w:ascii="Times New Roman" w:hAnsi="Times New Roman" w:cs="Times New Roman"/>
                <w:sz w:val="14"/>
                <w:szCs w:val="14"/>
              </w:rPr>
              <w:t xml:space="preserve"> were assessed under different future scenarios: first, the </w:t>
            </w:r>
            <w:r w:rsidRPr="00AD22FD">
              <w:rPr>
                <w:rFonts w:ascii="Times New Roman" w:hAnsi="Times New Roman" w:cs="Times New Roman"/>
                <w:i/>
                <w:sz w:val="14"/>
                <w:szCs w:val="14"/>
              </w:rPr>
              <w:t>Options</w:t>
            </w:r>
            <w:r w:rsidRPr="00AD22FD">
              <w:rPr>
                <w:rFonts w:ascii="Times New Roman" w:hAnsi="Times New Roman" w:cs="Times New Roman"/>
                <w:sz w:val="14"/>
                <w:szCs w:val="14"/>
              </w:rPr>
              <w:t xml:space="preserve"> were appraised on their costs and benefits (CBA) and on their impacts (MCA) under the </w:t>
            </w:r>
            <w:r w:rsidRPr="00AD22FD">
              <w:rPr>
                <w:rFonts w:ascii="Times New Roman" w:hAnsi="Times New Roman" w:cs="Times New Roman"/>
                <w:i/>
                <w:sz w:val="14"/>
                <w:szCs w:val="14"/>
              </w:rPr>
              <w:t>Defra06 central</w:t>
            </w:r>
            <w:r w:rsidRPr="00AD22FD">
              <w:rPr>
                <w:rFonts w:ascii="Times New Roman" w:hAnsi="Times New Roman" w:cs="Times New Roman"/>
                <w:sz w:val="14"/>
                <w:szCs w:val="14"/>
              </w:rPr>
              <w:t xml:space="preserve"> </w:t>
            </w:r>
            <w:r w:rsidRPr="00AD22FD">
              <w:rPr>
                <w:rFonts w:ascii="Times New Roman" w:hAnsi="Times New Roman" w:cs="Times New Roman"/>
                <w:i/>
                <w:sz w:val="14"/>
                <w:szCs w:val="14"/>
              </w:rPr>
              <w:t>scenario</w:t>
            </w:r>
            <w:r w:rsidRPr="00AD22FD">
              <w:rPr>
                <w:rFonts w:ascii="Times New Roman" w:hAnsi="Times New Roman" w:cs="Times New Roman"/>
                <w:sz w:val="14"/>
                <w:szCs w:val="14"/>
              </w:rPr>
              <w:t xml:space="preserve"> (</w:t>
            </w:r>
            <w:r w:rsidRPr="00AD22FD">
              <w:rPr>
                <w:rFonts w:ascii="Times New Roman" w:hAnsi="Times New Roman" w:cs="Times New Roman"/>
                <w:i/>
                <w:sz w:val="14"/>
                <w:szCs w:val="14"/>
              </w:rPr>
              <w:t>most likely</w:t>
            </w:r>
            <w:r w:rsidRPr="00AD22FD">
              <w:rPr>
                <w:rFonts w:ascii="Times New Roman" w:hAnsi="Times New Roman" w:cs="Times New Roman"/>
                <w:sz w:val="14"/>
                <w:szCs w:val="14"/>
              </w:rPr>
              <w:t xml:space="preserve">), and then, the results of the CBA and MCA were tested under other climate and socioeconomic scenarios </w:t>
            </w:r>
            <w:r w:rsidRPr="00AD22FD">
              <w:rPr>
                <w:rFonts w:ascii="Times New Roman" w:hAnsi="Times New Roman" w:cs="Times New Roman"/>
                <w:color w:val="7030A0"/>
                <w:sz w:val="14"/>
                <w:szCs w:val="14"/>
              </w:rPr>
              <w:t>(</w:t>
            </w:r>
            <w:r w:rsidRPr="00AD22FD">
              <w:rPr>
                <w:rFonts w:ascii="Times New Roman" w:hAnsi="Times New Roman" w:cs="Times New Roman"/>
                <w:sz w:val="14"/>
                <w:szCs w:val="14"/>
              </w:rPr>
              <w:t>i.e. the prior steps were repeated under different scenarios). Subsequently, the</w:t>
            </w:r>
            <w:r w:rsidRPr="00AD22FD">
              <w:rPr>
                <w:rFonts w:ascii="Times New Roman" w:hAnsi="Times New Roman" w:cs="Times New Roman"/>
                <w:i/>
                <w:sz w:val="14"/>
                <w:szCs w:val="14"/>
              </w:rPr>
              <w:t xml:space="preserve"> Options</w:t>
            </w:r>
            <w:r w:rsidRPr="00AD22FD">
              <w:rPr>
                <w:rFonts w:ascii="Times New Roman" w:hAnsi="Times New Roman" w:cs="Times New Roman"/>
                <w:sz w:val="14"/>
                <w:szCs w:val="14"/>
              </w:rPr>
              <w:t xml:space="preserve"> were ranked under two climate scenarios (the </w:t>
            </w:r>
            <w:r w:rsidRPr="00AD22FD">
              <w:rPr>
                <w:rFonts w:ascii="Times New Roman" w:hAnsi="Times New Roman" w:cs="Times New Roman"/>
                <w:i/>
                <w:sz w:val="14"/>
                <w:szCs w:val="14"/>
              </w:rPr>
              <w:t>Defra06 central</w:t>
            </w:r>
            <w:r w:rsidRPr="00AD22FD">
              <w:rPr>
                <w:rFonts w:ascii="Times New Roman" w:hAnsi="Times New Roman" w:cs="Times New Roman"/>
                <w:sz w:val="14"/>
                <w:szCs w:val="14"/>
              </w:rPr>
              <w:t xml:space="preserve"> and the </w:t>
            </w:r>
            <w:r w:rsidRPr="00AD22FD">
              <w:rPr>
                <w:rFonts w:ascii="Times New Roman" w:hAnsi="Times New Roman" w:cs="Times New Roman"/>
                <w:i/>
                <w:sz w:val="14"/>
                <w:szCs w:val="14"/>
              </w:rPr>
              <w:t>High+</w:t>
            </w:r>
            <w:r w:rsidRPr="00AD22FD">
              <w:rPr>
                <w:rFonts w:ascii="Times New Roman" w:hAnsi="Times New Roman" w:cs="Times New Roman"/>
                <w:sz w:val="14"/>
                <w:szCs w:val="14"/>
              </w:rPr>
              <w:t>) and two socioeconomic scenarios (A and D) (</w:t>
            </w:r>
            <w:r w:rsidRPr="00AD22FD">
              <w:rPr>
                <w:rFonts w:ascii="Times New Roman" w:hAnsi="Times New Roman" w:cs="Times New Roman"/>
                <w:color w:val="7F7F7F" w:themeColor="text1" w:themeTint="80"/>
                <w:sz w:val="14"/>
                <w:szCs w:val="14"/>
              </w:rPr>
              <w:t xml:space="preserve">Ranger et al. 2013, p.242, 243, 251; Reeder and Ranger 2011, p.6, 11; Bloemen et al. 2018, p.7-8; HM Treasury 2009, p.25; Penning-Rowsell et al. 2013, p.1392, 1400;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p.232</w:t>
            </w:r>
            <w:r w:rsidRPr="00AD22FD">
              <w:rPr>
                <w:rFonts w:ascii="Times New Roman" w:hAnsi="Times New Roman" w:cs="Times New Roman"/>
                <w:sz w:val="14"/>
                <w:szCs w:val="14"/>
              </w:rPr>
              <w:t>).</w:t>
            </w:r>
            <w:r w:rsidRPr="00AD22FD">
              <w:rPr>
                <w:rStyle w:val="Refdenotaderodap"/>
                <w:rFonts w:ascii="Times New Roman" w:hAnsi="Times New Roman" w:cs="Times New Roman"/>
                <w:sz w:val="14"/>
                <w:szCs w:val="14"/>
              </w:rPr>
              <w:footnoteReference w:id="14"/>
            </w:r>
            <w:r w:rsidRPr="00AD22FD">
              <w:rPr>
                <w:rFonts w:ascii="Times New Roman" w:hAnsi="Times New Roman" w:cs="Times New Roman"/>
                <w:sz w:val="14"/>
                <w:szCs w:val="14"/>
              </w:rPr>
              <w:t xml:space="preserve"> </w:t>
            </w:r>
          </w:p>
          <w:p w14:paraId="545A9816" w14:textId="77777777"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The Appraisal allowed the identification of the </w:t>
            </w:r>
            <w:r w:rsidRPr="00AD22FD">
              <w:rPr>
                <w:rFonts w:ascii="Times New Roman" w:hAnsi="Times New Roman" w:cs="Times New Roman"/>
                <w:i/>
                <w:iCs w:val="0"/>
                <w:sz w:val="14"/>
                <w:szCs w:val="14"/>
              </w:rPr>
              <w:t xml:space="preserve">Option </w:t>
            </w:r>
            <w:r w:rsidRPr="00AD22FD">
              <w:rPr>
                <w:rFonts w:ascii="Times New Roman" w:hAnsi="Times New Roman" w:cs="Times New Roman"/>
                <w:sz w:val="14"/>
                <w:szCs w:val="14"/>
              </w:rPr>
              <w:t xml:space="preserve">with the highest cost-benefit ratio under the </w:t>
            </w:r>
            <w:r w:rsidRPr="00AD22FD">
              <w:rPr>
                <w:rFonts w:ascii="Times New Roman" w:hAnsi="Times New Roman" w:cs="Times New Roman"/>
                <w:i/>
                <w:iCs w:val="0"/>
                <w:sz w:val="14"/>
                <w:szCs w:val="14"/>
              </w:rPr>
              <w:t>central</w:t>
            </w:r>
            <w:r w:rsidRPr="00AD22FD">
              <w:rPr>
                <w:rFonts w:ascii="Times New Roman" w:hAnsi="Times New Roman" w:cs="Times New Roman"/>
                <w:sz w:val="14"/>
                <w:szCs w:val="14"/>
              </w:rPr>
              <w:t xml:space="preserve"> </w:t>
            </w:r>
            <w:r w:rsidRPr="00AD22FD">
              <w:rPr>
                <w:rFonts w:ascii="Times New Roman" w:hAnsi="Times New Roman" w:cs="Times New Roman"/>
                <w:i/>
                <w:iCs w:val="0"/>
                <w:sz w:val="14"/>
                <w:szCs w:val="14"/>
              </w:rPr>
              <w:t xml:space="preserve">scenario </w:t>
            </w:r>
            <w:r w:rsidRPr="00AD22FD">
              <w:rPr>
                <w:rFonts w:ascii="Times New Roman" w:hAnsi="Times New Roman" w:cs="Times New Roman"/>
                <w:sz w:val="14"/>
                <w:szCs w:val="14"/>
              </w:rPr>
              <w:t>(</w:t>
            </w:r>
            <w:r w:rsidRPr="00AD22FD">
              <w:rPr>
                <w:rFonts w:ascii="Times New Roman" w:hAnsi="Times New Roman" w:cs="Times New Roman"/>
                <w:i/>
                <w:iCs w:val="0"/>
                <w:sz w:val="14"/>
                <w:szCs w:val="14"/>
              </w:rPr>
              <w:t>most likely</w:t>
            </w:r>
            <w:r w:rsidRPr="00AD22FD">
              <w:rPr>
                <w:rFonts w:ascii="Times New Roman" w:hAnsi="Times New Roman" w:cs="Times New Roman"/>
                <w:sz w:val="14"/>
                <w:szCs w:val="14"/>
              </w:rPr>
              <w:t>) and the other scenarios (</w:t>
            </w:r>
            <w:r w:rsidRPr="00AD22FD">
              <w:rPr>
                <w:rFonts w:ascii="Times New Roman" w:hAnsi="Times New Roman" w:cs="Times New Roman"/>
                <w:color w:val="7F7F7F" w:themeColor="text1" w:themeTint="80"/>
                <w:sz w:val="14"/>
                <w:szCs w:val="14"/>
              </w:rPr>
              <w:t>HM Treasury 2009, p.26</w:t>
            </w:r>
            <w:r w:rsidRPr="00AD22FD">
              <w:rPr>
                <w:rFonts w:ascii="Times New Roman" w:hAnsi="Times New Roman" w:cs="Times New Roman"/>
                <w:sz w:val="14"/>
                <w:szCs w:val="14"/>
              </w:rPr>
              <w:t>), i.e. it showed what was the preferable route under these scenarios (</w:t>
            </w:r>
            <w:r w:rsidRPr="00AD22FD">
              <w:rPr>
                <w:rFonts w:ascii="Times New Roman" w:hAnsi="Times New Roman" w:cs="Times New Roman"/>
                <w:color w:val="7F7F7F" w:themeColor="text1" w:themeTint="80"/>
                <w:sz w:val="14"/>
                <w:szCs w:val="14"/>
              </w:rPr>
              <w:t>Ranger et al. 2013, p.243; Bloemen et al. 2018, p.7</w:t>
            </w:r>
            <w:r w:rsidRPr="00AD22FD">
              <w:rPr>
                <w:rFonts w:ascii="Times New Roman" w:hAnsi="Times New Roman" w:cs="Times New Roman"/>
                <w:sz w:val="14"/>
                <w:szCs w:val="14"/>
              </w:rPr>
              <w:t>).</w:t>
            </w:r>
          </w:p>
          <w:p w14:paraId="328969E5" w14:textId="77777777"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The </w:t>
            </w:r>
            <w:r w:rsidRPr="00AD22FD">
              <w:rPr>
                <w:rFonts w:ascii="Times New Roman" w:hAnsi="Times New Roman" w:cs="Times New Roman"/>
                <w:i/>
                <w:sz w:val="14"/>
                <w:szCs w:val="14"/>
              </w:rPr>
              <w:t>Options Appraisal</w:t>
            </w:r>
            <w:r w:rsidRPr="00AD22FD">
              <w:rPr>
                <w:rFonts w:ascii="Times New Roman" w:hAnsi="Times New Roman" w:cs="Times New Roman"/>
                <w:sz w:val="14"/>
                <w:szCs w:val="14"/>
              </w:rPr>
              <w:t xml:space="preserve"> led to the identification of the ‘</w:t>
            </w:r>
            <w:r w:rsidRPr="00AD22FD">
              <w:rPr>
                <w:rFonts w:ascii="Times New Roman" w:hAnsi="Times New Roman" w:cs="Times New Roman"/>
                <w:i/>
                <w:sz w:val="14"/>
                <w:szCs w:val="14"/>
              </w:rPr>
              <w:t>front-runner’</w:t>
            </w:r>
            <w:r w:rsidRPr="00AD22FD">
              <w:rPr>
                <w:rFonts w:ascii="Times New Roman" w:hAnsi="Times New Roman" w:cs="Times New Roman"/>
                <w:sz w:val="14"/>
                <w:szCs w:val="14"/>
              </w:rPr>
              <w:t xml:space="preserve"> </w:t>
            </w:r>
            <w:r w:rsidRPr="00AD22FD">
              <w:rPr>
                <w:rFonts w:ascii="Times New Roman" w:hAnsi="Times New Roman" w:cs="Times New Roman"/>
                <w:i/>
                <w:sz w:val="14"/>
                <w:szCs w:val="14"/>
              </w:rPr>
              <w:t>Options</w:t>
            </w:r>
            <w:r w:rsidRPr="00AD22FD">
              <w:rPr>
                <w:rFonts w:ascii="Times New Roman" w:hAnsi="Times New Roman" w:cs="Times New Roman"/>
                <w:sz w:val="14"/>
                <w:szCs w:val="14"/>
              </w:rPr>
              <w:t>, i.e. the top preferable pathways under diverse scenarios (</w:t>
            </w:r>
            <w:r w:rsidRPr="00AD22FD">
              <w:rPr>
                <w:rFonts w:ascii="Times New Roman" w:hAnsi="Times New Roman" w:cs="Times New Roman"/>
                <w:color w:val="7F7F7F" w:themeColor="text1" w:themeTint="80"/>
                <w:sz w:val="14"/>
                <w:szCs w:val="14"/>
              </w:rPr>
              <w:t>Penning-Rowsell et al. 2013, p.1383</w:t>
            </w:r>
            <w:r w:rsidRPr="00AD22FD">
              <w:rPr>
                <w:rFonts w:ascii="Times New Roman" w:hAnsi="Times New Roman" w:cs="Times New Roman"/>
                <w:sz w:val="14"/>
                <w:szCs w:val="14"/>
              </w:rPr>
              <w:t xml:space="preserve">). In the </w:t>
            </w:r>
            <w:r w:rsidRPr="00AD22FD">
              <w:rPr>
                <w:rFonts w:ascii="Times New Roman" w:hAnsi="Times New Roman" w:cs="Times New Roman"/>
                <w:i/>
                <w:sz w:val="14"/>
                <w:szCs w:val="14"/>
              </w:rPr>
              <w:t>Defra06 central scenario</w:t>
            </w:r>
            <w:r w:rsidRPr="00AD22FD">
              <w:rPr>
                <w:rFonts w:ascii="Times New Roman" w:hAnsi="Times New Roman" w:cs="Times New Roman"/>
                <w:sz w:val="14"/>
                <w:szCs w:val="14"/>
              </w:rPr>
              <w:t xml:space="preserve">, </w:t>
            </w:r>
            <w:r w:rsidRPr="00AD22FD">
              <w:rPr>
                <w:rFonts w:ascii="Times New Roman" w:hAnsi="Times New Roman" w:cs="Times New Roman"/>
                <w:i/>
                <w:sz w:val="14"/>
                <w:szCs w:val="14"/>
              </w:rPr>
              <w:t>Option 3.2</w:t>
            </w:r>
            <w:r w:rsidRPr="00AD22FD">
              <w:rPr>
                <w:rFonts w:ascii="Times New Roman" w:hAnsi="Times New Roman" w:cs="Times New Roman"/>
                <w:sz w:val="14"/>
                <w:szCs w:val="14"/>
              </w:rPr>
              <w:t xml:space="preserve"> is the preferred option followed by </w:t>
            </w:r>
            <w:r w:rsidRPr="00AD22FD">
              <w:rPr>
                <w:rFonts w:ascii="Times New Roman" w:hAnsi="Times New Roman" w:cs="Times New Roman"/>
                <w:i/>
                <w:sz w:val="14"/>
                <w:szCs w:val="14"/>
              </w:rPr>
              <w:t>Option 1.4</w:t>
            </w:r>
            <w:bookmarkStart w:id="17" w:name="_Hlk25094480"/>
            <w:r w:rsidRPr="00AD22FD">
              <w:rPr>
                <w:rFonts w:ascii="Times New Roman" w:hAnsi="Times New Roman" w:cs="Times New Roman"/>
                <w:sz w:val="14"/>
                <w:szCs w:val="14"/>
              </w:rPr>
              <w:t xml:space="preserve">; in the </w:t>
            </w:r>
            <w:r w:rsidRPr="00AD22FD">
              <w:rPr>
                <w:rFonts w:ascii="Times New Roman" w:hAnsi="Times New Roman" w:cs="Times New Roman"/>
                <w:i/>
                <w:sz w:val="14"/>
                <w:szCs w:val="14"/>
              </w:rPr>
              <w:t>High+ scenario</w:t>
            </w:r>
            <w:r w:rsidRPr="00AD22FD">
              <w:rPr>
                <w:rFonts w:ascii="Times New Roman" w:hAnsi="Times New Roman" w:cs="Times New Roman"/>
                <w:sz w:val="14"/>
                <w:szCs w:val="14"/>
              </w:rPr>
              <w:t xml:space="preserve">, there is a preference for </w:t>
            </w:r>
            <w:r w:rsidRPr="00AD22FD">
              <w:rPr>
                <w:rFonts w:ascii="Times New Roman" w:hAnsi="Times New Roman" w:cs="Times New Roman"/>
                <w:i/>
                <w:sz w:val="14"/>
                <w:szCs w:val="14"/>
              </w:rPr>
              <w:t xml:space="preserve">Options 3.1 </w:t>
            </w:r>
            <w:r w:rsidRPr="00AD22FD">
              <w:rPr>
                <w:rFonts w:ascii="Times New Roman" w:hAnsi="Times New Roman" w:cs="Times New Roman"/>
                <w:sz w:val="14"/>
                <w:szCs w:val="14"/>
              </w:rPr>
              <w:t>and</w:t>
            </w:r>
            <w:r w:rsidRPr="00AD22FD">
              <w:rPr>
                <w:rFonts w:ascii="Times New Roman" w:hAnsi="Times New Roman" w:cs="Times New Roman"/>
                <w:i/>
                <w:sz w:val="14"/>
                <w:szCs w:val="14"/>
              </w:rPr>
              <w:t xml:space="preserve"> 3.2</w:t>
            </w:r>
            <w:r w:rsidRPr="00AD22FD">
              <w:rPr>
                <w:rFonts w:ascii="Times New Roman" w:hAnsi="Times New Roman" w:cs="Times New Roman"/>
                <w:sz w:val="14"/>
                <w:szCs w:val="14"/>
              </w:rPr>
              <w:t xml:space="preserve">. In socioeconomic scenario A and D, the top options are </w:t>
            </w:r>
            <w:r w:rsidRPr="00AD22FD">
              <w:rPr>
                <w:rFonts w:ascii="Times New Roman" w:hAnsi="Times New Roman" w:cs="Times New Roman"/>
                <w:i/>
                <w:sz w:val="14"/>
                <w:szCs w:val="14"/>
              </w:rPr>
              <w:t>Option 1.4</w:t>
            </w:r>
            <w:r w:rsidRPr="00AD22FD">
              <w:rPr>
                <w:rFonts w:ascii="Times New Roman" w:hAnsi="Times New Roman" w:cs="Times New Roman"/>
                <w:sz w:val="14"/>
                <w:szCs w:val="14"/>
              </w:rPr>
              <w:t xml:space="preserve"> and</w:t>
            </w:r>
            <w:r w:rsidRPr="00AD22FD">
              <w:rPr>
                <w:rFonts w:ascii="Times New Roman" w:hAnsi="Times New Roman" w:cs="Times New Roman"/>
                <w:i/>
                <w:sz w:val="14"/>
                <w:szCs w:val="14"/>
              </w:rPr>
              <w:t xml:space="preserve"> 3.2</w:t>
            </w:r>
            <w:r w:rsidRPr="00AD22FD">
              <w:rPr>
                <w:rFonts w:ascii="Times New Roman" w:hAnsi="Times New Roman" w:cs="Times New Roman"/>
                <w:sz w:val="14"/>
                <w:szCs w:val="14"/>
              </w:rPr>
              <w:t>, showing that these options are robust in appraisal terms</w:t>
            </w:r>
            <w:bookmarkEnd w:id="17"/>
            <w:r w:rsidRPr="00AD22FD">
              <w:rPr>
                <w:rFonts w:ascii="Times New Roman" w:hAnsi="Times New Roman" w:cs="Times New Roman"/>
                <w:sz w:val="14"/>
                <w:szCs w:val="14"/>
              </w:rPr>
              <w:t xml:space="preserve">. Based on the whole appraisal, </w:t>
            </w:r>
            <w:r w:rsidRPr="00AD22FD">
              <w:rPr>
                <w:rFonts w:ascii="Times New Roman" w:hAnsi="Times New Roman" w:cs="Times New Roman"/>
                <w:color w:val="7F7F7F" w:themeColor="text1" w:themeTint="80"/>
                <w:sz w:val="14"/>
                <w:szCs w:val="14"/>
              </w:rPr>
              <w:t xml:space="preserve">Penning-Rowsell et al. </w:t>
            </w:r>
            <w:r w:rsidRPr="00AD22FD">
              <w:rPr>
                <w:rFonts w:ascii="Times New Roman" w:hAnsi="Times New Roman" w:cs="Times New Roman"/>
                <w:sz w:val="14"/>
                <w:szCs w:val="14"/>
              </w:rPr>
              <w:t xml:space="preserve">recommended </w:t>
            </w:r>
            <w:r w:rsidRPr="00AD22FD">
              <w:rPr>
                <w:rFonts w:ascii="Times New Roman" w:hAnsi="Times New Roman" w:cs="Times New Roman"/>
                <w:i/>
                <w:sz w:val="14"/>
                <w:szCs w:val="14"/>
              </w:rPr>
              <w:t>Option 1.4</w:t>
            </w:r>
            <w:r w:rsidRPr="00AD22FD">
              <w:rPr>
                <w:rFonts w:ascii="Times New Roman" w:hAnsi="Times New Roman" w:cs="Times New Roman"/>
                <w:sz w:val="14"/>
                <w:szCs w:val="14"/>
              </w:rPr>
              <w:t xml:space="preserve"> until 2050, however, this Option was incorporated in the proposed post-2050 actions (</w:t>
            </w:r>
            <w:bookmarkStart w:id="18" w:name="_Hlk22820652"/>
            <w:r w:rsidRPr="00AD22FD">
              <w:rPr>
                <w:rFonts w:ascii="Times New Roman" w:hAnsi="Times New Roman" w:cs="Times New Roman"/>
                <w:color w:val="7F7F7F" w:themeColor="text1" w:themeTint="80"/>
                <w:sz w:val="14"/>
                <w:szCs w:val="14"/>
              </w:rPr>
              <w:t>Penning-Rowsell et al. 2013, p.1395</w:t>
            </w:r>
            <w:r w:rsidRPr="00AD22FD">
              <w:rPr>
                <w:rFonts w:ascii="Times New Roman" w:hAnsi="Times New Roman" w:cs="Times New Roman"/>
                <w:sz w:val="14"/>
                <w:szCs w:val="14"/>
              </w:rPr>
              <w:t>).</w:t>
            </w:r>
            <w:bookmarkEnd w:id="18"/>
          </w:p>
          <w:p w14:paraId="5CB0513A" w14:textId="09AC2B54" w:rsidR="00C04B00" w:rsidRPr="00AD22FD" w:rsidRDefault="00C04B00" w:rsidP="001522F8">
            <w:pPr>
              <w:spacing w:after="120"/>
              <w:rPr>
                <w:rFonts w:ascii="Times New Roman" w:hAnsi="Times New Roman"/>
                <w:bCs/>
                <w:sz w:val="14"/>
                <w:szCs w:val="14"/>
              </w:rPr>
            </w:pPr>
            <w:r w:rsidRPr="00AD22FD">
              <w:rPr>
                <w:rFonts w:ascii="Times New Roman" w:hAnsi="Times New Roman"/>
                <w:bCs/>
                <w:sz w:val="14"/>
                <w:szCs w:val="14"/>
              </w:rPr>
              <w:t>Conclusions of the Economic Appraisal:</w:t>
            </w:r>
            <w:r w:rsidRPr="00AD22FD">
              <w:rPr>
                <w:rFonts w:ascii="Times New Roman" w:hAnsi="Times New Roman"/>
                <w:bCs/>
                <w:i/>
                <w:iCs/>
                <w:sz w:val="14"/>
                <w:szCs w:val="14"/>
              </w:rPr>
              <w:t xml:space="preserve"> The “top two” Options suggested by the Appraisal are Option 3.2 (improve existing system, with new standard barrier at Long Reach from 2070), and Option 1.4 (improve existing system, including enhancing the TB from 2070). Before 2050, all Options involve improving the existing system, and the approach taken in Option 1.4 has been shown to be the most cost-effective way of doing this </w:t>
            </w:r>
            <w:r w:rsidRPr="00AD22FD">
              <w:rPr>
                <w:rFonts w:ascii="Times New Roman" w:hAnsi="Times New Roman"/>
                <w:bCs/>
                <w:sz w:val="14"/>
                <w:szCs w:val="14"/>
              </w:rPr>
              <w:t>(</w:t>
            </w:r>
            <w:r w:rsidR="00F77E53" w:rsidRPr="00AD22FD">
              <w:rPr>
                <w:rFonts w:ascii="Times New Roman" w:hAnsi="Times New Roman"/>
                <w:bCs/>
                <w:color w:val="7F7F7F" w:themeColor="text1" w:themeTint="80"/>
                <w:sz w:val="14"/>
                <w:szCs w:val="14"/>
              </w:rPr>
              <w:t>EA 2009A</w:t>
            </w:r>
            <w:r w:rsidRPr="00AD22FD">
              <w:rPr>
                <w:rFonts w:ascii="Times New Roman" w:hAnsi="Times New Roman"/>
                <w:bCs/>
                <w:color w:val="7F7F7F" w:themeColor="text1" w:themeTint="80"/>
                <w:sz w:val="14"/>
                <w:szCs w:val="14"/>
              </w:rPr>
              <w:t>, p.233; Penning-Rowsell et al. 2013, p.1401-1402, 1383</w:t>
            </w:r>
            <w:r w:rsidRPr="00AD22FD">
              <w:rPr>
                <w:rFonts w:ascii="Times New Roman" w:hAnsi="Times New Roman"/>
                <w:bCs/>
                <w:sz w:val="14"/>
                <w:szCs w:val="14"/>
              </w:rPr>
              <w:t>). The Appraisal results were used to identify the Options that are ‘front-runners’ in terms of benefits and costs, but the choice of main “end of century” intervention will be made later (</w:t>
            </w:r>
            <w:r w:rsidR="00F77E53" w:rsidRPr="00AD22FD">
              <w:rPr>
                <w:rFonts w:ascii="Times New Roman" w:hAnsi="Times New Roman"/>
                <w:bCs/>
                <w:color w:val="7F7F7F" w:themeColor="text1" w:themeTint="80"/>
                <w:sz w:val="14"/>
                <w:szCs w:val="14"/>
              </w:rPr>
              <w:t>EA 2009A</w:t>
            </w:r>
            <w:r w:rsidRPr="00AD22FD">
              <w:rPr>
                <w:rFonts w:ascii="Times New Roman" w:hAnsi="Times New Roman"/>
                <w:bCs/>
                <w:color w:val="7F7F7F" w:themeColor="text1" w:themeTint="80"/>
                <w:sz w:val="14"/>
                <w:szCs w:val="14"/>
              </w:rPr>
              <w:t>, p.233</w:t>
            </w:r>
            <w:r w:rsidRPr="00AD22FD">
              <w:rPr>
                <w:rFonts w:ascii="Times New Roman" w:hAnsi="Times New Roman"/>
                <w:bCs/>
                <w:sz w:val="14"/>
                <w:szCs w:val="14"/>
              </w:rPr>
              <w:t>). Based on the appraisal results, the preferred “end of century” Options are Option 3.2 and Option 1.4. These preferred Options are included in the Plan (</w:t>
            </w:r>
            <w:r w:rsidR="00F77E53" w:rsidRPr="00AD22FD">
              <w:rPr>
                <w:rFonts w:ascii="Times New Roman" w:hAnsi="Times New Roman"/>
                <w:bCs/>
                <w:color w:val="7F7F7F" w:themeColor="text1" w:themeTint="80"/>
                <w:sz w:val="14"/>
                <w:szCs w:val="14"/>
              </w:rPr>
              <w:t>EA 2009A</w:t>
            </w:r>
            <w:r w:rsidRPr="00AD22FD">
              <w:rPr>
                <w:rFonts w:ascii="Times New Roman" w:hAnsi="Times New Roman"/>
                <w:bCs/>
                <w:color w:val="7F7F7F" w:themeColor="text1" w:themeTint="80"/>
                <w:sz w:val="14"/>
                <w:szCs w:val="14"/>
              </w:rPr>
              <w:t>, p.234</w:t>
            </w:r>
            <w:r w:rsidRPr="00AD22FD">
              <w:rPr>
                <w:rFonts w:ascii="Times New Roman" w:hAnsi="Times New Roman"/>
                <w:bCs/>
                <w:sz w:val="14"/>
                <w:szCs w:val="14"/>
              </w:rPr>
              <w:t>).</w:t>
            </w:r>
          </w:p>
          <w:p w14:paraId="73291282" w14:textId="37A86DFE"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In sum, in Step 2c, the Team appraised the </w:t>
            </w:r>
            <w:r w:rsidRPr="00AD22FD">
              <w:rPr>
                <w:rFonts w:ascii="Times New Roman" w:hAnsi="Times New Roman" w:cs="Times New Roman"/>
                <w:i/>
                <w:sz w:val="14"/>
                <w:szCs w:val="14"/>
              </w:rPr>
              <w:t>Options</w:t>
            </w:r>
            <w:r w:rsidRPr="00AD22FD">
              <w:rPr>
                <w:rFonts w:ascii="Times New Roman" w:hAnsi="Times New Roman" w:cs="Times New Roman"/>
                <w:sz w:val="14"/>
                <w:szCs w:val="14"/>
              </w:rPr>
              <w:t xml:space="preserve"> (on their cost, benefits, and impacts) and identified the </w:t>
            </w:r>
            <w:r w:rsidRPr="00AD22FD">
              <w:rPr>
                <w:rFonts w:ascii="Times New Roman" w:hAnsi="Times New Roman" w:cs="Times New Roman"/>
                <w:i/>
                <w:sz w:val="14"/>
                <w:szCs w:val="14"/>
              </w:rPr>
              <w:t>most promising</w:t>
            </w:r>
            <w:r w:rsidRPr="00AD22FD">
              <w:rPr>
                <w:rFonts w:ascii="Times New Roman" w:hAnsi="Times New Roman" w:cs="Times New Roman"/>
                <w:sz w:val="14"/>
                <w:szCs w:val="14"/>
              </w:rPr>
              <w:t xml:space="preserve"> </w:t>
            </w:r>
            <w:r w:rsidRPr="00AD22FD">
              <w:rPr>
                <w:rFonts w:ascii="Times New Roman" w:hAnsi="Times New Roman" w:cs="Times New Roman"/>
                <w:i/>
                <w:sz w:val="14"/>
                <w:szCs w:val="14"/>
              </w:rPr>
              <w:t>Options</w:t>
            </w:r>
            <w:r w:rsidRPr="00AD22FD">
              <w:rPr>
                <w:rFonts w:ascii="Times New Roman" w:hAnsi="Times New Roman" w:cs="Times New Roman"/>
                <w:sz w:val="14"/>
                <w:szCs w:val="14"/>
              </w:rPr>
              <w:t xml:space="preserve"> (</w:t>
            </w:r>
            <w:r w:rsidRPr="00AD22FD">
              <w:rPr>
                <w:rFonts w:ascii="Times New Roman" w:hAnsi="Times New Roman" w:cs="Times New Roman"/>
                <w:color w:val="7F7F7F" w:themeColor="text1" w:themeTint="80"/>
                <w:sz w:val="14"/>
                <w:szCs w:val="14"/>
              </w:rPr>
              <w:t>EA 2012, p.32-33, 30, 6</w:t>
            </w:r>
            <w:r w:rsidRPr="00AD22FD">
              <w:rPr>
                <w:rFonts w:ascii="Times New Roman" w:hAnsi="Times New Roman" w:cs="Times New Roman"/>
                <w:sz w:val="14"/>
                <w:szCs w:val="14"/>
              </w:rPr>
              <w:t>), (i.e. the front-runners)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p.296</w:t>
            </w:r>
            <w:r w:rsidRPr="00AD22FD">
              <w:rPr>
                <w:rFonts w:ascii="Times New Roman" w:hAnsi="Times New Roman" w:cs="Times New Roman"/>
                <w:sz w:val="14"/>
                <w:szCs w:val="14"/>
              </w:rPr>
              <w:t>).</w:t>
            </w:r>
          </w:p>
          <w:p w14:paraId="09B7E969" w14:textId="69D590FD"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The detailed Options (that were appraised and refined) are mapped in georeferenced maps within the Plan (EA 2012, p.59-65). In the </w:t>
            </w:r>
            <w:r w:rsidRPr="00AD22FD">
              <w:rPr>
                <w:rFonts w:ascii="Times New Roman" w:hAnsi="Times New Roman" w:cs="Times New Roman"/>
                <w:i/>
                <w:iCs w:val="0"/>
                <w:sz w:val="14"/>
                <w:szCs w:val="14"/>
              </w:rPr>
              <w:t xml:space="preserve">2009 </w:t>
            </w:r>
            <w:r w:rsidR="00EB63A1" w:rsidRPr="00AD22FD">
              <w:rPr>
                <w:rFonts w:ascii="Times New Roman" w:hAnsi="Times New Roman" w:cs="Times New Roman"/>
                <w:sz w:val="14"/>
                <w:szCs w:val="14"/>
              </w:rPr>
              <w:t>Technical Report</w:t>
            </w:r>
            <w:r w:rsidRPr="00AD22FD">
              <w:rPr>
                <w:rFonts w:ascii="Times New Roman" w:hAnsi="Times New Roman" w:cs="Times New Roman"/>
                <w:sz w:val="14"/>
                <w:szCs w:val="14"/>
              </w:rPr>
              <w:t xml:space="preserve">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sz w:val="14"/>
                <w:szCs w:val="14"/>
              </w:rPr>
              <w:t>), each Option was described, including the interventions required in it (that make up such Option) and their dates, under the Defra06 scenario. For each Option, it is provided a table describing the interventions required, and their dates, under the Defra06 scenario (a written description of the Option / pathway), as well as a georeferenced map of each Option under the Defra06scenario (spatial representation)</w:t>
            </w:r>
            <w:r w:rsidRPr="00AD22FD">
              <w:rPr>
                <w:rFonts w:ascii="Times New Roman" w:hAnsi="Times New Roman" w:cs="Times New Roman"/>
                <w:i/>
                <w:sz w:val="14"/>
                <w:szCs w:val="14"/>
              </w:rPr>
              <w:t xml:space="preserve"> </w:t>
            </w:r>
            <w:r w:rsidRPr="00AD22FD">
              <w:rPr>
                <w:rFonts w:ascii="Times New Roman" w:hAnsi="Times New Roman" w:cs="Times New Roman"/>
                <w:sz w:val="14"/>
                <w:szCs w:val="14"/>
              </w:rPr>
              <w:t>(</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p.151-161</w:t>
            </w:r>
            <w:r w:rsidRPr="00AD22FD">
              <w:rPr>
                <w:rFonts w:ascii="Times New Roman" w:hAnsi="Times New Roman" w:cs="Times New Roman"/>
                <w:sz w:val="14"/>
                <w:szCs w:val="14"/>
              </w:rPr>
              <w:t xml:space="preserve">). </w:t>
            </w:r>
            <w:r w:rsidRPr="00AD22FD">
              <w:rPr>
                <w:rFonts w:ascii="Times New Roman" w:hAnsi="Times New Roman" w:cs="Times New Roman"/>
                <w:color w:val="C00000"/>
                <w:sz w:val="14"/>
                <w:szCs w:val="14"/>
              </w:rPr>
              <w:t xml:space="preserve"> </w:t>
            </w:r>
          </w:p>
        </w:tc>
      </w:tr>
      <w:tr w:rsidR="00C04B00" w:rsidRPr="00AD22FD" w14:paraId="0A2778ED" w14:textId="77777777" w:rsidTr="001522F8">
        <w:tc>
          <w:tcPr>
            <w:tcW w:w="562" w:type="dxa"/>
            <w:vMerge w:val="restart"/>
          </w:tcPr>
          <w:p w14:paraId="6B893300" w14:textId="77777777"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Decide on the Plan    </w:t>
            </w:r>
          </w:p>
        </w:tc>
        <w:tc>
          <w:tcPr>
            <w:tcW w:w="993" w:type="dxa"/>
          </w:tcPr>
          <w:p w14:paraId="097684CF" w14:textId="77777777"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3a. Choose the preferred pathway(s)</w:t>
            </w:r>
          </w:p>
        </w:tc>
        <w:tc>
          <w:tcPr>
            <w:tcW w:w="8363" w:type="dxa"/>
          </w:tcPr>
          <w:p w14:paraId="22D1ABC7" w14:textId="77777777"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iCs w:val="0"/>
                <w:sz w:val="14"/>
                <w:szCs w:val="14"/>
              </w:rPr>
              <w:t>3a:</w:t>
            </w:r>
            <w:r w:rsidRPr="00AD22FD">
              <w:rPr>
                <w:rFonts w:ascii="Times New Roman" w:hAnsi="Times New Roman" w:cs="Times New Roman"/>
                <w:i/>
                <w:sz w:val="14"/>
                <w:szCs w:val="14"/>
              </w:rPr>
              <w:t xml:space="preserve"> Decision analysis</w:t>
            </w:r>
            <w:r w:rsidRPr="00AD22FD">
              <w:rPr>
                <w:rFonts w:ascii="Times New Roman" w:hAnsi="Times New Roman" w:cs="Times New Roman"/>
                <w:iCs w:val="0"/>
                <w:sz w:val="14"/>
                <w:szCs w:val="14"/>
              </w:rPr>
              <w:t>:</w:t>
            </w:r>
            <w:r w:rsidRPr="00AD22FD">
              <w:rPr>
                <w:rFonts w:ascii="Times New Roman" w:hAnsi="Times New Roman" w:cs="Times New Roman"/>
                <w:i/>
                <w:sz w:val="14"/>
                <w:szCs w:val="14"/>
              </w:rPr>
              <w:t xml:space="preserve"> </w:t>
            </w:r>
            <w:r w:rsidRPr="00AD22FD">
              <w:rPr>
                <w:rFonts w:ascii="Times New Roman" w:hAnsi="Times New Roman" w:cs="Times New Roman"/>
                <w:iCs w:val="0"/>
                <w:sz w:val="14"/>
                <w:szCs w:val="14"/>
              </w:rPr>
              <w:t>c</w:t>
            </w:r>
            <w:r w:rsidRPr="00AD22FD">
              <w:rPr>
                <w:rFonts w:ascii="Times New Roman" w:hAnsi="Times New Roman" w:cs="Times New Roman"/>
                <w:sz w:val="14"/>
                <w:szCs w:val="14"/>
              </w:rPr>
              <w:t>hoosing the ‘preferred Option (pathway)’</w:t>
            </w:r>
          </w:p>
          <w:p w14:paraId="60B7BC12" w14:textId="77777777" w:rsidR="00C04B00" w:rsidRPr="00AD22FD" w:rsidRDefault="00C04B00" w:rsidP="001522F8">
            <w:pPr>
              <w:pStyle w:val="tablecontenttext"/>
              <w:spacing w:line="240" w:lineRule="auto"/>
              <w:rPr>
                <w:rFonts w:ascii="Times New Roman" w:hAnsi="Times New Roman" w:cs="Times New Roman"/>
                <w:sz w:val="14"/>
                <w:szCs w:val="14"/>
              </w:rPr>
            </w:pPr>
            <w:bookmarkStart w:id="19" w:name="_Hlk122016352"/>
            <w:r w:rsidRPr="00AD22FD">
              <w:rPr>
                <w:rFonts w:ascii="Times New Roman" w:hAnsi="Times New Roman" w:cs="Times New Roman"/>
                <w:sz w:val="14"/>
                <w:szCs w:val="14"/>
              </w:rPr>
              <w:t>This step involved choosing the ‘</w:t>
            </w:r>
            <w:r w:rsidRPr="00AD22FD">
              <w:rPr>
                <w:rFonts w:ascii="Times New Roman" w:hAnsi="Times New Roman" w:cs="Times New Roman"/>
                <w:iCs w:val="0"/>
                <w:sz w:val="14"/>
                <w:szCs w:val="14"/>
              </w:rPr>
              <w:t>preferred pathway’</w:t>
            </w:r>
            <w:r w:rsidRPr="00AD22FD">
              <w:rPr>
                <w:rFonts w:ascii="Times New Roman" w:hAnsi="Times New Roman" w:cs="Times New Roman"/>
                <w:sz w:val="14"/>
                <w:szCs w:val="14"/>
              </w:rPr>
              <w:t xml:space="preserve"> under the </w:t>
            </w:r>
            <w:r w:rsidRPr="00AD22FD">
              <w:rPr>
                <w:rFonts w:ascii="Times New Roman" w:hAnsi="Times New Roman" w:cs="Times New Roman"/>
                <w:i/>
                <w:iCs w:val="0"/>
                <w:sz w:val="14"/>
                <w:szCs w:val="14"/>
              </w:rPr>
              <w:t>most likely rate of change</w:t>
            </w:r>
            <w:r w:rsidRPr="00AD22FD">
              <w:rPr>
                <w:rFonts w:ascii="Times New Roman" w:hAnsi="Times New Roman" w:cs="Times New Roman"/>
                <w:color w:val="0070C0"/>
                <w:sz w:val="14"/>
                <w:szCs w:val="14"/>
              </w:rPr>
              <w:t xml:space="preserve">, </w:t>
            </w:r>
            <w:r w:rsidRPr="00AD22FD">
              <w:rPr>
                <w:rFonts w:ascii="Times New Roman" w:hAnsi="Times New Roman" w:cs="Times New Roman"/>
                <w:sz w:val="14"/>
                <w:szCs w:val="14"/>
              </w:rPr>
              <w:t>and recommending it</w:t>
            </w:r>
            <w:r w:rsidRPr="00AD22FD">
              <w:rPr>
                <w:rFonts w:ascii="Times New Roman" w:hAnsi="Times New Roman" w:cs="Times New Roman"/>
                <w:color w:val="0070C0"/>
                <w:sz w:val="14"/>
                <w:szCs w:val="14"/>
              </w:rPr>
              <w:t xml:space="preserve"> </w:t>
            </w:r>
            <w:r w:rsidRPr="00AD22FD">
              <w:rPr>
                <w:rFonts w:ascii="Times New Roman" w:hAnsi="Times New Roman" w:cs="Times New Roman"/>
                <w:sz w:val="14"/>
                <w:szCs w:val="14"/>
              </w:rPr>
              <w:t>(</w:t>
            </w:r>
            <w:r w:rsidRPr="00AD22FD">
              <w:rPr>
                <w:rFonts w:ascii="Times New Roman" w:hAnsi="Times New Roman" w:cs="Times New Roman"/>
                <w:color w:val="7F7F7F" w:themeColor="text1" w:themeTint="80"/>
                <w:sz w:val="14"/>
                <w:szCs w:val="14"/>
              </w:rPr>
              <w:t>Reeder and Ranger 2011, p.6</w:t>
            </w:r>
            <w:r w:rsidRPr="00AD22FD">
              <w:rPr>
                <w:rFonts w:ascii="Times New Roman" w:hAnsi="Times New Roman" w:cs="Times New Roman"/>
                <w:sz w:val="14"/>
                <w:szCs w:val="14"/>
              </w:rPr>
              <w:t>).</w:t>
            </w:r>
            <w:r w:rsidRPr="00AD22FD">
              <w:rPr>
                <w:rStyle w:val="Refdenotaderodap"/>
                <w:rFonts w:ascii="Times New Roman" w:hAnsi="Times New Roman" w:cs="Times New Roman"/>
                <w:sz w:val="14"/>
                <w:szCs w:val="14"/>
              </w:rPr>
              <w:t xml:space="preserve"> </w:t>
            </w:r>
            <w:r w:rsidRPr="00AD22FD">
              <w:rPr>
                <w:rStyle w:val="Refdenotaderodap"/>
                <w:rFonts w:ascii="Times New Roman" w:hAnsi="Times New Roman" w:cs="Times New Roman"/>
                <w:sz w:val="14"/>
                <w:szCs w:val="14"/>
              </w:rPr>
              <w:footnoteReference w:id="15"/>
            </w:r>
            <w:r w:rsidRPr="00AD22FD">
              <w:rPr>
                <w:rFonts w:ascii="Times New Roman" w:hAnsi="Times New Roman" w:cs="Times New Roman"/>
                <w:sz w:val="14"/>
                <w:szCs w:val="14"/>
              </w:rPr>
              <w:t xml:space="preserve"> The final Plan recommends the following: in the period 2010-2069, maintaining and improving the existing flood defence system (HLO1), and, by 2050, make a decision on the</w:t>
            </w:r>
            <w:r w:rsidRPr="00AD22FD">
              <w:rPr>
                <w:rFonts w:ascii="Times New Roman" w:hAnsi="Times New Roman" w:cs="Times New Roman"/>
                <w:i/>
                <w:iCs w:val="0"/>
                <w:sz w:val="14"/>
                <w:szCs w:val="14"/>
              </w:rPr>
              <w:t xml:space="preserve"> Option</w:t>
            </w:r>
            <w:r w:rsidRPr="00AD22FD">
              <w:rPr>
                <w:rFonts w:ascii="Times New Roman" w:hAnsi="Times New Roman" w:cs="Times New Roman"/>
                <w:sz w:val="14"/>
                <w:szCs w:val="14"/>
              </w:rPr>
              <w:t xml:space="preserve"> needed to manage flood risk up to the end of the century, which should be in place by 2070, and, thus, by 2050, choose between HLO1 or 3 (</w:t>
            </w:r>
            <w:r w:rsidRPr="00AD22FD">
              <w:rPr>
                <w:rFonts w:ascii="Times New Roman" w:hAnsi="Times New Roman" w:cs="Times New Roman"/>
                <w:color w:val="7F7F7F" w:themeColor="text1" w:themeTint="80"/>
                <w:sz w:val="14"/>
                <w:szCs w:val="14"/>
              </w:rPr>
              <w:t>Reeder and Ranger 2011, p.6</w:t>
            </w:r>
            <w:r w:rsidRPr="00AD22FD">
              <w:rPr>
                <w:rFonts w:ascii="Times New Roman" w:hAnsi="Times New Roman" w:cs="Times New Roman"/>
                <w:sz w:val="14"/>
                <w:szCs w:val="14"/>
              </w:rPr>
              <w:t xml:space="preserve">). The </w:t>
            </w:r>
            <w:r w:rsidRPr="00AD22FD">
              <w:rPr>
                <w:rFonts w:ascii="Times New Roman" w:hAnsi="Times New Roman" w:cs="Times New Roman"/>
                <w:i/>
                <w:iCs w:val="0"/>
                <w:sz w:val="14"/>
                <w:szCs w:val="14"/>
              </w:rPr>
              <w:t>Option</w:t>
            </w:r>
            <w:r w:rsidRPr="00AD22FD">
              <w:rPr>
                <w:rFonts w:ascii="Times New Roman" w:hAnsi="Times New Roman" w:cs="Times New Roman"/>
                <w:sz w:val="14"/>
                <w:szCs w:val="14"/>
              </w:rPr>
              <w:t xml:space="preserve"> recommended is based on the </w:t>
            </w:r>
            <w:r w:rsidRPr="00AD22FD">
              <w:rPr>
                <w:rFonts w:ascii="Times New Roman" w:hAnsi="Times New Roman" w:cs="Times New Roman"/>
                <w:i/>
                <w:iCs w:val="0"/>
                <w:sz w:val="14"/>
                <w:szCs w:val="14"/>
              </w:rPr>
              <w:t>Option</w:t>
            </w:r>
            <w:r w:rsidRPr="00AD22FD">
              <w:rPr>
                <w:rFonts w:ascii="Times New Roman" w:hAnsi="Times New Roman" w:cs="Times New Roman"/>
                <w:sz w:val="14"/>
                <w:szCs w:val="14"/>
              </w:rPr>
              <w:t xml:space="preserve"> that, in the </w:t>
            </w:r>
            <w:r w:rsidRPr="00AD22FD">
              <w:rPr>
                <w:rFonts w:ascii="Times New Roman" w:hAnsi="Times New Roman" w:cs="Times New Roman"/>
                <w:i/>
                <w:iCs w:val="0"/>
                <w:sz w:val="14"/>
                <w:szCs w:val="14"/>
              </w:rPr>
              <w:t>Options Appraisal</w:t>
            </w:r>
            <w:r w:rsidRPr="00AD22FD">
              <w:rPr>
                <w:rFonts w:ascii="Times New Roman" w:hAnsi="Times New Roman" w:cs="Times New Roman"/>
                <w:sz w:val="14"/>
                <w:szCs w:val="14"/>
              </w:rPr>
              <w:t xml:space="preserve">, showed the highest cost-benefit ratio under the </w:t>
            </w:r>
            <w:r w:rsidRPr="00AD22FD">
              <w:rPr>
                <w:rFonts w:ascii="Times New Roman" w:hAnsi="Times New Roman" w:cs="Times New Roman"/>
                <w:i/>
                <w:iCs w:val="0"/>
                <w:sz w:val="14"/>
                <w:szCs w:val="14"/>
              </w:rPr>
              <w:t>most likely scenario</w:t>
            </w:r>
            <w:r w:rsidRPr="00AD22FD">
              <w:rPr>
                <w:rFonts w:ascii="Times New Roman" w:hAnsi="Times New Roman" w:cs="Times New Roman"/>
                <w:sz w:val="14"/>
                <w:szCs w:val="14"/>
              </w:rPr>
              <w:t xml:space="preserve"> (</w:t>
            </w:r>
            <w:r w:rsidRPr="00AD22FD">
              <w:rPr>
                <w:rFonts w:ascii="Times New Roman" w:hAnsi="Times New Roman" w:cs="Times New Roman"/>
                <w:color w:val="7F7F7F" w:themeColor="text1" w:themeTint="80"/>
                <w:sz w:val="14"/>
                <w:szCs w:val="14"/>
              </w:rPr>
              <w:t>HM Treasury 2009, p.26</w:t>
            </w:r>
            <w:r w:rsidRPr="00AD22FD">
              <w:rPr>
                <w:rFonts w:ascii="Times New Roman" w:hAnsi="Times New Roman" w:cs="Times New Roman"/>
                <w:sz w:val="14"/>
                <w:szCs w:val="14"/>
              </w:rPr>
              <w:t>).</w:t>
            </w:r>
          </w:p>
          <w:p w14:paraId="03B6E306" w14:textId="77777777" w:rsidR="00C04B00" w:rsidRPr="00AD22FD" w:rsidRDefault="00C04B00" w:rsidP="001522F8">
            <w:pPr>
              <w:pStyle w:val="TEXTBODY"/>
              <w:jc w:val="left"/>
              <w:rPr>
                <w:bCs/>
                <w:sz w:val="14"/>
                <w:szCs w:val="14"/>
              </w:rPr>
            </w:pPr>
            <w:r w:rsidRPr="00AD22FD">
              <w:rPr>
                <w:bCs/>
                <w:sz w:val="14"/>
                <w:szCs w:val="14"/>
              </w:rPr>
              <w:t xml:space="preserve">More specifically, </w:t>
            </w:r>
            <w:bookmarkStart w:id="20" w:name="_Hlk29978252"/>
            <w:r w:rsidRPr="00AD22FD">
              <w:rPr>
                <w:bCs/>
                <w:sz w:val="14"/>
                <w:szCs w:val="14"/>
              </w:rPr>
              <w:t xml:space="preserve">drawing on the results of the </w:t>
            </w:r>
            <w:r w:rsidRPr="00AD22FD">
              <w:rPr>
                <w:bCs/>
                <w:i/>
                <w:iCs/>
                <w:sz w:val="14"/>
                <w:szCs w:val="14"/>
              </w:rPr>
              <w:t>Options Appraisal</w:t>
            </w:r>
            <w:r w:rsidRPr="00AD22FD">
              <w:rPr>
                <w:bCs/>
                <w:sz w:val="14"/>
                <w:szCs w:val="14"/>
              </w:rPr>
              <w:t>, the Team selected the ‘preferred Option’ (pathway). The Plan recommended the following:</w:t>
            </w:r>
          </w:p>
          <w:p w14:paraId="1A30008C" w14:textId="77777777" w:rsidR="00C04B00" w:rsidRPr="00AD22FD" w:rsidRDefault="00C04B00" w:rsidP="001522F8">
            <w:pPr>
              <w:pStyle w:val="TEXTBODY"/>
              <w:numPr>
                <w:ilvl w:val="0"/>
                <w:numId w:val="19"/>
              </w:numPr>
              <w:ind w:left="172" w:hanging="172"/>
              <w:jc w:val="left"/>
              <w:rPr>
                <w:bCs/>
                <w:sz w:val="14"/>
                <w:szCs w:val="14"/>
              </w:rPr>
            </w:pPr>
            <w:r w:rsidRPr="00AD22FD">
              <w:rPr>
                <w:bCs/>
                <w:sz w:val="14"/>
                <w:szCs w:val="14"/>
              </w:rPr>
              <w:t>For the first 60 years of the Plan (2010-2069), ‘</w:t>
            </w:r>
            <w:r w:rsidRPr="00AD22FD">
              <w:rPr>
                <w:bCs/>
                <w:i/>
                <w:iCs/>
                <w:sz w:val="14"/>
                <w:szCs w:val="14"/>
              </w:rPr>
              <w:t>maintaining and</w:t>
            </w:r>
            <w:r w:rsidRPr="00AD22FD">
              <w:rPr>
                <w:bCs/>
                <w:sz w:val="14"/>
                <w:szCs w:val="14"/>
              </w:rPr>
              <w:t xml:space="preserve"> </w:t>
            </w:r>
            <w:r w:rsidRPr="00AD22FD">
              <w:rPr>
                <w:bCs/>
                <w:i/>
                <w:iCs/>
                <w:sz w:val="14"/>
                <w:szCs w:val="14"/>
              </w:rPr>
              <w:t>improving the existing flood defence system</w:t>
            </w:r>
            <w:r w:rsidRPr="00AD22FD">
              <w:rPr>
                <w:bCs/>
                <w:sz w:val="14"/>
                <w:szCs w:val="14"/>
              </w:rPr>
              <w:t>’ (</w:t>
            </w:r>
            <w:r w:rsidRPr="00AD22FD">
              <w:rPr>
                <w:bCs/>
                <w:i/>
                <w:iCs/>
                <w:sz w:val="14"/>
                <w:szCs w:val="14"/>
              </w:rPr>
              <w:t>Option 1.4</w:t>
            </w:r>
            <w:r w:rsidRPr="00AD22FD">
              <w:rPr>
                <w:bCs/>
                <w:sz w:val="14"/>
                <w:szCs w:val="14"/>
              </w:rPr>
              <w:t>) is the recommended option (</w:t>
            </w:r>
            <w:r w:rsidRPr="00AD22FD">
              <w:rPr>
                <w:bCs/>
                <w:color w:val="7F7F7F" w:themeColor="text1" w:themeTint="80"/>
                <w:sz w:val="14"/>
                <w:szCs w:val="14"/>
              </w:rPr>
              <w:t>EA 2012, p.35, 56</w:t>
            </w:r>
            <w:r w:rsidRPr="00AD22FD">
              <w:rPr>
                <w:bCs/>
                <w:sz w:val="14"/>
                <w:szCs w:val="14"/>
              </w:rPr>
              <w:t xml:space="preserve">). The Appraisal showed that </w:t>
            </w:r>
            <w:r w:rsidRPr="00AD22FD">
              <w:rPr>
                <w:bCs/>
                <w:i/>
                <w:iCs/>
                <w:sz w:val="14"/>
                <w:szCs w:val="14"/>
              </w:rPr>
              <w:t>Option 1.4</w:t>
            </w:r>
            <w:r w:rsidRPr="00AD22FD">
              <w:rPr>
                <w:bCs/>
                <w:sz w:val="14"/>
                <w:szCs w:val="14"/>
              </w:rPr>
              <w:t xml:space="preserve"> was the optimal approach for the first 60 years under the expected scenario (</w:t>
            </w:r>
            <w:r w:rsidRPr="00AD22FD">
              <w:rPr>
                <w:bCs/>
                <w:i/>
                <w:iCs/>
                <w:sz w:val="14"/>
                <w:szCs w:val="14"/>
              </w:rPr>
              <w:t>Defra06 central</w:t>
            </w:r>
            <w:r w:rsidRPr="00AD22FD">
              <w:rPr>
                <w:bCs/>
                <w:sz w:val="14"/>
                <w:szCs w:val="14"/>
              </w:rPr>
              <w:t xml:space="preserve">, deemed the </w:t>
            </w:r>
            <w:r w:rsidRPr="00AD22FD">
              <w:rPr>
                <w:bCs/>
                <w:i/>
                <w:iCs/>
                <w:sz w:val="14"/>
                <w:szCs w:val="14"/>
              </w:rPr>
              <w:t xml:space="preserve">most likely </w:t>
            </w:r>
            <w:r w:rsidRPr="00AD22FD">
              <w:rPr>
                <w:bCs/>
                <w:sz w:val="14"/>
                <w:szCs w:val="14"/>
              </w:rPr>
              <w:t>in Government guidance) (</w:t>
            </w:r>
            <w:r w:rsidRPr="00AD22FD">
              <w:rPr>
                <w:bCs/>
                <w:color w:val="7F7F7F" w:themeColor="text1" w:themeTint="80"/>
                <w:sz w:val="14"/>
                <w:szCs w:val="14"/>
              </w:rPr>
              <w:t>EA 2012, p.58, 35</w:t>
            </w:r>
            <w:r w:rsidRPr="00AD22FD">
              <w:rPr>
                <w:bCs/>
                <w:sz w:val="14"/>
                <w:szCs w:val="14"/>
              </w:rPr>
              <w:t xml:space="preserve">). </w:t>
            </w:r>
          </w:p>
          <w:p w14:paraId="3E91CA82" w14:textId="3350116E" w:rsidR="00C04B00" w:rsidRPr="00AD22FD" w:rsidRDefault="00C04B00" w:rsidP="001522F8">
            <w:pPr>
              <w:pStyle w:val="TEXTBODY"/>
              <w:numPr>
                <w:ilvl w:val="0"/>
                <w:numId w:val="19"/>
              </w:numPr>
              <w:spacing w:after="120"/>
              <w:ind w:left="172" w:hanging="172"/>
              <w:jc w:val="left"/>
              <w:rPr>
                <w:bCs/>
                <w:sz w:val="14"/>
                <w:szCs w:val="14"/>
              </w:rPr>
            </w:pPr>
            <w:r w:rsidRPr="00AD22FD">
              <w:rPr>
                <w:bCs/>
                <w:sz w:val="14"/>
                <w:szCs w:val="14"/>
              </w:rPr>
              <w:t xml:space="preserve">From 2070 onwards, it is expected that a new approach / </w:t>
            </w:r>
            <w:r w:rsidRPr="00AD22FD">
              <w:rPr>
                <w:bCs/>
                <w:i/>
                <w:iCs/>
                <w:sz w:val="14"/>
                <w:szCs w:val="14"/>
              </w:rPr>
              <w:t>Option</w:t>
            </w:r>
            <w:r w:rsidRPr="00AD22FD">
              <w:rPr>
                <w:bCs/>
                <w:sz w:val="14"/>
                <w:szCs w:val="14"/>
              </w:rPr>
              <w:t xml:space="preserve"> will be required to manage flood risk up to 2100 and into the 22</w:t>
            </w:r>
            <w:r w:rsidRPr="00AD22FD">
              <w:rPr>
                <w:bCs/>
                <w:sz w:val="14"/>
                <w:szCs w:val="14"/>
                <w:vertAlign w:val="superscript"/>
              </w:rPr>
              <w:t>nd</w:t>
            </w:r>
            <w:r w:rsidRPr="00AD22FD">
              <w:rPr>
                <w:bCs/>
                <w:sz w:val="14"/>
                <w:szCs w:val="14"/>
              </w:rPr>
              <w:t xml:space="preserve"> century (under the expected scenario, the </w:t>
            </w:r>
            <w:r w:rsidRPr="00AD22FD">
              <w:rPr>
                <w:bCs/>
                <w:i/>
                <w:iCs/>
                <w:sz w:val="14"/>
                <w:szCs w:val="14"/>
              </w:rPr>
              <w:t>Defra06 central</w:t>
            </w:r>
            <w:r w:rsidRPr="00AD22FD">
              <w:rPr>
                <w:bCs/>
                <w:sz w:val="14"/>
                <w:szCs w:val="14"/>
              </w:rPr>
              <w:t>) – also called ‘</w:t>
            </w:r>
            <w:r w:rsidRPr="00AD22FD">
              <w:rPr>
                <w:bCs/>
                <w:i/>
                <w:iCs/>
                <w:sz w:val="14"/>
                <w:szCs w:val="14"/>
              </w:rPr>
              <w:t>end-of-the-century Option</w:t>
            </w:r>
            <w:r w:rsidRPr="00AD22FD">
              <w:rPr>
                <w:bCs/>
                <w:sz w:val="14"/>
                <w:szCs w:val="14"/>
              </w:rPr>
              <w:t>’ (</w:t>
            </w:r>
            <w:r w:rsidRPr="00AD22FD">
              <w:rPr>
                <w:bCs/>
                <w:color w:val="7F7F7F" w:themeColor="text1" w:themeTint="80"/>
                <w:sz w:val="14"/>
                <w:szCs w:val="14"/>
              </w:rPr>
              <w:t>EA 2012, p.35, 41, 56</w:t>
            </w:r>
            <w:r w:rsidRPr="00AD22FD">
              <w:rPr>
                <w:bCs/>
                <w:sz w:val="14"/>
                <w:szCs w:val="14"/>
              </w:rPr>
              <w:t xml:space="preserve">). The design and construction of such </w:t>
            </w:r>
            <w:r w:rsidRPr="00AD22FD">
              <w:rPr>
                <w:bCs/>
                <w:i/>
                <w:iCs/>
                <w:sz w:val="14"/>
                <w:szCs w:val="14"/>
              </w:rPr>
              <w:t>end-of-the-century option</w:t>
            </w:r>
            <w:r w:rsidRPr="00AD22FD">
              <w:rPr>
                <w:bCs/>
                <w:sz w:val="14"/>
                <w:szCs w:val="14"/>
              </w:rPr>
              <w:t xml:space="preserve"> will take a lead-time; given this and the expected scenario, it is estimated that a decision on the preferred </w:t>
            </w:r>
            <w:r w:rsidRPr="00AD22FD">
              <w:rPr>
                <w:bCs/>
                <w:i/>
                <w:iCs/>
                <w:sz w:val="14"/>
                <w:szCs w:val="14"/>
              </w:rPr>
              <w:t>Option</w:t>
            </w:r>
            <w:r w:rsidRPr="00AD22FD">
              <w:rPr>
                <w:bCs/>
                <w:sz w:val="14"/>
                <w:szCs w:val="14"/>
              </w:rPr>
              <w:t xml:space="preserve"> will need to be made by 2050 (so that it can be ready in 2070), and, at that moment, all the four </w:t>
            </w:r>
            <w:r w:rsidRPr="00AD22FD">
              <w:rPr>
                <w:bCs/>
                <w:i/>
                <w:iCs/>
                <w:sz w:val="14"/>
                <w:szCs w:val="14"/>
              </w:rPr>
              <w:t>Estuary-wide Options</w:t>
            </w:r>
            <w:r w:rsidRPr="00AD22FD">
              <w:rPr>
                <w:bCs/>
                <w:sz w:val="14"/>
                <w:szCs w:val="14"/>
              </w:rPr>
              <w:t xml:space="preserve"> (pathways) will be under consideration (</w:t>
            </w:r>
            <w:r w:rsidRPr="00AD22FD">
              <w:rPr>
                <w:bCs/>
                <w:color w:val="7F7F7F" w:themeColor="text1" w:themeTint="80"/>
                <w:sz w:val="14"/>
                <w:szCs w:val="14"/>
              </w:rPr>
              <w:t>EA 2012, p.35, 56</w:t>
            </w:r>
            <w:r w:rsidRPr="00AD22FD">
              <w:rPr>
                <w:bCs/>
                <w:sz w:val="14"/>
                <w:szCs w:val="14"/>
              </w:rPr>
              <w:t>).</w:t>
            </w:r>
            <w:r w:rsidR="004D3B3E" w:rsidRPr="00AD22FD">
              <w:rPr>
                <w:bCs/>
                <w:sz w:val="14"/>
                <w:szCs w:val="14"/>
              </w:rPr>
              <w:t xml:space="preserve"> </w:t>
            </w:r>
            <w:r w:rsidRPr="00AD22FD">
              <w:rPr>
                <w:bCs/>
                <w:sz w:val="14"/>
                <w:szCs w:val="14"/>
              </w:rPr>
              <w:t xml:space="preserve">In the </w:t>
            </w:r>
            <w:r w:rsidRPr="00AD22FD">
              <w:rPr>
                <w:bCs/>
                <w:i/>
                <w:iCs/>
                <w:sz w:val="14"/>
                <w:szCs w:val="14"/>
              </w:rPr>
              <w:t>Options Appraisal</w:t>
            </w:r>
            <w:r w:rsidRPr="00AD22FD">
              <w:rPr>
                <w:bCs/>
                <w:sz w:val="14"/>
                <w:szCs w:val="14"/>
              </w:rPr>
              <w:t xml:space="preserve">, the Team identified two front-runner options for the post-2070 period: </w:t>
            </w:r>
            <w:r w:rsidRPr="00AD22FD">
              <w:rPr>
                <w:bCs/>
                <w:i/>
                <w:iCs/>
                <w:sz w:val="14"/>
                <w:szCs w:val="14"/>
              </w:rPr>
              <w:t>Option 1.4</w:t>
            </w:r>
            <w:r w:rsidRPr="00AD22FD">
              <w:rPr>
                <w:bCs/>
                <w:sz w:val="14"/>
                <w:szCs w:val="14"/>
              </w:rPr>
              <w:t xml:space="preserve"> (which involves </w:t>
            </w:r>
            <w:r w:rsidRPr="00AD22FD">
              <w:rPr>
                <w:bCs/>
                <w:i/>
                <w:iCs/>
                <w:sz w:val="14"/>
                <w:szCs w:val="14"/>
              </w:rPr>
              <w:t>continuing the defence improvements</w:t>
            </w:r>
            <w:r w:rsidRPr="00AD22FD">
              <w:rPr>
                <w:bCs/>
                <w:sz w:val="14"/>
                <w:szCs w:val="14"/>
              </w:rPr>
              <w:t xml:space="preserve"> and a </w:t>
            </w:r>
            <w:r w:rsidRPr="00AD22FD">
              <w:rPr>
                <w:bCs/>
                <w:i/>
                <w:iCs/>
                <w:sz w:val="14"/>
                <w:szCs w:val="14"/>
              </w:rPr>
              <w:t>major improvement to the TB</w:t>
            </w:r>
            <w:r w:rsidRPr="00AD22FD">
              <w:rPr>
                <w:bCs/>
                <w:sz w:val="14"/>
                <w:szCs w:val="14"/>
              </w:rPr>
              <w:t xml:space="preserve">), or </w:t>
            </w:r>
            <w:r w:rsidRPr="00AD22FD">
              <w:rPr>
                <w:bCs/>
                <w:i/>
                <w:iCs/>
                <w:sz w:val="14"/>
                <w:szCs w:val="14"/>
              </w:rPr>
              <w:t>Option 3.2</w:t>
            </w:r>
            <w:r w:rsidRPr="00AD22FD">
              <w:rPr>
                <w:bCs/>
                <w:sz w:val="14"/>
                <w:szCs w:val="14"/>
              </w:rPr>
              <w:t xml:space="preserve"> (which involves </w:t>
            </w:r>
            <w:r w:rsidRPr="00AD22FD">
              <w:rPr>
                <w:bCs/>
                <w:i/>
                <w:iCs/>
                <w:sz w:val="14"/>
                <w:szCs w:val="14"/>
              </w:rPr>
              <w:t>continuing the defence improvements and a new barrier at Long Reach</w:t>
            </w:r>
            <w:r w:rsidRPr="00AD22FD">
              <w:rPr>
                <w:bCs/>
                <w:sz w:val="14"/>
                <w:szCs w:val="14"/>
              </w:rPr>
              <w:t>) (</w:t>
            </w:r>
            <w:r w:rsidRPr="00AD22FD">
              <w:rPr>
                <w:bCs/>
                <w:color w:val="7F7F7F" w:themeColor="text1" w:themeTint="80"/>
                <w:sz w:val="14"/>
                <w:szCs w:val="14"/>
              </w:rPr>
              <w:t>EA 2012, p.56</w:t>
            </w:r>
            <w:r w:rsidRPr="00AD22FD">
              <w:rPr>
                <w:bCs/>
                <w:sz w:val="14"/>
                <w:szCs w:val="14"/>
              </w:rPr>
              <w:t>) (</w:t>
            </w:r>
            <w:r w:rsidRPr="00AD22FD">
              <w:rPr>
                <w:rFonts w:eastAsiaTheme="minorHAnsi"/>
                <w:bCs/>
                <w:color w:val="000000"/>
                <w:sz w:val="14"/>
                <w:szCs w:val="14"/>
                <w:lang w:eastAsia="en-US"/>
              </w:rPr>
              <w:t xml:space="preserve">the TE2100 </w:t>
            </w:r>
            <w:r w:rsidRPr="00AD22FD">
              <w:rPr>
                <w:rFonts w:eastAsiaTheme="minorHAnsi"/>
                <w:bCs/>
                <w:i/>
                <w:iCs/>
                <w:color w:val="000000"/>
                <w:sz w:val="14"/>
                <w:szCs w:val="14"/>
                <w:lang w:eastAsia="en-US"/>
              </w:rPr>
              <w:t>Appraisal</w:t>
            </w:r>
            <w:r w:rsidRPr="00AD22FD">
              <w:rPr>
                <w:rFonts w:eastAsiaTheme="minorHAnsi"/>
                <w:bCs/>
                <w:color w:val="000000"/>
                <w:sz w:val="14"/>
                <w:szCs w:val="14"/>
                <w:lang w:eastAsia="en-US"/>
              </w:rPr>
              <w:t xml:space="preserve"> showed two ‘front runner’ options for managing flood risk from 2070 until the end of the century and into the 22</w:t>
            </w:r>
            <w:r w:rsidRPr="00AD22FD">
              <w:rPr>
                <w:rFonts w:eastAsiaTheme="minorHAnsi"/>
                <w:bCs/>
                <w:color w:val="000000"/>
                <w:sz w:val="14"/>
                <w:szCs w:val="14"/>
                <w:vertAlign w:val="superscript"/>
                <w:lang w:eastAsia="en-US"/>
              </w:rPr>
              <w:t>nd</w:t>
            </w:r>
            <w:r w:rsidRPr="00AD22FD">
              <w:rPr>
                <w:rFonts w:eastAsiaTheme="minorHAnsi"/>
                <w:bCs/>
                <w:color w:val="000000"/>
                <w:sz w:val="14"/>
                <w:szCs w:val="14"/>
                <w:lang w:eastAsia="en-US"/>
              </w:rPr>
              <w:t xml:space="preserve"> century – </w:t>
            </w:r>
            <w:r w:rsidRPr="00AD22FD">
              <w:rPr>
                <w:rFonts w:eastAsiaTheme="minorHAnsi"/>
                <w:bCs/>
                <w:i/>
                <w:iCs/>
                <w:color w:val="000000"/>
                <w:sz w:val="14"/>
                <w:szCs w:val="14"/>
                <w:lang w:eastAsia="en-US"/>
              </w:rPr>
              <w:t>Option 1.4</w:t>
            </w:r>
            <w:r w:rsidRPr="00AD22FD">
              <w:rPr>
                <w:rFonts w:eastAsiaTheme="minorHAnsi"/>
                <w:bCs/>
                <w:color w:val="000000"/>
                <w:sz w:val="14"/>
                <w:szCs w:val="14"/>
                <w:lang w:eastAsia="en-US"/>
              </w:rPr>
              <w:t xml:space="preserve"> and </w:t>
            </w:r>
            <w:r w:rsidRPr="00AD22FD">
              <w:rPr>
                <w:rFonts w:eastAsiaTheme="minorHAnsi"/>
                <w:bCs/>
                <w:i/>
                <w:iCs/>
                <w:color w:val="000000"/>
                <w:sz w:val="14"/>
                <w:szCs w:val="14"/>
                <w:lang w:eastAsia="en-US"/>
              </w:rPr>
              <w:t>Option 3.2</w:t>
            </w:r>
            <w:r w:rsidRPr="00AD22FD">
              <w:rPr>
                <w:rFonts w:eastAsiaTheme="minorHAnsi"/>
                <w:bCs/>
                <w:color w:val="000000"/>
                <w:sz w:val="14"/>
                <w:szCs w:val="14"/>
                <w:lang w:eastAsia="en-US"/>
              </w:rPr>
              <w:t xml:space="preserve">) </w:t>
            </w:r>
            <w:r w:rsidRPr="00AD22FD">
              <w:rPr>
                <w:bCs/>
                <w:sz w:val="14"/>
                <w:szCs w:val="14"/>
              </w:rPr>
              <w:t>(</w:t>
            </w:r>
            <w:r w:rsidRPr="00AD22FD">
              <w:rPr>
                <w:bCs/>
                <w:color w:val="7F7F7F" w:themeColor="text1" w:themeTint="80"/>
                <w:sz w:val="14"/>
                <w:szCs w:val="14"/>
              </w:rPr>
              <w:t xml:space="preserve">EA 2012, p.58; </w:t>
            </w:r>
            <w:r w:rsidR="00F77E53" w:rsidRPr="00AD22FD">
              <w:rPr>
                <w:bCs/>
                <w:color w:val="7F7F7F" w:themeColor="text1" w:themeTint="80"/>
                <w:sz w:val="14"/>
                <w:szCs w:val="14"/>
              </w:rPr>
              <w:t>EA 2009A</w:t>
            </w:r>
            <w:r w:rsidRPr="00AD22FD">
              <w:rPr>
                <w:bCs/>
                <w:color w:val="7F7F7F" w:themeColor="text1" w:themeTint="80"/>
                <w:sz w:val="14"/>
                <w:szCs w:val="14"/>
              </w:rPr>
              <w:t xml:space="preserve">, </w:t>
            </w:r>
            <w:proofErr w:type="spellStart"/>
            <w:r w:rsidRPr="00AD22FD">
              <w:rPr>
                <w:bCs/>
                <w:color w:val="7F7F7F" w:themeColor="text1" w:themeTint="80"/>
                <w:sz w:val="14"/>
                <w:szCs w:val="14"/>
              </w:rPr>
              <w:t>p.xxi</w:t>
            </w:r>
            <w:proofErr w:type="spellEnd"/>
            <w:r w:rsidRPr="00AD22FD">
              <w:rPr>
                <w:bCs/>
                <w:sz w:val="14"/>
                <w:szCs w:val="14"/>
              </w:rPr>
              <w:t xml:space="preserve">). Given the uncertainties regarding the long-term (post-2070) assessment, all the four generic </w:t>
            </w:r>
            <w:r w:rsidRPr="00AD22FD">
              <w:rPr>
                <w:bCs/>
                <w:i/>
                <w:iCs/>
                <w:sz w:val="14"/>
                <w:szCs w:val="14"/>
              </w:rPr>
              <w:t>Estuary-wide Options</w:t>
            </w:r>
            <w:r w:rsidRPr="00AD22FD">
              <w:rPr>
                <w:bCs/>
                <w:sz w:val="14"/>
                <w:szCs w:val="14"/>
              </w:rPr>
              <w:t xml:space="preserve"> (pathways) will remain candidates for appraisal in future reviews of the Plan (namely in the 2050 review) (</w:t>
            </w:r>
            <w:r w:rsidRPr="00AD22FD">
              <w:rPr>
                <w:bCs/>
                <w:color w:val="7F7F7F" w:themeColor="text1" w:themeTint="80"/>
                <w:sz w:val="14"/>
                <w:szCs w:val="14"/>
              </w:rPr>
              <w:t>EA 2012, p.56, 58</w:t>
            </w:r>
            <w:r w:rsidRPr="00AD22FD">
              <w:rPr>
                <w:bCs/>
                <w:sz w:val="14"/>
                <w:szCs w:val="14"/>
              </w:rPr>
              <w:t xml:space="preserve">). </w:t>
            </w:r>
            <w:bookmarkEnd w:id="20"/>
            <w:r w:rsidRPr="00AD22FD">
              <w:rPr>
                <w:rStyle w:val="Refdenotaderodap"/>
                <w:bCs/>
                <w:sz w:val="14"/>
                <w:szCs w:val="14"/>
              </w:rPr>
              <w:footnoteReference w:id="16"/>
            </w:r>
          </w:p>
          <w:p w14:paraId="7A12BA49" w14:textId="77777777" w:rsidR="00C04B00" w:rsidRPr="00AD22FD" w:rsidRDefault="00C04B00" w:rsidP="001522F8">
            <w:pPr>
              <w:pStyle w:val="tablecontenttext"/>
              <w:spacing w:after="0" w:line="240" w:lineRule="auto"/>
              <w:rPr>
                <w:rFonts w:ascii="Times New Roman" w:hAnsi="Times New Roman" w:cs="Times New Roman"/>
                <w:iCs w:val="0"/>
                <w:sz w:val="14"/>
                <w:szCs w:val="14"/>
              </w:rPr>
            </w:pPr>
            <w:r w:rsidRPr="00AD22FD">
              <w:rPr>
                <w:rFonts w:ascii="Times New Roman" w:hAnsi="Times New Roman" w:cs="Times New Roman"/>
                <w:iCs w:val="0"/>
                <w:sz w:val="14"/>
                <w:szCs w:val="14"/>
              </w:rPr>
              <w:lastRenderedPageBreak/>
              <w:t xml:space="preserve">The </w:t>
            </w:r>
            <w:r w:rsidRPr="00AD22FD">
              <w:rPr>
                <w:rFonts w:ascii="Times New Roman" w:hAnsi="Times New Roman" w:cs="Times New Roman"/>
                <w:i/>
                <w:sz w:val="14"/>
                <w:szCs w:val="14"/>
              </w:rPr>
              <w:t xml:space="preserve">Options Appraisal </w:t>
            </w:r>
            <w:r w:rsidRPr="00AD22FD">
              <w:rPr>
                <w:rFonts w:ascii="Times New Roman" w:hAnsi="Times New Roman" w:cs="Times New Roman"/>
                <w:iCs w:val="0"/>
                <w:sz w:val="14"/>
                <w:szCs w:val="14"/>
              </w:rPr>
              <w:t>(led to) allowed the identification of two “front runners” for the period from 2070 onwards:</w:t>
            </w:r>
          </w:p>
          <w:p w14:paraId="3B81734A" w14:textId="77777777" w:rsidR="00C04B00" w:rsidRPr="00AD22FD" w:rsidRDefault="00C04B00" w:rsidP="001522F8">
            <w:pPr>
              <w:pStyle w:val="tablecontenttext"/>
              <w:numPr>
                <w:ilvl w:val="1"/>
                <w:numId w:val="4"/>
              </w:numPr>
              <w:spacing w:after="0" w:line="240" w:lineRule="auto"/>
              <w:ind w:left="314" w:hanging="142"/>
              <w:rPr>
                <w:rFonts w:ascii="Times New Roman" w:hAnsi="Times New Roman" w:cs="Times New Roman"/>
                <w:i/>
                <w:sz w:val="14"/>
                <w:szCs w:val="14"/>
              </w:rPr>
            </w:pPr>
            <w:r w:rsidRPr="00AD22FD">
              <w:rPr>
                <w:rFonts w:ascii="Times New Roman" w:hAnsi="Times New Roman" w:cs="Times New Roman"/>
                <w:i/>
                <w:sz w:val="14"/>
                <w:szCs w:val="14"/>
              </w:rPr>
              <w:t>Option 1.4 – Optimised maintenance and enhancement of the existing system with modifications made to the TB by 2070, and further adapting the structure to become a barrier with locks after 2135.</w:t>
            </w:r>
          </w:p>
          <w:p w14:paraId="70309F98" w14:textId="77777777" w:rsidR="00C04B00" w:rsidRPr="00AD22FD" w:rsidRDefault="00C04B00" w:rsidP="001522F8">
            <w:pPr>
              <w:pStyle w:val="tablecontenttext"/>
              <w:numPr>
                <w:ilvl w:val="1"/>
                <w:numId w:val="4"/>
              </w:numPr>
              <w:spacing w:after="0" w:line="240" w:lineRule="auto"/>
              <w:ind w:left="314" w:hanging="142"/>
              <w:rPr>
                <w:rFonts w:ascii="Times New Roman" w:hAnsi="Times New Roman" w:cs="Times New Roman"/>
                <w:i/>
                <w:sz w:val="14"/>
                <w:szCs w:val="14"/>
              </w:rPr>
            </w:pPr>
            <w:r w:rsidRPr="00AD22FD">
              <w:rPr>
                <w:rFonts w:ascii="Times New Roman" w:hAnsi="Times New Roman" w:cs="Times New Roman"/>
                <w:i/>
                <w:sz w:val="14"/>
                <w:szCs w:val="14"/>
              </w:rPr>
              <w:t xml:space="preserve">Option 3.2 – Optimised maintenance and enhancement of the existing system to 2070 and building a new barrier at Long Reach by 2070; (converting to a barrier with locks or “open” barrage after 2135). </w:t>
            </w:r>
          </w:p>
          <w:p w14:paraId="5FEFF883" w14:textId="77777777" w:rsidR="00E74925" w:rsidRPr="00AD22FD" w:rsidRDefault="00C04B00" w:rsidP="00E74925">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For the period until 2070,</w:t>
            </w:r>
            <w:r w:rsidRPr="00AD22FD">
              <w:rPr>
                <w:rFonts w:ascii="Times New Roman" w:hAnsi="Times New Roman" w:cs="Times New Roman"/>
                <w:i/>
                <w:sz w:val="14"/>
                <w:szCs w:val="14"/>
              </w:rPr>
              <w:t xml:space="preserve"> ‘maintaining and enhancing the current system’ </w:t>
            </w:r>
            <w:r w:rsidRPr="00AD22FD">
              <w:rPr>
                <w:rFonts w:ascii="Times New Roman" w:hAnsi="Times New Roman" w:cs="Times New Roman"/>
                <w:iCs w:val="0"/>
                <w:sz w:val="14"/>
                <w:szCs w:val="14"/>
              </w:rPr>
              <w:t xml:space="preserve">(in Option 1.4) </w:t>
            </w:r>
            <w:r w:rsidRPr="00AD22FD">
              <w:rPr>
                <w:rFonts w:ascii="Times New Roman" w:hAnsi="Times New Roman" w:cs="Times New Roman"/>
                <w:sz w:val="14"/>
                <w:szCs w:val="14"/>
              </w:rPr>
              <w:t>was preferred regardless of the ‘end-of century’ option chosen thereafter, thus, this is the main recommendation of the Plan (</w:t>
            </w:r>
            <w:r w:rsidRPr="00AD22FD">
              <w:rPr>
                <w:rFonts w:ascii="Times New Roman" w:hAnsi="Times New Roman" w:cs="Times New Roman"/>
                <w:color w:val="7F7F7F" w:themeColor="text1" w:themeTint="80"/>
                <w:sz w:val="14"/>
                <w:szCs w:val="14"/>
              </w:rPr>
              <w:t>EA 2012, p.47</w:t>
            </w:r>
            <w:r w:rsidRPr="00AD22FD">
              <w:rPr>
                <w:rFonts w:ascii="Times New Roman" w:hAnsi="Times New Roman" w:cs="Times New Roman"/>
                <w:sz w:val="14"/>
                <w:szCs w:val="14"/>
              </w:rPr>
              <w:t>).</w:t>
            </w:r>
            <w:r w:rsidRPr="00AD22FD">
              <w:rPr>
                <w:rStyle w:val="Refdenotaderodap"/>
                <w:rFonts w:ascii="Times New Roman" w:hAnsi="Times New Roman" w:cs="Times New Roman"/>
                <w:sz w:val="14"/>
                <w:szCs w:val="14"/>
              </w:rPr>
              <w:footnoteReference w:id="17"/>
            </w:r>
          </w:p>
          <w:p w14:paraId="5F2E3155" w14:textId="141D91B5" w:rsidR="00E74925" w:rsidRPr="00AD22FD" w:rsidRDefault="00C04B00" w:rsidP="00E74925">
            <w:pPr>
              <w:pStyle w:val="tablecontenttext"/>
              <w:spacing w:line="240" w:lineRule="auto"/>
              <w:rPr>
                <w:rFonts w:ascii="Times New Roman" w:hAnsi="Times New Roman" w:cs="Times New Roman"/>
                <w:i/>
                <w:sz w:val="14"/>
                <w:szCs w:val="14"/>
              </w:rPr>
            </w:pPr>
            <w:r w:rsidRPr="00AD22FD">
              <w:rPr>
                <w:rFonts w:ascii="Times New Roman" w:hAnsi="Times New Roman" w:cs="Times New Roman"/>
                <w:sz w:val="14"/>
                <w:szCs w:val="14"/>
              </w:rPr>
              <w:t>As stated in the Plan, to plan effectively for the end of this century (</w:t>
            </w:r>
            <w:r w:rsidRPr="00AD22FD">
              <w:rPr>
                <w:rFonts w:ascii="Times New Roman" w:hAnsi="Times New Roman" w:cs="Times New Roman"/>
                <w:i/>
                <w:sz w:val="14"/>
                <w:szCs w:val="14"/>
              </w:rPr>
              <w:t>planning for the long-term</w:t>
            </w:r>
            <w:r w:rsidRPr="00AD22FD">
              <w:rPr>
                <w:rFonts w:ascii="Times New Roman" w:hAnsi="Times New Roman" w:cs="Times New Roman"/>
                <w:sz w:val="14"/>
                <w:szCs w:val="14"/>
              </w:rPr>
              <w:t xml:space="preserve">), the Plan identified the </w:t>
            </w:r>
            <w:r w:rsidRPr="00AD22FD">
              <w:rPr>
                <w:rFonts w:ascii="Times New Roman" w:hAnsi="Times New Roman" w:cs="Times New Roman"/>
                <w:i/>
                <w:sz w:val="14"/>
                <w:szCs w:val="14"/>
              </w:rPr>
              <w:t xml:space="preserve">Options 1 </w:t>
            </w:r>
            <w:r w:rsidRPr="00AD22FD">
              <w:rPr>
                <w:rFonts w:ascii="Times New Roman" w:hAnsi="Times New Roman" w:cs="Times New Roman"/>
                <w:sz w:val="14"/>
                <w:szCs w:val="14"/>
              </w:rPr>
              <w:t>and</w:t>
            </w:r>
            <w:r w:rsidRPr="00AD22FD">
              <w:rPr>
                <w:rFonts w:ascii="Times New Roman" w:hAnsi="Times New Roman" w:cs="Times New Roman"/>
                <w:i/>
                <w:sz w:val="14"/>
                <w:szCs w:val="14"/>
              </w:rPr>
              <w:t xml:space="preserve"> 3</w:t>
            </w:r>
            <w:r w:rsidRPr="00AD22FD">
              <w:rPr>
                <w:rFonts w:ascii="Times New Roman" w:hAnsi="Times New Roman" w:cs="Times New Roman"/>
                <w:sz w:val="14"/>
                <w:szCs w:val="14"/>
              </w:rPr>
              <w:t xml:space="preserve"> as possible FRM strategies up to the end of this century and beyond, yet, the choice of the ‘</w:t>
            </w:r>
            <w:r w:rsidRPr="00AD22FD">
              <w:rPr>
                <w:rFonts w:ascii="Times New Roman" w:hAnsi="Times New Roman" w:cs="Times New Roman"/>
                <w:i/>
                <w:sz w:val="14"/>
                <w:szCs w:val="14"/>
              </w:rPr>
              <w:t>end of the century Option</w:t>
            </w:r>
            <w:r w:rsidRPr="00AD22FD">
              <w:rPr>
                <w:rFonts w:ascii="Times New Roman" w:hAnsi="Times New Roman" w:cs="Times New Roman"/>
                <w:sz w:val="14"/>
                <w:szCs w:val="14"/>
              </w:rPr>
              <w:t>’ will be made around 2050 in a future review of the Plan based on then-existing conditions (</w:t>
            </w:r>
            <w:r w:rsidRPr="00AD22FD">
              <w:rPr>
                <w:rFonts w:ascii="Times New Roman" w:hAnsi="Times New Roman" w:cs="Times New Roman"/>
                <w:color w:val="7F7F7F" w:themeColor="text1" w:themeTint="80"/>
                <w:sz w:val="14"/>
                <w:szCs w:val="14"/>
              </w:rPr>
              <w:t>EA 2012, p.38-39</w:t>
            </w:r>
            <w:r w:rsidRPr="00AD22FD">
              <w:rPr>
                <w:rFonts w:ascii="Times New Roman" w:hAnsi="Times New Roman" w:cs="Times New Roman"/>
                <w:sz w:val="14"/>
                <w:szCs w:val="14"/>
              </w:rPr>
              <w:t>).</w:t>
            </w:r>
            <w:bookmarkEnd w:id="19"/>
            <w:r w:rsidRPr="00AD22FD">
              <w:rPr>
                <w:rStyle w:val="Refdenotaderodap"/>
                <w:rFonts w:ascii="Times New Roman" w:hAnsi="Times New Roman" w:cs="Times New Roman"/>
                <w:sz w:val="14"/>
                <w:szCs w:val="14"/>
              </w:rPr>
              <w:footnoteReference w:id="18"/>
            </w:r>
          </w:p>
        </w:tc>
      </w:tr>
      <w:tr w:rsidR="00C04B00" w:rsidRPr="00AD22FD" w14:paraId="01E3DB6A" w14:textId="77777777" w:rsidTr="001522F8">
        <w:tc>
          <w:tcPr>
            <w:tcW w:w="562" w:type="dxa"/>
            <w:vMerge/>
          </w:tcPr>
          <w:p w14:paraId="2756D6EB" w14:textId="77777777" w:rsidR="00C04B00" w:rsidRPr="00AD22FD" w:rsidRDefault="00C04B00" w:rsidP="001522F8">
            <w:pPr>
              <w:pStyle w:val="tablecontenttext"/>
              <w:spacing w:line="240" w:lineRule="auto"/>
              <w:rPr>
                <w:rFonts w:ascii="Times New Roman" w:hAnsi="Times New Roman" w:cs="Times New Roman"/>
                <w:sz w:val="14"/>
                <w:szCs w:val="14"/>
              </w:rPr>
            </w:pPr>
          </w:p>
        </w:tc>
        <w:tc>
          <w:tcPr>
            <w:tcW w:w="993" w:type="dxa"/>
          </w:tcPr>
          <w:p w14:paraId="497FBF66" w14:textId="77777777" w:rsidR="00C04B00" w:rsidRPr="00AD22FD" w:rsidRDefault="00C04B00" w:rsidP="001522F8">
            <w:pPr>
              <w:pStyle w:val="tablecontenttext"/>
              <w:spacing w:line="240" w:lineRule="auto"/>
              <w:rPr>
                <w:rFonts w:ascii="Times New Roman" w:hAnsi="Times New Roman" w:cs="Times New Roman"/>
                <w:i/>
                <w:iCs w:val="0"/>
                <w:sz w:val="14"/>
                <w:szCs w:val="14"/>
              </w:rPr>
            </w:pPr>
            <w:r w:rsidRPr="00AD22FD">
              <w:rPr>
                <w:rFonts w:ascii="Times New Roman" w:hAnsi="Times New Roman" w:cs="Times New Roman"/>
                <w:sz w:val="14"/>
                <w:szCs w:val="14"/>
              </w:rPr>
              <w:t>3b.</w:t>
            </w:r>
            <w:r w:rsidRPr="00AD22FD">
              <w:rPr>
                <w:rFonts w:ascii="Times New Roman" w:hAnsi="Times New Roman" w:cs="Times New Roman"/>
                <w:strike/>
                <w:sz w:val="14"/>
                <w:szCs w:val="14"/>
              </w:rPr>
              <w:t xml:space="preserve"> </w:t>
            </w:r>
            <w:r w:rsidRPr="00AD22FD">
              <w:rPr>
                <w:rFonts w:ascii="Times New Roman" w:hAnsi="Times New Roman" w:cs="Times New Roman"/>
                <w:sz w:val="14"/>
                <w:szCs w:val="14"/>
              </w:rPr>
              <w:t xml:space="preserve">Elaborate ‘implementation plan(s)’: the </w:t>
            </w:r>
            <w:r w:rsidRPr="00AD22FD">
              <w:rPr>
                <w:rFonts w:ascii="Times New Roman" w:hAnsi="Times New Roman" w:cs="Times New Roman"/>
                <w:i/>
                <w:iCs w:val="0"/>
                <w:sz w:val="14"/>
                <w:szCs w:val="14"/>
              </w:rPr>
              <w:t>Action Plan</w:t>
            </w:r>
          </w:p>
          <w:p w14:paraId="2A69D558" w14:textId="6593BBDE" w:rsidR="00C04B00" w:rsidRPr="00AD22FD" w:rsidRDefault="00C04B00" w:rsidP="001522F8">
            <w:pPr>
              <w:pStyle w:val="tablecontenttext"/>
              <w:spacing w:line="240" w:lineRule="auto"/>
              <w:rPr>
                <w:rFonts w:ascii="Times New Roman" w:hAnsi="Times New Roman" w:cs="Times New Roman"/>
                <w:sz w:val="14"/>
                <w:szCs w:val="14"/>
              </w:rPr>
            </w:pPr>
          </w:p>
        </w:tc>
        <w:tc>
          <w:tcPr>
            <w:tcW w:w="8363" w:type="dxa"/>
          </w:tcPr>
          <w:p w14:paraId="392A5CDF" w14:textId="77777777" w:rsidR="00C04B00" w:rsidRPr="00AD22FD" w:rsidRDefault="00C04B00" w:rsidP="001522F8">
            <w:pPr>
              <w:pStyle w:val="tablecontenttext"/>
              <w:spacing w:line="240" w:lineRule="auto"/>
              <w:rPr>
                <w:rFonts w:ascii="Times New Roman" w:hAnsi="Times New Roman" w:cs="Times New Roman"/>
                <w:color w:val="00B050"/>
                <w:sz w:val="14"/>
                <w:szCs w:val="14"/>
              </w:rPr>
            </w:pPr>
            <w:r w:rsidRPr="00AD22FD">
              <w:rPr>
                <w:rFonts w:ascii="Times New Roman" w:hAnsi="Times New Roman" w:cs="Times New Roman"/>
                <w:sz w:val="14"/>
                <w:szCs w:val="14"/>
              </w:rPr>
              <w:t>3b. Elaborating ‘implementation plan(s)’ (</w:t>
            </w:r>
            <w:r w:rsidRPr="00AD22FD">
              <w:rPr>
                <w:rFonts w:ascii="Times New Roman" w:hAnsi="Times New Roman" w:cs="Times New Roman"/>
                <w:i/>
                <w:iCs w:val="0"/>
                <w:sz w:val="14"/>
                <w:szCs w:val="14"/>
              </w:rPr>
              <w:t>plan</w:t>
            </w:r>
            <w:r w:rsidRPr="00AD22FD">
              <w:rPr>
                <w:rFonts w:ascii="Times New Roman" w:hAnsi="Times New Roman" w:cs="Times New Roman"/>
                <w:i/>
                <w:sz w:val="14"/>
                <w:szCs w:val="14"/>
              </w:rPr>
              <w:t xml:space="preserve">ning the implementation) </w:t>
            </w:r>
          </w:p>
          <w:p w14:paraId="2939B0ED" w14:textId="7E61268C" w:rsidR="00C04B00" w:rsidRPr="00AD22FD" w:rsidRDefault="00C04B00" w:rsidP="001522F8">
            <w:pPr>
              <w:pStyle w:val="tablecontenttext"/>
              <w:spacing w:line="240" w:lineRule="auto"/>
              <w:rPr>
                <w:rFonts w:ascii="Times New Roman" w:hAnsi="Times New Roman" w:cs="Times New Roman"/>
                <w:iCs w:val="0"/>
                <w:sz w:val="14"/>
                <w:szCs w:val="14"/>
              </w:rPr>
            </w:pPr>
            <w:bookmarkStart w:id="22" w:name="_Hlk122023553"/>
            <w:r w:rsidRPr="00AD22FD">
              <w:rPr>
                <w:rFonts w:ascii="Times New Roman" w:hAnsi="Times New Roman" w:cs="Times New Roman"/>
                <w:iCs w:val="0"/>
                <w:sz w:val="14"/>
                <w:szCs w:val="14"/>
              </w:rPr>
              <w:t xml:space="preserve">The Team developed the </w:t>
            </w:r>
            <w:r w:rsidRPr="00AD22FD">
              <w:rPr>
                <w:rFonts w:ascii="Times New Roman" w:hAnsi="Times New Roman" w:cs="Times New Roman"/>
                <w:i/>
                <w:sz w:val="14"/>
                <w:szCs w:val="14"/>
              </w:rPr>
              <w:t>Action Plan</w:t>
            </w:r>
            <w:r w:rsidRPr="00AD22FD">
              <w:rPr>
                <w:rFonts w:ascii="Times New Roman" w:hAnsi="Times New Roman" w:cs="Times New Roman"/>
                <w:iCs w:val="0"/>
                <w:sz w:val="14"/>
                <w:szCs w:val="14"/>
              </w:rPr>
              <w:t xml:space="preserve"> – i.e. a programme that lays down</w:t>
            </w:r>
            <w:r w:rsidRPr="00AD22FD">
              <w:rPr>
                <w:rFonts w:ascii="Times New Roman" w:hAnsi="Times New Roman" w:cs="Times New Roman"/>
                <w:sz w:val="14"/>
                <w:szCs w:val="14"/>
              </w:rPr>
              <w:t xml:space="preserve"> the actions necessary to manage flood risk over the next 100 years at the estuary-wide level and at local level (</w:t>
            </w:r>
            <w:r w:rsidRPr="00AD22FD">
              <w:rPr>
                <w:rFonts w:ascii="Times New Roman" w:hAnsi="Times New Roman" w:cs="Times New Roman"/>
                <w:color w:val="7F7F7F" w:themeColor="text1" w:themeTint="80"/>
                <w:sz w:val="14"/>
                <w:szCs w:val="14"/>
              </w:rPr>
              <w:t>EA 2012, p.41, 30</w:t>
            </w:r>
            <w:r w:rsidRPr="00AD22FD">
              <w:rPr>
                <w:rFonts w:ascii="Times New Roman" w:hAnsi="Times New Roman" w:cs="Times New Roman"/>
                <w:sz w:val="14"/>
                <w:szCs w:val="14"/>
              </w:rPr>
              <w:t xml:space="preserve">). The Action Plan is included within the TE2100 Plan </w:t>
            </w:r>
            <w:r w:rsidRPr="00AD22FD">
              <w:rPr>
                <w:rFonts w:ascii="Times New Roman" w:hAnsi="Times New Roman" w:cs="Times New Roman"/>
                <w:iCs w:val="0"/>
                <w:sz w:val="14"/>
                <w:szCs w:val="14"/>
              </w:rPr>
              <w:t>(</w:t>
            </w:r>
            <w:r w:rsidRPr="00AD22FD">
              <w:rPr>
                <w:rFonts w:ascii="Times New Roman" w:hAnsi="Times New Roman" w:cs="Times New Roman"/>
                <w:iCs w:val="0"/>
                <w:color w:val="7F7F7F" w:themeColor="text1" w:themeTint="80"/>
                <w:sz w:val="14"/>
                <w:szCs w:val="14"/>
              </w:rPr>
              <w:t>EA 2012, p.50-220</w:t>
            </w:r>
            <w:r w:rsidRPr="00AD22FD">
              <w:rPr>
                <w:rFonts w:ascii="Times New Roman" w:hAnsi="Times New Roman" w:cs="Times New Roman"/>
                <w:iCs w:val="0"/>
                <w:sz w:val="14"/>
                <w:szCs w:val="14"/>
              </w:rPr>
              <w:t xml:space="preserve">). The </w:t>
            </w:r>
            <w:r w:rsidRPr="00AD22FD">
              <w:rPr>
                <w:rFonts w:ascii="Times New Roman" w:hAnsi="Times New Roman" w:cs="Times New Roman"/>
                <w:i/>
                <w:sz w:val="14"/>
                <w:szCs w:val="14"/>
              </w:rPr>
              <w:t>Action Plan</w:t>
            </w:r>
            <w:r w:rsidRPr="00AD22FD">
              <w:rPr>
                <w:rFonts w:ascii="Times New Roman" w:hAnsi="Times New Roman" w:cs="Times New Roman"/>
                <w:iCs w:val="0"/>
                <w:sz w:val="14"/>
                <w:szCs w:val="14"/>
              </w:rPr>
              <w:t xml:space="preserve"> </w:t>
            </w:r>
            <w:r w:rsidRPr="00AD22FD">
              <w:rPr>
                <w:rFonts w:ascii="Times New Roman" w:hAnsi="Times New Roman" w:cs="Times New Roman"/>
                <w:sz w:val="14"/>
                <w:szCs w:val="14"/>
              </w:rPr>
              <w:t>presents the recommended actions for a ‘estuary-wide zone’ (</w:t>
            </w:r>
            <w:r w:rsidRPr="00AD22FD">
              <w:rPr>
                <w:rFonts w:ascii="Times New Roman" w:hAnsi="Times New Roman" w:cs="Times New Roman"/>
                <w:i/>
                <w:sz w:val="14"/>
                <w:szCs w:val="14"/>
              </w:rPr>
              <w:t>Action Zone 0</w:t>
            </w:r>
            <w:r w:rsidRPr="00AD22FD">
              <w:rPr>
                <w:rFonts w:ascii="Times New Roman" w:hAnsi="Times New Roman" w:cs="Times New Roman"/>
                <w:sz w:val="14"/>
                <w:szCs w:val="14"/>
              </w:rPr>
              <w:t xml:space="preserve">), and for 8 local </w:t>
            </w:r>
            <w:r w:rsidRPr="00AD22FD">
              <w:rPr>
                <w:rFonts w:ascii="Times New Roman" w:hAnsi="Times New Roman" w:cs="Times New Roman"/>
                <w:i/>
                <w:sz w:val="14"/>
                <w:szCs w:val="14"/>
              </w:rPr>
              <w:t>Action Zones</w:t>
            </w:r>
            <w:r w:rsidRPr="00AD22FD">
              <w:rPr>
                <w:rFonts w:ascii="Times New Roman" w:hAnsi="Times New Roman" w:cs="Times New Roman"/>
                <w:sz w:val="14"/>
                <w:szCs w:val="14"/>
              </w:rPr>
              <w:t xml:space="preserve"> (each zone contains various ‘policy units’ with similar characteristics and types of actions) (</w:t>
            </w:r>
            <w:r w:rsidRPr="00AD22FD">
              <w:rPr>
                <w:rFonts w:ascii="Times New Roman" w:hAnsi="Times New Roman" w:cs="Times New Roman"/>
                <w:color w:val="7F7F7F" w:themeColor="text1" w:themeTint="80"/>
                <w:sz w:val="14"/>
                <w:szCs w:val="14"/>
              </w:rPr>
              <w:t xml:space="preserve">EA 2012, p.50;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95, 117-118, 296</w:t>
            </w:r>
            <w:r w:rsidRPr="00AD22FD">
              <w:rPr>
                <w:rFonts w:ascii="Times New Roman" w:hAnsi="Times New Roman" w:cs="Times New Roman"/>
                <w:sz w:val="14"/>
                <w:szCs w:val="14"/>
              </w:rPr>
              <w:t xml:space="preserve">). In specific, the Action Plan defines: </w:t>
            </w:r>
            <w:r w:rsidRPr="00AD22FD">
              <w:rPr>
                <w:rFonts w:ascii="Times New Roman" w:hAnsi="Times New Roman" w:cs="Times New Roman"/>
                <w:i/>
                <w:sz w:val="14"/>
                <w:szCs w:val="14"/>
              </w:rPr>
              <w:t xml:space="preserve">what </w:t>
            </w:r>
            <w:r w:rsidRPr="00AD22FD">
              <w:rPr>
                <w:rFonts w:ascii="Times New Roman" w:hAnsi="Times New Roman" w:cs="Times New Roman"/>
                <w:sz w:val="14"/>
                <w:szCs w:val="14"/>
              </w:rPr>
              <w:t xml:space="preserve">actions must be implemented per Action Zone (according to the FRM policy allocated to each policy-unit), </w:t>
            </w:r>
            <w:r w:rsidRPr="00AD22FD">
              <w:rPr>
                <w:rFonts w:ascii="Times New Roman" w:hAnsi="Times New Roman" w:cs="Times New Roman"/>
                <w:i/>
                <w:sz w:val="14"/>
                <w:szCs w:val="14"/>
              </w:rPr>
              <w:t>when</w:t>
            </w:r>
            <w:r w:rsidRPr="00AD22FD">
              <w:rPr>
                <w:rFonts w:ascii="Times New Roman" w:hAnsi="Times New Roman" w:cs="Times New Roman"/>
                <w:sz w:val="14"/>
                <w:szCs w:val="14"/>
              </w:rPr>
              <w:t xml:space="preserve"> to implement them, </w:t>
            </w:r>
            <w:r w:rsidRPr="00AD22FD">
              <w:rPr>
                <w:rFonts w:ascii="Times New Roman" w:hAnsi="Times New Roman" w:cs="Times New Roman"/>
                <w:i/>
                <w:sz w:val="14"/>
                <w:szCs w:val="14"/>
              </w:rPr>
              <w:t xml:space="preserve">who </w:t>
            </w:r>
            <w:r w:rsidRPr="00AD22FD">
              <w:rPr>
                <w:rFonts w:ascii="Times New Roman" w:hAnsi="Times New Roman" w:cs="Times New Roman"/>
                <w:sz w:val="14"/>
                <w:szCs w:val="14"/>
              </w:rPr>
              <w:t xml:space="preserve">will deliver them, and </w:t>
            </w:r>
            <w:r w:rsidRPr="00AD22FD">
              <w:rPr>
                <w:rFonts w:ascii="Times New Roman" w:hAnsi="Times New Roman" w:cs="Times New Roman"/>
                <w:i/>
                <w:sz w:val="14"/>
                <w:szCs w:val="14"/>
              </w:rPr>
              <w:t>how</w:t>
            </w:r>
            <w:r w:rsidRPr="00AD22FD">
              <w:rPr>
                <w:rFonts w:ascii="Times New Roman" w:hAnsi="Times New Roman" w:cs="Times New Roman"/>
                <w:sz w:val="14"/>
                <w:szCs w:val="14"/>
              </w:rPr>
              <w:t xml:space="preserve"> this will be done (</w:t>
            </w:r>
            <w:r w:rsidRPr="00AD22FD">
              <w:rPr>
                <w:rFonts w:ascii="Times New Roman" w:hAnsi="Times New Roman" w:cs="Times New Roman"/>
                <w:color w:val="7F7F7F" w:themeColor="text1" w:themeTint="80"/>
                <w:sz w:val="14"/>
                <w:szCs w:val="14"/>
              </w:rPr>
              <w:t>EA 2012, p.6, 35, 41, 50-55</w:t>
            </w:r>
            <w:r w:rsidRPr="00AD22FD">
              <w:rPr>
                <w:rFonts w:ascii="Times New Roman" w:hAnsi="Times New Roman" w:cs="Times New Roman"/>
                <w:sz w:val="14"/>
                <w:szCs w:val="14"/>
              </w:rPr>
              <w:t>).</w:t>
            </w:r>
            <w:r w:rsidRPr="00AD22FD">
              <w:rPr>
                <w:rStyle w:val="Refdenotaderodap"/>
                <w:rFonts w:ascii="Times New Roman" w:hAnsi="Times New Roman" w:cs="Times New Roman"/>
                <w:sz w:val="14"/>
                <w:szCs w:val="14"/>
              </w:rPr>
              <w:footnoteReference w:id="19"/>
            </w:r>
            <w:r w:rsidRPr="00AD22FD">
              <w:rPr>
                <w:rFonts w:ascii="Times New Roman" w:hAnsi="Times New Roman" w:cs="Times New Roman"/>
                <w:iCs w:val="0"/>
                <w:sz w:val="14"/>
                <w:szCs w:val="14"/>
              </w:rPr>
              <w:t xml:space="preserve">There are three phases of implementation in the </w:t>
            </w:r>
            <w:r w:rsidRPr="00AD22FD">
              <w:rPr>
                <w:rFonts w:ascii="Times New Roman" w:hAnsi="Times New Roman" w:cs="Times New Roman"/>
                <w:i/>
                <w:sz w:val="14"/>
                <w:szCs w:val="14"/>
              </w:rPr>
              <w:t>Action Plan</w:t>
            </w:r>
            <w:r w:rsidRPr="00AD22FD">
              <w:rPr>
                <w:rFonts w:ascii="Times New Roman" w:hAnsi="Times New Roman" w:cs="Times New Roman"/>
                <w:iCs w:val="0"/>
                <w:sz w:val="14"/>
                <w:szCs w:val="14"/>
              </w:rPr>
              <w:t xml:space="preserve"> (with different objectives associated), and </w:t>
            </w:r>
            <w:r w:rsidRPr="00AD22FD">
              <w:rPr>
                <w:rFonts w:ascii="Times New Roman" w:hAnsi="Times New Roman" w:cs="Times New Roman"/>
                <w:sz w:val="14"/>
                <w:szCs w:val="14"/>
              </w:rPr>
              <w:t>the recommended actions are distributed per time-period</w:t>
            </w:r>
            <w:r w:rsidRPr="00AD22FD">
              <w:rPr>
                <w:rFonts w:ascii="Times New Roman" w:hAnsi="Times New Roman" w:cs="Times New Roman"/>
                <w:iCs w:val="0"/>
                <w:sz w:val="14"/>
                <w:szCs w:val="14"/>
              </w:rPr>
              <w:t>: short-term (2010- 2034); medium-term (2035-2049); long-term (2050-2100 / onwards) (</w:t>
            </w:r>
            <w:r w:rsidRPr="00AD22FD">
              <w:rPr>
                <w:rFonts w:ascii="Times New Roman" w:hAnsi="Times New Roman" w:cs="Times New Roman"/>
                <w:iCs w:val="0"/>
                <w:color w:val="7F7F7F" w:themeColor="text1" w:themeTint="80"/>
                <w:sz w:val="14"/>
                <w:szCs w:val="14"/>
              </w:rPr>
              <w:t xml:space="preserve">EA 2012, p.6, 30, 40-41; </w:t>
            </w:r>
            <w:r w:rsidR="00F77E53" w:rsidRPr="00AD22FD">
              <w:rPr>
                <w:rFonts w:ascii="Times New Roman" w:eastAsia="Calibri" w:hAnsi="Times New Roman" w:cs="Times New Roman"/>
                <w:color w:val="7F7F7F" w:themeColor="text1" w:themeTint="80"/>
                <w:sz w:val="14"/>
                <w:szCs w:val="14"/>
                <w:lang w:eastAsia="en-US"/>
              </w:rPr>
              <w:t>EA 2009A</w:t>
            </w:r>
            <w:r w:rsidRPr="00AD22FD">
              <w:rPr>
                <w:rFonts w:ascii="Times New Roman" w:eastAsia="Calibri" w:hAnsi="Times New Roman" w:cs="Times New Roman"/>
                <w:color w:val="7F7F7F" w:themeColor="text1" w:themeTint="80"/>
                <w:sz w:val="14"/>
                <w:szCs w:val="14"/>
                <w:lang w:eastAsia="en-US"/>
              </w:rPr>
              <w:t xml:space="preserve">, </w:t>
            </w:r>
            <w:proofErr w:type="spellStart"/>
            <w:r w:rsidRPr="00AD22FD">
              <w:rPr>
                <w:rFonts w:ascii="Times New Roman" w:eastAsia="Calibri" w:hAnsi="Times New Roman" w:cs="Times New Roman"/>
                <w:color w:val="7F7F7F" w:themeColor="text1" w:themeTint="80"/>
                <w:sz w:val="14"/>
                <w:szCs w:val="14"/>
                <w:lang w:eastAsia="en-US"/>
              </w:rPr>
              <w:t>p.xiii</w:t>
            </w:r>
            <w:proofErr w:type="spellEnd"/>
            <w:r w:rsidRPr="00AD22FD">
              <w:rPr>
                <w:rFonts w:ascii="Times New Roman" w:eastAsia="Calibri" w:hAnsi="Times New Roman" w:cs="Times New Roman"/>
                <w:color w:val="7F7F7F" w:themeColor="text1" w:themeTint="80"/>
                <w:sz w:val="14"/>
                <w:szCs w:val="14"/>
                <w:lang w:eastAsia="en-US"/>
              </w:rPr>
              <w:t>, 263</w:t>
            </w:r>
            <w:r w:rsidRPr="00AD22FD">
              <w:rPr>
                <w:rFonts w:ascii="Times New Roman" w:hAnsi="Times New Roman" w:cs="Times New Roman"/>
                <w:iCs w:val="0"/>
                <w:sz w:val="14"/>
                <w:szCs w:val="14"/>
              </w:rPr>
              <w:t>).</w:t>
            </w:r>
            <w:bookmarkEnd w:id="22"/>
          </w:p>
          <w:p w14:paraId="25454CBD" w14:textId="77777777" w:rsidR="00C04B00" w:rsidRPr="00AD22FD" w:rsidRDefault="00C04B00" w:rsidP="001522F8">
            <w:pPr>
              <w:pStyle w:val="tablecontenttext"/>
              <w:spacing w:line="240" w:lineRule="auto"/>
              <w:rPr>
                <w:rFonts w:ascii="Times New Roman" w:hAnsi="Times New Roman" w:cs="Times New Roman"/>
                <w:iCs w:val="0"/>
                <w:sz w:val="14"/>
                <w:szCs w:val="14"/>
              </w:rPr>
            </w:pPr>
            <w:r w:rsidRPr="00AD22FD">
              <w:rPr>
                <w:rFonts w:ascii="Times New Roman" w:hAnsi="Times New Roman" w:cs="Times New Roman"/>
                <w:sz w:val="14"/>
                <w:szCs w:val="14"/>
              </w:rPr>
              <w:t xml:space="preserve">The </w:t>
            </w:r>
            <w:r w:rsidRPr="00AD22FD">
              <w:rPr>
                <w:rFonts w:ascii="Times New Roman" w:hAnsi="Times New Roman" w:cs="Times New Roman"/>
                <w:i/>
                <w:iCs w:val="0"/>
                <w:sz w:val="14"/>
                <w:szCs w:val="14"/>
              </w:rPr>
              <w:t>Action Plan</w:t>
            </w:r>
            <w:r w:rsidRPr="00AD22FD">
              <w:rPr>
                <w:rFonts w:ascii="Times New Roman" w:hAnsi="Times New Roman" w:cs="Times New Roman"/>
                <w:sz w:val="14"/>
                <w:szCs w:val="14"/>
              </w:rPr>
              <w:t xml:space="preserve"> provides, for the first 40 years (until 2049), a detailed investment programme with works for upgrading the existing flood defence system (maintenance and improvement works for existing defences)</w:t>
            </w:r>
            <w:r w:rsidRPr="00AD22FD">
              <w:rPr>
                <w:rStyle w:val="Refdenotaderodap"/>
                <w:rFonts w:ascii="Times New Roman" w:hAnsi="Times New Roman" w:cs="Times New Roman"/>
                <w:iCs w:val="0"/>
                <w:sz w:val="14"/>
                <w:szCs w:val="14"/>
              </w:rPr>
              <w:footnoteReference w:id="20"/>
            </w:r>
            <w:r w:rsidRPr="00AD22FD">
              <w:rPr>
                <w:rFonts w:ascii="Times New Roman" w:hAnsi="Times New Roman" w:cs="Times New Roman"/>
                <w:sz w:val="14"/>
                <w:szCs w:val="14"/>
              </w:rPr>
              <w:t xml:space="preserve">, and, for the period 2050-2100, a high-level programme (based on the </w:t>
            </w:r>
            <w:r w:rsidRPr="00AD22FD">
              <w:rPr>
                <w:rFonts w:ascii="Times New Roman" w:hAnsi="Times New Roman" w:cs="Times New Roman"/>
                <w:i/>
                <w:sz w:val="14"/>
                <w:szCs w:val="14"/>
              </w:rPr>
              <w:t>Options</w:t>
            </w:r>
            <w:r w:rsidRPr="00AD22FD">
              <w:rPr>
                <w:rFonts w:ascii="Times New Roman" w:hAnsi="Times New Roman" w:cs="Times New Roman"/>
                <w:sz w:val="14"/>
                <w:szCs w:val="14"/>
              </w:rPr>
              <w:t xml:space="preserve"> that performed best in the Appraisal under the </w:t>
            </w:r>
            <w:r w:rsidRPr="00AD22FD">
              <w:rPr>
                <w:rFonts w:ascii="Times New Roman" w:hAnsi="Times New Roman" w:cs="Times New Roman"/>
                <w:i/>
                <w:sz w:val="14"/>
                <w:szCs w:val="14"/>
              </w:rPr>
              <w:t>most likely</w:t>
            </w:r>
            <w:r w:rsidRPr="00AD22FD">
              <w:rPr>
                <w:rFonts w:ascii="Times New Roman" w:hAnsi="Times New Roman" w:cs="Times New Roman"/>
                <w:sz w:val="14"/>
                <w:szCs w:val="14"/>
              </w:rPr>
              <w:t xml:space="preserve"> scenario) (</w:t>
            </w:r>
            <w:r w:rsidRPr="00AD22FD">
              <w:rPr>
                <w:rFonts w:ascii="Times New Roman" w:hAnsi="Times New Roman" w:cs="Times New Roman"/>
                <w:color w:val="7F7F7F" w:themeColor="text1" w:themeTint="80"/>
                <w:sz w:val="14"/>
                <w:szCs w:val="14"/>
              </w:rPr>
              <w:t>EA 2012, p.41, 56</w:t>
            </w:r>
            <w:r w:rsidRPr="00AD22FD">
              <w:rPr>
                <w:rFonts w:ascii="Times New Roman" w:hAnsi="Times New Roman" w:cs="Times New Roman"/>
                <w:sz w:val="14"/>
                <w:szCs w:val="14"/>
              </w:rPr>
              <w:t>).</w:t>
            </w:r>
            <w:r w:rsidRPr="00AD22FD">
              <w:rPr>
                <w:rStyle w:val="Refdenotaderodap"/>
                <w:rFonts w:ascii="Times New Roman" w:hAnsi="Times New Roman" w:cs="Times New Roman"/>
                <w:sz w:val="14"/>
                <w:szCs w:val="14"/>
              </w:rPr>
              <w:footnoteReference w:id="21"/>
            </w:r>
            <w:r w:rsidRPr="00AD22FD">
              <w:rPr>
                <w:rFonts w:ascii="Times New Roman" w:hAnsi="Times New Roman" w:cs="Times New Roman"/>
                <w:iCs w:val="0"/>
                <w:sz w:val="14"/>
                <w:szCs w:val="14"/>
              </w:rPr>
              <w:t xml:space="preserve"> </w:t>
            </w:r>
          </w:p>
          <w:p w14:paraId="6E9DC3ED" w14:textId="77777777" w:rsidR="00C04B00" w:rsidRPr="00AD22FD" w:rsidRDefault="00C04B00" w:rsidP="001522F8">
            <w:pPr>
              <w:pStyle w:val="tablecontenttext"/>
              <w:spacing w:line="240" w:lineRule="auto"/>
              <w:jc w:val="both"/>
              <w:rPr>
                <w:rFonts w:ascii="Times New Roman" w:hAnsi="Times New Roman" w:cs="Times New Roman"/>
                <w:strike/>
                <w:sz w:val="14"/>
                <w:szCs w:val="14"/>
              </w:rPr>
            </w:pPr>
            <w:r w:rsidRPr="00AD22FD">
              <w:rPr>
                <w:rFonts w:ascii="Times New Roman" w:hAnsi="Times New Roman" w:cs="Times New Roman"/>
                <w:sz w:val="14"/>
                <w:szCs w:val="14"/>
              </w:rPr>
              <w:t xml:space="preserve">In the </w:t>
            </w:r>
            <w:r w:rsidRPr="00AD22FD">
              <w:rPr>
                <w:rFonts w:ascii="Times New Roman" w:hAnsi="Times New Roman" w:cs="Times New Roman"/>
                <w:i/>
                <w:iCs w:val="0"/>
                <w:sz w:val="14"/>
                <w:szCs w:val="14"/>
              </w:rPr>
              <w:t>Action Plan</w:t>
            </w:r>
            <w:r w:rsidRPr="00AD22FD">
              <w:rPr>
                <w:rFonts w:ascii="Times New Roman" w:hAnsi="Times New Roman" w:cs="Times New Roman"/>
                <w:sz w:val="14"/>
                <w:szCs w:val="14"/>
              </w:rPr>
              <w:t xml:space="preserve">, the programme for the long-term is based on the </w:t>
            </w:r>
            <w:r w:rsidRPr="00AD22FD">
              <w:rPr>
                <w:rFonts w:ascii="Times New Roman" w:hAnsi="Times New Roman" w:cs="Times New Roman"/>
                <w:i/>
                <w:iCs w:val="0"/>
                <w:sz w:val="14"/>
                <w:szCs w:val="14"/>
              </w:rPr>
              <w:t>Options</w:t>
            </w:r>
            <w:r w:rsidRPr="00AD22FD">
              <w:rPr>
                <w:rFonts w:ascii="Times New Roman" w:hAnsi="Times New Roman" w:cs="Times New Roman"/>
                <w:sz w:val="14"/>
                <w:szCs w:val="14"/>
              </w:rPr>
              <w:t xml:space="preserve"> that performed </w:t>
            </w:r>
            <w:r w:rsidRPr="00AD22FD">
              <w:rPr>
                <w:rFonts w:ascii="Times New Roman" w:hAnsi="Times New Roman" w:cs="Times New Roman"/>
                <w:i/>
                <w:iCs w:val="0"/>
                <w:sz w:val="14"/>
                <w:szCs w:val="14"/>
              </w:rPr>
              <w:t xml:space="preserve">best </w:t>
            </w:r>
            <w:r w:rsidRPr="00AD22FD">
              <w:rPr>
                <w:rFonts w:ascii="Times New Roman" w:hAnsi="Times New Roman" w:cs="Times New Roman"/>
                <w:sz w:val="14"/>
                <w:szCs w:val="14"/>
              </w:rPr>
              <w:t xml:space="preserve">in the </w:t>
            </w:r>
            <w:r w:rsidRPr="00AD22FD">
              <w:rPr>
                <w:rFonts w:ascii="Times New Roman" w:hAnsi="Times New Roman" w:cs="Times New Roman"/>
                <w:i/>
                <w:iCs w:val="0"/>
                <w:sz w:val="14"/>
                <w:szCs w:val="14"/>
              </w:rPr>
              <w:t>Options Appraisal</w:t>
            </w:r>
            <w:r w:rsidRPr="00AD22FD">
              <w:rPr>
                <w:rFonts w:ascii="Times New Roman" w:hAnsi="Times New Roman" w:cs="Times New Roman"/>
                <w:sz w:val="14"/>
                <w:szCs w:val="14"/>
              </w:rPr>
              <w:t xml:space="preserve"> (under the then-current conditions), however, CC and other changes over the next 50 years might suggest a different recommended Option for the end-of-the-century; the decision on (choice of) the ‘</w:t>
            </w:r>
            <w:r w:rsidRPr="00AD22FD">
              <w:rPr>
                <w:rFonts w:ascii="Times New Roman" w:hAnsi="Times New Roman" w:cs="Times New Roman"/>
                <w:i/>
                <w:iCs w:val="0"/>
                <w:sz w:val="14"/>
                <w:szCs w:val="14"/>
              </w:rPr>
              <w:t>end-of-the-century’ Option</w:t>
            </w:r>
            <w:r w:rsidRPr="00AD22FD">
              <w:rPr>
                <w:rFonts w:ascii="Times New Roman" w:hAnsi="Times New Roman" w:cs="Times New Roman"/>
                <w:sz w:val="14"/>
                <w:szCs w:val="14"/>
              </w:rPr>
              <w:t xml:space="preserve"> will be made in 2050 in a review of the Plan based on then-existent conditions (</w:t>
            </w:r>
            <w:r w:rsidRPr="00AD22FD">
              <w:rPr>
                <w:rFonts w:ascii="Times New Roman" w:hAnsi="Times New Roman" w:cs="Times New Roman"/>
                <w:iCs w:val="0"/>
                <w:color w:val="7F7F7F" w:themeColor="text1" w:themeTint="80"/>
                <w:sz w:val="14"/>
                <w:szCs w:val="14"/>
              </w:rPr>
              <w:t>EA 2012, p.41</w:t>
            </w:r>
            <w:r w:rsidRPr="00AD22FD">
              <w:rPr>
                <w:rFonts w:ascii="Times New Roman" w:hAnsi="Times New Roman" w:cs="Times New Roman"/>
                <w:iCs w:val="0"/>
                <w:sz w:val="14"/>
                <w:szCs w:val="14"/>
              </w:rPr>
              <w:t xml:space="preserve">, </w:t>
            </w:r>
            <w:r w:rsidRPr="00AD22FD">
              <w:rPr>
                <w:rFonts w:ascii="Times New Roman" w:hAnsi="Times New Roman" w:cs="Times New Roman"/>
                <w:color w:val="7F7F7F" w:themeColor="text1" w:themeTint="80"/>
                <w:sz w:val="14"/>
                <w:szCs w:val="14"/>
              </w:rPr>
              <w:t>39</w:t>
            </w:r>
            <w:r w:rsidRPr="00AD22FD">
              <w:rPr>
                <w:rFonts w:ascii="Times New Roman" w:hAnsi="Times New Roman" w:cs="Times New Roman"/>
                <w:sz w:val="14"/>
                <w:szCs w:val="14"/>
              </w:rPr>
              <w:t>).</w:t>
            </w:r>
            <w:r w:rsidRPr="00AD22FD">
              <w:rPr>
                <w:rFonts w:ascii="Times New Roman" w:hAnsi="Times New Roman" w:cs="Times New Roman"/>
                <w:strike/>
                <w:sz w:val="14"/>
                <w:szCs w:val="14"/>
              </w:rPr>
              <w:t xml:space="preserve"> </w:t>
            </w:r>
          </w:p>
          <w:p w14:paraId="35725010" w14:textId="04F29FDD" w:rsidR="00C04B00" w:rsidRPr="00AD22FD" w:rsidRDefault="00C04B00" w:rsidP="001522F8">
            <w:pPr>
              <w:pStyle w:val="tablecontenttext"/>
              <w:spacing w:line="240" w:lineRule="auto"/>
              <w:jc w:val="both"/>
              <w:rPr>
                <w:rFonts w:ascii="Times New Roman" w:hAnsi="Times New Roman" w:cs="Times New Roman"/>
                <w:sz w:val="14"/>
                <w:szCs w:val="14"/>
              </w:rPr>
            </w:pPr>
            <w:r w:rsidRPr="00AD22FD">
              <w:rPr>
                <w:rFonts w:ascii="Times New Roman" w:hAnsi="Times New Roman" w:cs="Times New Roman"/>
                <w:sz w:val="14"/>
                <w:szCs w:val="14"/>
              </w:rPr>
              <w:t xml:space="preserve">Although the decision on the ‘end-of-the-century’ generic </w:t>
            </w:r>
            <w:r w:rsidRPr="00AD22FD">
              <w:rPr>
                <w:rFonts w:ascii="Times New Roman" w:hAnsi="Times New Roman" w:cs="Times New Roman"/>
                <w:i/>
                <w:iCs w:val="0"/>
                <w:sz w:val="14"/>
                <w:szCs w:val="14"/>
              </w:rPr>
              <w:t>Estuary-wide Option</w:t>
            </w:r>
            <w:r w:rsidRPr="00AD22FD">
              <w:rPr>
                <w:rFonts w:ascii="Times New Roman" w:hAnsi="Times New Roman" w:cs="Times New Roman"/>
                <w:sz w:val="14"/>
                <w:szCs w:val="14"/>
              </w:rPr>
              <w:t xml:space="preserve"> will not be made until 2050, two ‘front runners’ emerged in the Appraisal – </w:t>
            </w:r>
            <w:r w:rsidRPr="00AD22FD">
              <w:rPr>
                <w:rFonts w:ascii="Times New Roman" w:hAnsi="Times New Roman" w:cs="Times New Roman"/>
                <w:i/>
                <w:sz w:val="14"/>
                <w:szCs w:val="14"/>
              </w:rPr>
              <w:t>Option 1.4</w:t>
            </w:r>
            <w:r w:rsidRPr="00AD22FD">
              <w:rPr>
                <w:rFonts w:ascii="Times New Roman" w:hAnsi="Times New Roman" w:cs="Times New Roman"/>
                <w:sz w:val="14"/>
                <w:szCs w:val="14"/>
              </w:rPr>
              <w:t xml:space="preserve"> and</w:t>
            </w:r>
            <w:r w:rsidRPr="00AD22FD">
              <w:rPr>
                <w:rFonts w:ascii="Times New Roman" w:hAnsi="Times New Roman" w:cs="Times New Roman"/>
                <w:i/>
                <w:sz w:val="14"/>
                <w:szCs w:val="14"/>
              </w:rPr>
              <w:t xml:space="preserve"> Option 3.2</w:t>
            </w:r>
            <w:r w:rsidRPr="00AD22FD">
              <w:rPr>
                <w:rFonts w:ascii="Times New Roman" w:hAnsi="Times New Roman" w:cs="Times New Roman"/>
                <w:sz w:val="14"/>
                <w:szCs w:val="14"/>
              </w:rPr>
              <w:t xml:space="preserve"> (</w:t>
            </w:r>
            <w:r w:rsidRPr="00AD22FD">
              <w:rPr>
                <w:rFonts w:ascii="Times New Roman" w:hAnsi="Times New Roman" w:cs="Times New Roman"/>
                <w:color w:val="7F7F7F" w:themeColor="text1" w:themeTint="80"/>
                <w:sz w:val="14"/>
                <w:szCs w:val="14"/>
              </w:rPr>
              <w:t>EA 2012, p.72-73</w:t>
            </w:r>
            <w:r w:rsidRPr="00AD22FD">
              <w:rPr>
                <w:rFonts w:ascii="Times New Roman" w:hAnsi="Times New Roman" w:cs="Times New Roman"/>
                <w:sz w:val="14"/>
                <w:szCs w:val="14"/>
              </w:rPr>
              <w:t xml:space="preserve">). The Plan’s recommendations are based on the conditions in 2009 (namely the results of the </w:t>
            </w:r>
            <w:r w:rsidRPr="00AD22FD">
              <w:rPr>
                <w:rFonts w:ascii="Times New Roman" w:hAnsi="Times New Roman" w:cs="Times New Roman"/>
                <w:i/>
                <w:sz w:val="14"/>
                <w:szCs w:val="14"/>
              </w:rPr>
              <w:t>Options Appraisal</w:t>
            </w:r>
            <w:r w:rsidRPr="00AD22FD">
              <w:rPr>
                <w:rFonts w:ascii="Times New Roman" w:hAnsi="Times New Roman" w:cs="Times New Roman"/>
                <w:sz w:val="14"/>
                <w:szCs w:val="14"/>
              </w:rPr>
              <w:t xml:space="preserve">), however, the final decision on the </w:t>
            </w:r>
            <w:r w:rsidRPr="00AD22FD">
              <w:rPr>
                <w:rFonts w:ascii="Times New Roman" w:hAnsi="Times New Roman" w:cs="Times New Roman"/>
                <w:i/>
                <w:iCs w:val="0"/>
                <w:sz w:val="14"/>
                <w:szCs w:val="14"/>
              </w:rPr>
              <w:t>end-of-the-century Option</w:t>
            </w:r>
            <w:r w:rsidRPr="00AD22FD">
              <w:rPr>
                <w:rFonts w:ascii="Times New Roman" w:hAnsi="Times New Roman" w:cs="Times New Roman"/>
                <w:sz w:val="14"/>
                <w:szCs w:val="14"/>
              </w:rPr>
              <w:t xml:space="preserve"> will be taken in the 2050 Plan’s review (based on Government guidance); meanwhile, reviews will be carried at 10 yearly intervals at minimum – or more frequently if there are significant changes in one or more indicators; and there will be further consultation each time the Plan is reviewed (e.g. to assess whether the chosen ‘end-of-the-century option’ must be changed) (</w:t>
            </w:r>
            <w:r w:rsidRPr="00AD22FD">
              <w:rPr>
                <w:rFonts w:ascii="Times New Roman" w:hAnsi="Times New Roman" w:cs="Times New Roman"/>
                <w:color w:val="7F7F7F" w:themeColor="text1" w:themeTint="80"/>
                <w:sz w:val="14"/>
                <w:szCs w:val="14"/>
              </w:rPr>
              <w:t>EA 2012, p.73</w:t>
            </w:r>
            <w:r w:rsidRPr="00AD22FD">
              <w:rPr>
                <w:rFonts w:ascii="Times New Roman" w:hAnsi="Times New Roman" w:cs="Times New Roman"/>
                <w:sz w:val="14"/>
                <w:szCs w:val="14"/>
              </w:rPr>
              <w:t xml:space="preserve">). </w:t>
            </w:r>
          </w:p>
          <w:p w14:paraId="7D763E1D" w14:textId="77777777" w:rsidR="00C04B00" w:rsidRPr="00AD22FD" w:rsidRDefault="00C04B00" w:rsidP="001522F8">
            <w:pPr>
              <w:spacing w:after="60"/>
              <w:rPr>
                <w:rFonts w:ascii="Times New Roman" w:hAnsi="Times New Roman"/>
                <w:bCs/>
                <w:sz w:val="14"/>
                <w:szCs w:val="14"/>
              </w:rPr>
            </w:pPr>
            <w:r w:rsidRPr="00AD22FD">
              <w:rPr>
                <w:rFonts w:ascii="Times New Roman" w:hAnsi="Times New Roman"/>
                <w:bCs/>
                <w:sz w:val="14"/>
                <w:szCs w:val="14"/>
              </w:rPr>
              <w:t xml:space="preserve">As stated in the Plan, all four </w:t>
            </w:r>
            <w:r w:rsidRPr="00AD22FD">
              <w:rPr>
                <w:rFonts w:ascii="Times New Roman" w:hAnsi="Times New Roman"/>
                <w:bCs/>
                <w:i/>
                <w:iCs/>
                <w:sz w:val="14"/>
                <w:szCs w:val="14"/>
              </w:rPr>
              <w:t>Estuary-wide Options</w:t>
            </w:r>
            <w:r w:rsidRPr="00AD22FD">
              <w:rPr>
                <w:rFonts w:ascii="Times New Roman" w:hAnsi="Times New Roman"/>
                <w:bCs/>
                <w:sz w:val="14"/>
                <w:szCs w:val="14"/>
              </w:rPr>
              <w:t xml:space="preserve"> (pathways) remain candidates for appraisal in future reviews of the Plan (namely in the 2050 review) (</w:t>
            </w:r>
            <w:r w:rsidRPr="00AD22FD">
              <w:rPr>
                <w:rFonts w:ascii="Times New Roman" w:hAnsi="Times New Roman"/>
                <w:bCs/>
                <w:color w:val="7F7F7F" w:themeColor="text1" w:themeTint="80"/>
                <w:sz w:val="14"/>
                <w:szCs w:val="14"/>
              </w:rPr>
              <w:t>EA 2012, p.56, 58</w:t>
            </w:r>
            <w:r w:rsidRPr="00AD22FD">
              <w:rPr>
                <w:rFonts w:ascii="Times New Roman" w:hAnsi="Times New Roman"/>
                <w:bCs/>
                <w:sz w:val="14"/>
                <w:szCs w:val="14"/>
              </w:rPr>
              <w:t xml:space="preserve">). These four </w:t>
            </w:r>
            <w:r w:rsidRPr="00AD22FD">
              <w:rPr>
                <w:rFonts w:ascii="Times New Roman" w:hAnsi="Times New Roman"/>
                <w:bCs/>
                <w:i/>
                <w:iCs/>
                <w:sz w:val="14"/>
                <w:szCs w:val="14"/>
              </w:rPr>
              <w:t>Options</w:t>
            </w:r>
            <w:r w:rsidRPr="00AD22FD">
              <w:rPr>
                <w:rFonts w:ascii="Times New Roman" w:hAnsi="Times New Roman"/>
                <w:bCs/>
                <w:sz w:val="14"/>
                <w:szCs w:val="14"/>
              </w:rPr>
              <w:t xml:space="preserve"> were mapped out in georeferenced maps in the Action Plan under the </w:t>
            </w:r>
            <w:r w:rsidRPr="00AD22FD">
              <w:rPr>
                <w:rFonts w:ascii="Times New Roman" w:hAnsi="Times New Roman"/>
                <w:bCs/>
                <w:i/>
                <w:iCs/>
                <w:sz w:val="14"/>
                <w:szCs w:val="14"/>
              </w:rPr>
              <w:t>Defra06 central scenario</w:t>
            </w:r>
            <w:r w:rsidRPr="00AD22FD">
              <w:rPr>
                <w:rFonts w:ascii="Times New Roman" w:hAnsi="Times New Roman"/>
                <w:bCs/>
                <w:sz w:val="14"/>
                <w:szCs w:val="14"/>
              </w:rPr>
              <w:t xml:space="preserve"> (each </w:t>
            </w:r>
            <w:r w:rsidRPr="00AD22FD">
              <w:rPr>
                <w:rFonts w:ascii="Times New Roman" w:hAnsi="Times New Roman"/>
                <w:bCs/>
                <w:i/>
                <w:iCs/>
                <w:sz w:val="14"/>
                <w:szCs w:val="14"/>
              </w:rPr>
              <w:t xml:space="preserve">Estuary-wide Option </w:t>
            </w:r>
            <w:r w:rsidRPr="00AD22FD">
              <w:rPr>
                <w:rFonts w:ascii="Times New Roman" w:hAnsi="Times New Roman"/>
                <w:bCs/>
                <w:sz w:val="14"/>
                <w:szCs w:val="14"/>
              </w:rPr>
              <w:t xml:space="preserve">is represented in a geo-referenced map under the </w:t>
            </w:r>
            <w:r w:rsidRPr="00AD22FD">
              <w:rPr>
                <w:rFonts w:ascii="Times New Roman" w:hAnsi="Times New Roman"/>
                <w:bCs/>
                <w:i/>
                <w:iCs/>
                <w:sz w:val="14"/>
                <w:szCs w:val="14"/>
              </w:rPr>
              <w:t>most likely scenario</w:t>
            </w:r>
            <w:r w:rsidRPr="00AD22FD">
              <w:rPr>
                <w:rFonts w:ascii="Times New Roman" w:hAnsi="Times New Roman"/>
                <w:bCs/>
                <w:sz w:val="14"/>
                <w:szCs w:val="14"/>
              </w:rPr>
              <w:t xml:space="preserve"> –</w:t>
            </w:r>
            <w:r w:rsidRPr="00AD22FD">
              <w:rPr>
                <w:rFonts w:ascii="Times New Roman" w:hAnsi="Times New Roman"/>
                <w:bCs/>
                <w:i/>
                <w:iCs/>
                <w:sz w:val="14"/>
                <w:szCs w:val="14"/>
              </w:rPr>
              <w:t>Defra06 Central</w:t>
            </w:r>
            <w:r w:rsidRPr="00AD22FD">
              <w:rPr>
                <w:rFonts w:ascii="Times New Roman" w:hAnsi="Times New Roman"/>
                <w:bCs/>
                <w:sz w:val="14"/>
                <w:szCs w:val="14"/>
              </w:rPr>
              <w:t>) (</w:t>
            </w:r>
            <w:r w:rsidRPr="00AD22FD">
              <w:rPr>
                <w:rFonts w:ascii="Times New Roman" w:hAnsi="Times New Roman"/>
                <w:bCs/>
                <w:color w:val="7F7F7F" w:themeColor="text1" w:themeTint="80"/>
                <w:sz w:val="14"/>
                <w:szCs w:val="14"/>
              </w:rPr>
              <w:t>EA 2012, p.59-65</w:t>
            </w:r>
            <w:r w:rsidRPr="00AD22FD">
              <w:rPr>
                <w:rFonts w:ascii="Times New Roman" w:hAnsi="Times New Roman"/>
                <w:bCs/>
                <w:sz w:val="14"/>
                <w:szCs w:val="14"/>
              </w:rPr>
              <w:t xml:space="preserve">), each map </w:t>
            </w:r>
            <w:r w:rsidRPr="00AD22FD">
              <w:rPr>
                <w:rFonts w:ascii="Times New Roman" w:hAnsi="Times New Roman"/>
                <w:bCs/>
                <w:sz w:val="14"/>
                <w:szCs w:val="14"/>
              </w:rPr>
              <w:lastRenderedPageBreak/>
              <w:t xml:space="preserve">shows an </w:t>
            </w:r>
            <w:r w:rsidRPr="00AD22FD">
              <w:rPr>
                <w:rFonts w:ascii="Times New Roman" w:hAnsi="Times New Roman"/>
                <w:bCs/>
                <w:i/>
                <w:iCs/>
                <w:sz w:val="14"/>
                <w:szCs w:val="14"/>
              </w:rPr>
              <w:t>Option</w:t>
            </w:r>
            <w:r w:rsidRPr="00AD22FD">
              <w:rPr>
                <w:rFonts w:ascii="Times New Roman" w:hAnsi="Times New Roman"/>
                <w:bCs/>
                <w:sz w:val="14"/>
                <w:szCs w:val="14"/>
              </w:rPr>
              <w:t xml:space="preserve"> translated in space, at the TE scale, including the various measures that together will compose such pathway (located in space and time). </w:t>
            </w:r>
          </w:p>
          <w:p w14:paraId="3C39E99A" w14:textId="5E5D298D" w:rsidR="00C04B00" w:rsidRPr="00AD22FD" w:rsidRDefault="00C04B00" w:rsidP="001522F8">
            <w:pPr>
              <w:pStyle w:val="TEXTBODY"/>
              <w:rPr>
                <w:bCs/>
                <w:iCs/>
                <w:sz w:val="14"/>
                <w:szCs w:val="14"/>
              </w:rPr>
            </w:pPr>
            <w:r w:rsidRPr="00AD22FD">
              <w:rPr>
                <w:bCs/>
                <w:sz w:val="14"/>
                <w:szCs w:val="14"/>
              </w:rPr>
              <w:t>In specific, the Action Plan specifies (</w:t>
            </w:r>
            <w:r w:rsidRPr="00AD22FD">
              <w:rPr>
                <w:bCs/>
                <w:color w:val="7F7F7F" w:themeColor="text1" w:themeTint="80"/>
                <w:sz w:val="14"/>
                <w:szCs w:val="14"/>
              </w:rPr>
              <w:t xml:space="preserve">EA 2012, p.6, 29, 35, 30, 52-53, 57-65, 44-45; 50-220; </w:t>
            </w:r>
            <w:r w:rsidR="00F77E53" w:rsidRPr="00AD22FD">
              <w:rPr>
                <w:bCs/>
                <w:color w:val="7F7F7F" w:themeColor="text1" w:themeTint="80"/>
                <w:sz w:val="14"/>
                <w:szCs w:val="14"/>
              </w:rPr>
              <w:t>EA 2009A</w:t>
            </w:r>
            <w:r w:rsidRPr="00AD22FD">
              <w:rPr>
                <w:bCs/>
                <w:color w:val="7F7F7F" w:themeColor="text1" w:themeTint="80"/>
                <w:sz w:val="14"/>
                <w:szCs w:val="14"/>
              </w:rPr>
              <w:t xml:space="preserve">, </w:t>
            </w:r>
            <w:proofErr w:type="spellStart"/>
            <w:r w:rsidRPr="00AD22FD">
              <w:rPr>
                <w:bCs/>
                <w:color w:val="7F7F7F" w:themeColor="text1" w:themeTint="80"/>
                <w:sz w:val="14"/>
                <w:szCs w:val="14"/>
              </w:rPr>
              <w:t>p.xv</w:t>
            </w:r>
            <w:proofErr w:type="spellEnd"/>
            <w:r w:rsidRPr="00AD22FD">
              <w:rPr>
                <w:bCs/>
                <w:color w:val="7F7F7F" w:themeColor="text1" w:themeTint="80"/>
                <w:sz w:val="14"/>
                <w:szCs w:val="14"/>
              </w:rPr>
              <w:t>, 8</w:t>
            </w:r>
            <w:r w:rsidRPr="00AD22FD">
              <w:rPr>
                <w:bCs/>
                <w:sz w:val="14"/>
                <w:szCs w:val="14"/>
              </w:rPr>
              <w:t>):</w:t>
            </w:r>
          </w:p>
          <w:p w14:paraId="14C39795" w14:textId="77777777" w:rsidR="00C04B00" w:rsidRPr="00AD22FD" w:rsidRDefault="00C04B00" w:rsidP="001522F8">
            <w:pPr>
              <w:pStyle w:val="TEXTBODY"/>
              <w:numPr>
                <w:ilvl w:val="0"/>
                <w:numId w:val="23"/>
              </w:numPr>
              <w:ind w:left="137" w:hanging="137"/>
              <w:rPr>
                <w:bCs/>
                <w:sz w:val="14"/>
                <w:szCs w:val="14"/>
              </w:rPr>
            </w:pPr>
            <w:r w:rsidRPr="00AD22FD">
              <w:rPr>
                <w:bCs/>
                <w:sz w:val="14"/>
                <w:szCs w:val="14"/>
              </w:rPr>
              <w:t xml:space="preserve">the policy allocated to each </w:t>
            </w:r>
            <w:r w:rsidRPr="00AD22FD">
              <w:rPr>
                <w:bCs/>
                <w:i/>
                <w:iCs/>
                <w:sz w:val="14"/>
                <w:szCs w:val="14"/>
              </w:rPr>
              <w:t>policy unit</w:t>
            </w:r>
            <w:r w:rsidRPr="00AD22FD">
              <w:rPr>
                <w:bCs/>
                <w:sz w:val="14"/>
                <w:szCs w:val="14"/>
              </w:rPr>
              <w:t xml:space="preserve"> (</w:t>
            </w:r>
            <w:r w:rsidRPr="00AD22FD">
              <w:rPr>
                <w:rFonts w:eastAsia="Calibri"/>
                <w:bCs/>
                <w:sz w:val="14"/>
                <w:szCs w:val="14"/>
                <w:lang w:eastAsia="en-US"/>
              </w:rPr>
              <w:t xml:space="preserve">from P1 to P5, a policy </w:t>
            </w:r>
            <w:r w:rsidRPr="00AD22FD">
              <w:rPr>
                <w:bCs/>
                <w:sz w:val="14"/>
                <w:szCs w:val="14"/>
              </w:rPr>
              <w:t>to</w:t>
            </w:r>
            <w:r w:rsidRPr="00AD22FD">
              <w:rPr>
                <w:rFonts w:eastAsia="Calibri"/>
                <w:bCs/>
                <w:sz w:val="14"/>
                <w:szCs w:val="14"/>
                <w:lang w:eastAsia="en-US"/>
              </w:rPr>
              <w:t xml:space="preserve"> each of 23 </w:t>
            </w:r>
            <w:r w:rsidRPr="00AD22FD">
              <w:rPr>
                <w:rFonts w:eastAsia="Calibri"/>
                <w:bCs/>
                <w:i/>
                <w:iCs/>
                <w:sz w:val="14"/>
                <w:szCs w:val="14"/>
                <w:lang w:eastAsia="en-US"/>
              </w:rPr>
              <w:t>policy units</w:t>
            </w:r>
            <w:r w:rsidRPr="00AD22FD">
              <w:rPr>
                <w:rFonts w:eastAsia="Calibri"/>
                <w:bCs/>
                <w:sz w:val="14"/>
                <w:szCs w:val="14"/>
                <w:lang w:eastAsia="en-US"/>
              </w:rPr>
              <w:t xml:space="preserve"> that are aggregated into 8</w:t>
            </w:r>
            <w:r w:rsidRPr="00AD22FD">
              <w:rPr>
                <w:rFonts w:eastAsia="Calibri"/>
                <w:bCs/>
                <w:i/>
                <w:iCs/>
                <w:sz w:val="14"/>
                <w:szCs w:val="14"/>
                <w:lang w:eastAsia="en-US"/>
              </w:rPr>
              <w:t xml:space="preserve"> Action Zones</w:t>
            </w:r>
            <w:r w:rsidRPr="00AD22FD">
              <w:rPr>
                <w:bCs/>
                <w:sz w:val="14"/>
                <w:szCs w:val="14"/>
              </w:rPr>
              <w:t>).</w:t>
            </w:r>
          </w:p>
          <w:p w14:paraId="2E9AF26A" w14:textId="02A318C5" w:rsidR="00C04B00" w:rsidRPr="00AD22FD" w:rsidRDefault="00C04B00" w:rsidP="001522F8">
            <w:pPr>
              <w:pStyle w:val="TEXTBODY"/>
              <w:numPr>
                <w:ilvl w:val="0"/>
                <w:numId w:val="23"/>
              </w:numPr>
              <w:ind w:left="137" w:hanging="137"/>
              <w:rPr>
                <w:bCs/>
                <w:sz w:val="14"/>
                <w:szCs w:val="14"/>
              </w:rPr>
            </w:pPr>
            <w:r w:rsidRPr="00AD22FD">
              <w:rPr>
                <w:bCs/>
                <w:sz w:val="14"/>
                <w:szCs w:val="14"/>
              </w:rPr>
              <w:t>The</w:t>
            </w:r>
            <w:r w:rsidRPr="00AD22FD">
              <w:rPr>
                <w:bCs/>
                <w:i/>
                <w:iCs/>
                <w:sz w:val="14"/>
                <w:szCs w:val="14"/>
              </w:rPr>
              <w:t xml:space="preserve"> Options</w:t>
            </w:r>
            <w:r w:rsidRPr="00AD22FD">
              <w:rPr>
                <w:bCs/>
                <w:sz w:val="14"/>
                <w:szCs w:val="14"/>
              </w:rPr>
              <w:t xml:space="preserve"> (pathways) available to manage flood risk over this century at the estuary-wide level (</w:t>
            </w:r>
            <w:r w:rsidRPr="00AD22FD">
              <w:rPr>
                <w:bCs/>
                <w:i/>
                <w:iCs/>
                <w:sz w:val="14"/>
                <w:szCs w:val="14"/>
              </w:rPr>
              <w:t>Action Zone 0</w:t>
            </w:r>
            <w:r w:rsidRPr="00AD22FD">
              <w:rPr>
                <w:bCs/>
                <w:sz w:val="14"/>
                <w:szCs w:val="14"/>
              </w:rPr>
              <w:t xml:space="preserve">), i.e. </w:t>
            </w:r>
            <w:r w:rsidRPr="00AD22FD">
              <w:rPr>
                <w:bCs/>
                <w:i/>
                <w:iCs/>
                <w:sz w:val="14"/>
                <w:szCs w:val="14"/>
              </w:rPr>
              <w:t>Estuary-wide Options</w:t>
            </w:r>
            <w:r w:rsidRPr="00AD22FD">
              <w:rPr>
                <w:bCs/>
                <w:sz w:val="14"/>
                <w:szCs w:val="14"/>
              </w:rPr>
              <w:t xml:space="preserve">. </w:t>
            </w:r>
            <w:r w:rsidRPr="00AD22FD">
              <w:rPr>
                <w:bCs/>
                <w:iCs/>
                <w:sz w:val="14"/>
                <w:szCs w:val="14"/>
              </w:rPr>
              <w:t xml:space="preserve">The Plan </w:t>
            </w:r>
            <w:r w:rsidRPr="00AD22FD">
              <w:rPr>
                <w:bCs/>
                <w:sz w:val="14"/>
                <w:szCs w:val="14"/>
              </w:rPr>
              <w:t xml:space="preserve">defined a set of </w:t>
            </w:r>
            <w:r w:rsidR="00F8219A" w:rsidRPr="00AD22FD">
              <w:rPr>
                <w:bCs/>
                <w:sz w:val="14"/>
                <w:szCs w:val="14"/>
              </w:rPr>
              <w:t xml:space="preserve">five </w:t>
            </w:r>
            <w:r w:rsidRPr="00AD22FD">
              <w:rPr>
                <w:bCs/>
                <w:sz w:val="14"/>
                <w:szCs w:val="14"/>
              </w:rPr>
              <w:t xml:space="preserve">possible </w:t>
            </w:r>
            <w:r w:rsidRPr="00AD22FD">
              <w:rPr>
                <w:bCs/>
                <w:i/>
                <w:iCs/>
                <w:sz w:val="14"/>
                <w:szCs w:val="14"/>
              </w:rPr>
              <w:t xml:space="preserve">Options </w:t>
            </w:r>
            <w:r w:rsidRPr="00AD22FD">
              <w:rPr>
                <w:bCs/>
                <w:sz w:val="14"/>
                <w:szCs w:val="14"/>
              </w:rPr>
              <w:t>(pathways).</w:t>
            </w:r>
          </w:p>
          <w:p w14:paraId="0952AAB2" w14:textId="77777777" w:rsidR="00C04B00" w:rsidRPr="00AD22FD" w:rsidRDefault="00C04B00" w:rsidP="001522F8">
            <w:pPr>
              <w:pStyle w:val="TEXTBODY"/>
              <w:numPr>
                <w:ilvl w:val="0"/>
                <w:numId w:val="23"/>
              </w:numPr>
              <w:spacing w:after="60"/>
              <w:ind w:left="144" w:hanging="144"/>
              <w:rPr>
                <w:bCs/>
                <w:sz w:val="14"/>
                <w:szCs w:val="14"/>
              </w:rPr>
            </w:pPr>
            <w:r w:rsidRPr="00AD22FD">
              <w:rPr>
                <w:bCs/>
                <w:sz w:val="14"/>
                <w:szCs w:val="14"/>
              </w:rPr>
              <w:t xml:space="preserve">The actions needed at each </w:t>
            </w:r>
            <w:r w:rsidRPr="00AD22FD">
              <w:rPr>
                <w:bCs/>
                <w:i/>
                <w:iCs/>
                <w:sz w:val="14"/>
                <w:szCs w:val="14"/>
              </w:rPr>
              <w:t>policy unit</w:t>
            </w:r>
            <w:r w:rsidRPr="00AD22FD">
              <w:rPr>
                <w:bCs/>
                <w:sz w:val="14"/>
                <w:szCs w:val="14"/>
              </w:rPr>
              <w:t xml:space="preserve"> (local level) to achieve the policy, over the 3 time-periods (short-, mid-, long-term).</w:t>
            </w:r>
            <w:r w:rsidRPr="00AD22FD">
              <w:rPr>
                <w:bCs/>
                <w:color w:val="C00000"/>
                <w:sz w:val="14"/>
                <w:szCs w:val="14"/>
              </w:rPr>
              <w:t xml:space="preserve"> </w:t>
            </w:r>
          </w:p>
          <w:p w14:paraId="436B2E81" w14:textId="77777777" w:rsidR="00C04B00" w:rsidRPr="00AD22FD" w:rsidRDefault="00C04B00" w:rsidP="001522F8">
            <w:pPr>
              <w:pStyle w:val="tablecontenttext"/>
              <w:spacing w:line="240" w:lineRule="auto"/>
              <w:jc w:val="both"/>
              <w:rPr>
                <w:rFonts w:ascii="Times New Roman" w:hAnsi="Times New Roman" w:cs="Times New Roman"/>
                <w:iCs w:val="0"/>
                <w:sz w:val="14"/>
                <w:szCs w:val="14"/>
              </w:rPr>
            </w:pPr>
            <w:r w:rsidRPr="00AD22FD">
              <w:rPr>
                <w:rFonts w:ascii="Times New Roman" w:hAnsi="Times New Roman" w:cs="Times New Roman"/>
                <w:sz w:val="14"/>
                <w:szCs w:val="14"/>
              </w:rPr>
              <w:t xml:space="preserve">The Action Plan </w:t>
            </w:r>
            <w:r w:rsidRPr="00AD22FD">
              <w:rPr>
                <w:rFonts w:ascii="Times New Roman" w:hAnsi="Times New Roman" w:cs="Times New Roman"/>
                <w:iCs w:val="0"/>
                <w:sz w:val="14"/>
                <w:szCs w:val="14"/>
              </w:rPr>
              <w:t xml:space="preserve">is </w:t>
            </w:r>
            <w:r w:rsidRPr="00AD22FD">
              <w:rPr>
                <w:rFonts w:ascii="Times New Roman" w:hAnsi="Times New Roman" w:cs="Times New Roman"/>
                <w:i/>
                <w:sz w:val="14"/>
                <w:szCs w:val="14"/>
              </w:rPr>
              <w:t>adaptable</w:t>
            </w:r>
            <w:r w:rsidRPr="00AD22FD">
              <w:rPr>
                <w:rFonts w:ascii="Times New Roman" w:hAnsi="Times New Roman" w:cs="Times New Roman"/>
                <w:iCs w:val="0"/>
                <w:sz w:val="14"/>
                <w:szCs w:val="14"/>
              </w:rPr>
              <w:t xml:space="preserve"> to changes in a range of indicators (indicators of change), in order to ensure that ‘</w:t>
            </w:r>
            <w:r w:rsidRPr="00AD22FD">
              <w:rPr>
                <w:rFonts w:ascii="Times New Roman" w:hAnsi="Times New Roman" w:cs="Times New Roman"/>
                <w:i/>
                <w:sz w:val="14"/>
                <w:szCs w:val="14"/>
              </w:rPr>
              <w:t xml:space="preserve">the actions that are taken are the right ones, taken at the right time and will not waste money on over-engineered solutions </w:t>
            </w:r>
            <w:r w:rsidRPr="00AD22FD">
              <w:rPr>
                <w:rFonts w:ascii="Times New Roman" w:hAnsi="Times New Roman" w:cs="Times New Roman"/>
                <w:iCs w:val="0"/>
                <w:sz w:val="14"/>
                <w:szCs w:val="14"/>
              </w:rPr>
              <w:t>(</w:t>
            </w:r>
            <w:r w:rsidRPr="00AD22FD">
              <w:rPr>
                <w:rFonts w:ascii="Times New Roman" w:hAnsi="Times New Roman" w:cs="Times New Roman"/>
                <w:iCs w:val="0"/>
                <w:color w:val="7F7F7F" w:themeColor="text1" w:themeTint="80"/>
                <w:sz w:val="14"/>
                <w:szCs w:val="14"/>
              </w:rPr>
              <w:t>EA 2012, p.35</w:t>
            </w:r>
            <w:r w:rsidRPr="00AD22FD">
              <w:rPr>
                <w:rFonts w:ascii="Times New Roman" w:hAnsi="Times New Roman" w:cs="Times New Roman"/>
                <w:iCs w:val="0"/>
                <w:sz w:val="14"/>
                <w:szCs w:val="14"/>
              </w:rPr>
              <w:t>).</w:t>
            </w:r>
            <w:r w:rsidRPr="00AD22FD">
              <w:rPr>
                <w:rStyle w:val="Refdenotaderodap"/>
                <w:rFonts w:ascii="Times New Roman" w:hAnsi="Times New Roman" w:cs="Times New Roman"/>
                <w:iCs w:val="0"/>
                <w:sz w:val="14"/>
                <w:szCs w:val="14"/>
              </w:rPr>
              <w:footnoteReference w:id="22"/>
            </w:r>
            <w:r w:rsidRPr="00AD22FD">
              <w:rPr>
                <w:rFonts w:ascii="Times New Roman" w:hAnsi="Times New Roman" w:cs="Times New Roman"/>
                <w:iCs w:val="0"/>
                <w:sz w:val="14"/>
                <w:szCs w:val="14"/>
              </w:rPr>
              <w:t xml:space="preserve"> It is also a multi-agency plan (designed to facilitate a multi-partner approach) (</w:t>
            </w:r>
            <w:r w:rsidRPr="00AD22FD">
              <w:rPr>
                <w:rFonts w:ascii="Times New Roman" w:hAnsi="Times New Roman" w:cs="Times New Roman"/>
                <w:iCs w:val="0"/>
                <w:color w:val="7F7F7F" w:themeColor="text1" w:themeTint="80"/>
                <w:sz w:val="14"/>
                <w:szCs w:val="14"/>
              </w:rPr>
              <w:t>EA 2012, p.35</w:t>
            </w:r>
            <w:r w:rsidRPr="00AD22FD">
              <w:rPr>
                <w:rFonts w:ascii="Times New Roman" w:hAnsi="Times New Roman" w:cs="Times New Roman"/>
                <w:iCs w:val="0"/>
                <w:sz w:val="14"/>
                <w:szCs w:val="14"/>
              </w:rPr>
              <w:t>).</w:t>
            </w:r>
          </w:p>
        </w:tc>
      </w:tr>
      <w:tr w:rsidR="00C04B00" w:rsidRPr="00AD22FD" w14:paraId="0242B7B7" w14:textId="77777777" w:rsidTr="001522F8">
        <w:tc>
          <w:tcPr>
            <w:tcW w:w="562" w:type="dxa"/>
            <w:vMerge/>
          </w:tcPr>
          <w:p w14:paraId="1D652F1A" w14:textId="77777777" w:rsidR="00C04B00" w:rsidRPr="00AD22FD" w:rsidRDefault="00C04B00" w:rsidP="001522F8">
            <w:pPr>
              <w:pStyle w:val="tablecontenttext"/>
              <w:spacing w:line="240" w:lineRule="auto"/>
              <w:rPr>
                <w:rFonts w:ascii="Times New Roman" w:hAnsi="Times New Roman" w:cs="Times New Roman"/>
                <w:sz w:val="14"/>
                <w:szCs w:val="14"/>
              </w:rPr>
            </w:pPr>
          </w:p>
        </w:tc>
        <w:tc>
          <w:tcPr>
            <w:tcW w:w="993" w:type="dxa"/>
            <w:vMerge w:val="restart"/>
          </w:tcPr>
          <w:p w14:paraId="4DCCB7C3" w14:textId="0138112C" w:rsidR="00C04B00" w:rsidRPr="00AD22FD" w:rsidRDefault="00C04B00" w:rsidP="001522F8">
            <w:pPr>
              <w:jc w:val="left"/>
              <w:rPr>
                <w:rFonts w:ascii="Times New Roman" w:hAnsi="Times New Roman"/>
                <w:bCs/>
                <w:sz w:val="14"/>
                <w:szCs w:val="14"/>
              </w:rPr>
            </w:pPr>
            <w:r w:rsidRPr="00AD22FD">
              <w:rPr>
                <w:rFonts w:ascii="Times New Roman" w:hAnsi="Times New Roman"/>
                <w:bCs/>
                <w:sz w:val="14"/>
                <w:szCs w:val="14"/>
              </w:rPr>
              <w:t>3c Define the monitoring, evaluation, and review system</w:t>
            </w:r>
          </w:p>
          <w:p w14:paraId="41B290FA" w14:textId="16D42BFF" w:rsidR="00C04B00" w:rsidRPr="00AD22FD" w:rsidRDefault="00C04B00" w:rsidP="001522F8">
            <w:pPr>
              <w:pStyle w:val="tablecontenttext"/>
              <w:spacing w:line="240" w:lineRule="auto"/>
              <w:rPr>
                <w:rFonts w:ascii="Times New Roman" w:hAnsi="Times New Roman" w:cs="Times New Roman"/>
                <w:strike/>
                <w:sz w:val="14"/>
                <w:szCs w:val="14"/>
              </w:rPr>
            </w:pPr>
          </w:p>
        </w:tc>
        <w:tc>
          <w:tcPr>
            <w:tcW w:w="8363" w:type="dxa"/>
          </w:tcPr>
          <w:p w14:paraId="7A709830" w14:textId="5EF7772F" w:rsidR="00C04B00" w:rsidRPr="00AD22FD" w:rsidRDefault="00C04B00" w:rsidP="001522F8">
            <w:pPr>
              <w:pStyle w:val="tablecontenttext"/>
              <w:spacing w:line="240" w:lineRule="auto"/>
              <w:rPr>
                <w:rFonts w:ascii="Times New Roman" w:hAnsi="Times New Roman" w:cs="Times New Roman"/>
                <w:b/>
                <w:bCs w:val="0"/>
                <w:sz w:val="14"/>
                <w:szCs w:val="14"/>
              </w:rPr>
            </w:pPr>
            <w:r w:rsidRPr="00AD22FD">
              <w:rPr>
                <w:rFonts w:ascii="Times New Roman" w:hAnsi="Times New Roman" w:cs="Times New Roman"/>
                <w:b/>
                <w:bCs w:val="0"/>
                <w:sz w:val="14"/>
                <w:szCs w:val="14"/>
              </w:rPr>
              <w:t>3c) Estimating / deriving relevant ‘</w:t>
            </w:r>
            <w:r w:rsidRPr="00AD22FD">
              <w:rPr>
                <w:rFonts w:ascii="Times New Roman" w:hAnsi="Times New Roman" w:cs="Times New Roman"/>
                <w:b/>
                <w:bCs w:val="0"/>
                <w:i/>
                <w:sz w:val="14"/>
                <w:szCs w:val="14"/>
              </w:rPr>
              <w:t>decision-points</w:t>
            </w:r>
            <w:r w:rsidRPr="00AD22FD">
              <w:rPr>
                <w:rFonts w:ascii="Times New Roman" w:hAnsi="Times New Roman" w:cs="Times New Roman"/>
                <w:b/>
                <w:bCs w:val="0"/>
                <w:sz w:val="14"/>
                <w:szCs w:val="14"/>
              </w:rPr>
              <w:t>’</w:t>
            </w:r>
          </w:p>
          <w:p w14:paraId="4C8B73AE" w14:textId="77777777"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The Team sought to identify relevant ‘</w:t>
            </w:r>
            <w:r w:rsidRPr="00AD22FD">
              <w:rPr>
                <w:rFonts w:ascii="Times New Roman" w:hAnsi="Times New Roman" w:cs="Times New Roman"/>
                <w:i/>
                <w:iCs w:val="0"/>
                <w:sz w:val="14"/>
                <w:szCs w:val="14"/>
              </w:rPr>
              <w:t>decision-points</w:t>
            </w:r>
            <w:r w:rsidRPr="00AD22FD">
              <w:rPr>
                <w:rFonts w:ascii="Times New Roman" w:hAnsi="Times New Roman" w:cs="Times New Roman"/>
                <w:sz w:val="14"/>
                <w:szCs w:val="14"/>
              </w:rPr>
              <w:t>’ and ‘</w:t>
            </w:r>
            <w:r w:rsidRPr="00AD22FD">
              <w:rPr>
                <w:rFonts w:ascii="Times New Roman" w:hAnsi="Times New Roman" w:cs="Times New Roman"/>
                <w:i/>
                <w:iCs w:val="0"/>
                <w:sz w:val="14"/>
                <w:szCs w:val="14"/>
              </w:rPr>
              <w:t>implementation-points</w:t>
            </w:r>
            <w:r w:rsidRPr="00AD22FD">
              <w:rPr>
                <w:rFonts w:ascii="Times New Roman" w:hAnsi="Times New Roman" w:cs="Times New Roman"/>
                <w:sz w:val="14"/>
                <w:szCs w:val="14"/>
              </w:rPr>
              <w:t>’, namely those associated to circumstances under which it may be necessary to switch from the selected route to another route (</w:t>
            </w:r>
            <w:r w:rsidRPr="00AD22FD">
              <w:rPr>
                <w:rFonts w:ascii="Times New Roman" w:hAnsi="Times New Roman" w:cs="Times New Roman"/>
                <w:color w:val="7F7F7F" w:themeColor="text1" w:themeTint="80"/>
                <w:sz w:val="14"/>
                <w:szCs w:val="14"/>
              </w:rPr>
              <w:t>Ranger et al. 2013, p.243, 250</w:t>
            </w:r>
            <w:r w:rsidRPr="00AD22FD">
              <w:rPr>
                <w:rFonts w:ascii="Times New Roman" w:hAnsi="Times New Roman" w:cs="Times New Roman"/>
                <w:sz w:val="14"/>
                <w:szCs w:val="14"/>
              </w:rPr>
              <w:t xml:space="preserve">). </w:t>
            </w:r>
          </w:p>
          <w:p w14:paraId="1CE1B8FF" w14:textId="0CB30D48"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Using the route-map, the Team identified relevant </w:t>
            </w:r>
            <w:r w:rsidRPr="00AD22FD">
              <w:rPr>
                <w:rFonts w:ascii="Times New Roman" w:hAnsi="Times New Roman" w:cs="Times New Roman"/>
                <w:i/>
                <w:iCs w:val="0"/>
                <w:sz w:val="14"/>
                <w:szCs w:val="14"/>
              </w:rPr>
              <w:t>decision-points</w:t>
            </w:r>
            <w:r w:rsidRPr="00AD22FD">
              <w:rPr>
                <w:rFonts w:ascii="Times New Roman" w:hAnsi="Times New Roman" w:cs="Times New Roman"/>
                <w:sz w:val="14"/>
                <w:szCs w:val="14"/>
              </w:rPr>
              <w:t>, a decision-point is a point at which a decision must be made on a given measure, which triggers its planning and construction (</w:t>
            </w:r>
            <w:r w:rsidRPr="00AD22FD">
              <w:rPr>
                <w:rFonts w:ascii="Times New Roman" w:hAnsi="Times New Roman" w:cs="Times New Roman"/>
                <w:color w:val="7F7F7F" w:themeColor="text1" w:themeTint="80"/>
                <w:sz w:val="14"/>
                <w:szCs w:val="14"/>
              </w:rPr>
              <w:t>Ranger et al. 2013, p.250, 252; Reeder and Ranger 2011, p.9; Ramsbottom and Sheppard 2017, p.12</w:t>
            </w:r>
            <w:r w:rsidRPr="00AD22FD">
              <w:rPr>
                <w:rFonts w:ascii="Times New Roman" w:hAnsi="Times New Roman" w:cs="Times New Roman"/>
                <w:sz w:val="14"/>
                <w:szCs w:val="14"/>
              </w:rPr>
              <w:t>). A decision on measures must be made ahead of when such measures are needed (as most measures require a lead-time of several years lor decades) (</w:t>
            </w:r>
            <w:r w:rsidRPr="00AD22FD">
              <w:rPr>
                <w:rFonts w:ascii="Times New Roman" w:hAnsi="Times New Roman" w:cs="Times New Roman"/>
                <w:color w:val="7F7F7F" w:themeColor="text1" w:themeTint="80"/>
                <w:sz w:val="14"/>
                <w:szCs w:val="14"/>
              </w:rPr>
              <w:t>EA 2012, p.34</w:t>
            </w:r>
            <w:r w:rsidRPr="00AD22FD">
              <w:rPr>
                <w:rFonts w:ascii="Times New Roman" w:hAnsi="Times New Roman" w:cs="Times New Roman"/>
                <w:sz w:val="14"/>
                <w:szCs w:val="14"/>
              </w:rPr>
              <w:t xml:space="preserve">). </w:t>
            </w:r>
          </w:p>
          <w:p w14:paraId="1A82DFDD" w14:textId="7B550677" w:rsidR="00C04B00" w:rsidRPr="00AD22FD" w:rsidRDefault="00C04B00" w:rsidP="001522F8">
            <w:pPr>
              <w:pStyle w:val="TEXTBODY"/>
              <w:spacing w:after="60"/>
              <w:jc w:val="left"/>
              <w:rPr>
                <w:bCs/>
                <w:sz w:val="14"/>
                <w:szCs w:val="14"/>
              </w:rPr>
            </w:pPr>
            <w:r w:rsidRPr="00AD22FD">
              <w:rPr>
                <w:bCs/>
                <w:sz w:val="14"/>
                <w:szCs w:val="14"/>
              </w:rPr>
              <w:t xml:space="preserve">Decision-points were derived in the following way: for each measure, the Team assessed the threshold at which such measure will be needed (the threshold-value in an indicator, e.g. a water level) and when it will occur in a given scenario; then, assessed the lead-time required to design and implement such measure, and based on these, estimated the </w:t>
            </w:r>
            <w:r w:rsidRPr="00AD22FD">
              <w:rPr>
                <w:bCs/>
                <w:i/>
                <w:iCs/>
                <w:sz w:val="14"/>
                <w:szCs w:val="14"/>
              </w:rPr>
              <w:t>decision-point</w:t>
            </w:r>
            <w:r w:rsidRPr="00AD22FD">
              <w:rPr>
                <w:bCs/>
                <w:sz w:val="14"/>
                <w:szCs w:val="14"/>
              </w:rPr>
              <w:t xml:space="preserve"> (in terms of a value in a monitored indicator, e.g. a water level) including an ‘uncertainty band’ (e.g. about the SLR rate) (</w:t>
            </w:r>
            <w:r w:rsidRPr="00AD22FD">
              <w:rPr>
                <w:bCs/>
                <w:color w:val="7F7F7F" w:themeColor="text1" w:themeTint="80"/>
                <w:sz w:val="14"/>
                <w:szCs w:val="14"/>
              </w:rPr>
              <w:t xml:space="preserve">Ranger et al. 2013, p.252-253; Reeder and Ranger 2011, p.9; HM Treasury 2009, p.26; Lowe et al. 2009, p.90; Ramsbottom and Sheppard 2017, p.12; Bloemen et al. 2018; EA 2012, p.34, 38; </w:t>
            </w:r>
            <w:r w:rsidR="00F77E53" w:rsidRPr="00AD22FD">
              <w:rPr>
                <w:bCs/>
                <w:color w:val="7F7F7F" w:themeColor="text1" w:themeTint="80"/>
                <w:sz w:val="14"/>
                <w:szCs w:val="14"/>
              </w:rPr>
              <w:t>EA 2009A</w:t>
            </w:r>
            <w:r w:rsidRPr="00AD22FD">
              <w:rPr>
                <w:bCs/>
                <w:color w:val="7F7F7F" w:themeColor="text1" w:themeTint="80"/>
                <w:sz w:val="14"/>
                <w:szCs w:val="14"/>
              </w:rPr>
              <w:t xml:space="preserve">, </w:t>
            </w:r>
            <w:proofErr w:type="spellStart"/>
            <w:r w:rsidRPr="00AD22FD">
              <w:rPr>
                <w:bCs/>
                <w:color w:val="7F7F7F" w:themeColor="text1" w:themeTint="80"/>
                <w:sz w:val="14"/>
                <w:szCs w:val="14"/>
              </w:rPr>
              <w:t>p.xiv</w:t>
            </w:r>
            <w:proofErr w:type="spellEnd"/>
            <w:r w:rsidRPr="00AD22FD">
              <w:rPr>
                <w:bCs/>
                <w:color w:val="7F7F7F" w:themeColor="text1" w:themeTint="80"/>
                <w:sz w:val="14"/>
                <w:szCs w:val="14"/>
              </w:rPr>
              <w:t>, 278-282, 287-289</w:t>
            </w:r>
            <w:r w:rsidRPr="00AD22FD">
              <w:rPr>
                <w:bCs/>
                <w:sz w:val="14"/>
                <w:szCs w:val="14"/>
              </w:rPr>
              <w:t>).</w:t>
            </w:r>
            <w:r w:rsidRPr="00AD22FD">
              <w:rPr>
                <w:rStyle w:val="Refdenotaderodap"/>
                <w:bCs/>
                <w:sz w:val="14"/>
                <w:szCs w:val="14"/>
              </w:rPr>
              <w:footnoteReference w:id="23"/>
            </w:r>
            <w:r w:rsidRPr="00AD22FD">
              <w:rPr>
                <w:bCs/>
                <w:sz w:val="14"/>
                <w:szCs w:val="14"/>
              </w:rPr>
              <w:t xml:space="preserve">  This estimation considered the observed values in the indicator</w:t>
            </w:r>
            <w:r w:rsidRPr="00AD22FD">
              <w:rPr>
                <w:rStyle w:val="Refdenotaderodap"/>
                <w:bCs/>
                <w:sz w:val="14"/>
                <w:szCs w:val="14"/>
              </w:rPr>
              <w:footnoteReference w:id="24"/>
            </w:r>
            <w:r w:rsidRPr="00AD22FD">
              <w:rPr>
                <w:bCs/>
                <w:sz w:val="14"/>
                <w:szCs w:val="14"/>
              </w:rPr>
              <w:t xml:space="preserve"> (monitored changes), as well as the predicted future changes in the indicator (e.g. when the threshold will be reached under the scenario expected). Thus, the </w:t>
            </w:r>
            <w:r w:rsidRPr="00AD22FD">
              <w:rPr>
                <w:bCs/>
                <w:i/>
                <w:iCs/>
                <w:sz w:val="14"/>
                <w:szCs w:val="14"/>
              </w:rPr>
              <w:t>decision-point</w:t>
            </w:r>
            <w:r w:rsidRPr="00AD22FD">
              <w:rPr>
                <w:bCs/>
                <w:sz w:val="14"/>
                <w:szCs w:val="14"/>
              </w:rPr>
              <w:t xml:space="preserve"> (expressed as a value in an indicator) depends on the monitored /observed changes in such indicator (</w:t>
            </w:r>
            <w:r w:rsidRPr="00AD22FD">
              <w:rPr>
                <w:bCs/>
                <w:color w:val="7F7F7F" w:themeColor="text1" w:themeTint="80"/>
                <w:sz w:val="14"/>
                <w:szCs w:val="14"/>
              </w:rPr>
              <w:t>ibid</w:t>
            </w:r>
            <w:r w:rsidRPr="00AD22FD">
              <w:rPr>
                <w:bCs/>
                <w:sz w:val="14"/>
                <w:szCs w:val="14"/>
              </w:rPr>
              <w:t xml:space="preserve">). </w:t>
            </w:r>
          </w:p>
          <w:p w14:paraId="29D2D0DE" w14:textId="77777777" w:rsidR="00C04B00" w:rsidRPr="00AD22FD" w:rsidRDefault="00C04B00" w:rsidP="001522F8">
            <w:pPr>
              <w:pStyle w:val="TEXTBODY"/>
              <w:spacing w:after="60"/>
              <w:jc w:val="left"/>
              <w:rPr>
                <w:bCs/>
                <w:sz w:val="14"/>
                <w:szCs w:val="14"/>
              </w:rPr>
            </w:pPr>
            <w:r w:rsidRPr="00AD22FD">
              <w:rPr>
                <w:bCs/>
                <w:sz w:val="14"/>
                <w:szCs w:val="14"/>
              </w:rPr>
              <w:t xml:space="preserve">The detection of </w:t>
            </w:r>
            <w:r w:rsidRPr="00AD22FD">
              <w:rPr>
                <w:bCs/>
                <w:i/>
                <w:iCs/>
                <w:sz w:val="14"/>
                <w:szCs w:val="14"/>
              </w:rPr>
              <w:t>decision-points</w:t>
            </w:r>
            <w:r w:rsidRPr="00AD22FD">
              <w:rPr>
                <w:bCs/>
                <w:sz w:val="14"/>
                <w:szCs w:val="14"/>
              </w:rPr>
              <w:t xml:space="preserve"> is conditional on the monitoring of indicators (the observed values in 10 key-indicators, namely observed SLR, may trigger a </w:t>
            </w:r>
            <w:r w:rsidRPr="00AD22FD">
              <w:rPr>
                <w:bCs/>
                <w:i/>
                <w:iCs/>
                <w:sz w:val="14"/>
                <w:szCs w:val="14"/>
              </w:rPr>
              <w:t>decision-point</w:t>
            </w:r>
            <w:r w:rsidRPr="00AD22FD">
              <w:rPr>
                <w:bCs/>
                <w:sz w:val="14"/>
                <w:szCs w:val="14"/>
              </w:rPr>
              <w:t>) (</w:t>
            </w:r>
            <w:r w:rsidRPr="00AD22FD">
              <w:rPr>
                <w:bCs/>
                <w:color w:val="7F7F7F" w:themeColor="text1" w:themeTint="80"/>
                <w:sz w:val="14"/>
                <w:szCs w:val="14"/>
              </w:rPr>
              <w:t>Ranger et al. 2013, p.243, 233, 239, 252; Reeder and Ranger 2011, p.9</w:t>
            </w:r>
            <w:r w:rsidRPr="00AD22FD">
              <w:rPr>
                <w:bCs/>
                <w:sz w:val="14"/>
                <w:szCs w:val="14"/>
              </w:rPr>
              <w:t>)</w:t>
            </w:r>
            <w:r w:rsidRPr="00AD22FD">
              <w:rPr>
                <w:bCs/>
                <w:color w:val="0070C0"/>
                <w:sz w:val="14"/>
                <w:szCs w:val="14"/>
              </w:rPr>
              <w:t xml:space="preserve">. </w:t>
            </w:r>
            <w:r w:rsidRPr="00AD22FD">
              <w:rPr>
                <w:bCs/>
                <w:sz w:val="14"/>
                <w:szCs w:val="14"/>
              </w:rPr>
              <w:t>The timing for deciding on, and the timing for implementing, a measure may change depending on monitoring results (</w:t>
            </w:r>
            <w:r w:rsidRPr="00AD22FD">
              <w:rPr>
                <w:bCs/>
                <w:color w:val="7F7F7F" w:themeColor="text1" w:themeTint="80"/>
                <w:sz w:val="14"/>
                <w:szCs w:val="14"/>
              </w:rPr>
              <w:t>Bloemen et al. 2018</w:t>
            </w:r>
            <w:r w:rsidRPr="00AD22FD">
              <w:rPr>
                <w:bCs/>
                <w:sz w:val="14"/>
                <w:szCs w:val="14"/>
              </w:rPr>
              <w:t xml:space="preserve">). The results of the monitoring of the indictor (observed change) must be used to update the date estimated for a </w:t>
            </w:r>
            <w:r w:rsidRPr="00AD22FD">
              <w:rPr>
                <w:bCs/>
                <w:i/>
                <w:iCs/>
                <w:sz w:val="14"/>
                <w:szCs w:val="14"/>
              </w:rPr>
              <w:t xml:space="preserve">decision-point </w:t>
            </w:r>
            <w:r w:rsidRPr="00AD22FD">
              <w:rPr>
                <w:bCs/>
                <w:sz w:val="14"/>
                <w:szCs w:val="14"/>
              </w:rPr>
              <w:t xml:space="preserve">and an </w:t>
            </w:r>
            <w:r w:rsidRPr="00AD22FD">
              <w:rPr>
                <w:bCs/>
                <w:i/>
                <w:iCs/>
                <w:sz w:val="14"/>
                <w:szCs w:val="14"/>
              </w:rPr>
              <w:t>implementation-point</w:t>
            </w:r>
            <w:r w:rsidRPr="00AD22FD">
              <w:rPr>
                <w:bCs/>
                <w:sz w:val="14"/>
                <w:szCs w:val="14"/>
              </w:rPr>
              <w:t xml:space="preserve"> (</w:t>
            </w:r>
            <w:r w:rsidRPr="00AD22FD">
              <w:rPr>
                <w:bCs/>
                <w:color w:val="7F7F7F" w:themeColor="text1" w:themeTint="80"/>
                <w:sz w:val="14"/>
                <w:szCs w:val="14"/>
              </w:rPr>
              <w:t>Ramsbottom and Sheppard 2017, p.13</w:t>
            </w:r>
            <w:r w:rsidRPr="00AD22FD">
              <w:rPr>
                <w:bCs/>
                <w:sz w:val="14"/>
                <w:szCs w:val="14"/>
              </w:rPr>
              <w:t xml:space="preserve">). If monitoring reveals that an indicator (e.g. the water level) is increasing faster or slower than predicted under the </w:t>
            </w:r>
            <w:r w:rsidRPr="00AD22FD">
              <w:rPr>
                <w:bCs/>
                <w:i/>
                <w:iCs/>
                <w:sz w:val="14"/>
                <w:szCs w:val="14"/>
              </w:rPr>
              <w:t>central scenario</w:t>
            </w:r>
            <w:r w:rsidRPr="00AD22FD">
              <w:rPr>
                <w:bCs/>
                <w:sz w:val="14"/>
                <w:szCs w:val="14"/>
              </w:rPr>
              <w:t xml:space="preserve">, then, </w:t>
            </w:r>
            <w:r w:rsidRPr="00AD22FD">
              <w:rPr>
                <w:bCs/>
                <w:i/>
                <w:iCs/>
                <w:sz w:val="14"/>
                <w:szCs w:val="14"/>
              </w:rPr>
              <w:t>decision-points</w:t>
            </w:r>
            <w:r w:rsidRPr="00AD22FD">
              <w:rPr>
                <w:bCs/>
                <w:sz w:val="14"/>
                <w:szCs w:val="14"/>
              </w:rPr>
              <w:t xml:space="preserve"> may be </w:t>
            </w:r>
            <w:r w:rsidRPr="00AD22FD">
              <w:rPr>
                <w:bCs/>
                <w:i/>
                <w:iCs/>
                <w:sz w:val="14"/>
                <w:szCs w:val="14"/>
              </w:rPr>
              <w:t>brought forward</w:t>
            </w:r>
            <w:r w:rsidRPr="00AD22FD">
              <w:rPr>
                <w:bCs/>
                <w:sz w:val="14"/>
                <w:szCs w:val="14"/>
              </w:rPr>
              <w:t xml:space="preserve"> or </w:t>
            </w:r>
            <w:r w:rsidRPr="00AD22FD">
              <w:rPr>
                <w:bCs/>
                <w:i/>
                <w:iCs/>
                <w:sz w:val="14"/>
                <w:szCs w:val="14"/>
              </w:rPr>
              <w:t>put back</w:t>
            </w:r>
            <w:r w:rsidRPr="00AD22FD">
              <w:rPr>
                <w:bCs/>
                <w:sz w:val="14"/>
                <w:szCs w:val="14"/>
              </w:rPr>
              <w:t xml:space="preserve">, </w:t>
            </w:r>
            <w:r w:rsidRPr="00AD22FD">
              <w:rPr>
                <w:bCs/>
                <w:i/>
                <w:iCs/>
                <w:sz w:val="14"/>
                <w:szCs w:val="14"/>
              </w:rPr>
              <w:t>to ensure that decisions are made at the right time and allow an effective and cost-beneficial response</w:t>
            </w:r>
            <w:r w:rsidRPr="00AD22FD">
              <w:rPr>
                <w:bCs/>
                <w:sz w:val="14"/>
                <w:szCs w:val="14"/>
              </w:rPr>
              <w:t xml:space="preserve"> (i.e. to ensure that the real ‘cost-benefit ratio’ of a measure is similar to that envisioned in the </w:t>
            </w:r>
            <w:r w:rsidRPr="00AD22FD">
              <w:rPr>
                <w:bCs/>
                <w:i/>
                <w:iCs/>
                <w:sz w:val="14"/>
                <w:szCs w:val="14"/>
              </w:rPr>
              <w:t>Options Appraisal</w:t>
            </w:r>
            <w:r w:rsidRPr="00AD22FD">
              <w:rPr>
                <w:bCs/>
                <w:sz w:val="14"/>
                <w:szCs w:val="14"/>
              </w:rPr>
              <w:t>) (</w:t>
            </w:r>
            <w:r w:rsidRPr="00AD22FD">
              <w:rPr>
                <w:bCs/>
                <w:color w:val="7F7F7F" w:themeColor="text1" w:themeTint="80"/>
                <w:sz w:val="14"/>
                <w:szCs w:val="14"/>
              </w:rPr>
              <w:t>Ranger et al. 2013, p.254</w:t>
            </w:r>
            <w:r w:rsidRPr="00AD22FD">
              <w:rPr>
                <w:bCs/>
                <w:sz w:val="14"/>
                <w:szCs w:val="14"/>
              </w:rPr>
              <w:t xml:space="preserve">; </w:t>
            </w:r>
            <w:r w:rsidRPr="00AD22FD">
              <w:rPr>
                <w:bCs/>
                <w:color w:val="7F7F7F" w:themeColor="text1" w:themeTint="80"/>
                <w:sz w:val="14"/>
                <w:szCs w:val="14"/>
              </w:rPr>
              <w:t>Reeder and Ranger 2011, p.10; HM Treasury 2009, p.26</w:t>
            </w:r>
            <w:r w:rsidRPr="00AD22FD">
              <w:rPr>
                <w:bCs/>
                <w:sz w:val="14"/>
                <w:szCs w:val="14"/>
              </w:rPr>
              <w:t>). Hence, the moment for implementing a new action, and the moment for deciding on it, may be brought forward if the rate of SLR is faster than the projection assumed in the Plan (</w:t>
            </w:r>
            <w:r w:rsidRPr="00AD22FD">
              <w:rPr>
                <w:bCs/>
                <w:color w:val="7F7F7F" w:themeColor="text1" w:themeTint="80"/>
                <w:sz w:val="14"/>
                <w:szCs w:val="14"/>
              </w:rPr>
              <w:t>EA 2016</w:t>
            </w:r>
            <w:r w:rsidRPr="00AD22FD">
              <w:rPr>
                <w:bCs/>
                <w:sz w:val="14"/>
                <w:szCs w:val="14"/>
              </w:rPr>
              <w:t>).</w:t>
            </w:r>
          </w:p>
          <w:p w14:paraId="17A3953D" w14:textId="77777777" w:rsidR="00C04B00" w:rsidRPr="00AD22FD" w:rsidRDefault="00C04B00" w:rsidP="001522F8">
            <w:pPr>
              <w:pStyle w:val="TEXTBODY"/>
              <w:spacing w:after="60"/>
              <w:rPr>
                <w:bCs/>
                <w:sz w:val="14"/>
                <w:szCs w:val="14"/>
              </w:rPr>
            </w:pPr>
            <w:r w:rsidRPr="00AD22FD">
              <w:rPr>
                <w:bCs/>
                <w:sz w:val="14"/>
                <w:szCs w:val="14"/>
              </w:rPr>
              <w:t xml:space="preserve">Moreover, the timing of a </w:t>
            </w:r>
            <w:r w:rsidRPr="00AD22FD">
              <w:rPr>
                <w:bCs/>
                <w:i/>
                <w:iCs/>
                <w:sz w:val="14"/>
                <w:szCs w:val="14"/>
              </w:rPr>
              <w:t>decision-point</w:t>
            </w:r>
            <w:r w:rsidRPr="00AD22FD">
              <w:rPr>
                <w:bCs/>
                <w:sz w:val="14"/>
                <w:szCs w:val="14"/>
              </w:rPr>
              <w:t xml:space="preserve"> can be estimated under different scenarios; thus, it is important to consider new scenarios that may arise, which may require updating the moment of the </w:t>
            </w:r>
            <w:r w:rsidRPr="00AD22FD">
              <w:rPr>
                <w:bCs/>
                <w:i/>
                <w:iCs/>
                <w:sz w:val="14"/>
                <w:szCs w:val="14"/>
              </w:rPr>
              <w:t>implementation-point</w:t>
            </w:r>
            <w:r w:rsidRPr="00AD22FD">
              <w:rPr>
                <w:bCs/>
                <w:sz w:val="14"/>
                <w:szCs w:val="14"/>
              </w:rPr>
              <w:t xml:space="preserve">, lead-time, and the </w:t>
            </w:r>
            <w:r w:rsidRPr="00AD22FD">
              <w:rPr>
                <w:bCs/>
                <w:i/>
                <w:iCs/>
                <w:sz w:val="14"/>
                <w:szCs w:val="14"/>
              </w:rPr>
              <w:t>decision-point</w:t>
            </w:r>
            <w:r w:rsidRPr="00AD22FD">
              <w:rPr>
                <w:bCs/>
                <w:sz w:val="14"/>
                <w:szCs w:val="14"/>
              </w:rPr>
              <w:t xml:space="preserve"> (</w:t>
            </w:r>
            <w:r w:rsidRPr="00AD22FD">
              <w:rPr>
                <w:bCs/>
                <w:color w:val="7F7F7F" w:themeColor="text1" w:themeTint="80"/>
                <w:sz w:val="14"/>
                <w:szCs w:val="14"/>
              </w:rPr>
              <w:t>Reeder and Ranger 2011, p.10; Ranger et al. 2013, p.254; Ramsbottom and Sheppard 2017, p.12</w:t>
            </w:r>
            <w:r w:rsidRPr="00AD22FD">
              <w:rPr>
                <w:bCs/>
                <w:sz w:val="14"/>
                <w:szCs w:val="14"/>
              </w:rPr>
              <w:t xml:space="preserve">). </w:t>
            </w:r>
            <w:bookmarkStart w:id="26" w:name="_Hlk25252208"/>
            <w:r w:rsidRPr="00AD22FD">
              <w:rPr>
                <w:bCs/>
                <w:sz w:val="14"/>
                <w:szCs w:val="14"/>
              </w:rPr>
              <w:t xml:space="preserve">The prediction of how the indicator will change must inform the estimation of the </w:t>
            </w:r>
            <w:r w:rsidRPr="00AD22FD">
              <w:rPr>
                <w:bCs/>
                <w:i/>
                <w:iCs/>
                <w:sz w:val="14"/>
                <w:szCs w:val="14"/>
              </w:rPr>
              <w:t>decision-point</w:t>
            </w:r>
            <w:r w:rsidRPr="00AD22FD">
              <w:rPr>
                <w:bCs/>
                <w:sz w:val="14"/>
                <w:szCs w:val="14"/>
              </w:rPr>
              <w:t xml:space="preserve">, in this way, the moment of this </w:t>
            </w:r>
            <w:r w:rsidRPr="00AD22FD">
              <w:rPr>
                <w:bCs/>
                <w:i/>
                <w:iCs/>
                <w:sz w:val="14"/>
                <w:szCs w:val="14"/>
              </w:rPr>
              <w:t xml:space="preserve">point </w:t>
            </w:r>
            <w:r w:rsidRPr="00AD22FD">
              <w:rPr>
                <w:bCs/>
                <w:sz w:val="14"/>
                <w:szCs w:val="14"/>
              </w:rPr>
              <w:t>may be updated if new scenarios arise (if new scenarios emerge, and the date estimated for reaching a threshold-value changes, then it is necessary to update the date of the ‘decision-point’). The rate of change predicted in a new scenario may be faster or slower than the assumed by the Plan, which will require bringing forward or postpone the decision-point, respectively.</w:t>
            </w:r>
          </w:p>
          <w:bookmarkEnd w:id="26"/>
          <w:p w14:paraId="79A10EA9" w14:textId="77777777" w:rsidR="00C04B00" w:rsidRPr="00AD22FD" w:rsidRDefault="00C04B00" w:rsidP="001522F8">
            <w:pPr>
              <w:pStyle w:val="TEXTBODY"/>
              <w:spacing w:after="60"/>
              <w:rPr>
                <w:bCs/>
                <w:sz w:val="14"/>
                <w:szCs w:val="14"/>
              </w:rPr>
            </w:pPr>
            <w:r w:rsidRPr="00AD22FD">
              <w:rPr>
                <w:bCs/>
                <w:sz w:val="14"/>
                <w:szCs w:val="14"/>
              </w:rPr>
              <w:t xml:space="preserve">The Team estimated the date of some important </w:t>
            </w:r>
            <w:r w:rsidRPr="00AD22FD">
              <w:rPr>
                <w:bCs/>
                <w:i/>
                <w:iCs/>
                <w:sz w:val="14"/>
                <w:szCs w:val="14"/>
              </w:rPr>
              <w:t>decision-points</w:t>
            </w:r>
            <w:r w:rsidRPr="00AD22FD">
              <w:rPr>
                <w:bCs/>
                <w:sz w:val="14"/>
                <w:szCs w:val="14"/>
              </w:rPr>
              <w:t>. For example, under the scenario assumed (</w:t>
            </w:r>
            <w:r w:rsidRPr="00AD22FD">
              <w:rPr>
                <w:bCs/>
                <w:i/>
                <w:iCs/>
                <w:sz w:val="14"/>
                <w:szCs w:val="14"/>
              </w:rPr>
              <w:t>Defra06 central scenario</w:t>
            </w:r>
            <w:r w:rsidRPr="00AD22FD">
              <w:rPr>
                <w:bCs/>
                <w:sz w:val="14"/>
                <w:szCs w:val="14"/>
              </w:rPr>
              <w:t xml:space="preserve">), the first </w:t>
            </w:r>
            <w:r w:rsidRPr="00AD22FD">
              <w:rPr>
                <w:bCs/>
                <w:i/>
                <w:iCs/>
                <w:sz w:val="14"/>
                <w:szCs w:val="14"/>
              </w:rPr>
              <w:t>decision-point</w:t>
            </w:r>
            <w:r w:rsidRPr="00AD22FD">
              <w:rPr>
                <w:bCs/>
                <w:sz w:val="14"/>
                <w:szCs w:val="14"/>
              </w:rPr>
              <w:t xml:space="preserve"> at which the </w:t>
            </w:r>
            <w:r w:rsidRPr="00AD22FD">
              <w:rPr>
                <w:bCs/>
                <w:i/>
                <w:iCs/>
                <w:sz w:val="14"/>
                <w:szCs w:val="14"/>
              </w:rPr>
              <w:t xml:space="preserve">HLOs </w:t>
            </w:r>
            <w:r w:rsidRPr="00AD22FD">
              <w:rPr>
                <w:bCs/>
                <w:sz w:val="14"/>
                <w:szCs w:val="14"/>
              </w:rPr>
              <w:t>(pathways)</w:t>
            </w:r>
            <w:r w:rsidRPr="00AD22FD">
              <w:rPr>
                <w:bCs/>
                <w:i/>
                <w:iCs/>
                <w:sz w:val="14"/>
                <w:szCs w:val="14"/>
              </w:rPr>
              <w:t xml:space="preserve"> </w:t>
            </w:r>
            <w:r w:rsidRPr="00AD22FD">
              <w:rPr>
                <w:bCs/>
                <w:sz w:val="14"/>
                <w:szCs w:val="14"/>
              </w:rPr>
              <w:t xml:space="preserve">start to diverge was estimated to occur around 2050 - the date when a decision should be made on the Option for the end of the century (by then, a choice between </w:t>
            </w:r>
            <w:r w:rsidRPr="00AD22FD">
              <w:rPr>
                <w:bCs/>
                <w:i/>
                <w:iCs/>
                <w:sz w:val="14"/>
                <w:szCs w:val="14"/>
              </w:rPr>
              <w:t>more irreversible</w:t>
            </w:r>
            <w:r w:rsidRPr="00AD22FD">
              <w:rPr>
                <w:bCs/>
                <w:sz w:val="14"/>
                <w:szCs w:val="14"/>
              </w:rPr>
              <w:t xml:space="preserve"> options, e.g. a new barrage, will have to be made) (</w:t>
            </w:r>
            <w:r w:rsidRPr="00AD22FD">
              <w:rPr>
                <w:bCs/>
                <w:color w:val="7F7F7F" w:themeColor="text1" w:themeTint="80"/>
                <w:sz w:val="14"/>
                <w:szCs w:val="14"/>
              </w:rPr>
              <w:t>Ranger et al. 2013, p.253-254; Reeder and Ranger 2011, p.10; HM Treasury 2009, p.26</w:t>
            </w:r>
            <w:r w:rsidRPr="00AD22FD">
              <w:rPr>
                <w:bCs/>
                <w:sz w:val="14"/>
                <w:szCs w:val="14"/>
              </w:rPr>
              <w:t>).</w:t>
            </w:r>
          </w:p>
          <w:p w14:paraId="32BC70DE" w14:textId="77777777" w:rsidR="00C04B00" w:rsidRPr="00AD22FD" w:rsidRDefault="00C04B00" w:rsidP="001522F8">
            <w:pPr>
              <w:pStyle w:val="TEXTBODY"/>
              <w:spacing w:after="60"/>
              <w:rPr>
                <w:bCs/>
                <w:sz w:val="14"/>
                <w:szCs w:val="14"/>
              </w:rPr>
            </w:pPr>
            <w:r w:rsidRPr="00AD22FD">
              <w:rPr>
                <w:bCs/>
                <w:sz w:val="14"/>
                <w:szCs w:val="14"/>
              </w:rPr>
              <w:t xml:space="preserve">This way of estimating </w:t>
            </w:r>
            <w:r w:rsidRPr="00AD22FD">
              <w:rPr>
                <w:bCs/>
                <w:i/>
                <w:iCs/>
                <w:sz w:val="14"/>
                <w:szCs w:val="14"/>
              </w:rPr>
              <w:t>decision-points</w:t>
            </w:r>
            <w:r w:rsidRPr="00AD22FD">
              <w:rPr>
                <w:bCs/>
                <w:sz w:val="14"/>
                <w:szCs w:val="14"/>
              </w:rPr>
              <w:t xml:space="preserve"> was devised to respond to any possible changes in the indicators and potential future updates in projections of water level rise (</w:t>
            </w:r>
            <w:r w:rsidRPr="00AD22FD">
              <w:rPr>
                <w:bCs/>
                <w:color w:val="7F7F7F" w:themeColor="text1" w:themeTint="80"/>
                <w:sz w:val="14"/>
                <w:szCs w:val="14"/>
              </w:rPr>
              <w:t>Ranger et al. 2013, p.254</w:t>
            </w:r>
            <w:r w:rsidRPr="00AD22FD">
              <w:rPr>
                <w:bCs/>
                <w:sz w:val="14"/>
                <w:szCs w:val="14"/>
              </w:rPr>
              <w:t>).</w:t>
            </w:r>
            <w:r w:rsidRPr="00AD22FD">
              <w:rPr>
                <w:bCs/>
                <w:color w:val="00B050"/>
                <w:sz w:val="14"/>
                <w:szCs w:val="14"/>
              </w:rPr>
              <w:t xml:space="preserve"> </w:t>
            </w:r>
            <w:r w:rsidRPr="00AD22FD">
              <w:rPr>
                <w:bCs/>
                <w:sz w:val="14"/>
                <w:szCs w:val="14"/>
              </w:rPr>
              <w:t>Decision-points help to ensure that measures are timely taken and cost-effective (</w:t>
            </w:r>
            <w:r w:rsidRPr="00AD22FD">
              <w:rPr>
                <w:bCs/>
                <w:color w:val="7F7F7F" w:themeColor="text1" w:themeTint="80"/>
                <w:sz w:val="14"/>
                <w:szCs w:val="14"/>
              </w:rPr>
              <w:t>Ranger et al. 2013, p.258</w:t>
            </w:r>
            <w:r w:rsidRPr="00AD22FD">
              <w:rPr>
                <w:bCs/>
                <w:sz w:val="14"/>
                <w:szCs w:val="14"/>
              </w:rPr>
              <w:t>).</w:t>
            </w:r>
            <w:r w:rsidRPr="00AD22FD">
              <w:rPr>
                <w:bCs/>
                <w:noProof/>
                <w:sz w:val="14"/>
                <w:szCs w:val="14"/>
              </w:rPr>
              <w:t xml:space="preserve"> </w:t>
            </w:r>
          </w:p>
        </w:tc>
      </w:tr>
      <w:tr w:rsidR="00C04B00" w:rsidRPr="00AD22FD" w14:paraId="2DEEC065" w14:textId="77777777" w:rsidTr="001522F8">
        <w:tc>
          <w:tcPr>
            <w:tcW w:w="562" w:type="dxa"/>
            <w:vMerge/>
          </w:tcPr>
          <w:p w14:paraId="548E8A65" w14:textId="77777777" w:rsidR="00C04B00" w:rsidRPr="00AD22FD" w:rsidRDefault="00C04B00" w:rsidP="001522F8">
            <w:pPr>
              <w:pStyle w:val="tablecontenttext"/>
              <w:spacing w:line="240" w:lineRule="auto"/>
              <w:rPr>
                <w:rFonts w:ascii="Times New Roman" w:hAnsi="Times New Roman" w:cs="Times New Roman"/>
                <w:sz w:val="14"/>
                <w:szCs w:val="14"/>
              </w:rPr>
            </w:pPr>
          </w:p>
        </w:tc>
        <w:tc>
          <w:tcPr>
            <w:tcW w:w="993" w:type="dxa"/>
            <w:vMerge/>
          </w:tcPr>
          <w:p w14:paraId="7B603741" w14:textId="77777777" w:rsidR="00C04B00" w:rsidRPr="00AD22FD" w:rsidRDefault="00C04B00" w:rsidP="001522F8">
            <w:pPr>
              <w:pStyle w:val="tablecontenttext"/>
              <w:spacing w:line="240" w:lineRule="auto"/>
              <w:rPr>
                <w:rFonts w:ascii="Times New Roman" w:hAnsi="Times New Roman" w:cs="Times New Roman"/>
                <w:sz w:val="14"/>
                <w:szCs w:val="14"/>
              </w:rPr>
            </w:pPr>
          </w:p>
        </w:tc>
        <w:tc>
          <w:tcPr>
            <w:tcW w:w="8363" w:type="dxa"/>
          </w:tcPr>
          <w:p w14:paraId="3534C568" w14:textId="77777777" w:rsidR="00C04B00" w:rsidRPr="00AD22FD" w:rsidRDefault="00C04B00" w:rsidP="001522F8">
            <w:pPr>
              <w:pStyle w:val="tablecontenttext"/>
              <w:spacing w:line="240" w:lineRule="auto"/>
              <w:rPr>
                <w:rFonts w:ascii="Times New Roman" w:hAnsi="Times New Roman" w:cs="Times New Roman"/>
                <w:b/>
                <w:bCs w:val="0"/>
                <w:sz w:val="14"/>
                <w:szCs w:val="14"/>
              </w:rPr>
            </w:pPr>
            <w:r w:rsidRPr="00AD22FD">
              <w:rPr>
                <w:rFonts w:ascii="Times New Roman" w:hAnsi="Times New Roman" w:cs="Times New Roman"/>
                <w:b/>
                <w:bCs w:val="0"/>
                <w:sz w:val="14"/>
                <w:szCs w:val="14"/>
              </w:rPr>
              <w:t>3c2) Defining the monitoring and review programme</w:t>
            </w:r>
          </w:p>
          <w:p w14:paraId="4485E5F2" w14:textId="41C0935F"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The Team defined a monitoring programme, including 10 ‘indicators of changes’ (that affect FRM) which must be monitored throughout the Plan’s life, namely mean sea level (relative SLR), peak surge tide levels, erosion, etc. (</w:t>
            </w:r>
            <w:r w:rsidRPr="00AD22FD">
              <w:rPr>
                <w:rFonts w:ascii="Times New Roman" w:hAnsi="Times New Roman" w:cs="Times New Roman"/>
                <w:color w:val="7F7F7F" w:themeColor="text1" w:themeTint="80"/>
                <w:sz w:val="14"/>
                <w:szCs w:val="14"/>
              </w:rPr>
              <w:t xml:space="preserve">EA 2012, p.30, 36-37;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xml:space="preserve">, </w:t>
            </w:r>
            <w:proofErr w:type="spellStart"/>
            <w:r w:rsidRPr="00AD22FD">
              <w:rPr>
                <w:rFonts w:ascii="Times New Roman" w:hAnsi="Times New Roman" w:cs="Times New Roman"/>
                <w:color w:val="7F7F7F" w:themeColor="text1" w:themeTint="80"/>
                <w:sz w:val="14"/>
                <w:szCs w:val="14"/>
              </w:rPr>
              <w:t>p.xvi</w:t>
            </w:r>
            <w:proofErr w:type="spellEnd"/>
            <w:r w:rsidRPr="00AD22FD">
              <w:rPr>
                <w:rFonts w:ascii="Times New Roman" w:hAnsi="Times New Roman" w:cs="Times New Roman"/>
                <w:color w:val="7F7F7F" w:themeColor="text1" w:themeTint="80"/>
                <w:sz w:val="14"/>
                <w:szCs w:val="14"/>
              </w:rPr>
              <w:t>, 262-263, 283, 291; EA 2016; Ranger et al. 2013, p.233, 256; Ramsbottom and Sheppard 2017, p.12; Reeder and Ranger 2011, Lowe et al.2009; HM Treasury 2009, p.26</w:t>
            </w:r>
            <w:r w:rsidRPr="00AD22FD">
              <w:rPr>
                <w:rFonts w:ascii="Times New Roman" w:hAnsi="Times New Roman" w:cs="Times New Roman"/>
                <w:sz w:val="14"/>
                <w:szCs w:val="14"/>
              </w:rPr>
              <w:t>). The monitoring programme keeps track of the 10 indicators. These indicators serve to monitor changes in the TE and flood risk. The monitoring system must monitor how climate and flood risk are changing locally, which implies measuring local changes in key climate-related variables, but also monitor of global changes and CC progress (the rate of</w:t>
            </w:r>
            <w:r w:rsidRPr="00AD22FD">
              <w:rPr>
                <w:rFonts w:ascii="Times New Roman" w:hAnsi="Times New Roman" w:cs="Times New Roman"/>
                <w:i/>
                <w:sz w:val="14"/>
                <w:szCs w:val="14"/>
              </w:rPr>
              <w:t xml:space="preserve"> </w:t>
            </w:r>
            <w:r w:rsidRPr="00AD22FD">
              <w:rPr>
                <w:rFonts w:ascii="Times New Roman" w:hAnsi="Times New Roman" w:cs="Times New Roman"/>
                <w:sz w:val="14"/>
                <w:szCs w:val="14"/>
              </w:rPr>
              <w:t xml:space="preserve">CC effects), which implies keeping track of </w:t>
            </w:r>
            <w:r w:rsidRPr="00AD22FD">
              <w:rPr>
                <w:rFonts w:ascii="Times New Roman" w:hAnsi="Times New Roman" w:cs="Times New Roman"/>
                <w:i/>
                <w:sz w:val="14"/>
                <w:szCs w:val="14"/>
              </w:rPr>
              <w:t>updated future projections</w:t>
            </w:r>
            <w:r w:rsidRPr="00AD22FD">
              <w:rPr>
                <w:rFonts w:ascii="Times New Roman" w:hAnsi="Times New Roman" w:cs="Times New Roman"/>
                <w:sz w:val="14"/>
                <w:szCs w:val="14"/>
              </w:rPr>
              <w:t xml:space="preserve"> and </w:t>
            </w:r>
            <w:r w:rsidRPr="00AD22FD">
              <w:rPr>
                <w:rFonts w:ascii="Times New Roman" w:eastAsia="Calibri" w:hAnsi="Times New Roman" w:cs="Times New Roman"/>
                <w:sz w:val="14"/>
                <w:szCs w:val="14"/>
              </w:rPr>
              <w:t xml:space="preserve">ongoing investment in predictive science and climate services </w:t>
            </w:r>
            <w:r w:rsidRPr="00AD22FD">
              <w:rPr>
                <w:rFonts w:ascii="Times New Roman" w:hAnsi="Times New Roman" w:cs="Times New Roman"/>
                <w:sz w:val="14"/>
                <w:szCs w:val="14"/>
              </w:rPr>
              <w:t>(</w:t>
            </w:r>
            <w:r w:rsidR="00F77E53" w:rsidRPr="00AD22FD">
              <w:rPr>
                <w:rFonts w:ascii="Times New Roman" w:hAnsi="Times New Roman" w:cs="Times New Roman"/>
                <w:color w:val="7F7F7F" w:themeColor="text1" w:themeTint="80"/>
                <w:sz w:val="14"/>
                <w:szCs w:val="14"/>
              </w:rPr>
              <w:t>EA 2009b</w:t>
            </w:r>
            <w:r w:rsidRPr="00AD22FD">
              <w:rPr>
                <w:rFonts w:ascii="Times New Roman" w:hAnsi="Times New Roman" w:cs="Times New Roman"/>
                <w:color w:val="7F7F7F" w:themeColor="text1" w:themeTint="80"/>
                <w:sz w:val="14"/>
                <w:szCs w:val="14"/>
              </w:rPr>
              <w:t xml:space="preserve">; Lowe et al. 2009, p.85, 90; </w:t>
            </w:r>
            <w:r w:rsidRPr="00AD22FD">
              <w:rPr>
                <w:rFonts w:ascii="Times New Roman" w:eastAsia="Calibri" w:hAnsi="Times New Roman" w:cs="Times New Roman"/>
                <w:color w:val="7F7F7F" w:themeColor="text1" w:themeTint="80"/>
                <w:sz w:val="14"/>
                <w:szCs w:val="14"/>
              </w:rPr>
              <w:t>Met Office 2012</w:t>
            </w:r>
            <w:r w:rsidRPr="00AD22FD">
              <w:rPr>
                <w:rFonts w:ascii="Times New Roman" w:eastAsia="Calibri" w:hAnsi="Times New Roman" w:cs="Times New Roman"/>
                <w:sz w:val="14"/>
                <w:szCs w:val="14"/>
              </w:rPr>
              <w:t xml:space="preserve">). </w:t>
            </w:r>
            <w:r w:rsidRPr="00AD22FD">
              <w:rPr>
                <w:rFonts w:ascii="Times New Roman" w:hAnsi="Times New Roman" w:cs="Times New Roman"/>
                <w:sz w:val="14"/>
                <w:szCs w:val="14"/>
              </w:rPr>
              <w:t>The indicators help to assess whether the TE is changing in differently than what was envisaged by the Plan, whether the actions / interventions recommended in the Plan need revision, namely whether the actions / interventions recommended in the Plan must be implemented at an earlier or later date (if the timing of FRM interventions must be altered), whether the type of interventions outlined in the Plan needs reviewing, and whether the implemented actions / interventions are adequately managing flood risk (</w:t>
            </w:r>
            <w:r w:rsidRPr="00AD22FD">
              <w:rPr>
                <w:rFonts w:ascii="Times New Roman" w:hAnsi="Times New Roman" w:cs="Times New Roman"/>
                <w:color w:val="7F7F7F" w:themeColor="text1" w:themeTint="80"/>
                <w:sz w:val="14"/>
                <w:szCs w:val="14"/>
              </w:rPr>
              <w:t>EA 2016, p.15</w:t>
            </w:r>
            <w:r w:rsidRPr="00AD22FD">
              <w:rPr>
                <w:rFonts w:ascii="Times New Roman" w:hAnsi="Times New Roman" w:cs="Times New Roman"/>
                <w:sz w:val="14"/>
                <w:szCs w:val="14"/>
              </w:rPr>
              <w:t>).</w:t>
            </w:r>
            <w:r w:rsidRPr="00AD22FD">
              <w:rPr>
                <w:rFonts w:ascii="Times New Roman" w:eastAsia="Calibri" w:hAnsi="Times New Roman" w:cs="Times New Roman"/>
                <w:sz w:val="14"/>
                <w:szCs w:val="14"/>
              </w:rPr>
              <w:t xml:space="preserve"> </w:t>
            </w:r>
            <w:r w:rsidRPr="00AD22FD">
              <w:rPr>
                <w:rFonts w:ascii="Times New Roman" w:hAnsi="Times New Roman" w:cs="Times New Roman"/>
                <w:sz w:val="14"/>
                <w:szCs w:val="14"/>
              </w:rPr>
              <w:t>Moreover, the indicators correspond to key-variables that must monitored to check if a switch of measure or pathway is necessary (</w:t>
            </w:r>
            <w:r w:rsidRPr="00AD22FD">
              <w:rPr>
                <w:rFonts w:ascii="Times New Roman" w:hAnsi="Times New Roman" w:cs="Times New Roman"/>
                <w:color w:val="7F7F7F" w:themeColor="text1" w:themeTint="80"/>
                <w:sz w:val="14"/>
                <w:szCs w:val="14"/>
              </w:rPr>
              <w:t>Reeder and Ranger 2011, p.6</w:t>
            </w:r>
            <w:r w:rsidRPr="00AD22FD">
              <w:rPr>
                <w:rFonts w:ascii="Times New Roman" w:hAnsi="Times New Roman" w:cs="Times New Roman"/>
                <w:sz w:val="14"/>
                <w:szCs w:val="14"/>
              </w:rPr>
              <w:t>).</w:t>
            </w:r>
          </w:p>
          <w:p w14:paraId="5FD35379" w14:textId="7DDFADFE"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Beside this, </w:t>
            </w:r>
            <w:bookmarkStart w:id="27" w:name="_Hlk27567791"/>
            <w:r w:rsidRPr="00AD22FD">
              <w:rPr>
                <w:rFonts w:ascii="Times New Roman" w:hAnsi="Times New Roman" w:cs="Times New Roman"/>
                <w:sz w:val="14"/>
                <w:szCs w:val="14"/>
              </w:rPr>
              <w:t>the Plan must be reviewed and updated (against the ten indicators) every 10 years at minimum, or more frequently if there is a substantial change in one or more indicators</w:t>
            </w:r>
            <w:bookmarkEnd w:id="27"/>
            <w:r w:rsidRPr="00AD22FD">
              <w:rPr>
                <w:rFonts w:ascii="Times New Roman" w:hAnsi="Times New Roman" w:cs="Times New Roman"/>
                <w:sz w:val="14"/>
                <w:szCs w:val="14"/>
              </w:rPr>
              <w:t>; and, in addition, a mid-term monitoring review must be carried out every 5 years (</w:t>
            </w:r>
            <w:r w:rsidRPr="00AD22FD">
              <w:rPr>
                <w:rFonts w:ascii="Times New Roman" w:hAnsi="Times New Roman" w:cs="Times New Roman"/>
                <w:color w:val="7F7F7F" w:themeColor="text1" w:themeTint="80"/>
                <w:sz w:val="14"/>
                <w:szCs w:val="14"/>
              </w:rPr>
              <w:t xml:space="preserve">EA 2012, p.30, </w:t>
            </w:r>
            <w:r w:rsidRPr="00AD22FD">
              <w:rPr>
                <w:rFonts w:ascii="Times New Roman" w:hAnsi="Times New Roman" w:cs="Times New Roman"/>
                <w:color w:val="7F7F7F" w:themeColor="text1" w:themeTint="80"/>
                <w:sz w:val="14"/>
                <w:szCs w:val="14"/>
              </w:rPr>
              <w:lastRenderedPageBreak/>
              <w:t xml:space="preserve">39, 36;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xml:space="preserve">, </w:t>
            </w:r>
            <w:proofErr w:type="spellStart"/>
            <w:r w:rsidRPr="00AD22FD">
              <w:rPr>
                <w:rFonts w:ascii="Times New Roman" w:hAnsi="Times New Roman" w:cs="Times New Roman"/>
                <w:color w:val="7F7F7F" w:themeColor="text1" w:themeTint="80"/>
                <w:sz w:val="14"/>
                <w:szCs w:val="14"/>
              </w:rPr>
              <w:t>p.xv</w:t>
            </w:r>
            <w:proofErr w:type="spellEnd"/>
            <w:r w:rsidRPr="00AD22FD">
              <w:rPr>
                <w:rFonts w:ascii="Times New Roman" w:hAnsi="Times New Roman" w:cs="Times New Roman"/>
                <w:color w:val="7F7F7F" w:themeColor="text1" w:themeTint="80"/>
                <w:sz w:val="14"/>
                <w:szCs w:val="14"/>
              </w:rPr>
              <w:t xml:space="preserve">, 262-263; Ranger et al. 2013, p.243, 254; </w:t>
            </w:r>
            <w:r w:rsidR="00F77E53" w:rsidRPr="00AD22FD">
              <w:rPr>
                <w:rFonts w:ascii="Times New Roman" w:hAnsi="Times New Roman" w:cs="Times New Roman"/>
                <w:color w:val="7F7F7F" w:themeColor="text1" w:themeTint="80"/>
                <w:sz w:val="14"/>
                <w:szCs w:val="14"/>
              </w:rPr>
              <w:t>EA 2009b</w:t>
            </w:r>
            <w:r w:rsidRPr="00AD22FD">
              <w:rPr>
                <w:rFonts w:ascii="Times New Roman" w:hAnsi="Times New Roman" w:cs="Times New Roman"/>
                <w:color w:val="7F7F7F" w:themeColor="text1" w:themeTint="80"/>
                <w:sz w:val="14"/>
                <w:szCs w:val="14"/>
              </w:rPr>
              <w:t>, p.3, 4; HM Treasury 2009, p.26; Ramsbottom and Sheppard 2017, p.13; Bloemen et al. 2018, p.9, 6; EA 2016, p.5</w:t>
            </w:r>
            <w:r w:rsidRPr="00AD22FD">
              <w:rPr>
                <w:rFonts w:ascii="Times New Roman" w:hAnsi="Times New Roman" w:cs="Times New Roman"/>
                <w:sz w:val="14"/>
                <w:szCs w:val="14"/>
              </w:rPr>
              <w:t xml:space="preserve">). The outputs from the monitoring programme must inform the regular reviews and re-appraisal of the Plan, and may trigger a move on a </w:t>
            </w:r>
            <w:r w:rsidRPr="00AD22FD">
              <w:rPr>
                <w:rFonts w:ascii="Times New Roman" w:hAnsi="Times New Roman" w:cs="Times New Roman"/>
                <w:i/>
                <w:sz w:val="14"/>
                <w:szCs w:val="14"/>
              </w:rPr>
              <w:t>decision-point</w:t>
            </w:r>
            <w:r w:rsidRPr="00AD22FD">
              <w:rPr>
                <w:rFonts w:ascii="Times New Roman" w:hAnsi="Times New Roman" w:cs="Times New Roman"/>
                <w:sz w:val="14"/>
                <w:szCs w:val="14"/>
              </w:rPr>
              <w:t xml:space="preserve"> if a rapid significant change occurs in one or more indicators</w:t>
            </w:r>
            <w:r w:rsidRPr="00AD22FD">
              <w:rPr>
                <w:rFonts w:ascii="Times New Roman" w:hAnsi="Times New Roman" w:cs="Times New Roman"/>
                <w:i/>
                <w:sz w:val="14"/>
                <w:szCs w:val="14"/>
              </w:rPr>
              <w:t xml:space="preserve"> </w:t>
            </w:r>
            <w:r w:rsidRPr="00AD22FD">
              <w:rPr>
                <w:rFonts w:ascii="Times New Roman" w:eastAsia="Calibri" w:hAnsi="Times New Roman" w:cs="Times New Roman"/>
                <w:sz w:val="14"/>
                <w:szCs w:val="14"/>
              </w:rPr>
              <w:t>(</w:t>
            </w:r>
            <w:r w:rsidRPr="00AD22FD">
              <w:rPr>
                <w:rFonts w:ascii="Times New Roman" w:eastAsia="Calibri" w:hAnsi="Times New Roman" w:cs="Times New Roman"/>
                <w:color w:val="7F7F7F" w:themeColor="text1" w:themeTint="80"/>
                <w:sz w:val="14"/>
                <w:szCs w:val="14"/>
              </w:rPr>
              <w:t xml:space="preserve">EA 2012, p.36-37, 39; </w:t>
            </w:r>
            <w:r w:rsidRPr="00AD22FD">
              <w:rPr>
                <w:rFonts w:ascii="Times New Roman" w:hAnsi="Times New Roman" w:cs="Times New Roman"/>
                <w:color w:val="7F7F7F" w:themeColor="text1" w:themeTint="80"/>
                <w:sz w:val="14"/>
                <w:szCs w:val="14"/>
              </w:rPr>
              <w:t>HM Treasury 2009, p.26-28</w:t>
            </w:r>
            <w:r w:rsidRPr="00AD22FD">
              <w:rPr>
                <w:rFonts w:ascii="Times New Roman" w:hAnsi="Times New Roman" w:cs="Times New Roman"/>
                <w:sz w:val="14"/>
                <w:szCs w:val="14"/>
              </w:rPr>
              <w:t>)</w:t>
            </w:r>
            <w:r w:rsidR="00E41BDA" w:rsidRPr="00AD22FD">
              <w:rPr>
                <w:rFonts w:ascii="Times New Roman" w:hAnsi="Times New Roman" w:cs="Times New Roman"/>
                <w:sz w:val="14"/>
                <w:szCs w:val="14"/>
              </w:rPr>
              <w:t xml:space="preserve">, thus,  </w:t>
            </w:r>
            <w:r w:rsidR="00E41BDA" w:rsidRPr="00AD22FD">
              <w:rPr>
                <w:rFonts w:ascii="Times New Roman" w:hAnsi="Times New Roman" w:cs="Times New Roman"/>
                <w:sz w:val="14"/>
                <w:szCs w:val="14"/>
                <w:lang w:val="en-US"/>
              </w:rPr>
              <w:t xml:space="preserve">the 10 indicators (monitored through the formal </w:t>
            </w:r>
            <w:proofErr w:type="spellStart"/>
            <w:r w:rsidR="00E41BDA" w:rsidRPr="00AD22FD">
              <w:rPr>
                <w:rFonts w:ascii="Times New Roman" w:hAnsi="Times New Roman" w:cs="Times New Roman"/>
                <w:sz w:val="14"/>
                <w:szCs w:val="14"/>
                <w:lang w:val="en-US"/>
              </w:rPr>
              <w:t>programme</w:t>
            </w:r>
            <w:proofErr w:type="spellEnd"/>
            <w:r w:rsidR="00E41BDA" w:rsidRPr="00AD22FD">
              <w:rPr>
                <w:rFonts w:ascii="Times New Roman" w:hAnsi="Times New Roman" w:cs="Times New Roman"/>
                <w:sz w:val="14"/>
                <w:szCs w:val="14"/>
                <w:lang w:val="en-US"/>
              </w:rPr>
              <w:t xml:space="preserve">) must be reviewed against the Plan </w:t>
            </w:r>
            <w:r w:rsidR="00E41BDA" w:rsidRPr="00AD22FD">
              <w:rPr>
                <w:rFonts w:ascii="Times New Roman" w:hAnsi="Times New Roman" w:cs="Times New Roman"/>
                <w:sz w:val="14"/>
                <w:szCs w:val="14"/>
              </w:rPr>
              <w:t>(</w:t>
            </w:r>
            <w:r w:rsidR="00F77E53" w:rsidRPr="00AD22FD">
              <w:rPr>
                <w:rFonts w:ascii="Times New Roman" w:hAnsi="Times New Roman" w:cs="Times New Roman"/>
                <w:color w:val="7F7F7F" w:themeColor="text1" w:themeTint="80"/>
                <w:sz w:val="14"/>
                <w:szCs w:val="14"/>
              </w:rPr>
              <w:t>EA 2009A</w:t>
            </w:r>
            <w:r w:rsidR="00E41BDA" w:rsidRPr="00AD22FD">
              <w:rPr>
                <w:rFonts w:ascii="Times New Roman" w:hAnsi="Times New Roman" w:cs="Times New Roman"/>
                <w:color w:val="7F7F7F" w:themeColor="text1" w:themeTint="80"/>
                <w:sz w:val="14"/>
                <w:szCs w:val="14"/>
              </w:rPr>
              <w:t xml:space="preserve">, </w:t>
            </w:r>
            <w:proofErr w:type="spellStart"/>
            <w:r w:rsidR="00E41BDA" w:rsidRPr="00AD22FD">
              <w:rPr>
                <w:rFonts w:ascii="Times New Roman" w:hAnsi="Times New Roman" w:cs="Times New Roman"/>
                <w:color w:val="7F7F7F" w:themeColor="text1" w:themeTint="80"/>
                <w:sz w:val="14"/>
                <w:szCs w:val="14"/>
              </w:rPr>
              <w:t>p.xv</w:t>
            </w:r>
            <w:proofErr w:type="spellEnd"/>
            <w:r w:rsidR="00E41BDA" w:rsidRPr="00AD22FD">
              <w:rPr>
                <w:rFonts w:ascii="Times New Roman" w:hAnsi="Times New Roman" w:cs="Times New Roman"/>
                <w:color w:val="7F7F7F" w:themeColor="text1" w:themeTint="80"/>
                <w:sz w:val="14"/>
                <w:szCs w:val="14"/>
              </w:rPr>
              <w:t>, 262-263</w:t>
            </w:r>
            <w:r w:rsidR="00E41BDA" w:rsidRPr="00AD22FD">
              <w:rPr>
                <w:rFonts w:ascii="Times New Roman" w:hAnsi="Times New Roman" w:cs="Times New Roman"/>
                <w:sz w:val="14"/>
                <w:szCs w:val="14"/>
              </w:rPr>
              <w:t>).</w:t>
            </w:r>
            <w:r w:rsidRPr="00AD22FD">
              <w:rPr>
                <w:rStyle w:val="Refdenotaderodap"/>
                <w:rFonts w:ascii="Times New Roman" w:hAnsi="Times New Roman" w:cs="Times New Roman"/>
                <w:sz w:val="14"/>
                <w:szCs w:val="14"/>
              </w:rPr>
              <w:footnoteReference w:id="25"/>
            </w:r>
            <w:r w:rsidRPr="00AD22FD">
              <w:rPr>
                <w:rFonts w:ascii="Times New Roman" w:hAnsi="Times New Roman" w:cs="Times New Roman"/>
                <w:sz w:val="14"/>
                <w:szCs w:val="14"/>
              </w:rPr>
              <w:t xml:space="preserve"> Monitoring results must be used to periodically update of the Plan, namely: the dates when actions are needed, or if necessary, its pathways (</w:t>
            </w:r>
            <w:r w:rsidRPr="00AD22FD">
              <w:rPr>
                <w:rFonts w:ascii="Times New Roman" w:hAnsi="Times New Roman" w:cs="Times New Roman"/>
                <w:i/>
                <w:sz w:val="14"/>
                <w:szCs w:val="14"/>
              </w:rPr>
              <w:t>Options</w:t>
            </w:r>
            <w:r w:rsidRPr="00AD22FD">
              <w:rPr>
                <w:rFonts w:ascii="Times New Roman" w:hAnsi="Times New Roman" w:cs="Times New Roman"/>
                <w:sz w:val="14"/>
                <w:szCs w:val="14"/>
              </w:rPr>
              <w:t>), and / or their actions (</w:t>
            </w:r>
            <w:r w:rsidRPr="00AD22FD">
              <w:rPr>
                <w:rFonts w:ascii="Times New Roman" w:hAnsi="Times New Roman" w:cs="Times New Roman"/>
                <w:color w:val="7F7F7F" w:themeColor="text1" w:themeTint="80"/>
                <w:sz w:val="14"/>
                <w:szCs w:val="14"/>
              </w:rPr>
              <w:t>Ramsbottom and Sheppard 2017, p.13</w:t>
            </w:r>
            <w:r w:rsidRPr="00AD22FD">
              <w:rPr>
                <w:rFonts w:ascii="Times New Roman" w:hAnsi="Times New Roman" w:cs="Times New Roman"/>
                <w:sz w:val="14"/>
                <w:szCs w:val="14"/>
              </w:rPr>
              <w:t>). The Plan’s reviews and re-appraisals must be informed by the monitoring programme, in this way, the need for periodic updates of the pathways can be addressed (</w:t>
            </w:r>
            <w:r w:rsidRPr="00AD22FD">
              <w:rPr>
                <w:rFonts w:ascii="Times New Roman" w:hAnsi="Times New Roman" w:cs="Times New Roman"/>
                <w:color w:val="7F7F7F" w:themeColor="text1" w:themeTint="80"/>
                <w:sz w:val="14"/>
                <w:szCs w:val="14"/>
              </w:rPr>
              <w:t>Bloemen et al. 2018, p.9, 20, 22</w:t>
            </w:r>
            <w:r w:rsidRPr="00AD22FD">
              <w:rPr>
                <w:rFonts w:ascii="Times New Roman" w:hAnsi="Times New Roman" w:cs="Times New Roman"/>
                <w:sz w:val="14"/>
                <w:szCs w:val="14"/>
              </w:rPr>
              <w:t>).</w:t>
            </w:r>
            <w:r w:rsidRPr="00AD22FD">
              <w:rPr>
                <w:rFonts w:ascii="Times New Roman" w:hAnsi="Times New Roman" w:cs="Times New Roman"/>
                <w:color w:val="C00000"/>
                <w:sz w:val="14"/>
                <w:szCs w:val="14"/>
              </w:rPr>
              <w:t xml:space="preserve"> </w:t>
            </w:r>
            <w:r w:rsidRPr="00AD22FD">
              <w:rPr>
                <w:rFonts w:ascii="Times New Roman" w:hAnsi="Times New Roman" w:cs="Times New Roman"/>
                <w:sz w:val="14"/>
                <w:szCs w:val="14"/>
              </w:rPr>
              <w:t>Decisions will need to be taken on accelerating or decelerating elements of the Plan based on actual and predicted rates of change in the indicators (</w:t>
            </w:r>
            <w:r w:rsidRPr="00AD22FD">
              <w:rPr>
                <w:rFonts w:ascii="Times New Roman" w:hAnsi="Times New Roman" w:cs="Times New Roman"/>
                <w:color w:val="7F7F7F" w:themeColor="text1" w:themeTint="80"/>
                <w:sz w:val="14"/>
                <w:szCs w:val="14"/>
              </w:rPr>
              <w:t>Ranger et al. 2013, p.256</w:t>
            </w:r>
            <w:r w:rsidRPr="00AD22FD">
              <w:rPr>
                <w:rFonts w:ascii="Times New Roman" w:hAnsi="Times New Roman" w:cs="Times New Roman"/>
                <w:sz w:val="14"/>
                <w:szCs w:val="14"/>
              </w:rPr>
              <w:t xml:space="preserve">). </w:t>
            </w:r>
          </w:p>
          <w:p w14:paraId="25A0CD46" w14:textId="4CE74DFB" w:rsidR="0087071E" w:rsidRPr="00AD22FD" w:rsidRDefault="0087071E" w:rsidP="001522F8">
            <w:pPr>
              <w:spacing w:after="60"/>
              <w:rPr>
                <w:rFonts w:ascii="Times New Roman" w:hAnsi="Times New Roman"/>
                <w:bCs/>
                <w:sz w:val="14"/>
                <w:szCs w:val="14"/>
              </w:rPr>
            </w:pPr>
            <w:r w:rsidRPr="00AD22FD">
              <w:rPr>
                <w:rFonts w:ascii="Times New Roman" w:hAnsi="Times New Roman"/>
                <w:bCs/>
                <w:sz w:val="14"/>
                <w:szCs w:val="14"/>
                <w:lang w:val="en-US"/>
              </w:rPr>
              <w:t xml:space="preserve">At each 10-yearly review and update of the TE2100 Plan, the </w:t>
            </w:r>
            <w:r w:rsidRPr="00AD22FD">
              <w:rPr>
                <w:rFonts w:ascii="Times New Roman" w:hAnsi="Times New Roman"/>
                <w:bCs/>
                <w:i/>
                <w:iCs/>
                <w:sz w:val="14"/>
                <w:szCs w:val="14"/>
                <w:lang w:val="en-US"/>
              </w:rPr>
              <w:t>front</w:t>
            </w:r>
            <w:r w:rsidR="004E4C16" w:rsidRPr="00AD22FD">
              <w:rPr>
                <w:rFonts w:ascii="Times New Roman" w:hAnsi="Times New Roman"/>
                <w:bCs/>
                <w:i/>
                <w:iCs/>
                <w:sz w:val="14"/>
                <w:szCs w:val="14"/>
                <w:lang w:val="en-US"/>
              </w:rPr>
              <w:t>-</w:t>
            </w:r>
            <w:r w:rsidRPr="00AD22FD">
              <w:rPr>
                <w:rFonts w:ascii="Times New Roman" w:hAnsi="Times New Roman"/>
                <w:bCs/>
                <w:i/>
                <w:iCs/>
                <w:sz w:val="14"/>
                <w:szCs w:val="14"/>
                <w:lang w:val="en-US"/>
              </w:rPr>
              <w:t>runner(s) Options</w:t>
            </w:r>
            <w:r w:rsidRPr="00AD22FD">
              <w:rPr>
                <w:rFonts w:ascii="Times New Roman" w:hAnsi="Times New Roman"/>
                <w:bCs/>
                <w:sz w:val="14"/>
                <w:szCs w:val="14"/>
                <w:lang w:val="en-US"/>
              </w:rPr>
              <w:t xml:space="preserve"> for the period post-2070 will be reviewed – and around 2050 a firm decision must be made on the</w:t>
            </w:r>
            <w:r w:rsidRPr="00AD22FD">
              <w:rPr>
                <w:rFonts w:ascii="Times New Roman" w:hAnsi="Times New Roman"/>
                <w:bCs/>
                <w:i/>
                <w:iCs/>
                <w:sz w:val="14"/>
                <w:szCs w:val="14"/>
                <w:lang w:val="en-US"/>
              </w:rPr>
              <w:t xml:space="preserve"> end-of-the-century Option </w:t>
            </w:r>
            <w:r w:rsidRPr="00AD22FD">
              <w:rPr>
                <w:rFonts w:ascii="Times New Roman" w:hAnsi="Times New Roman"/>
                <w:bCs/>
                <w:sz w:val="14"/>
                <w:szCs w:val="14"/>
              </w:rPr>
              <w:t>(</w:t>
            </w:r>
            <w:r w:rsidR="00F77E53" w:rsidRPr="00AD22FD">
              <w:rPr>
                <w:rFonts w:ascii="Times New Roman" w:hAnsi="Times New Roman"/>
                <w:bCs/>
                <w:color w:val="7F7F7F" w:themeColor="text1" w:themeTint="80"/>
                <w:sz w:val="14"/>
                <w:szCs w:val="14"/>
              </w:rPr>
              <w:t>EA 2009A</w:t>
            </w:r>
            <w:r w:rsidRPr="00AD22FD">
              <w:rPr>
                <w:rFonts w:ascii="Times New Roman" w:hAnsi="Times New Roman"/>
                <w:bCs/>
                <w:color w:val="7F7F7F" w:themeColor="text1" w:themeTint="80"/>
                <w:sz w:val="14"/>
                <w:szCs w:val="14"/>
              </w:rPr>
              <w:t xml:space="preserve">, </w:t>
            </w:r>
            <w:proofErr w:type="spellStart"/>
            <w:r w:rsidRPr="00AD22FD">
              <w:rPr>
                <w:rFonts w:ascii="Times New Roman" w:hAnsi="Times New Roman"/>
                <w:bCs/>
                <w:color w:val="7F7F7F" w:themeColor="text1" w:themeTint="80"/>
                <w:sz w:val="14"/>
                <w:szCs w:val="14"/>
              </w:rPr>
              <w:t>p.xxi</w:t>
            </w:r>
            <w:proofErr w:type="spellEnd"/>
            <w:r w:rsidRPr="00AD22FD">
              <w:rPr>
                <w:rFonts w:ascii="Times New Roman" w:hAnsi="Times New Roman"/>
                <w:bCs/>
                <w:sz w:val="14"/>
                <w:szCs w:val="14"/>
              </w:rPr>
              <w:t xml:space="preserve">). As part of the regular monitoring and of the periodic planned revision of the TE2100 Plan, it will be necessary to keep the ranking of </w:t>
            </w:r>
            <w:r w:rsidRPr="00AD22FD">
              <w:rPr>
                <w:rFonts w:ascii="Times New Roman" w:hAnsi="Times New Roman"/>
                <w:bCs/>
                <w:i/>
                <w:iCs/>
                <w:sz w:val="14"/>
                <w:szCs w:val="14"/>
              </w:rPr>
              <w:t>Options</w:t>
            </w:r>
            <w:r w:rsidRPr="00AD22FD">
              <w:rPr>
                <w:rFonts w:ascii="Times New Roman" w:hAnsi="Times New Roman"/>
                <w:bCs/>
                <w:sz w:val="14"/>
                <w:szCs w:val="14"/>
              </w:rPr>
              <w:t xml:space="preserve"> under review</w:t>
            </w:r>
            <w:r w:rsidRPr="00AD22FD">
              <w:rPr>
                <w:rFonts w:ascii="Times New Roman" w:hAnsi="Times New Roman"/>
                <w:bCs/>
                <w:i/>
                <w:iCs/>
                <w:sz w:val="14"/>
                <w:szCs w:val="14"/>
              </w:rPr>
              <w:t xml:space="preserve"> </w:t>
            </w:r>
            <w:r w:rsidRPr="00AD22FD">
              <w:rPr>
                <w:rFonts w:ascii="Times New Roman" w:hAnsi="Times New Roman"/>
                <w:bCs/>
                <w:sz w:val="14"/>
                <w:szCs w:val="14"/>
              </w:rPr>
              <w:t>(</w:t>
            </w:r>
            <w:r w:rsidR="00F77E53" w:rsidRPr="00AD22FD">
              <w:rPr>
                <w:rFonts w:ascii="Times New Roman" w:hAnsi="Times New Roman"/>
                <w:bCs/>
                <w:color w:val="7F7F7F" w:themeColor="text1" w:themeTint="80"/>
                <w:sz w:val="14"/>
                <w:szCs w:val="14"/>
              </w:rPr>
              <w:t>EA 2009A</w:t>
            </w:r>
            <w:r w:rsidRPr="00AD22FD">
              <w:rPr>
                <w:rFonts w:ascii="Times New Roman" w:hAnsi="Times New Roman"/>
                <w:bCs/>
                <w:color w:val="7F7F7F" w:themeColor="text1" w:themeTint="80"/>
                <w:sz w:val="14"/>
                <w:szCs w:val="14"/>
              </w:rPr>
              <w:t>, p.232</w:t>
            </w:r>
            <w:r w:rsidRPr="00AD22FD">
              <w:rPr>
                <w:rFonts w:ascii="Times New Roman" w:hAnsi="Times New Roman"/>
                <w:bCs/>
                <w:sz w:val="14"/>
                <w:szCs w:val="14"/>
              </w:rPr>
              <w:t xml:space="preserve">); thus, at each 10-year review, the </w:t>
            </w:r>
            <w:r w:rsidRPr="00AD22FD">
              <w:rPr>
                <w:rFonts w:ascii="Times New Roman" w:hAnsi="Times New Roman"/>
                <w:bCs/>
                <w:i/>
                <w:iCs/>
                <w:sz w:val="14"/>
                <w:szCs w:val="14"/>
              </w:rPr>
              <w:t>preferred Options</w:t>
            </w:r>
            <w:r w:rsidRPr="00AD22FD">
              <w:rPr>
                <w:rFonts w:ascii="Times New Roman" w:hAnsi="Times New Roman"/>
                <w:bCs/>
                <w:sz w:val="14"/>
                <w:szCs w:val="14"/>
              </w:rPr>
              <w:t xml:space="preserve"> must be reviewed using the results of the monitoring of indicators (</w:t>
            </w:r>
            <w:r w:rsidR="00F77E53" w:rsidRPr="00AD22FD">
              <w:rPr>
                <w:rFonts w:ascii="Times New Roman" w:hAnsi="Times New Roman"/>
                <w:bCs/>
                <w:color w:val="7F7F7F" w:themeColor="text1" w:themeTint="80"/>
                <w:sz w:val="14"/>
                <w:szCs w:val="14"/>
              </w:rPr>
              <w:t>EA 2009A</w:t>
            </w:r>
            <w:r w:rsidRPr="00AD22FD">
              <w:rPr>
                <w:rFonts w:ascii="Times New Roman" w:hAnsi="Times New Roman"/>
                <w:bCs/>
                <w:color w:val="7F7F7F" w:themeColor="text1" w:themeTint="80"/>
                <w:sz w:val="14"/>
                <w:szCs w:val="14"/>
              </w:rPr>
              <w:t>, p.262-263</w:t>
            </w:r>
            <w:r w:rsidRPr="00AD22FD">
              <w:rPr>
                <w:rFonts w:ascii="Times New Roman" w:hAnsi="Times New Roman"/>
                <w:bCs/>
                <w:sz w:val="14"/>
                <w:szCs w:val="14"/>
              </w:rPr>
              <w:t>).</w:t>
            </w:r>
            <w:r w:rsidRPr="00AD22FD">
              <w:rPr>
                <w:rFonts w:ascii="Times New Roman" w:hAnsi="Times New Roman"/>
                <w:bCs/>
                <w:i/>
                <w:iCs/>
                <w:sz w:val="14"/>
                <w:szCs w:val="14"/>
              </w:rPr>
              <w:t xml:space="preserve"> </w:t>
            </w:r>
            <w:r w:rsidRPr="00AD22FD">
              <w:rPr>
                <w:rFonts w:ascii="Times New Roman" w:hAnsi="Times New Roman"/>
                <w:bCs/>
                <w:sz w:val="14"/>
                <w:szCs w:val="14"/>
              </w:rPr>
              <w:t>Moreover, the design standards of protection for flood defences, the FRM Policy, or floodplain management activities, might need to be changed, as time unfolds – these issues will need to be monitored over time and revisited as part of regular reviews of the TE2100 Plan (</w:t>
            </w:r>
            <w:r w:rsidR="00F77E53" w:rsidRPr="00AD22FD">
              <w:rPr>
                <w:rFonts w:ascii="Times New Roman" w:hAnsi="Times New Roman"/>
                <w:bCs/>
                <w:color w:val="7F7F7F" w:themeColor="text1" w:themeTint="80"/>
                <w:sz w:val="14"/>
                <w:szCs w:val="14"/>
              </w:rPr>
              <w:t>EA 2009A</w:t>
            </w:r>
            <w:r w:rsidRPr="00AD22FD">
              <w:rPr>
                <w:rFonts w:ascii="Times New Roman" w:hAnsi="Times New Roman"/>
                <w:bCs/>
                <w:color w:val="7F7F7F" w:themeColor="text1" w:themeTint="80"/>
                <w:sz w:val="14"/>
                <w:szCs w:val="14"/>
              </w:rPr>
              <w:t>, p.232</w:t>
            </w:r>
            <w:r w:rsidRPr="00AD22FD">
              <w:rPr>
                <w:rFonts w:ascii="Times New Roman" w:hAnsi="Times New Roman"/>
                <w:bCs/>
                <w:sz w:val="14"/>
                <w:szCs w:val="14"/>
              </w:rPr>
              <w:t>).</w:t>
            </w:r>
          </w:p>
          <w:p w14:paraId="24EFC495" w14:textId="11C97022" w:rsidR="0087071E" w:rsidRPr="00AD22FD" w:rsidRDefault="0087071E" w:rsidP="001522F8">
            <w:pPr>
              <w:spacing w:after="60"/>
              <w:rPr>
                <w:rFonts w:ascii="Times New Roman" w:hAnsi="Times New Roman"/>
                <w:bCs/>
                <w:sz w:val="14"/>
                <w:szCs w:val="14"/>
              </w:rPr>
            </w:pPr>
            <w:r w:rsidRPr="00AD22FD">
              <w:rPr>
                <w:rFonts w:ascii="Times New Roman" w:hAnsi="Times New Roman"/>
                <w:bCs/>
                <w:sz w:val="14"/>
                <w:szCs w:val="14"/>
              </w:rPr>
              <w:t>The monitoring of indicators is vital component of the Plan; monitoring results must be used to update the Plan’s contents (e.g. the exact date when major interventions will be required will depend on the rate of CC and other changes as these are monitored) (the dates estimated for interventions are likely to change, as the actual rates of change are unlikely to be the same as the assumed rates of change, the indicators must be monitored as part of the Plan, and the intervention-dates must be modified as necessary and the Plan updated)</w:t>
            </w:r>
            <w:r w:rsidRPr="00AD22FD">
              <w:rPr>
                <w:rFonts w:ascii="Times New Roman" w:hAnsi="Times New Roman"/>
                <w:bCs/>
                <w:i/>
                <w:iCs/>
                <w:sz w:val="14"/>
                <w:szCs w:val="14"/>
              </w:rPr>
              <w:t xml:space="preserve"> </w:t>
            </w:r>
            <w:r w:rsidRPr="00AD22FD">
              <w:rPr>
                <w:rFonts w:ascii="Times New Roman" w:hAnsi="Times New Roman"/>
                <w:bCs/>
                <w:sz w:val="14"/>
                <w:szCs w:val="14"/>
              </w:rPr>
              <w:t>(</w:t>
            </w:r>
            <w:r w:rsidR="00F77E53" w:rsidRPr="00AD22FD">
              <w:rPr>
                <w:rFonts w:ascii="Times New Roman" w:hAnsi="Times New Roman"/>
                <w:bCs/>
                <w:color w:val="7F7F7F" w:themeColor="text1" w:themeTint="80"/>
                <w:sz w:val="14"/>
                <w:szCs w:val="14"/>
              </w:rPr>
              <w:t>EA 2009A</w:t>
            </w:r>
            <w:r w:rsidRPr="00AD22FD">
              <w:rPr>
                <w:rFonts w:ascii="Times New Roman" w:hAnsi="Times New Roman"/>
                <w:bCs/>
                <w:color w:val="7F7F7F" w:themeColor="text1" w:themeTint="80"/>
                <w:sz w:val="14"/>
                <w:szCs w:val="14"/>
              </w:rPr>
              <w:t>, p.267</w:t>
            </w:r>
            <w:r w:rsidRPr="00AD22FD">
              <w:rPr>
                <w:rFonts w:ascii="Times New Roman" w:hAnsi="Times New Roman"/>
                <w:bCs/>
                <w:sz w:val="14"/>
                <w:szCs w:val="14"/>
              </w:rPr>
              <w:t xml:space="preserve">).  </w:t>
            </w:r>
          </w:p>
          <w:p w14:paraId="1D554CEA" w14:textId="2852FCD2" w:rsidR="0087071E" w:rsidRPr="00AD22FD" w:rsidRDefault="0087071E" w:rsidP="001522F8">
            <w:pPr>
              <w:spacing w:after="60"/>
              <w:rPr>
                <w:rFonts w:ascii="Times New Roman" w:hAnsi="Times New Roman"/>
                <w:bCs/>
                <w:sz w:val="14"/>
                <w:szCs w:val="14"/>
              </w:rPr>
            </w:pPr>
            <w:r w:rsidRPr="00AD22FD">
              <w:rPr>
                <w:rFonts w:ascii="Times New Roman" w:hAnsi="Times New Roman"/>
                <w:bCs/>
                <w:sz w:val="14"/>
                <w:szCs w:val="14"/>
              </w:rPr>
              <w:t>As indicators are monitored,</w:t>
            </w:r>
            <w:r w:rsidRPr="00AD22FD">
              <w:rPr>
                <w:rFonts w:ascii="Times New Roman" w:hAnsi="Times New Roman"/>
                <w:bCs/>
                <w:i/>
                <w:iCs/>
                <w:sz w:val="14"/>
                <w:szCs w:val="14"/>
              </w:rPr>
              <w:t xml:space="preserve"> monitoring results must be used to update the estimated dates when ‘portfolios’ must be implemented as well as the dates when decisions must be made </w:t>
            </w:r>
            <w:r w:rsidRPr="00AD22FD">
              <w:rPr>
                <w:rFonts w:ascii="Times New Roman" w:hAnsi="Times New Roman"/>
                <w:bCs/>
                <w:sz w:val="14"/>
                <w:szCs w:val="14"/>
              </w:rPr>
              <w:t>(</w:t>
            </w:r>
            <w:r w:rsidR="00F77E53" w:rsidRPr="00AD22FD">
              <w:rPr>
                <w:rFonts w:ascii="Times New Roman" w:hAnsi="Times New Roman"/>
                <w:bCs/>
                <w:color w:val="7F7F7F" w:themeColor="text1" w:themeTint="80"/>
                <w:sz w:val="14"/>
                <w:szCs w:val="14"/>
              </w:rPr>
              <w:t>EA 2009A</w:t>
            </w:r>
            <w:r w:rsidRPr="00AD22FD">
              <w:rPr>
                <w:rFonts w:ascii="Times New Roman" w:hAnsi="Times New Roman"/>
                <w:bCs/>
                <w:color w:val="7F7F7F" w:themeColor="text1" w:themeTint="80"/>
                <w:sz w:val="14"/>
                <w:szCs w:val="14"/>
              </w:rPr>
              <w:t>, p.280</w:t>
            </w:r>
            <w:r w:rsidRPr="00AD22FD">
              <w:rPr>
                <w:rFonts w:ascii="Times New Roman" w:hAnsi="Times New Roman"/>
                <w:bCs/>
                <w:sz w:val="14"/>
                <w:szCs w:val="14"/>
              </w:rPr>
              <w:t xml:space="preserve">). The </w:t>
            </w:r>
            <w:r w:rsidRPr="00AD22FD">
              <w:rPr>
                <w:rFonts w:ascii="Times New Roman" w:hAnsi="Times New Roman"/>
                <w:bCs/>
                <w:i/>
                <w:iCs/>
                <w:sz w:val="14"/>
                <w:szCs w:val="14"/>
              </w:rPr>
              <w:t>preferred Options</w:t>
            </w:r>
            <w:r w:rsidRPr="00AD22FD">
              <w:rPr>
                <w:rFonts w:ascii="Times New Roman" w:hAnsi="Times New Roman"/>
                <w:bCs/>
                <w:sz w:val="14"/>
                <w:szCs w:val="14"/>
              </w:rPr>
              <w:t xml:space="preserve"> and the </w:t>
            </w:r>
            <w:r w:rsidRPr="00AD22FD">
              <w:rPr>
                <w:rFonts w:ascii="Times New Roman" w:hAnsi="Times New Roman"/>
                <w:bCs/>
                <w:i/>
                <w:iCs/>
                <w:sz w:val="14"/>
                <w:szCs w:val="14"/>
              </w:rPr>
              <w:t>alternative Options</w:t>
            </w:r>
            <w:r w:rsidRPr="00AD22FD">
              <w:rPr>
                <w:rFonts w:ascii="Times New Roman" w:hAnsi="Times New Roman"/>
                <w:bCs/>
                <w:sz w:val="14"/>
                <w:szCs w:val="14"/>
              </w:rPr>
              <w:t xml:space="preserve"> must be re-appraised, using the updated best estimates of future change, which may lead to a change in the selected </w:t>
            </w:r>
            <w:r w:rsidRPr="00AD22FD">
              <w:rPr>
                <w:rFonts w:ascii="Times New Roman" w:hAnsi="Times New Roman"/>
                <w:bCs/>
                <w:i/>
                <w:iCs/>
                <w:sz w:val="14"/>
                <w:szCs w:val="14"/>
              </w:rPr>
              <w:t>Option</w:t>
            </w:r>
            <w:r w:rsidRPr="00AD22FD">
              <w:rPr>
                <w:rFonts w:ascii="Times New Roman" w:hAnsi="Times New Roman"/>
                <w:bCs/>
                <w:sz w:val="14"/>
                <w:szCs w:val="14"/>
              </w:rPr>
              <w:t xml:space="preserve">. Moreover, while the Plan contains alternative Options, it will be necessary to consider whether there are any other alternative options whenever the </w:t>
            </w:r>
            <w:r w:rsidRPr="00AD22FD">
              <w:rPr>
                <w:rFonts w:ascii="Times New Roman" w:hAnsi="Times New Roman"/>
                <w:bCs/>
                <w:i/>
                <w:iCs/>
                <w:sz w:val="14"/>
                <w:szCs w:val="14"/>
              </w:rPr>
              <w:t>Options</w:t>
            </w:r>
            <w:r w:rsidRPr="00AD22FD">
              <w:rPr>
                <w:rFonts w:ascii="Times New Roman" w:hAnsi="Times New Roman"/>
                <w:bCs/>
                <w:sz w:val="14"/>
                <w:szCs w:val="14"/>
              </w:rPr>
              <w:t xml:space="preserve"> are reviewed (</w:t>
            </w:r>
            <w:r w:rsidR="00F77E53" w:rsidRPr="00AD22FD">
              <w:rPr>
                <w:rFonts w:ascii="Times New Roman" w:hAnsi="Times New Roman"/>
                <w:bCs/>
                <w:color w:val="7F7F7F" w:themeColor="text1" w:themeTint="80"/>
                <w:sz w:val="14"/>
                <w:szCs w:val="14"/>
              </w:rPr>
              <w:t>EA 2009A</w:t>
            </w:r>
            <w:r w:rsidRPr="00AD22FD">
              <w:rPr>
                <w:rFonts w:ascii="Times New Roman" w:hAnsi="Times New Roman"/>
                <w:bCs/>
                <w:color w:val="7F7F7F" w:themeColor="text1" w:themeTint="80"/>
                <w:sz w:val="14"/>
                <w:szCs w:val="14"/>
              </w:rPr>
              <w:t>, p.280</w:t>
            </w:r>
            <w:r w:rsidRPr="00AD22FD">
              <w:rPr>
                <w:rFonts w:ascii="Times New Roman" w:hAnsi="Times New Roman"/>
                <w:bCs/>
                <w:sz w:val="14"/>
                <w:szCs w:val="14"/>
              </w:rPr>
              <w:t>), i.e. it is necessary</w:t>
            </w:r>
            <w:r w:rsidRPr="00AD22FD">
              <w:rPr>
                <w:rFonts w:ascii="Times New Roman" w:hAnsi="Times New Roman"/>
                <w:bCs/>
                <w:i/>
                <w:iCs/>
                <w:sz w:val="14"/>
                <w:szCs w:val="14"/>
              </w:rPr>
              <w:t xml:space="preserve"> to consider whether the preferred options </w:t>
            </w:r>
            <w:r w:rsidRPr="00AD22FD">
              <w:rPr>
                <w:rFonts w:ascii="Times New Roman" w:hAnsi="Times New Roman"/>
                <w:bCs/>
                <w:sz w:val="14"/>
                <w:szCs w:val="14"/>
              </w:rPr>
              <w:t>identified in 2009</w:t>
            </w:r>
            <w:r w:rsidRPr="00AD22FD">
              <w:rPr>
                <w:rFonts w:ascii="Times New Roman" w:hAnsi="Times New Roman"/>
                <w:bCs/>
                <w:i/>
                <w:iCs/>
                <w:sz w:val="14"/>
                <w:szCs w:val="14"/>
              </w:rPr>
              <w:t xml:space="preserve"> are still the best; appraisal is (…) needed to decide the best way forward whenever the Plan is updated </w:t>
            </w:r>
            <w:r w:rsidRPr="00AD22FD">
              <w:rPr>
                <w:rFonts w:ascii="Times New Roman" w:hAnsi="Times New Roman"/>
                <w:bCs/>
                <w:sz w:val="14"/>
                <w:szCs w:val="14"/>
              </w:rPr>
              <w:t>(</w:t>
            </w:r>
            <w:r w:rsidR="00F77E53" w:rsidRPr="00AD22FD">
              <w:rPr>
                <w:rFonts w:ascii="Times New Roman" w:hAnsi="Times New Roman"/>
                <w:bCs/>
                <w:color w:val="7F7F7F" w:themeColor="text1" w:themeTint="80"/>
                <w:sz w:val="14"/>
                <w:szCs w:val="14"/>
              </w:rPr>
              <w:t>EA 2009A</w:t>
            </w:r>
            <w:r w:rsidRPr="00AD22FD">
              <w:rPr>
                <w:rFonts w:ascii="Times New Roman" w:hAnsi="Times New Roman"/>
                <w:bCs/>
                <w:color w:val="7F7F7F" w:themeColor="text1" w:themeTint="80"/>
                <w:sz w:val="14"/>
                <w:szCs w:val="14"/>
              </w:rPr>
              <w:t>, p.2</w:t>
            </w:r>
            <w:r w:rsidR="00E74499" w:rsidRPr="00AD22FD">
              <w:rPr>
                <w:rFonts w:ascii="Times New Roman" w:hAnsi="Times New Roman"/>
                <w:bCs/>
                <w:color w:val="7F7F7F" w:themeColor="text1" w:themeTint="80"/>
                <w:sz w:val="14"/>
                <w:szCs w:val="14"/>
              </w:rPr>
              <w:t>8</w:t>
            </w:r>
            <w:r w:rsidRPr="00AD22FD">
              <w:rPr>
                <w:rFonts w:ascii="Times New Roman" w:hAnsi="Times New Roman"/>
                <w:bCs/>
                <w:color w:val="7F7F7F" w:themeColor="text1" w:themeTint="80"/>
                <w:sz w:val="14"/>
                <w:szCs w:val="14"/>
              </w:rPr>
              <w:t>0</w:t>
            </w:r>
            <w:r w:rsidRPr="00AD22FD">
              <w:rPr>
                <w:rFonts w:ascii="Times New Roman" w:hAnsi="Times New Roman"/>
                <w:bCs/>
                <w:sz w:val="14"/>
                <w:szCs w:val="14"/>
              </w:rPr>
              <w:t>).</w:t>
            </w:r>
            <w:r w:rsidRPr="00AD22FD">
              <w:rPr>
                <w:rFonts w:ascii="Times New Roman" w:hAnsi="Times New Roman"/>
                <w:bCs/>
                <w:i/>
                <w:iCs/>
                <w:sz w:val="14"/>
                <w:szCs w:val="14"/>
              </w:rPr>
              <w:t xml:space="preserve">  </w:t>
            </w:r>
          </w:p>
          <w:p w14:paraId="25837309" w14:textId="5DED9A6C" w:rsidR="0087071E" w:rsidRPr="00AD22FD" w:rsidRDefault="004E4C16" w:rsidP="001522F8">
            <w:pPr>
              <w:spacing w:after="60"/>
              <w:rPr>
                <w:rFonts w:ascii="Times New Roman" w:hAnsi="Times New Roman"/>
                <w:bCs/>
                <w:i/>
                <w:iCs/>
                <w:sz w:val="14"/>
                <w:szCs w:val="14"/>
              </w:rPr>
            </w:pPr>
            <w:r w:rsidRPr="00AD22FD">
              <w:rPr>
                <w:rFonts w:ascii="Times New Roman" w:hAnsi="Times New Roman"/>
                <w:bCs/>
                <w:sz w:val="14"/>
                <w:szCs w:val="14"/>
                <w:lang w:val="en-US"/>
              </w:rPr>
              <w:t xml:space="preserve">The Plan’s recommendations were based on 2009 Government guidance on CC; however, if CC predictions (or other pressures) worsen, then the date of an intervention might be changed – this was allowed for in the Plan </w:t>
            </w:r>
            <w:r w:rsidRPr="00AD22FD">
              <w:rPr>
                <w:rFonts w:ascii="Times New Roman" w:hAnsi="Times New Roman"/>
                <w:bCs/>
                <w:sz w:val="14"/>
                <w:szCs w:val="14"/>
              </w:rPr>
              <w:t>(</w:t>
            </w:r>
            <w:r w:rsidR="00F77E53" w:rsidRPr="00AD22FD">
              <w:rPr>
                <w:rFonts w:ascii="Times New Roman" w:hAnsi="Times New Roman"/>
                <w:bCs/>
                <w:color w:val="7F7F7F" w:themeColor="text1" w:themeTint="80"/>
                <w:sz w:val="14"/>
                <w:szCs w:val="14"/>
              </w:rPr>
              <w:t>EA 2009A</w:t>
            </w:r>
            <w:r w:rsidRPr="00AD22FD">
              <w:rPr>
                <w:rFonts w:ascii="Times New Roman" w:hAnsi="Times New Roman"/>
                <w:bCs/>
                <w:color w:val="7F7F7F" w:themeColor="text1" w:themeTint="80"/>
                <w:sz w:val="14"/>
                <w:szCs w:val="14"/>
              </w:rPr>
              <w:t xml:space="preserve">, </w:t>
            </w:r>
            <w:proofErr w:type="spellStart"/>
            <w:r w:rsidRPr="00AD22FD">
              <w:rPr>
                <w:rFonts w:ascii="Times New Roman" w:hAnsi="Times New Roman"/>
                <w:bCs/>
                <w:color w:val="7F7F7F" w:themeColor="text1" w:themeTint="80"/>
                <w:sz w:val="14"/>
                <w:szCs w:val="14"/>
              </w:rPr>
              <w:t>p.xiii</w:t>
            </w:r>
            <w:proofErr w:type="spellEnd"/>
            <w:r w:rsidRPr="00AD22FD">
              <w:rPr>
                <w:rFonts w:ascii="Times New Roman" w:hAnsi="Times New Roman"/>
                <w:bCs/>
                <w:sz w:val="14"/>
                <w:szCs w:val="14"/>
              </w:rPr>
              <w:t xml:space="preserve">). Moreover, </w:t>
            </w:r>
            <w:proofErr w:type="spellStart"/>
            <w:r w:rsidRPr="00AD22FD">
              <w:rPr>
                <w:rFonts w:ascii="Times New Roman" w:hAnsi="Times New Roman"/>
                <w:bCs/>
                <w:sz w:val="14"/>
                <w:szCs w:val="14"/>
              </w:rPr>
              <w:t>i</w:t>
            </w:r>
            <w:proofErr w:type="spellEnd"/>
            <w:r w:rsidRPr="00AD22FD">
              <w:rPr>
                <w:rFonts w:ascii="Times New Roman" w:hAnsi="Times New Roman"/>
                <w:bCs/>
                <w:sz w:val="14"/>
                <w:szCs w:val="14"/>
                <w:lang w:val="en-US"/>
              </w:rPr>
              <w:t>f the10-yearly review of the Plan identifies that a different</w:t>
            </w:r>
            <w:r w:rsidRPr="00AD22FD">
              <w:rPr>
                <w:rFonts w:ascii="Times New Roman" w:hAnsi="Times New Roman"/>
                <w:bCs/>
                <w:i/>
                <w:iCs/>
                <w:sz w:val="14"/>
                <w:szCs w:val="14"/>
                <w:lang w:val="en-US"/>
              </w:rPr>
              <w:t xml:space="preserve"> Option</w:t>
            </w:r>
            <w:r w:rsidRPr="00AD22FD">
              <w:rPr>
                <w:rFonts w:ascii="Times New Roman" w:hAnsi="Times New Roman"/>
                <w:bCs/>
                <w:sz w:val="14"/>
                <w:szCs w:val="14"/>
                <w:lang w:val="en-US"/>
              </w:rPr>
              <w:t xml:space="preserve"> is then preferred, this is possible as long as the final decision is made with sufficient lead-in time to implement it (e.g. an act of parliament may be required); whatever the current end-of-the-century Options is recommended, it was important to have a preferred Plan (</w:t>
            </w:r>
            <w:r w:rsidRPr="00AD22FD">
              <w:rPr>
                <w:rFonts w:ascii="Times New Roman" w:hAnsi="Times New Roman"/>
                <w:bCs/>
                <w:i/>
                <w:iCs/>
                <w:sz w:val="14"/>
                <w:szCs w:val="14"/>
                <w:lang w:val="en-US"/>
              </w:rPr>
              <w:t>preferred Option(s)</w:t>
            </w:r>
            <w:r w:rsidRPr="00AD22FD">
              <w:rPr>
                <w:rFonts w:ascii="Times New Roman" w:hAnsi="Times New Roman"/>
                <w:bCs/>
                <w:sz w:val="14"/>
                <w:szCs w:val="14"/>
                <w:lang w:val="en-US"/>
              </w:rPr>
              <w:t xml:space="preserve">) as a basis from which stakeholders could plan for the future </w:t>
            </w:r>
            <w:r w:rsidRPr="00AD22FD">
              <w:rPr>
                <w:rFonts w:ascii="Times New Roman" w:hAnsi="Times New Roman"/>
                <w:bCs/>
                <w:sz w:val="14"/>
                <w:szCs w:val="14"/>
              </w:rPr>
              <w:t>(</w:t>
            </w:r>
            <w:r w:rsidR="00F77E53" w:rsidRPr="00AD22FD">
              <w:rPr>
                <w:rFonts w:ascii="Times New Roman" w:hAnsi="Times New Roman"/>
                <w:bCs/>
                <w:color w:val="7F7F7F" w:themeColor="text1" w:themeTint="80"/>
                <w:sz w:val="14"/>
                <w:szCs w:val="14"/>
              </w:rPr>
              <w:t>EA 2009A</w:t>
            </w:r>
            <w:r w:rsidRPr="00AD22FD">
              <w:rPr>
                <w:rFonts w:ascii="Times New Roman" w:hAnsi="Times New Roman"/>
                <w:bCs/>
                <w:color w:val="7F7F7F" w:themeColor="text1" w:themeTint="80"/>
                <w:sz w:val="14"/>
                <w:szCs w:val="14"/>
              </w:rPr>
              <w:t xml:space="preserve">, </w:t>
            </w:r>
            <w:proofErr w:type="spellStart"/>
            <w:r w:rsidRPr="00AD22FD">
              <w:rPr>
                <w:rFonts w:ascii="Times New Roman" w:hAnsi="Times New Roman"/>
                <w:bCs/>
                <w:color w:val="7F7F7F" w:themeColor="text1" w:themeTint="80"/>
                <w:sz w:val="14"/>
                <w:szCs w:val="14"/>
              </w:rPr>
              <w:t>p.xiii</w:t>
            </w:r>
            <w:proofErr w:type="spellEnd"/>
            <w:r w:rsidRPr="00AD22FD">
              <w:rPr>
                <w:rFonts w:ascii="Times New Roman" w:hAnsi="Times New Roman"/>
                <w:bCs/>
                <w:sz w:val="14"/>
                <w:szCs w:val="14"/>
              </w:rPr>
              <w:t>).</w:t>
            </w:r>
          </w:p>
          <w:p w14:paraId="49362BA3" w14:textId="45BE9D8A" w:rsidR="00C04B00" w:rsidRPr="00AD22FD" w:rsidRDefault="0087071E" w:rsidP="001522F8">
            <w:pPr>
              <w:pStyle w:val="TEXTBODY"/>
              <w:spacing w:after="60"/>
              <w:jc w:val="left"/>
              <w:rPr>
                <w:bCs/>
                <w:sz w:val="14"/>
                <w:szCs w:val="14"/>
              </w:rPr>
            </w:pPr>
            <w:bookmarkStart w:id="39" w:name="_Hlk122104041"/>
            <w:r w:rsidRPr="00AD22FD">
              <w:rPr>
                <w:bCs/>
                <w:sz w:val="14"/>
                <w:szCs w:val="14"/>
              </w:rPr>
              <w:t>The</w:t>
            </w:r>
            <w:r w:rsidR="00C04B00" w:rsidRPr="00AD22FD">
              <w:rPr>
                <w:bCs/>
                <w:sz w:val="14"/>
                <w:szCs w:val="14"/>
              </w:rPr>
              <w:t xml:space="preserve"> mid-term monitoring</w:t>
            </w:r>
            <w:r w:rsidRPr="00AD22FD">
              <w:rPr>
                <w:bCs/>
                <w:sz w:val="14"/>
                <w:szCs w:val="14"/>
              </w:rPr>
              <w:t>-</w:t>
            </w:r>
            <w:r w:rsidR="00C04B00" w:rsidRPr="00AD22FD">
              <w:rPr>
                <w:bCs/>
                <w:sz w:val="14"/>
                <w:szCs w:val="14"/>
              </w:rPr>
              <w:t>review process (every 5 years)</w:t>
            </w:r>
            <w:r w:rsidRPr="00AD22FD">
              <w:rPr>
                <w:bCs/>
                <w:sz w:val="14"/>
                <w:szCs w:val="14"/>
              </w:rPr>
              <w:t xml:space="preserve">, in turn, </w:t>
            </w:r>
            <w:r w:rsidR="00C04B00" w:rsidRPr="00AD22FD">
              <w:rPr>
                <w:bCs/>
                <w:sz w:val="14"/>
                <w:szCs w:val="14"/>
              </w:rPr>
              <w:t>serves to analyse the changes (physical and socioeconomic changes) that are occurring in the Estuary over time, based on the 10 indicators, and assess whether the FRM policies and recommendations of the Plan require any adjustment, whether it is necessary to review the timing of FRM actions and whether the recommendations remain the right choices for the TE (</w:t>
            </w:r>
            <w:r w:rsidR="00C04B00" w:rsidRPr="00AD22FD">
              <w:rPr>
                <w:bCs/>
                <w:color w:val="7F7F7F" w:themeColor="text1" w:themeTint="80"/>
                <w:sz w:val="14"/>
                <w:szCs w:val="14"/>
              </w:rPr>
              <w:t>EA 2016, p.5</w:t>
            </w:r>
            <w:r w:rsidR="00C04B00" w:rsidRPr="00AD22FD">
              <w:rPr>
                <w:bCs/>
                <w:sz w:val="14"/>
                <w:szCs w:val="14"/>
              </w:rPr>
              <w:t>). In specific, the 5-year monitoring review serves to assess how the TE is changing (its physical environment and socioeconomic environment) and how this affects flood risk, whether the Plan’s objectives are being met, and whether the flood defences are being managed as recommended by the Plan (</w:t>
            </w:r>
            <w:r w:rsidR="00C04B00" w:rsidRPr="00AD22FD">
              <w:rPr>
                <w:bCs/>
                <w:color w:val="7F7F7F" w:themeColor="text1" w:themeTint="80"/>
                <w:sz w:val="14"/>
                <w:szCs w:val="14"/>
              </w:rPr>
              <w:t>EA 2016, p.5</w:t>
            </w:r>
            <w:r w:rsidR="00C04B00" w:rsidRPr="00AD22FD">
              <w:rPr>
                <w:bCs/>
                <w:sz w:val="14"/>
                <w:szCs w:val="14"/>
              </w:rPr>
              <w:t>), and evaluate whether the actions in the Plan remain appropriate and ensure they are implemented at the right time (</w:t>
            </w:r>
            <w:r w:rsidR="00C04B00" w:rsidRPr="00AD22FD">
              <w:rPr>
                <w:bCs/>
                <w:color w:val="7F7F7F" w:themeColor="text1" w:themeTint="80"/>
                <w:sz w:val="14"/>
                <w:szCs w:val="14"/>
              </w:rPr>
              <w:t>EA 2016, p.15</w:t>
            </w:r>
            <w:r w:rsidR="00C04B00" w:rsidRPr="00AD22FD">
              <w:rPr>
                <w:bCs/>
                <w:sz w:val="14"/>
                <w:szCs w:val="14"/>
              </w:rPr>
              <w:t>).</w:t>
            </w:r>
            <w:bookmarkEnd w:id="39"/>
            <w:r w:rsidR="00C04B00" w:rsidRPr="00AD22FD">
              <w:rPr>
                <w:bCs/>
                <w:sz w:val="14"/>
                <w:szCs w:val="14"/>
              </w:rPr>
              <w:t xml:space="preserve"> Although this mid-term monitoring review was set every 5 years, if monitoring in the interim period reveals that a given indicator is changing faster (or slower) than expected, the </w:t>
            </w:r>
            <w:r w:rsidR="00C04B00" w:rsidRPr="00AD22FD">
              <w:rPr>
                <w:bCs/>
                <w:i/>
                <w:iCs/>
                <w:sz w:val="14"/>
                <w:szCs w:val="14"/>
              </w:rPr>
              <w:t>implementation-point</w:t>
            </w:r>
            <w:r w:rsidR="00C04B00" w:rsidRPr="00AD22FD">
              <w:rPr>
                <w:bCs/>
                <w:sz w:val="14"/>
                <w:szCs w:val="14"/>
              </w:rPr>
              <w:t xml:space="preserve"> and </w:t>
            </w:r>
            <w:r w:rsidR="00C04B00" w:rsidRPr="00AD22FD">
              <w:rPr>
                <w:bCs/>
                <w:i/>
                <w:iCs/>
                <w:sz w:val="14"/>
                <w:szCs w:val="14"/>
              </w:rPr>
              <w:t>decision-point</w:t>
            </w:r>
            <w:r w:rsidR="00C04B00" w:rsidRPr="00AD22FD">
              <w:rPr>
                <w:bCs/>
                <w:sz w:val="14"/>
                <w:szCs w:val="14"/>
              </w:rPr>
              <w:t xml:space="preserve"> of a measure may be anticipated (or postponed) (</w:t>
            </w:r>
            <w:r w:rsidR="00C04B00" w:rsidRPr="00AD22FD">
              <w:rPr>
                <w:bCs/>
                <w:color w:val="7F7F7F" w:themeColor="text1" w:themeTint="80"/>
                <w:sz w:val="14"/>
                <w:szCs w:val="14"/>
              </w:rPr>
              <w:t>HM Treasury 2009, p.26-27; Ranger et al. 2013, p.254; Reeder and Ranger 2011, p.10</w:t>
            </w:r>
            <w:r w:rsidR="00C04B00" w:rsidRPr="00AD22FD">
              <w:rPr>
                <w:bCs/>
                <w:sz w:val="14"/>
                <w:szCs w:val="14"/>
              </w:rPr>
              <w:t xml:space="preserve">). In practice, the </w:t>
            </w:r>
            <w:r w:rsidR="00C04B00" w:rsidRPr="00AD22FD">
              <w:rPr>
                <w:bCs/>
                <w:i/>
                <w:iCs/>
                <w:sz w:val="14"/>
                <w:szCs w:val="14"/>
              </w:rPr>
              <w:t>decision-points</w:t>
            </w:r>
            <w:r w:rsidR="00C04B00" w:rsidRPr="00AD22FD">
              <w:rPr>
                <w:bCs/>
                <w:sz w:val="14"/>
                <w:szCs w:val="14"/>
              </w:rPr>
              <w:t xml:space="preserve"> and </w:t>
            </w:r>
            <w:r w:rsidR="00C04B00" w:rsidRPr="00AD22FD">
              <w:rPr>
                <w:bCs/>
                <w:i/>
                <w:iCs/>
                <w:sz w:val="14"/>
                <w:szCs w:val="14"/>
              </w:rPr>
              <w:t>implementation-points</w:t>
            </w:r>
            <w:r w:rsidR="00C04B00" w:rsidRPr="00AD22FD">
              <w:rPr>
                <w:bCs/>
                <w:sz w:val="14"/>
                <w:szCs w:val="14"/>
              </w:rPr>
              <w:t xml:space="preserve"> of measures (and measures themselves, as well as the pathways – i.e. the </w:t>
            </w:r>
            <w:r w:rsidR="00C04B00" w:rsidRPr="00AD22FD">
              <w:rPr>
                <w:bCs/>
                <w:i/>
                <w:iCs/>
                <w:sz w:val="14"/>
                <w:szCs w:val="14"/>
              </w:rPr>
              <w:t>Option</w:t>
            </w:r>
            <w:r w:rsidR="00C04B00" w:rsidRPr="00AD22FD">
              <w:rPr>
                <w:bCs/>
                <w:sz w:val="14"/>
                <w:szCs w:val="14"/>
              </w:rPr>
              <w:t xml:space="preserve"> and the individual elements of the </w:t>
            </w:r>
            <w:r w:rsidR="00C04B00" w:rsidRPr="00AD22FD">
              <w:rPr>
                <w:bCs/>
                <w:i/>
                <w:iCs/>
                <w:sz w:val="14"/>
                <w:szCs w:val="14"/>
              </w:rPr>
              <w:t>Option</w:t>
            </w:r>
            <w:r w:rsidR="00C04B00" w:rsidRPr="00AD22FD">
              <w:rPr>
                <w:bCs/>
                <w:sz w:val="14"/>
                <w:szCs w:val="14"/>
              </w:rPr>
              <w:t xml:space="preserve">) may be modified </w:t>
            </w:r>
            <w:proofErr w:type="gramStart"/>
            <w:r w:rsidR="00C04B00" w:rsidRPr="00AD22FD">
              <w:rPr>
                <w:bCs/>
                <w:sz w:val="14"/>
                <w:szCs w:val="14"/>
              </w:rPr>
              <w:t>in light of</w:t>
            </w:r>
            <w:proofErr w:type="gramEnd"/>
            <w:r w:rsidR="00C04B00" w:rsidRPr="00AD22FD">
              <w:rPr>
                <w:bCs/>
                <w:sz w:val="14"/>
                <w:szCs w:val="14"/>
              </w:rPr>
              <w:t xml:space="preserve"> new information on indicators (</w:t>
            </w:r>
            <w:r w:rsidR="00C04B00" w:rsidRPr="00AD22FD">
              <w:rPr>
                <w:bCs/>
                <w:color w:val="7F7F7F" w:themeColor="text1" w:themeTint="80"/>
                <w:sz w:val="14"/>
                <w:szCs w:val="14"/>
              </w:rPr>
              <w:t>HM Treasury 2009, p.27</w:t>
            </w:r>
            <w:r w:rsidR="00C04B00" w:rsidRPr="00AD22FD">
              <w:rPr>
                <w:bCs/>
                <w:sz w:val="14"/>
                <w:szCs w:val="14"/>
              </w:rPr>
              <w:t>).</w:t>
            </w:r>
          </w:p>
          <w:p w14:paraId="3E34EE85" w14:textId="45B96DF9" w:rsidR="00C04B00" w:rsidRPr="00AD22FD" w:rsidRDefault="00C04B00" w:rsidP="001522F8">
            <w:pPr>
              <w:spacing w:after="120"/>
              <w:rPr>
                <w:rFonts w:ascii="Times New Roman" w:hAnsi="Times New Roman"/>
                <w:bCs/>
                <w:sz w:val="14"/>
                <w:szCs w:val="14"/>
              </w:rPr>
            </w:pPr>
            <w:r w:rsidRPr="00AD22FD">
              <w:rPr>
                <w:rFonts w:ascii="Times New Roman" w:hAnsi="Times New Roman"/>
                <w:bCs/>
                <w:sz w:val="14"/>
                <w:szCs w:val="14"/>
              </w:rPr>
              <w:t>The effectiveness and success of the TE2100 Plan will strongly depend on a continuing process of ongoing monitoring (of local changes and conditions) and periodical / regular review of the Plan (its re-appraisal and update) (</w:t>
            </w:r>
            <w:r w:rsidRPr="00AD22FD">
              <w:rPr>
                <w:rFonts w:ascii="Times New Roman" w:hAnsi="Times New Roman"/>
                <w:bCs/>
                <w:color w:val="7F7F7F" w:themeColor="text1" w:themeTint="80"/>
                <w:sz w:val="14"/>
                <w:szCs w:val="14"/>
              </w:rPr>
              <w:t xml:space="preserve">Reeder and Ranger 2011, p.10; Ranger et al. 2013, p.254; </w:t>
            </w:r>
            <w:r w:rsidR="00F77E53" w:rsidRPr="00AD22FD">
              <w:rPr>
                <w:rFonts w:ascii="Times New Roman" w:hAnsi="Times New Roman"/>
                <w:bCs/>
                <w:color w:val="7F7F7F" w:themeColor="text1" w:themeTint="80"/>
                <w:sz w:val="14"/>
                <w:szCs w:val="14"/>
              </w:rPr>
              <w:t>EA 2009b</w:t>
            </w:r>
            <w:r w:rsidRPr="00AD22FD">
              <w:rPr>
                <w:rFonts w:ascii="Times New Roman" w:hAnsi="Times New Roman"/>
                <w:bCs/>
                <w:color w:val="7F7F7F" w:themeColor="text1" w:themeTint="80"/>
                <w:sz w:val="14"/>
                <w:szCs w:val="14"/>
              </w:rPr>
              <w:t xml:space="preserve">, p.10; </w:t>
            </w:r>
            <w:r w:rsidRPr="00AD22FD">
              <w:rPr>
                <w:rFonts w:ascii="Times New Roman" w:eastAsia="Frutiger-Roman" w:hAnsi="Times New Roman"/>
                <w:bCs/>
                <w:color w:val="7F7F7F" w:themeColor="text1" w:themeTint="80"/>
                <w:sz w:val="14"/>
                <w:szCs w:val="14"/>
              </w:rPr>
              <w:t>Lowe et al. 2009, p.90, 85</w:t>
            </w:r>
            <w:r w:rsidRPr="00AD22FD">
              <w:rPr>
                <w:rFonts w:ascii="Times New Roman" w:hAnsi="Times New Roman"/>
                <w:bCs/>
                <w:sz w:val="14"/>
                <w:szCs w:val="14"/>
              </w:rPr>
              <w:t xml:space="preserve">), namely through the review of decisions in light of observations of SLR, new knowledge, and updated </w:t>
            </w:r>
            <w:r w:rsidRPr="00AD22FD">
              <w:rPr>
                <w:rFonts w:ascii="Times New Roman" w:hAnsi="Times New Roman"/>
                <w:bCs/>
                <w:sz w:val="14"/>
                <w:szCs w:val="14"/>
              </w:rPr>
              <w:lastRenderedPageBreak/>
              <w:t>projections (</w:t>
            </w:r>
            <w:r w:rsidRPr="00AD22FD">
              <w:rPr>
                <w:rFonts w:ascii="Times New Roman" w:hAnsi="Times New Roman"/>
                <w:bCs/>
                <w:color w:val="7F7F7F" w:themeColor="text1" w:themeTint="80"/>
                <w:sz w:val="14"/>
                <w:szCs w:val="14"/>
              </w:rPr>
              <w:t>Reeder and Ranger 2011, p.10</w:t>
            </w:r>
            <w:r w:rsidRPr="00AD22FD">
              <w:rPr>
                <w:rFonts w:ascii="Times New Roman" w:hAnsi="Times New Roman"/>
                <w:bCs/>
                <w:sz w:val="14"/>
                <w:szCs w:val="14"/>
              </w:rPr>
              <w:t>).</w:t>
            </w:r>
            <w:r w:rsidRPr="00AD22FD">
              <w:rPr>
                <w:rFonts w:ascii="Times New Roman" w:hAnsi="Times New Roman"/>
                <w:bCs/>
                <w:sz w:val="14"/>
                <w:szCs w:val="14"/>
                <w:vertAlign w:val="superscript"/>
              </w:rPr>
              <w:footnoteReference w:id="26"/>
            </w:r>
            <w:r w:rsidRPr="00AD22FD">
              <w:rPr>
                <w:rFonts w:ascii="Times New Roman" w:hAnsi="Times New Roman"/>
                <w:bCs/>
                <w:sz w:val="14"/>
                <w:szCs w:val="14"/>
              </w:rPr>
              <w:t xml:space="preserve"> It is, therefore, essential to monitor how the TE and flood risk are changing (which requires measuring local changes in key-variables / indicators), but also ensure that </w:t>
            </w:r>
            <w:r w:rsidRPr="00AD22FD">
              <w:rPr>
                <w:rFonts w:ascii="Times New Roman" w:hAnsi="Times New Roman"/>
                <w:bCs/>
                <w:i/>
                <w:iCs/>
                <w:sz w:val="14"/>
                <w:szCs w:val="14"/>
              </w:rPr>
              <w:t>‘the Plan is regularly reviewed</w:t>
            </w:r>
            <w:r w:rsidRPr="00AD22FD">
              <w:rPr>
                <w:rFonts w:ascii="Times New Roman" w:hAnsi="Times New Roman"/>
                <w:bCs/>
                <w:sz w:val="14"/>
                <w:szCs w:val="14"/>
              </w:rPr>
              <w:t>’ (which implies keeping track of global changes, namely CC, its effects, their</w:t>
            </w:r>
            <w:r w:rsidRPr="00AD22FD">
              <w:rPr>
                <w:rFonts w:ascii="Times New Roman" w:hAnsi="Times New Roman"/>
                <w:bCs/>
                <w:color w:val="00B050"/>
                <w:sz w:val="14"/>
                <w:szCs w:val="14"/>
              </w:rPr>
              <w:t xml:space="preserve"> </w:t>
            </w:r>
            <w:r w:rsidRPr="00AD22FD">
              <w:rPr>
                <w:rFonts w:ascii="Times New Roman" w:hAnsi="Times New Roman"/>
                <w:bCs/>
                <w:sz w:val="14"/>
                <w:szCs w:val="14"/>
              </w:rPr>
              <w:t>rate and progress, and updated future projections) (</w:t>
            </w:r>
            <w:r w:rsidR="00F77E53" w:rsidRPr="00AD22FD">
              <w:rPr>
                <w:rFonts w:ascii="Times New Roman" w:hAnsi="Times New Roman"/>
                <w:bCs/>
                <w:color w:val="7F7F7F" w:themeColor="text1" w:themeTint="80"/>
                <w:sz w:val="14"/>
                <w:szCs w:val="14"/>
              </w:rPr>
              <w:t>EA 2009b</w:t>
            </w:r>
            <w:r w:rsidRPr="00AD22FD">
              <w:rPr>
                <w:rFonts w:ascii="Times New Roman" w:hAnsi="Times New Roman"/>
                <w:bCs/>
                <w:color w:val="7F7F7F" w:themeColor="text1" w:themeTint="80"/>
                <w:sz w:val="14"/>
                <w:szCs w:val="14"/>
              </w:rPr>
              <w:t xml:space="preserve">, p.3, 4, 10; </w:t>
            </w:r>
            <w:r w:rsidRPr="00AD22FD">
              <w:rPr>
                <w:rFonts w:ascii="Times New Roman" w:eastAsia="Frutiger-Roman" w:hAnsi="Times New Roman"/>
                <w:bCs/>
                <w:color w:val="7F7F7F" w:themeColor="text1" w:themeTint="80"/>
                <w:sz w:val="14"/>
                <w:szCs w:val="14"/>
              </w:rPr>
              <w:t>Lowe et al. 2009, p.90</w:t>
            </w:r>
            <w:r w:rsidRPr="00AD22FD">
              <w:rPr>
                <w:rFonts w:ascii="Times New Roman" w:hAnsi="Times New Roman"/>
                <w:bCs/>
                <w:sz w:val="14"/>
                <w:szCs w:val="14"/>
              </w:rPr>
              <w:t>).</w:t>
            </w:r>
            <w:r w:rsidRPr="00AD22FD">
              <w:rPr>
                <w:rFonts w:ascii="Times New Roman" w:eastAsiaTheme="minorHAnsi" w:hAnsi="Times New Roman"/>
                <w:bCs/>
                <w:sz w:val="14"/>
                <w:szCs w:val="14"/>
                <w:lang w:eastAsia="en-US"/>
              </w:rPr>
              <w:t xml:space="preserve"> </w:t>
            </w:r>
            <w:r w:rsidRPr="00AD22FD">
              <w:rPr>
                <w:rFonts w:ascii="Times New Roman" w:hAnsi="Times New Roman"/>
                <w:bCs/>
                <w:sz w:val="14"/>
                <w:szCs w:val="14"/>
              </w:rPr>
              <w:t>Overall, the TE2100’s success depends on ‘</w:t>
            </w:r>
            <w:r w:rsidRPr="00AD22FD">
              <w:rPr>
                <w:rFonts w:ascii="Times New Roman" w:hAnsi="Times New Roman"/>
                <w:bCs/>
                <w:i/>
                <w:iCs/>
                <w:sz w:val="14"/>
                <w:szCs w:val="14"/>
              </w:rPr>
              <w:t>monitoring and adjusting as the century progresses</w:t>
            </w:r>
            <w:r w:rsidRPr="00AD22FD">
              <w:rPr>
                <w:rFonts w:ascii="Times New Roman" w:hAnsi="Times New Roman"/>
                <w:bCs/>
                <w:sz w:val="14"/>
                <w:szCs w:val="14"/>
              </w:rPr>
              <w:t>’ (</w:t>
            </w:r>
            <w:r w:rsidRPr="00AD22FD">
              <w:rPr>
                <w:rFonts w:ascii="Times New Roman" w:eastAsia="Frutiger-Roman" w:hAnsi="Times New Roman"/>
                <w:bCs/>
                <w:color w:val="7F7F7F" w:themeColor="text1" w:themeTint="80"/>
                <w:sz w:val="14"/>
                <w:szCs w:val="14"/>
              </w:rPr>
              <w:t>Lowe et al. 2009, p.85</w:t>
            </w:r>
            <w:r w:rsidRPr="00AD22FD">
              <w:rPr>
                <w:rFonts w:ascii="Times New Roman" w:eastAsia="Frutiger-Roman" w:hAnsi="Times New Roman"/>
                <w:bCs/>
                <w:sz w:val="14"/>
                <w:szCs w:val="14"/>
              </w:rPr>
              <w:t>), or, more precisely, ‘</w:t>
            </w:r>
            <w:r w:rsidRPr="00AD22FD">
              <w:rPr>
                <w:rFonts w:ascii="Times New Roman" w:eastAsia="Frutiger-Roman" w:hAnsi="Times New Roman"/>
                <w:bCs/>
                <w:i/>
                <w:iCs/>
                <w:sz w:val="14"/>
                <w:szCs w:val="14"/>
              </w:rPr>
              <w:t>monitoring and adapting to changes</w:t>
            </w:r>
            <w:r w:rsidRPr="00AD22FD">
              <w:rPr>
                <w:rFonts w:ascii="Times New Roman" w:eastAsia="Frutiger-Roman" w:hAnsi="Times New Roman"/>
                <w:bCs/>
                <w:sz w:val="14"/>
                <w:szCs w:val="14"/>
              </w:rPr>
              <w:t>’ (</w:t>
            </w:r>
            <w:r w:rsidRPr="00AD22FD">
              <w:rPr>
                <w:rFonts w:ascii="Times New Roman" w:eastAsia="Frutiger-Roman" w:hAnsi="Times New Roman"/>
                <w:bCs/>
                <w:color w:val="7F7F7F" w:themeColor="text1" w:themeTint="80"/>
                <w:sz w:val="14"/>
                <w:szCs w:val="14"/>
              </w:rPr>
              <w:t>Met Office 2012, p.2</w:t>
            </w:r>
            <w:r w:rsidRPr="00AD22FD">
              <w:rPr>
                <w:rFonts w:ascii="Times New Roman" w:eastAsia="Frutiger-Roman" w:hAnsi="Times New Roman"/>
                <w:bCs/>
                <w:sz w:val="14"/>
                <w:szCs w:val="14"/>
              </w:rPr>
              <w:t xml:space="preserve">), </w:t>
            </w:r>
            <w:r w:rsidRPr="00AD22FD">
              <w:rPr>
                <w:rFonts w:ascii="Times New Roman" w:hAnsi="Times New Roman"/>
                <w:bCs/>
                <w:sz w:val="14"/>
                <w:szCs w:val="14"/>
              </w:rPr>
              <w:t>i.e</w:t>
            </w:r>
            <w:r w:rsidRPr="00AD22FD">
              <w:rPr>
                <w:rFonts w:ascii="Times New Roman" w:hAnsi="Times New Roman"/>
                <w:bCs/>
                <w:color w:val="C00000"/>
                <w:sz w:val="14"/>
                <w:szCs w:val="14"/>
              </w:rPr>
              <w:t xml:space="preserve">. </w:t>
            </w:r>
            <w:r w:rsidRPr="00AD22FD">
              <w:rPr>
                <w:rFonts w:ascii="Times New Roman" w:hAnsi="Times New Roman"/>
                <w:bCs/>
                <w:sz w:val="14"/>
                <w:szCs w:val="14"/>
              </w:rPr>
              <w:t>adapting the Plan and the physical system.</w:t>
            </w:r>
          </w:p>
          <w:p w14:paraId="0FAF4A26" w14:textId="0C56C29F"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The Plan was designed to be </w:t>
            </w:r>
            <w:r w:rsidRPr="00AD22FD">
              <w:rPr>
                <w:rFonts w:ascii="Times New Roman" w:hAnsi="Times New Roman" w:cs="Times New Roman"/>
                <w:i/>
                <w:sz w:val="14"/>
                <w:szCs w:val="14"/>
              </w:rPr>
              <w:t xml:space="preserve">adaptable to change and remain fit for purpose throughout its </w:t>
            </w:r>
            <w:proofErr w:type="gramStart"/>
            <w:r w:rsidRPr="00AD22FD">
              <w:rPr>
                <w:rFonts w:ascii="Times New Roman" w:hAnsi="Times New Roman" w:cs="Times New Roman"/>
                <w:i/>
                <w:sz w:val="14"/>
                <w:szCs w:val="14"/>
              </w:rPr>
              <w:t>100 year</w:t>
            </w:r>
            <w:proofErr w:type="gramEnd"/>
            <w:r w:rsidRPr="00AD22FD">
              <w:rPr>
                <w:rFonts w:ascii="Times New Roman" w:hAnsi="Times New Roman" w:cs="Times New Roman"/>
                <w:i/>
                <w:sz w:val="14"/>
                <w:szCs w:val="14"/>
              </w:rPr>
              <w:t xml:space="preserve"> life </w:t>
            </w:r>
            <w:r w:rsidRPr="00AD22FD">
              <w:rPr>
                <w:rFonts w:ascii="Times New Roman" w:eastAsia="Calibri" w:hAnsi="Times New Roman" w:cs="Times New Roman"/>
                <w:sz w:val="14"/>
                <w:szCs w:val="14"/>
              </w:rPr>
              <w:t>(</w:t>
            </w:r>
            <w:r w:rsidRPr="00AD22FD">
              <w:rPr>
                <w:rFonts w:ascii="Times New Roman" w:eastAsia="Calibri" w:hAnsi="Times New Roman" w:cs="Times New Roman"/>
                <w:color w:val="7F7F7F" w:themeColor="text1" w:themeTint="80"/>
                <w:sz w:val="14"/>
                <w:szCs w:val="14"/>
              </w:rPr>
              <w:t xml:space="preserve">EA 2012, p.36; </w:t>
            </w:r>
            <w:r w:rsidR="00F77E53" w:rsidRPr="00AD22FD">
              <w:rPr>
                <w:rFonts w:ascii="Times New Roman" w:eastAsia="Calibri" w:hAnsi="Times New Roman" w:cs="Times New Roman"/>
                <w:color w:val="7F7F7F" w:themeColor="text1" w:themeTint="80"/>
                <w:sz w:val="14"/>
                <w:szCs w:val="14"/>
              </w:rPr>
              <w:t>EA 2009A</w:t>
            </w:r>
            <w:r w:rsidRPr="00AD22FD">
              <w:rPr>
                <w:rFonts w:ascii="Times New Roman" w:eastAsia="Calibri" w:hAnsi="Times New Roman" w:cs="Times New Roman"/>
                <w:color w:val="7F7F7F" w:themeColor="text1" w:themeTint="80"/>
                <w:sz w:val="14"/>
                <w:szCs w:val="14"/>
              </w:rPr>
              <w:t xml:space="preserve">, </w:t>
            </w:r>
            <w:proofErr w:type="spellStart"/>
            <w:r w:rsidRPr="00AD22FD">
              <w:rPr>
                <w:rFonts w:ascii="Times New Roman" w:eastAsia="Calibri" w:hAnsi="Times New Roman" w:cs="Times New Roman"/>
                <w:color w:val="7F7F7F" w:themeColor="text1" w:themeTint="80"/>
                <w:sz w:val="14"/>
                <w:szCs w:val="14"/>
              </w:rPr>
              <w:t>p.xv</w:t>
            </w:r>
            <w:proofErr w:type="spellEnd"/>
            <w:r w:rsidRPr="00AD22FD">
              <w:rPr>
                <w:rFonts w:ascii="Times New Roman" w:hAnsi="Times New Roman" w:cs="Times New Roman"/>
                <w:sz w:val="14"/>
                <w:szCs w:val="14"/>
              </w:rPr>
              <w:t>)</w:t>
            </w:r>
            <w:r w:rsidRPr="00AD22FD">
              <w:rPr>
                <w:rStyle w:val="Refdenotaderodap"/>
                <w:rFonts w:ascii="Times New Roman" w:hAnsi="Times New Roman" w:cs="Times New Roman"/>
                <w:sz w:val="14"/>
                <w:szCs w:val="14"/>
              </w:rPr>
              <w:footnoteReference w:id="27"/>
            </w:r>
            <w:r w:rsidRPr="00AD22FD">
              <w:rPr>
                <w:rFonts w:ascii="Times New Roman" w:hAnsi="Times New Roman" w:cs="Times New Roman"/>
                <w:sz w:val="14"/>
                <w:szCs w:val="14"/>
              </w:rPr>
              <w:t>; in particular, it should be adjustable (and respond) to possible changes in any indicator or updated projections (</w:t>
            </w:r>
            <w:r w:rsidRPr="00AD22FD">
              <w:rPr>
                <w:rFonts w:ascii="Times New Roman" w:hAnsi="Times New Roman" w:cs="Times New Roman"/>
                <w:color w:val="7F7F7F" w:themeColor="text1" w:themeTint="80"/>
                <w:sz w:val="14"/>
                <w:szCs w:val="14"/>
              </w:rPr>
              <w:t>Ranger et al. 2013, 254-255</w:t>
            </w:r>
            <w:r w:rsidRPr="00AD22FD">
              <w:rPr>
                <w:rFonts w:ascii="Times New Roman" w:hAnsi="Times New Roman" w:cs="Times New Roman"/>
                <w:sz w:val="14"/>
                <w:szCs w:val="14"/>
              </w:rPr>
              <w:t xml:space="preserve">) (see </w:t>
            </w:r>
            <w:r w:rsidRPr="00AD22FD">
              <w:rPr>
                <w:rFonts w:ascii="Times New Roman" w:hAnsi="Times New Roman" w:cs="Times New Roman"/>
                <w:i/>
                <w:sz w:val="14"/>
                <w:szCs w:val="14"/>
              </w:rPr>
              <w:t>decision-points</w:t>
            </w:r>
            <w:r w:rsidRPr="00AD22FD">
              <w:rPr>
                <w:rFonts w:ascii="Times New Roman" w:hAnsi="Times New Roman" w:cs="Times New Roman"/>
                <w:sz w:val="14"/>
                <w:szCs w:val="14"/>
              </w:rPr>
              <w:t>). The key-</w:t>
            </w:r>
            <w:r w:rsidRPr="00AD22FD">
              <w:rPr>
                <w:rFonts w:ascii="Times New Roman" w:eastAsia="Calibri" w:hAnsi="Times New Roman" w:cs="Times New Roman"/>
                <w:sz w:val="14"/>
                <w:szCs w:val="14"/>
              </w:rPr>
              <w:t xml:space="preserve">indicators must be monitored throughout the Plan’s life, and the regular reviews (re-appraisal of the Plan) must be carried out (based on monitoring outputs), to ensure that the Plan </w:t>
            </w:r>
            <w:r w:rsidRPr="00AD22FD">
              <w:rPr>
                <w:rFonts w:ascii="Times New Roman" w:hAnsi="Times New Roman" w:cs="Times New Roman"/>
                <w:sz w:val="14"/>
                <w:szCs w:val="14"/>
              </w:rPr>
              <w:t xml:space="preserve">remains </w:t>
            </w:r>
            <w:r w:rsidRPr="00AD22FD">
              <w:rPr>
                <w:rFonts w:ascii="Times New Roman" w:hAnsi="Times New Roman" w:cs="Times New Roman"/>
                <w:i/>
                <w:sz w:val="14"/>
                <w:szCs w:val="14"/>
              </w:rPr>
              <w:t>adaptable</w:t>
            </w:r>
            <w:r w:rsidRPr="00AD22FD">
              <w:rPr>
                <w:rFonts w:ascii="Times New Roman" w:hAnsi="Times New Roman" w:cs="Times New Roman"/>
                <w:sz w:val="14"/>
                <w:szCs w:val="14"/>
              </w:rPr>
              <w:t xml:space="preserve"> and </w:t>
            </w:r>
            <w:r w:rsidRPr="00AD22FD">
              <w:rPr>
                <w:rFonts w:ascii="Times New Roman" w:hAnsi="Times New Roman" w:cs="Times New Roman"/>
                <w:i/>
                <w:sz w:val="14"/>
                <w:szCs w:val="14"/>
              </w:rPr>
              <w:t>fit for purpose</w:t>
            </w:r>
            <w:r w:rsidRPr="00AD22FD">
              <w:rPr>
                <w:rFonts w:ascii="Times New Roman" w:eastAsia="Calibri" w:hAnsi="Times New Roman" w:cs="Times New Roman"/>
                <w:sz w:val="14"/>
                <w:szCs w:val="14"/>
              </w:rPr>
              <w:t xml:space="preserve"> (thus, that it responds adequately to changes) (</w:t>
            </w:r>
            <w:r w:rsidRPr="00AD22FD">
              <w:rPr>
                <w:rFonts w:ascii="Times New Roman" w:eastAsia="Calibri" w:hAnsi="Times New Roman" w:cs="Times New Roman"/>
                <w:color w:val="7F7F7F" w:themeColor="text1" w:themeTint="80"/>
                <w:sz w:val="14"/>
                <w:szCs w:val="14"/>
              </w:rPr>
              <w:t>EA 2012, p.36, 38, 39</w:t>
            </w:r>
            <w:r w:rsidRPr="00AD22FD">
              <w:rPr>
                <w:rFonts w:ascii="Times New Roman" w:eastAsia="Calibri" w:hAnsi="Times New Roman" w:cs="Times New Roman"/>
                <w:sz w:val="14"/>
                <w:szCs w:val="14"/>
              </w:rPr>
              <w:t>;</w:t>
            </w:r>
            <w:r w:rsidRPr="00AD22FD">
              <w:rPr>
                <w:rFonts w:ascii="Times New Roman" w:eastAsia="Calibri" w:hAnsi="Times New Roman" w:cs="Times New Roman"/>
                <w:color w:val="7F7F7F" w:themeColor="text1" w:themeTint="80"/>
                <w:sz w:val="14"/>
                <w:szCs w:val="14"/>
              </w:rPr>
              <w:t xml:space="preserve"> </w:t>
            </w:r>
            <w:r w:rsidRPr="00AD22FD">
              <w:rPr>
                <w:rFonts w:ascii="Times New Roman" w:hAnsi="Times New Roman" w:cs="Times New Roman"/>
                <w:color w:val="7F7F7F" w:themeColor="text1" w:themeTint="80"/>
                <w:sz w:val="14"/>
                <w:szCs w:val="14"/>
              </w:rPr>
              <w:t>EA 2016</w:t>
            </w:r>
            <w:r w:rsidRPr="00AD22FD">
              <w:rPr>
                <w:rFonts w:ascii="Times New Roman" w:hAnsi="Times New Roman" w:cs="Times New Roman"/>
                <w:sz w:val="14"/>
                <w:szCs w:val="14"/>
              </w:rPr>
              <w:t>).</w:t>
            </w:r>
          </w:p>
          <w:p w14:paraId="52BC4183" w14:textId="70BD9CAF"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There are various ways to respond to changes, as these are monitored, or each time the TE2100 Plan is reviewed or updated (</w:t>
            </w:r>
            <w:r w:rsidRPr="00AD22FD">
              <w:rPr>
                <w:rFonts w:ascii="Times New Roman" w:hAnsi="Times New Roman" w:cs="Times New Roman"/>
                <w:color w:val="7F7F7F" w:themeColor="text1" w:themeTint="80"/>
                <w:sz w:val="14"/>
                <w:szCs w:val="14"/>
              </w:rPr>
              <w:t>EA 2012, p.39</w:t>
            </w:r>
            <w:r w:rsidRPr="00AD22FD">
              <w:rPr>
                <w:rFonts w:ascii="Times New Roman" w:hAnsi="Times New Roman" w:cs="Times New Roman"/>
                <w:sz w:val="14"/>
                <w:szCs w:val="14"/>
              </w:rPr>
              <w:t xml:space="preserve">), e.g. by adjusting the date of </w:t>
            </w:r>
            <w:r w:rsidRPr="00AD22FD">
              <w:rPr>
                <w:rFonts w:ascii="Times New Roman" w:hAnsi="Times New Roman" w:cs="Times New Roman"/>
                <w:i/>
                <w:iCs w:val="0"/>
                <w:sz w:val="14"/>
                <w:szCs w:val="14"/>
              </w:rPr>
              <w:t>implementation-points</w:t>
            </w:r>
            <w:r w:rsidRPr="00AD22FD">
              <w:rPr>
                <w:rFonts w:ascii="Times New Roman" w:hAnsi="Times New Roman" w:cs="Times New Roman"/>
                <w:sz w:val="14"/>
                <w:szCs w:val="14"/>
              </w:rPr>
              <w:t xml:space="preserve"> and </w:t>
            </w:r>
            <w:r w:rsidRPr="00AD22FD">
              <w:rPr>
                <w:rFonts w:ascii="Times New Roman" w:hAnsi="Times New Roman" w:cs="Times New Roman"/>
                <w:i/>
                <w:iCs w:val="0"/>
                <w:sz w:val="14"/>
                <w:szCs w:val="14"/>
              </w:rPr>
              <w:t>decision-points</w:t>
            </w:r>
            <w:r w:rsidRPr="00AD22FD">
              <w:rPr>
                <w:rFonts w:ascii="Times New Roman" w:hAnsi="Times New Roman" w:cs="Times New Roman"/>
                <w:sz w:val="14"/>
                <w:szCs w:val="14"/>
              </w:rPr>
              <w:t xml:space="preserve"> of measures, or by shifting of measure (or pathway), or altering (changing) the measures themselves.</w:t>
            </w:r>
          </w:p>
          <w:p w14:paraId="1B2A10CA" w14:textId="38161C5F"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The monitoring, and the periodic review of the Plan, allow for assessing if an eventual change (switch) of, measure or route (pathway), or anticipation / postponing of actions, will be needed (</w:t>
            </w:r>
            <w:r w:rsidRPr="00AD22FD">
              <w:rPr>
                <w:rFonts w:ascii="Times New Roman" w:hAnsi="Times New Roman" w:cs="Times New Roman"/>
                <w:color w:val="7F7F7F" w:themeColor="text1" w:themeTint="80"/>
                <w:sz w:val="14"/>
                <w:szCs w:val="14"/>
              </w:rPr>
              <w:t>Reeder and Ranger 2011, p.6; HM Treasury 2009, p.27-28</w:t>
            </w:r>
            <w:r w:rsidRPr="00AD22FD">
              <w:rPr>
                <w:rFonts w:ascii="Times New Roman" w:hAnsi="Times New Roman" w:cs="Times New Roman"/>
                <w:sz w:val="14"/>
                <w:szCs w:val="14"/>
              </w:rPr>
              <w:t>).</w:t>
            </w:r>
            <w:r w:rsidRPr="00AD22FD">
              <w:rPr>
                <w:rStyle w:val="Refdenotaderodap"/>
                <w:rFonts w:ascii="Times New Roman" w:hAnsi="Times New Roman" w:cs="Times New Roman"/>
                <w:sz w:val="14"/>
                <w:szCs w:val="14"/>
              </w:rPr>
              <w:footnoteReference w:id="28"/>
            </w:r>
            <w:r w:rsidRPr="00AD22FD">
              <w:rPr>
                <w:rFonts w:ascii="Times New Roman" w:hAnsi="Times New Roman" w:cs="Times New Roman"/>
                <w:sz w:val="14"/>
                <w:szCs w:val="14"/>
              </w:rPr>
              <w:t xml:space="preserve"> Based on the observed and projected changes in the key-indicators, decisions will need to be taken on accelerating / decelerating the elements of the Plan (namely the actions, Options, decision-points) (</w:t>
            </w:r>
            <w:r w:rsidRPr="00AD22FD">
              <w:rPr>
                <w:rFonts w:ascii="Times New Roman" w:hAnsi="Times New Roman" w:cs="Times New Roman"/>
                <w:color w:val="7F7F7F" w:themeColor="text1" w:themeTint="80"/>
                <w:sz w:val="14"/>
                <w:szCs w:val="14"/>
              </w:rPr>
              <w:t>Ranger et al. 2013, p.243</w:t>
            </w:r>
            <w:r w:rsidRPr="00AD22FD">
              <w:rPr>
                <w:rFonts w:ascii="Times New Roman" w:hAnsi="Times New Roman" w:cs="Times New Roman"/>
                <w:sz w:val="14"/>
                <w:szCs w:val="14"/>
              </w:rPr>
              <w:t>), e.g. a higher rate of SLR may require accelerating measures, or high rates of erosion in the existing defences could accelerate the need to upgrade defences (</w:t>
            </w:r>
            <w:r w:rsidRPr="00AD22FD">
              <w:rPr>
                <w:rFonts w:ascii="Times New Roman" w:hAnsi="Times New Roman" w:cs="Times New Roman"/>
                <w:color w:val="7F7F7F" w:themeColor="text1" w:themeTint="80"/>
                <w:sz w:val="14"/>
                <w:szCs w:val="14"/>
              </w:rPr>
              <w:t>Reeder and Ranger 2011, p.6</w:t>
            </w:r>
            <w:r w:rsidRPr="00AD22FD">
              <w:rPr>
                <w:rFonts w:ascii="Times New Roman" w:hAnsi="Times New Roman" w:cs="Times New Roman"/>
                <w:sz w:val="14"/>
                <w:szCs w:val="14"/>
              </w:rPr>
              <w:t xml:space="preserve">). In the Plan’s reviews, it is also necessary to evaluate if the recommended </w:t>
            </w:r>
            <w:r w:rsidRPr="00AD22FD">
              <w:rPr>
                <w:rFonts w:ascii="Times New Roman" w:hAnsi="Times New Roman" w:cs="Times New Roman"/>
                <w:i/>
                <w:iCs w:val="0"/>
                <w:sz w:val="14"/>
                <w:szCs w:val="14"/>
              </w:rPr>
              <w:t>Option</w:t>
            </w:r>
            <w:r w:rsidRPr="00AD22FD">
              <w:rPr>
                <w:rFonts w:ascii="Times New Roman" w:hAnsi="Times New Roman" w:cs="Times New Roman"/>
                <w:sz w:val="14"/>
                <w:szCs w:val="14"/>
              </w:rPr>
              <w:t xml:space="preserve"> (pathway), and its measures, still provide the ‘highest cost-benefit ratio’ under the then-predicted as the ‘most likely’ scenario</w:t>
            </w:r>
            <w:r w:rsidRPr="00AD22FD">
              <w:rPr>
                <w:rFonts w:ascii="Times New Roman" w:hAnsi="Times New Roman" w:cs="Times New Roman"/>
                <w:color w:val="C00000"/>
                <w:sz w:val="14"/>
                <w:szCs w:val="14"/>
              </w:rPr>
              <w:t xml:space="preserve"> </w:t>
            </w:r>
            <w:r w:rsidRPr="00AD22FD">
              <w:rPr>
                <w:rFonts w:ascii="Times New Roman" w:hAnsi="Times New Roman" w:cs="Times New Roman"/>
                <w:sz w:val="14"/>
                <w:szCs w:val="14"/>
              </w:rPr>
              <w:t>(</w:t>
            </w:r>
            <w:r w:rsidRPr="00AD22FD">
              <w:rPr>
                <w:rFonts w:ascii="Times New Roman" w:hAnsi="Times New Roman" w:cs="Times New Roman"/>
                <w:color w:val="7F7F7F" w:themeColor="text1" w:themeTint="80"/>
                <w:sz w:val="14"/>
                <w:szCs w:val="14"/>
              </w:rPr>
              <w:t>HM Treasury 2009, p.28</w:t>
            </w:r>
            <w:r w:rsidRPr="00AD22FD">
              <w:rPr>
                <w:rFonts w:ascii="Times New Roman" w:hAnsi="Times New Roman" w:cs="Times New Roman"/>
                <w:sz w:val="14"/>
                <w:szCs w:val="14"/>
              </w:rPr>
              <w:t>).</w:t>
            </w:r>
          </w:p>
          <w:p w14:paraId="37D2D2D3" w14:textId="2705440B"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The Options ranking</w:t>
            </w:r>
            <w:r w:rsidRPr="00AD22FD">
              <w:rPr>
                <w:rFonts w:ascii="Times New Roman" w:hAnsi="Times New Roman" w:cs="Times New Roman"/>
                <w:i/>
                <w:sz w:val="14"/>
                <w:szCs w:val="14"/>
              </w:rPr>
              <w:t xml:space="preserve"> will need to be kept under review as part of regular monitoring and periodic planned revision of the TE2100 Plan</w:t>
            </w:r>
            <w:r w:rsidRPr="00AD22FD">
              <w:rPr>
                <w:rFonts w:ascii="Times New Roman" w:hAnsi="Times New Roman" w:cs="Times New Roman"/>
                <w:i/>
                <w:iCs w:val="0"/>
                <w:sz w:val="14"/>
                <w:szCs w:val="14"/>
              </w:rPr>
              <w:t xml:space="preserve"> </w:t>
            </w:r>
            <w:r w:rsidRPr="00AD22FD">
              <w:rPr>
                <w:rFonts w:ascii="Times New Roman" w:hAnsi="Times New Roman" w:cs="Times New Roman"/>
                <w:sz w:val="14"/>
                <w:szCs w:val="14"/>
              </w:rPr>
              <w:t>(</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p.232</w:t>
            </w:r>
            <w:r w:rsidRPr="00AD22FD">
              <w:rPr>
                <w:rFonts w:ascii="Times New Roman" w:hAnsi="Times New Roman" w:cs="Times New Roman"/>
                <w:sz w:val="14"/>
                <w:szCs w:val="14"/>
              </w:rPr>
              <w:t>). The design standards of protection for flood defences, Policy level, or floodplain management activities, will need to be monitored over time and revisited as part of regular reviews of the TE2100 Plan in the future (</w:t>
            </w:r>
            <w:r w:rsidR="00F77E53" w:rsidRPr="00AD22FD">
              <w:rPr>
                <w:rFonts w:ascii="Times New Roman" w:hAnsi="Times New Roman" w:cs="Times New Roman"/>
                <w:color w:val="7F7F7F" w:themeColor="text1" w:themeTint="80"/>
                <w:sz w:val="14"/>
                <w:szCs w:val="14"/>
              </w:rPr>
              <w:t>EA 2009A</w:t>
            </w:r>
            <w:r w:rsidRPr="00AD22FD">
              <w:rPr>
                <w:rFonts w:ascii="Times New Roman" w:hAnsi="Times New Roman" w:cs="Times New Roman"/>
                <w:color w:val="7F7F7F" w:themeColor="text1" w:themeTint="80"/>
                <w:sz w:val="14"/>
                <w:szCs w:val="14"/>
              </w:rPr>
              <w:t>, p.232</w:t>
            </w:r>
            <w:r w:rsidRPr="00AD22FD">
              <w:rPr>
                <w:rFonts w:ascii="Times New Roman" w:hAnsi="Times New Roman" w:cs="Times New Roman"/>
                <w:sz w:val="14"/>
                <w:szCs w:val="14"/>
              </w:rPr>
              <w:t>).</w:t>
            </w:r>
          </w:p>
        </w:tc>
      </w:tr>
      <w:tr w:rsidR="00C04B00" w:rsidRPr="00AD22FD" w14:paraId="7EAF3A45" w14:textId="77777777" w:rsidTr="001522F8">
        <w:tc>
          <w:tcPr>
            <w:tcW w:w="562" w:type="dxa"/>
          </w:tcPr>
          <w:p w14:paraId="3B57B111" w14:textId="77777777"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lastRenderedPageBreak/>
              <w:t>Implement</w:t>
            </w:r>
          </w:p>
        </w:tc>
        <w:tc>
          <w:tcPr>
            <w:tcW w:w="993" w:type="dxa"/>
          </w:tcPr>
          <w:p w14:paraId="2E30B2DE" w14:textId="17C95442"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 xml:space="preserve">4. Implement the plan – its actions / </w:t>
            </w:r>
            <w:proofErr w:type="spellStart"/>
            <w:r w:rsidRPr="00AD22FD">
              <w:rPr>
                <w:rFonts w:ascii="Times New Roman" w:hAnsi="Times New Roman" w:cs="Times New Roman"/>
                <w:sz w:val="14"/>
                <w:szCs w:val="14"/>
              </w:rPr>
              <w:t>interventons</w:t>
            </w:r>
            <w:proofErr w:type="spellEnd"/>
            <w:r w:rsidRPr="00AD22FD">
              <w:rPr>
                <w:rFonts w:ascii="Times New Roman" w:hAnsi="Times New Roman" w:cs="Times New Roman"/>
                <w:sz w:val="14"/>
                <w:szCs w:val="14"/>
              </w:rPr>
              <w:t xml:space="preserve"> (i.e. the measures envisioned)</w:t>
            </w:r>
          </w:p>
        </w:tc>
        <w:tc>
          <w:tcPr>
            <w:tcW w:w="8363" w:type="dxa"/>
          </w:tcPr>
          <w:p w14:paraId="1D4AB263" w14:textId="6FE4EAE8"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The final TE2100 Plan was published in November 2012 (</w:t>
            </w:r>
            <w:r w:rsidRPr="00AD22FD">
              <w:rPr>
                <w:rFonts w:ascii="Times New Roman" w:hAnsi="Times New Roman" w:cs="Times New Roman"/>
                <w:color w:val="7F7F7F" w:themeColor="text1" w:themeTint="80"/>
                <w:sz w:val="14"/>
                <w:szCs w:val="14"/>
              </w:rPr>
              <w:t>Ranger et al. 2013; EA 2016; Ramsbottom and Sheppard 2017, p.14</w:t>
            </w:r>
            <w:r w:rsidRPr="00AD22FD">
              <w:rPr>
                <w:rFonts w:ascii="Times New Roman" w:hAnsi="Times New Roman" w:cs="Times New Roman"/>
                <w:sz w:val="14"/>
                <w:szCs w:val="14"/>
              </w:rPr>
              <w:t>)</w:t>
            </w:r>
            <w:r w:rsidR="004D3B3E" w:rsidRPr="00AD22FD">
              <w:rPr>
                <w:rFonts w:ascii="Times New Roman" w:hAnsi="Times New Roman" w:cs="Times New Roman"/>
                <w:sz w:val="14"/>
                <w:szCs w:val="14"/>
              </w:rPr>
              <w:t>.</w:t>
            </w:r>
            <w:r w:rsidRPr="00AD22FD">
              <w:rPr>
                <w:rFonts w:ascii="Times New Roman" w:hAnsi="Times New Roman" w:cs="Times New Roman"/>
                <w:sz w:val="14"/>
                <w:szCs w:val="14"/>
              </w:rPr>
              <w:t xml:space="preserve"> After the publication, the </w:t>
            </w:r>
            <w:r w:rsidRPr="00AD22FD">
              <w:rPr>
                <w:rFonts w:ascii="Times New Roman" w:hAnsi="Times New Roman" w:cs="Times New Roman"/>
                <w:i/>
                <w:iCs w:val="0"/>
                <w:sz w:val="14"/>
                <w:szCs w:val="14"/>
              </w:rPr>
              <w:t>implementation partners</w:t>
            </w:r>
            <w:r w:rsidRPr="00AD22FD">
              <w:rPr>
                <w:rFonts w:ascii="Times New Roman" w:hAnsi="Times New Roman" w:cs="Times New Roman"/>
                <w:sz w:val="14"/>
                <w:szCs w:val="14"/>
              </w:rPr>
              <w:t xml:space="preserve"> to whom the Plan sets recommendations should deliver their actions, namely local authorities (who have a key role in delivering the recommendations for spatial planning and emergency procedures), Natural England, and English Heritage (</w:t>
            </w:r>
            <w:r w:rsidRPr="00AD22FD">
              <w:rPr>
                <w:rFonts w:ascii="Times New Roman" w:hAnsi="Times New Roman" w:cs="Times New Roman"/>
                <w:color w:val="7F7F7F" w:themeColor="text1" w:themeTint="80"/>
                <w:sz w:val="14"/>
                <w:szCs w:val="14"/>
              </w:rPr>
              <w:t>EA 2012</w:t>
            </w:r>
            <w:r w:rsidRPr="00AD22FD">
              <w:rPr>
                <w:rFonts w:ascii="Times New Roman" w:hAnsi="Times New Roman" w:cs="Times New Roman"/>
                <w:sz w:val="14"/>
                <w:szCs w:val="14"/>
              </w:rPr>
              <w:t xml:space="preserve">). </w:t>
            </w:r>
          </w:p>
          <w:p w14:paraId="55AA3B3B" w14:textId="77777777" w:rsidR="00C04B00" w:rsidRPr="00AD22FD" w:rsidRDefault="00C04B00" w:rsidP="001522F8">
            <w:pPr>
              <w:pStyle w:val="tablecontenttext"/>
              <w:spacing w:line="240" w:lineRule="auto"/>
              <w:jc w:val="both"/>
              <w:rPr>
                <w:rFonts w:ascii="Times New Roman" w:hAnsi="Times New Roman" w:cs="Times New Roman"/>
                <w:iCs w:val="0"/>
                <w:sz w:val="14"/>
                <w:szCs w:val="14"/>
              </w:rPr>
            </w:pPr>
            <w:r w:rsidRPr="00AD22FD">
              <w:rPr>
                <w:rFonts w:ascii="Times New Roman" w:hAnsi="Times New Roman" w:cs="Times New Roman"/>
                <w:sz w:val="14"/>
                <w:szCs w:val="14"/>
              </w:rPr>
              <w:t>Since the Plan’s publication and approval by the Government, the implementation of recommended actions, and the first scheduled investments and works, began (</w:t>
            </w:r>
            <w:r w:rsidRPr="00AD22FD">
              <w:rPr>
                <w:rFonts w:ascii="Times New Roman" w:hAnsi="Times New Roman" w:cs="Times New Roman"/>
                <w:color w:val="7F7F7F" w:themeColor="text1" w:themeTint="80"/>
                <w:sz w:val="14"/>
                <w:szCs w:val="14"/>
              </w:rPr>
              <w:t>EA 2012, p.41</w:t>
            </w:r>
            <w:r w:rsidRPr="00AD22FD">
              <w:rPr>
                <w:rFonts w:ascii="Times New Roman" w:hAnsi="Times New Roman" w:cs="Times New Roman"/>
                <w:sz w:val="14"/>
                <w:szCs w:val="14"/>
              </w:rPr>
              <w:t xml:space="preserve">). To streamline the implementation of actions, an organisation called </w:t>
            </w:r>
            <w:r w:rsidRPr="00AD22FD">
              <w:rPr>
                <w:rFonts w:ascii="Times New Roman" w:hAnsi="Times New Roman" w:cs="Times New Roman"/>
                <w:i/>
                <w:sz w:val="14"/>
                <w:szCs w:val="14"/>
              </w:rPr>
              <w:t>TEAM2100</w:t>
            </w:r>
            <w:r w:rsidRPr="00AD22FD">
              <w:rPr>
                <w:rFonts w:ascii="Times New Roman" w:hAnsi="Times New Roman" w:cs="Times New Roman"/>
                <w:sz w:val="14"/>
                <w:szCs w:val="14"/>
              </w:rPr>
              <w:t xml:space="preserve"> (composed by EA staff and consultants) signed a 10-year contract to refurbish, improve and replace flood defences in the TE, namely the TB. </w:t>
            </w:r>
            <w:bookmarkStart w:id="40" w:name="_Hlk25256515"/>
            <w:r w:rsidRPr="00AD22FD">
              <w:rPr>
                <w:rFonts w:ascii="Times New Roman" w:hAnsi="Times New Roman" w:cs="Times New Roman"/>
                <w:sz w:val="14"/>
                <w:szCs w:val="14"/>
              </w:rPr>
              <w:t>Furthermore, new works on port facilities and other urban developments have been built in line with the Plan (</w:t>
            </w:r>
            <w:r w:rsidRPr="00AD22FD">
              <w:rPr>
                <w:rFonts w:ascii="Times New Roman" w:hAnsi="Times New Roman" w:cs="Times New Roman"/>
                <w:color w:val="7F7F7F" w:themeColor="text1" w:themeTint="80"/>
                <w:sz w:val="14"/>
                <w:szCs w:val="14"/>
              </w:rPr>
              <w:t>Ramsbottom and Sheppard 2017, p.12,14-16</w:t>
            </w:r>
            <w:bookmarkEnd w:id="40"/>
            <w:r w:rsidRPr="00AD22FD">
              <w:rPr>
                <w:rFonts w:ascii="Times New Roman" w:hAnsi="Times New Roman" w:cs="Times New Roman"/>
                <w:sz w:val="14"/>
                <w:szCs w:val="14"/>
              </w:rPr>
              <w:t>).</w:t>
            </w:r>
          </w:p>
        </w:tc>
      </w:tr>
      <w:tr w:rsidR="00C04B00" w:rsidRPr="00AD22FD" w14:paraId="140BACA8" w14:textId="77777777" w:rsidTr="001522F8">
        <w:tc>
          <w:tcPr>
            <w:tcW w:w="562" w:type="dxa"/>
          </w:tcPr>
          <w:p w14:paraId="235B623A" w14:textId="77777777"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Monitor, evaluate, and review</w:t>
            </w:r>
          </w:p>
        </w:tc>
        <w:tc>
          <w:tcPr>
            <w:tcW w:w="993" w:type="dxa"/>
          </w:tcPr>
          <w:p w14:paraId="03D419F9" w14:textId="7BB658C6"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5. Ongoing Monitor and evaluate, and review the Plan (feed-back results to steps 1+2)</w:t>
            </w:r>
          </w:p>
          <w:p w14:paraId="7AF52332" w14:textId="77777777" w:rsidR="00C04B00" w:rsidRPr="00AD22FD" w:rsidRDefault="00C04B00" w:rsidP="001522F8">
            <w:pPr>
              <w:pStyle w:val="tablecontenttext"/>
              <w:spacing w:line="240" w:lineRule="auto"/>
              <w:rPr>
                <w:rFonts w:ascii="Times New Roman" w:hAnsi="Times New Roman" w:cs="Times New Roman"/>
                <w:sz w:val="14"/>
                <w:szCs w:val="14"/>
              </w:rPr>
            </w:pPr>
            <w:bookmarkStart w:id="41" w:name="_Toc44341248"/>
            <w:r w:rsidRPr="00AD22FD">
              <w:rPr>
                <w:rFonts w:ascii="Times New Roman" w:hAnsi="Times New Roman" w:cs="Times New Roman"/>
                <w:sz w:val="14"/>
                <w:szCs w:val="14"/>
              </w:rPr>
              <w:t>Carrying the monitoring and review programme</w:t>
            </w:r>
            <w:bookmarkEnd w:id="41"/>
          </w:p>
        </w:tc>
        <w:tc>
          <w:tcPr>
            <w:tcW w:w="8363" w:type="dxa"/>
          </w:tcPr>
          <w:p w14:paraId="295428C8" w14:textId="46116D19" w:rsidR="00C04B00" w:rsidRPr="00AD22FD" w:rsidRDefault="00C04B00" w:rsidP="001522F8">
            <w:pPr>
              <w:pStyle w:val="tablecontenttext"/>
              <w:spacing w:line="240" w:lineRule="auto"/>
              <w:rPr>
                <w:rFonts w:ascii="Times New Roman" w:hAnsi="Times New Roman" w:cs="Times New Roman"/>
                <w:iCs w:val="0"/>
                <w:sz w:val="14"/>
                <w:szCs w:val="14"/>
              </w:rPr>
            </w:pPr>
            <w:r w:rsidRPr="00AD22FD">
              <w:rPr>
                <w:rFonts w:ascii="Times New Roman" w:hAnsi="Times New Roman" w:cs="Times New Roman"/>
                <w:sz w:val="14"/>
                <w:szCs w:val="14"/>
              </w:rPr>
              <w:t>The ongoing monitoring, as well as the regular reviews of the Plan, have been undertaken. T</w:t>
            </w:r>
            <w:r w:rsidRPr="00AD22FD">
              <w:rPr>
                <w:rFonts w:ascii="Times New Roman" w:hAnsi="Times New Roman" w:cs="Times New Roman"/>
                <w:iCs w:val="0"/>
                <w:sz w:val="14"/>
                <w:szCs w:val="14"/>
              </w:rPr>
              <w:t>he Plan has been reviewed at ten-year intervals (at least) against the ten indicators.</w:t>
            </w:r>
          </w:p>
          <w:p w14:paraId="1CAD3EA0" w14:textId="6446FBAB"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The regular monitoring of indicators was initiated in 2012 and has proceeded as required to allow the regular review of the Plan (</w:t>
            </w:r>
            <w:r w:rsidRPr="00AD22FD">
              <w:rPr>
                <w:rFonts w:ascii="Times New Roman" w:hAnsi="Times New Roman" w:cs="Times New Roman"/>
                <w:color w:val="7F7F7F" w:themeColor="text1" w:themeTint="80"/>
                <w:sz w:val="14"/>
                <w:szCs w:val="14"/>
              </w:rPr>
              <w:t>Ramsbottom and Sheppard 2017, p13</w:t>
            </w:r>
            <w:r w:rsidRPr="00AD22FD">
              <w:rPr>
                <w:rFonts w:ascii="Times New Roman" w:hAnsi="Times New Roman" w:cs="Times New Roman"/>
                <w:sz w:val="14"/>
                <w:szCs w:val="14"/>
              </w:rPr>
              <w:t>). The EA, together with the Met Office and others, has conducted the monitoring and review programme</w:t>
            </w:r>
            <w:r w:rsidRPr="00AD22FD">
              <w:rPr>
                <w:rFonts w:ascii="Times New Roman" w:hAnsi="Times New Roman" w:cs="Times New Roman"/>
                <w:color w:val="0070C0"/>
                <w:sz w:val="14"/>
                <w:szCs w:val="14"/>
              </w:rPr>
              <w:t xml:space="preserve"> </w:t>
            </w:r>
            <w:r w:rsidRPr="00AD22FD">
              <w:rPr>
                <w:rFonts w:ascii="Times New Roman" w:hAnsi="Times New Roman" w:cs="Times New Roman"/>
                <w:sz w:val="14"/>
                <w:szCs w:val="14"/>
              </w:rPr>
              <w:t>(</w:t>
            </w:r>
            <w:r w:rsidR="00F77E53" w:rsidRPr="00AD22FD">
              <w:rPr>
                <w:rFonts w:ascii="Times New Roman" w:hAnsi="Times New Roman" w:cs="Times New Roman"/>
                <w:color w:val="7F7F7F" w:themeColor="text1" w:themeTint="80"/>
                <w:sz w:val="14"/>
                <w:szCs w:val="14"/>
              </w:rPr>
              <w:t>EA 2009b</w:t>
            </w:r>
            <w:r w:rsidRPr="00AD22FD">
              <w:rPr>
                <w:rFonts w:ascii="Times New Roman" w:hAnsi="Times New Roman" w:cs="Times New Roman"/>
                <w:color w:val="7F7F7F" w:themeColor="text1" w:themeTint="80"/>
                <w:sz w:val="14"/>
                <w:szCs w:val="14"/>
              </w:rPr>
              <w:t>, p.6; Reeder and Ranger 2011, p.10; Lowe et al. 2009, p.90</w:t>
            </w:r>
            <w:r w:rsidRPr="00AD22FD">
              <w:rPr>
                <w:rFonts w:ascii="Times New Roman" w:hAnsi="Times New Roman" w:cs="Times New Roman"/>
                <w:sz w:val="14"/>
                <w:szCs w:val="14"/>
              </w:rPr>
              <w:t xml:space="preserve">). </w:t>
            </w:r>
          </w:p>
          <w:p w14:paraId="3D483BEB" w14:textId="77777777"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The first 5-year Monitoring-review Report was published in 2016 (</w:t>
            </w:r>
            <w:r w:rsidRPr="00AD22FD">
              <w:rPr>
                <w:rFonts w:ascii="Times New Roman" w:hAnsi="Times New Roman" w:cs="Times New Roman"/>
                <w:color w:val="7F7F7F" w:themeColor="text1" w:themeTint="80"/>
                <w:sz w:val="14"/>
                <w:szCs w:val="14"/>
              </w:rPr>
              <w:t>EA 2016</w:t>
            </w:r>
            <w:r w:rsidRPr="00AD22FD">
              <w:rPr>
                <w:rFonts w:ascii="Times New Roman" w:hAnsi="Times New Roman" w:cs="Times New Roman"/>
                <w:sz w:val="14"/>
                <w:szCs w:val="14"/>
              </w:rPr>
              <w:t>), and, in general, it confirmed that the TE has been changing as expected by the Plan: the changes observed in the indicators, and the future projections, were generally consistent with those expected in the Plan, thus, it was not necessary to modify the content nor the timing of actions; however, some indicators have been refined (</w:t>
            </w:r>
            <w:r w:rsidRPr="00AD22FD">
              <w:rPr>
                <w:rFonts w:ascii="Times New Roman" w:hAnsi="Times New Roman" w:cs="Times New Roman"/>
                <w:color w:val="7F7F7F" w:themeColor="text1" w:themeTint="80"/>
                <w:sz w:val="14"/>
                <w:szCs w:val="14"/>
              </w:rPr>
              <w:t>EA 2016; London Councils 2018; Ramsbottom and Sheppard 2017, p.13-15</w:t>
            </w:r>
            <w:r w:rsidRPr="00AD22FD">
              <w:rPr>
                <w:rFonts w:ascii="Times New Roman" w:hAnsi="Times New Roman" w:cs="Times New Roman"/>
                <w:sz w:val="14"/>
                <w:szCs w:val="14"/>
              </w:rPr>
              <w:t xml:space="preserve">). The </w:t>
            </w:r>
            <w:r w:rsidRPr="00AD22FD">
              <w:rPr>
                <w:rFonts w:ascii="Times New Roman" w:hAnsi="Times New Roman" w:cs="Times New Roman"/>
                <w:i/>
                <w:sz w:val="14"/>
                <w:szCs w:val="14"/>
              </w:rPr>
              <w:t>implementation partners</w:t>
            </w:r>
            <w:r w:rsidRPr="00AD22FD">
              <w:rPr>
                <w:rFonts w:ascii="Times New Roman" w:hAnsi="Times New Roman" w:cs="Times New Roman"/>
                <w:sz w:val="14"/>
                <w:szCs w:val="14"/>
              </w:rPr>
              <w:t xml:space="preserve"> should continue to deliver their actions as planned (</w:t>
            </w:r>
            <w:r w:rsidRPr="00AD22FD">
              <w:rPr>
                <w:rFonts w:ascii="Times New Roman" w:hAnsi="Times New Roman" w:cs="Times New Roman"/>
                <w:color w:val="7F7F7F" w:themeColor="text1" w:themeTint="80"/>
                <w:sz w:val="14"/>
                <w:szCs w:val="14"/>
              </w:rPr>
              <w:t>EA 2016; London Councils 2018</w:t>
            </w:r>
            <w:r w:rsidRPr="00AD22FD">
              <w:rPr>
                <w:rFonts w:ascii="Times New Roman" w:hAnsi="Times New Roman" w:cs="Times New Roman"/>
                <w:sz w:val="14"/>
                <w:szCs w:val="14"/>
              </w:rPr>
              <w:t xml:space="preserve">). </w:t>
            </w:r>
          </w:p>
          <w:p w14:paraId="172F7E44" w14:textId="77777777" w:rsidR="00C04B00" w:rsidRPr="00AD22FD" w:rsidRDefault="00C04B00" w:rsidP="001522F8">
            <w:pPr>
              <w:pStyle w:val="tablecontenttext"/>
              <w:spacing w:line="240" w:lineRule="auto"/>
              <w:rPr>
                <w:rFonts w:ascii="Times New Roman" w:hAnsi="Times New Roman" w:cs="Times New Roman"/>
                <w:sz w:val="14"/>
                <w:szCs w:val="14"/>
              </w:rPr>
            </w:pPr>
            <w:r w:rsidRPr="00AD22FD">
              <w:rPr>
                <w:rFonts w:ascii="Times New Roman" w:hAnsi="Times New Roman" w:cs="Times New Roman"/>
                <w:sz w:val="14"/>
                <w:szCs w:val="14"/>
              </w:rPr>
              <w:t>Importantly, this step may lead back to previous steps (Step 1 or Step 2).</w:t>
            </w:r>
          </w:p>
        </w:tc>
      </w:tr>
    </w:tbl>
    <w:p w14:paraId="3A6BE5F0" w14:textId="71F8DFAD" w:rsidR="0051298E" w:rsidRDefault="006D630A" w:rsidP="0051298E">
      <w:pPr>
        <w:pStyle w:val="TEXTBODY"/>
        <w:spacing w:line="480" w:lineRule="auto"/>
        <w:rPr>
          <w:bCs/>
        </w:rPr>
      </w:pPr>
      <w:r w:rsidRPr="00BA2399">
        <w:rPr>
          <w:noProof/>
        </w:rPr>
        <mc:AlternateContent>
          <mc:Choice Requires="wps">
            <w:drawing>
              <wp:anchor distT="45720" distB="45720" distL="114300" distR="114300" simplePos="0" relativeHeight="252727808" behindDoc="0" locked="0" layoutInCell="1" allowOverlap="1" wp14:anchorId="19D5D891" wp14:editId="266A594A">
                <wp:simplePos x="0" y="0"/>
                <wp:positionH relativeFrom="margin">
                  <wp:posOffset>0</wp:posOffset>
                </wp:positionH>
                <wp:positionV relativeFrom="paragraph">
                  <wp:posOffset>108585</wp:posOffset>
                </wp:positionV>
                <wp:extent cx="6192714" cy="763325"/>
                <wp:effectExtent l="0" t="0" r="0" b="0"/>
                <wp:wrapNone/>
                <wp:docPr id="1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2714" cy="763325"/>
                        </a:xfrm>
                        <a:prstGeom prst="rect">
                          <a:avLst/>
                        </a:prstGeom>
                        <a:solidFill>
                          <a:srgbClr val="FFFFFF"/>
                        </a:solidFill>
                        <a:ln w="9525">
                          <a:noFill/>
                          <a:miter lim="800000"/>
                          <a:headEnd/>
                          <a:tailEnd/>
                        </a:ln>
                      </wps:spPr>
                      <wps:txbx>
                        <w:txbxContent>
                          <w:p w14:paraId="2AF5668E" w14:textId="3DABA39C" w:rsidR="006D630A" w:rsidRPr="007A667E" w:rsidRDefault="006D630A" w:rsidP="006D630A">
                            <w:pPr>
                              <w:pStyle w:val="tablecontenttext"/>
                              <w:spacing w:after="0" w:line="240" w:lineRule="auto"/>
                              <w:jc w:val="center"/>
                              <w:rPr>
                                <w:sz w:val="14"/>
                                <w:szCs w:val="14"/>
                              </w:rPr>
                            </w:pPr>
                            <w:r w:rsidRPr="00006076">
                              <w:rPr>
                                <w:b/>
                                <w:sz w:val="14"/>
                                <w:szCs w:val="14"/>
                              </w:rPr>
                              <w:t xml:space="preserve">Table </w:t>
                            </w:r>
                            <w:r w:rsidR="00AD22FD">
                              <w:rPr>
                                <w:b/>
                                <w:sz w:val="14"/>
                                <w:szCs w:val="14"/>
                              </w:rPr>
                              <w:t>1</w:t>
                            </w:r>
                            <w:r w:rsidRPr="00006076">
                              <w:rPr>
                                <w:b/>
                                <w:sz w:val="14"/>
                                <w:szCs w:val="14"/>
                              </w:rPr>
                              <w:t>.</w:t>
                            </w:r>
                            <w:r w:rsidRPr="00006076">
                              <w:rPr>
                                <w:sz w:val="14"/>
                                <w:szCs w:val="14"/>
                              </w:rPr>
                              <w:t xml:space="preserve"> </w:t>
                            </w:r>
                            <w:r>
                              <w:rPr>
                                <w:sz w:val="14"/>
                                <w:szCs w:val="14"/>
                              </w:rPr>
                              <w:t>Description of the process of development of a robust adaptive plan in the TE2100 case</w:t>
                            </w:r>
                            <w:r w:rsidRPr="00006076">
                              <w:rPr>
                                <w:sz w:val="14"/>
                                <w:szCs w:val="14"/>
                              </w:rPr>
                              <w:t>.</w:t>
                            </w:r>
                            <w:r>
                              <w:rPr>
                                <w:sz w:val="14"/>
                                <w:szCs w:val="14"/>
                              </w:rPr>
                              <w:t xml:space="preserve"> </w:t>
                            </w:r>
                            <w:r w:rsidRPr="006D630A">
                              <w:rPr>
                                <w:color w:val="7F7F7F" w:themeColor="text1" w:themeTint="80"/>
                                <w:sz w:val="14"/>
                                <w:szCs w:val="14"/>
                              </w:rPr>
                              <w:t>Source: own elaboration based on several references</w:t>
                            </w:r>
                            <w:r>
                              <w:rPr>
                                <w:sz w:val="14"/>
                                <w:szCs w:val="14"/>
                              </w:rPr>
                              <w:t xml:space="preserve">.  </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D5D891" id="_x0000_s1027" type="#_x0000_t202" style="position:absolute;left:0;text-align:left;margin-left:0;margin-top:8.55pt;width:487.6pt;height:60.1pt;z-index:252727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" stroked="f">
                <v:textbox inset="0,0,0,0">
                  <w:txbxContent>
                    <w:p w14:paraId="2AF5668E" w14:textId="3DABA39C" w:rsidR="006D630A" w:rsidRPr="007A667E" w:rsidRDefault="006D630A" w:rsidP="006D630A">
                      <w:pPr>
                        <w:pStyle w:val="tablecontenttext"/>
                        <w:spacing w:after="0" w:line="240" w:lineRule="auto"/>
                        <w:jc w:val="center"/>
                        <w:rPr>
                          <w:sz w:val="14"/>
                          <w:szCs w:val="14"/>
                        </w:rPr>
                      </w:pPr>
                      <w:r w:rsidRPr="00006076">
                        <w:rPr>
                          <w:b/>
                          <w:sz w:val="14"/>
                          <w:szCs w:val="14"/>
                        </w:rPr>
                        <w:t xml:space="preserve">Table </w:t>
                      </w:r>
                      <w:r w:rsidR="00AD22FD">
                        <w:rPr>
                          <w:b/>
                          <w:sz w:val="14"/>
                          <w:szCs w:val="14"/>
                        </w:rPr>
                        <w:t>1</w:t>
                      </w:r>
                      <w:r w:rsidRPr="00006076">
                        <w:rPr>
                          <w:b/>
                          <w:sz w:val="14"/>
                          <w:szCs w:val="14"/>
                        </w:rPr>
                        <w:t>.</w:t>
                      </w:r>
                      <w:r w:rsidRPr="00006076">
                        <w:rPr>
                          <w:sz w:val="14"/>
                          <w:szCs w:val="14"/>
                        </w:rPr>
                        <w:t xml:space="preserve"> </w:t>
                      </w:r>
                      <w:r>
                        <w:rPr>
                          <w:sz w:val="14"/>
                          <w:szCs w:val="14"/>
                        </w:rPr>
                        <w:t>Description of the process of development of a robust adaptive plan in the TE2100 case</w:t>
                      </w:r>
                      <w:r w:rsidRPr="00006076">
                        <w:rPr>
                          <w:sz w:val="14"/>
                          <w:szCs w:val="14"/>
                        </w:rPr>
                        <w:t>.</w:t>
                      </w:r>
                      <w:r>
                        <w:rPr>
                          <w:sz w:val="14"/>
                          <w:szCs w:val="14"/>
                        </w:rPr>
                        <w:t xml:space="preserve"> </w:t>
                      </w:r>
                      <w:r w:rsidRPr="006D630A">
                        <w:rPr>
                          <w:color w:val="7F7F7F" w:themeColor="text1" w:themeTint="80"/>
                          <w:sz w:val="14"/>
                          <w:szCs w:val="14"/>
                        </w:rPr>
                        <w:t>Source: own elaboration based on several references</w:t>
                      </w:r>
                      <w:r>
                        <w:rPr>
                          <w:sz w:val="14"/>
                          <w:szCs w:val="14"/>
                        </w:rPr>
                        <w:t xml:space="preserve">.  </w:t>
                      </w:r>
                    </w:p>
                  </w:txbxContent>
                </v:textbox>
                <w10:wrap anchorx="margin"/>
              </v:shape>
            </w:pict>
          </mc:Fallback>
        </mc:AlternateContent>
      </w:r>
    </w:p>
    <w:p w14:paraId="3762619C" w14:textId="655B131B" w:rsidR="006D630A" w:rsidRDefault="006D630A" w:rsidP="0051298E">
      <w:pPr>
        <w:pStyle w:val="TEXTBODY"/>
        <w:spacing w:line="480" w:lineRule="auto"/>
        <w:rPr>
          <w:b/>
        </w:rPr>
      </w:pPr>
    </w:p>
    <w:p w14:paraId="77C2290E" w14:textId="77777777" w:rsidR="006D630A" w:rsidRDefault="006D630A" w:rsidP="0051298E">
      <w:pPr>
        <w:pStyle w:val="TEXTBODY"/>
        <w:spacing w:line="480" w:lineRule="auto"/>
        <w:rPr>
          <w:bCs/>
        </w:rPr>
      </w:pPr>
    </w:p>
    <w:p w14:paraId="45EA8CE2" w14:textId="77777777" w:rsidR="001A6DF9" w:rsidRDefault="001A6DF9" w:rsidP="0051298E">
      <w:pPr>
        <w:pStyle w:val="TEXTBODY"/>
        <w:spacing w:line="480" w:lineRule="auto"/>
        <w:rPr>
          <w:bCs/>
        </w:rPr>
      </w:pPr>
    </w:p>
    <w:p w14:paraId="6A4DB373" w14:textId="77777777" w:rsidR="001A6DF9" w:rsidRDefault="001A6DF9" w:rsidP="0051298E">
      <w:pPr>
        <w:pStyle w:val="TEXTBODY"/>
        <w:spacing w:line="480" w:lineRule="auto"/>
        <w:rPr>
          <w:bCs/>
        </w:rPr>
      </w:pPr>
    </w:p>
    <w:p w14:paraId="25BC1D3F" w14:textId="2BDEE598" w:rsidR="00AD22FD" w:rsidRDefault="00AD22FD">
      <w:pPr>
        <w:rPr>
          <w:rFonts w:ascii="Times New Roman" w:hAnsi="Times New Roman"/>
          <w:bCs/>
          <w:sz w:val="18"/>
          <w:szCs w:val="20"/>
        </w:rPr>
      </w:pPr>
      <w:r>
        <w:rPr>
          <w:rFonts w:ascii="Times New Roman" w:hAnsi="Times New Roman"/>
          <w:bCs/>
          <w:sz w:val="18"/>
          <w:szCs w:val="20"/>
        </w:rPr>
        <w:br w:type="page"/>
      </w:r>
    </w:p>
    <w:p w14:paraId="3FEA4385" w14:textId="2F6D0617" w:rsidR="00C4751F" w:rsidRPr="00974448" w:rsidRDefault="00C4751F" w:rsidP="001A6DF9">
      <w:pPr>
        <w:pStyle w:val="Ttulo1"/>
        <w:ind w:left="0" w:firstLine="0"/>
      </w:pPr>
      <w:bookmarkStart w:id="42" w:name="_Hlk33696360"/>
      <w:bookmarkStart w:id="43" w:name="_Toc44341287"/>
      <w:bookmarkEnd w:id="0"/>
      <w:r w:rsidRPr="00974448">
        <w:lastRenderedPageBreak/>
        <w:t xml:space="preserve">NOTE </w:t>
      </w:r>
      <w:r w:rsidR="00AD22FD">
        <w:t>2</w:t>
      </w:r>
      <w:r w:rsidR="00974448" w:rsidRPr="00974448">
        <w:t>.</w:t>
      </w:r>
      <w:r w:rsidRPr="00974448">
        <w:t xml:space="preserve"> How the DP developed and followed the ‘ADM approach’: process of steps </w:t>
      </w:r>
    </w:p>
    <w:p w14:paraId="2452E9DD" w14:textId="4F2105C9" w:rsidR="00BA6F30" w:rsidRDefault="00C4751F" w:rsidP="004750CC">
      <w:pPr>
        <w:pStyle w:val="TEXTBODY"/>
        <w:spacing w:line="276" w:lineRule="auto"/>
        <w:rPr>
          <w:bCs/>
        </w:rPr>
      </w:pPr>
      <w:bookmarkStart w:id="44" w:name="_Hlk139975999"/>
      <w:r w:rsidRPr="009B720F">
        <w:rPr>
          <w:bCs/>
        </w:rPr>
        <w:t xml:space="preserve">The ADM approach defines </w:t>
      </w:r>
      <w:r w:rsidRPr="00974448">
        <w:rPr>
          <w:bCs/>
        </w:rPr>
        <w:t xml:space="preserve">its own process of steps necessary for developing an </w:t>
      </w:r>
      <w:r w:rsidRPr="00974448">
        <w:rPr>
          <w:bCs/>
          <w:i/>
          <w:iCs/>
        </w:rPr>
        <w:t>adaptive pla</w:t>
      </w:r>
      <w:r w:rsidR="00590D82" w:rsidRPr="00974448">
        <w:rPr>
          <w:bCs/>
          <w:i/>
          <w:iCs/>
        </w:rPr>
        <w:t>n/strategy</w:t>
      </w:r>
      <w:r w:rsidRPr="00974448">
        <w:rPr>
          <w:bCs/>
        </w:rPr>
        <w:t xml:space="preserve"> and operationalizing an </w:t>
      </w:r>
      <w:r w:rsidRPr="00974448">
        <w:rPr>
          <w:bCs/>
          <w:i/>
          <w:iCs/>
        </w:rPr>
        <w:t>Adaptive Delta Management</w:t>
      </w:r>
      <w:r w:rsidRPr="00974448">
        <w:rPr>
          <w:bCs/>
        </w:rPr>
        <w:t xml:space="preserve">. This section describes the process of ADM: first it identifies its main steps, then it explains how these were carried out and applied in the DP, namely how the APs method was used to develop an </w:t>
      </w:r>
      <w:r w:rsidRPr="00974448">
        <w:rPr>
          <w:bCs/>
          <w:i/>
          <w:iCs/>
        </w:rPr>
        <w:t>adaptive programme</w:t>
      </w:r>
      <w:r w:rsidRPr="00974448">
        <w:rPr>
          <w:bCs/>
        </w:rPr>
        <w:t xml:space="preserve"> </w:t>
      </w:r>
      <w:r w:rsidR="00590D82" w:rsidRPr="00EB71B8">
        <w:rPr>
          <w:bCs/>
        </w:rPr>
        <w:t>with</w:t>
      </w:r>
      <w:r w:rsidRPr="00EB71B8">
        <w:rPr>
          <w:bCs/>
        </w:rPr>
        <w:t xml:space="preserve"> </w:t>
      </w:r>
      <w:r w:rsidRPr="00EB71B8">
        <w:rPr>
          <w:bCs/>
          <w:i/>
          <w:iCs/>
        </w:rPr>
        <w:t xml:space="preserve">flexible </w:t>
      </w:r>
      <w:r w:rsidRPr="00974448">
        <w:rPr>
          <w:bCs/>
          <w:i/>
          <w:iCs/>
        </w:rPr>
        <w:t>adaptive strategies</w:t>
      </w:r>
      <w:r w:rsidRPr="00974448">
        <w:rPr>
          <w:bCs/>
        </w:rPr>
        <w:t>. It builds on the analysis of the DP Reports (</w:t>
      </w:r>
      <w:r w:rsidRPr="00974448">
        <w:rPr>
          <w:bCs/>
          <w:color w:val="7F7F7F" w:themeColor="text1" w:themeTint="80"/>
        </w:rPr>
        <w:t>DP 2012, 2013, 2014, 2015</w:t>
      </w:r>
      <w:r w:rsidRPr="00974448">
        <w:rPr>
          <w:bCs/>
        </w:rPr>
        <w:t xml:space="preserve">) and prior studies (e.g. </w:t>
      </w:r>
      <w:r w:rsidRPr="00974448">
        <w:rPr>
          <w:bCs/>
          <w:color w:val="7F7F7F" w:themeColor="text1" w:themeTint="80"/>
        </w:rPr>
        <w:t xml:space="preserve">Bloemen et al. 2018; </w:t>
      </w:r>
      <w:proofErr w:type="spellStart"/>
      <w:r w:rsidRPr="00974448">
        <w:rPr>
          <w:bCs/>
          <w:color w:val="7F7F7F" w:themeColor="text1" w:themeTint="80"/>
        </w:rPr>
        <w:t>Restemeyer</w:t>
      </w:r>
      <w:proofErr w:type="spellEnd"/>
      <w:r w:rsidRPr="00974448">
        <w:rPr>
          <w:bCs/>
          <w:color w:val="7F7F7F" w:themeColor="text1" w:themeTint="80"/>
        </w:rPr>
        <w:t xml:space="preserve"> et al. 2017; </w:t>
      </w:r>
      <w:proofErr w:type="spellStart"/>
      <w:r w:rsidRPr="00974448">
        <w:rPr>
          <w:bCs/>
          <w:color w:val="7F7F7F" w:themeColor="text1" w:themeTint="80"/>
        </w:rPr>
        <w:t>Gersonius</w:t>
      </w:r>
      <w:proofErr w:type="spellEnd"/>
      <w:r w:rsidRPr="00974448">
        <w:rPr>
          <w:bCs/>
          <w:color w:val="7F7F7F" w:themeColor="text1" w:themeTint="80"/>
        </w:rPr>
        <w:t xml:space="preserve"> et al. 2016; etc.</w:t>
      </w:r>
      <w:r w:rsidRPr="00974448">
        <w:rPr>
          <w:bCs/>
        </w:rPr>
        <w:t>)</w:t>
      </w:r>
      <w:r w:rsidR="00013D3B" w:rsidRPr="00974448">
        <w:rPr>
          <w:bCs/>
        </w:rPr>
        <w:t>.</w:t>
      </w:r>
    </w:p>
    <w:p w14:paraId="4A197EC4" w14:textId="77777777" w:rsidR="004750CC" w:rsidRPr="009B720F" w:rsidRDefault="004750CC" w:rsidP="00C4751F">
      <w:pPr>
        <w:pStyle w:val="TEXTBODY"/>
        <w:rPr>
          <w:bCs/>
        </w:rPr>
      </w:pPr>
    </w:p>
    <w:p w14:paraId="7EE73C27" w14:textId="0DC8B36D" w:rsidR="00C4751F" w:rsidRPr="009B720F" w:rsidRDefault="00AD22FD" w:rsidP="00C4751F">
      <w:pPr>
        <w:pStyle w:val="Ttulo2"/>
        <w:rPr>
          <w:bCs/>
        </w:rPr>
      </w:pPr>
      <w:r>
        <w:rPr>
          <w:bCs/>
        </w:rPr>
        <w:t>2</w:t>
      </w:r>
      <w:r w:rsidR="00C4751F" w:rsidRPr="009B720F">
        <w:rPr>
          <w:bCs/>
        </w:rPr>
        <w:t>.1. ADM process and its steps</w:t>
      </w:r>
    </w:p>
    <w:p w14:paraId="74EB5B9D" w14:textId="3F9E7138" w:rsidR="00013D3B" w:rsidRPr="00974448" w:rsidRDefault="00C4751F" w:rsidP="00E74925">
      <w:pPr>
        <w:pStyle w:val="TEXTBODY"/>
        <w:spacing w:after="0" w:line="276" w:lineRule="auto"/>
        <w:rPr>
          <w:bCs/>
        </w:rPr>
      </w:pPr>
      <w:r w:rsidRPr="009B720F">
        <w:rPr>
          <w:bCs/>
        </w:rPr>
        <w:t xml:space="preserve">The ADM approach involves a phased decision-making process </w:t>
      </w:r>
      <w:r w:rsidRPr="009B720F">
        <w:rPr>
          <w:rFonts w:eastAsia="RijksoverheidSansText-Regular"/>
          <w:bCs/>
        </w:rPr>
        <w:t>(</w:t>
      </w:r>
      <w:r w:rsidRPr="009B720F">
        <w:rPr>
          <w:rFonts w:eastAsia="RijksoverheidSansText-Regular"/>
          <w:bCs/>
          <w:color w:val="7F7F7F" w:themeColor="text1" w:themeTint="80"/>
        </w:rPr>
        <w:t>DP 2012, p.88</w:t>
      </w:r>
      <w:r w:rsidRPr="009B720F">
        <w:rPr>
          <w:rFonts w:eastAsia="RijksoverheidSansText-Regular"/>
          <w:bCs/>
        </w:rPr>
        <w:t>)</w:t>
      </w:r>
      <w:r w:rsidRPr="009B720F">
        <w:rPr>
          <w:bCs/>
        </w:rPr>
        <w:t xml:space="preserve"> that includes the design of adaptation pathways. The process of ADM is based on the process of the DAPP approach (presented by </w:t>
      </w:r>
      <w:proofErr w:type="spellStart"/>
      <w:r w:rsidRPr="009B720F">
        <w:rPr>
          <w:bCs/>
          <w:color w:val="7F7F7F" w:themeColor="text1" w:themeTint="80"/>
        </w:rPr>
        <w:t>Haasnoot</w:t>
      </w:r>
      <w:proofErr w:type="spellEnd"/>
      <w:r w:rsidRPr="009B720F">
        <w:rPr>
          <w:bCs/>
          <w:color w:val="7F7F7F" w:themeColor="text1" w:themeTint="80"/>
        </w:rPr>
        <w:t xml:space="preserve"> et al. 2013 </w:t>
      </w:r>
      <w:r w:rsidRPr="009B720F">
        <w:rPr>
          <w:bCs/>
        </w:rPr>
        <w:t>and by</w:t>
      </w:r>
      <w:r w:rsidRPr="009B720F">
        <w:rPr>
          <w:bCs/>
          <w:color w:val="7F7F7F" w:themeColor="text1" w:themeTint="80"/>
        </w:rPr>
        <w:t xml:space="preserve"> </w:t>
      </w:r>
      <w:proofErr w:type="spellStart"/>
      <w:r w:rsidRPr="009B720F">
        <w:rPr>
          <w:bCs/>
          <w:color w:val="7F7F7F" w:themeColor="text1" w:themeTint="80"/>
        </w:rPr>
        <w:t>Jeuken</w:t>
      </w:r>
      <w:proofErr w:type="spellEnd"/>
      <w:r w:rsidRPr="009B720F">
        <w:rPr>
          <w:bCs/>
          <w:color w:val="7F7F7F" w:themeColor="text1" w:themeTint="80"/>
        </w:rPr>
        <w:t xml:space="preserve"> et al. 2014</w:t>
      </w:r>
      <w:r w:rsidRPr="009B720F">
        <w:rPr>
          <w:bCs/>
        </w:rPr>
        <w:t>)</w:t>
      </w:r>
      <w:r w:rsidR="00590D82" w:rsidRPr="009B720F">
        <w:rPr>
          <w:bCs/>
        </w:rPr>
        <w:t xml:space="preserve">, and it </w:t>
      </w:r>
      <w:r w:rsidRPr="00974448">
        <w:rPr>
          <w:bCs/>
        </w:rPr>
        <w:t xml:space="preserve">involves a </w:t>
      </w:r>
      <w:r w:rsidR="00EA15EC" w:rsidRPr="00974448">
        <w:rPr>
          <w:bCs/>
        </w:rPr>
        <w:t xml:space="preserve">circular (on ongoing / continual) </w:t>
      </w:r>
      <w:r w:rsidRPr="00974448">
        <w:rPr>
          <w:bCs/>
        </w:rPr>
        <w:t xml:space="preserve">cycle with 6 main steps (inspired in the DAPP </w:t>
      </w:r>
      <w:r w:rsidR="00590D82" w:rsidRPr="00974448">
        <w:rPr>
          <w:bCs/>
        </w:rPr>
        <w:t>steps</w:t>
      </w:r>
      <w:r w:rsidRPr="00974448">
        <w:rPr>
          <w:bCs/>
        </w:rPr>
        <w:t>) (</w:t>
      </w:r>
      <w:proofErr w:type="spellStart"/>
      <w:r w:rsidR="005C558F">
        <w:rPr>
          <w:bCs/>
          <w:color w:val="7F7F7F" w:themeColor="text1" w:themeTint="80"/>
        </w:rPr>
        <w:t>Deltares</w:t>
      </w:r>
      <w:proofErr w:type="spellEnd"/>
      <w:r w:rsidR="005C558F">
        <w:rPr>
          <w:bCs/>
          <w:color w:val="7F7F7F" w:themeColor="text1" w:themeTint="80"/>
        </w:rPr>
        <w:t xml:space="preserve"> 2018</w:t>
      </w:r>
      <w:r w:rsidR="00590D82" w:rsidRPr="00974448">
        <w:rPr>
          <w:bCs/>
          <w:color w:val="7F7F7F" w:themeColor="text1" w:themeTint="80"/>
        </w:rPr>
        <w:t xml:space="preserve">, </w:t>
      </w:r>
      <w:r w:rsidRPr="00974448">
        <w:rPr>
          <w:bCs/>
          <w:color w:val="7F7F7F" w:themeColor="text1" w:themeTint="80"/>
        </w:rPr>
        <w:t xml:space="preserve">adapted from </w:t>
      </w:r>
      <w:proofErr w:type="spellStart"/>
      <w:r w:rsidRPr="00974448">
        <w:rPr>
          <w:bCs/>
          <w:color w:val="7F7F7F" w:themeColor="text1" w:themeTint="80"/>
        </w:rPr>
        <w:t>Haasnoot</w:t>
      </w:r>
      <w:proofErr w:type="spellEnd"/>
      <w:r w:rsidRPr="00974448">
        <w:rPr>
          <w:bCs/>
          <w:color w:val="7F7F7F" w:themeColor="text1" w:themeTint="80"/>
        </w:rPr>
        <w:t xml:space="preserve"> et al. 2013; </w:t>
      </w:r>
      <w:r w:rsidR="005C558F">
        <w:rPr>
          <w:bCs/>
          <w:color w:val="7F7F7F" w:themeColor="text1" w:themeTint="80"/>
        </w:rPr>
        <w:t>Brugge and Bruggeman 2019</w:t>
      </w:r>
      <w:r w:rsidRPr="00974448">
        <w:rPr>
          <w:bCs/>
        </w:rPr>
        <w:t>). These steps ar</w:t>
      </w:r>
      <w:r w:rsidR="00974448" w:rsidRPr="00974448">
        <w:rPr>
          <w:bCs/>
        </w:rPr>
        <w:t>e</w:t>
      </w:r>
      <w:r w:rsidRPr="00974448">
        <w:rPr>
          <w:bCs/>
        </w:rPr>
        <w:t>:</w:t>
      </w:r>
    </w:p>
    <w:bookmarkEnd w:id="44"/>
    <w:p w14:paraId="010F2A73" w14:textId="77777777" w:rsidR="00711771" w:rsidRPr="00974448" w:rsidRDefault="00711771" w:rsidP="00E74925">
      <w:pPr>
        <w:pStyle w:val="TEXTBODY"/>
        <w:spacing w:after="0" w:line="276" w:lineRule="auto"/>
        <w:rPr>
          <w:bCs/>
        </w:rPr>
      </w:pPr>
    </w:p>
    <w:p w14:paraId="0E5044DD" w14:textId="057B2E44" w:rsidR="00711771" w:rsidRPr="00974448" w:rsidRDefault="00C4751F" w:rsidP="00E74925">
      <w:pPr>
        <w:pStyle w:val="TEXTBODY"/>
        <w:numPr>
          <w:ilvl w:val="0"/>
          <w:numId w:val="63"/>
        </w:numPr>
        <w:spacing w:line="276" w:lineRule="auto"/>
        <w:ind w:left="284" w:hanging="284"/>
        <w:rPr>
          <w:bCs/>
        </w:rPr>
      </w:pPr>
      <w:r w:rsidRPr="00974448">
        <w:rPr>
          <w:bCs/>
          <w:i/>
          <w:iCs/>
        </w:rPr>
        <w:t>Step 1. Analyse vulnerabilities and opportunities under different scenarios</w:t>
      </w:r>
      <w:r w:rsidRPr="00974448">
        <w:rPr>
          <w:bCs/>
        </w:rPr>
        <w:t>. This step, also called ‘</w:t>
      </w:r>
      <w:r w:rsidRPr="00974448">
        <w:rPr>
          <w:bCs/>
          <w:i/>
          <w:iCs/>
        </w:rPr>
        <w:t>problem analysis</w:t>
      </w:r>
      <w:r w:rsidRPr="00974448">
        <w:rPr>
          <w:bCs/>
        </w:rPr>
        <w:t>’, serves to examine the possible occurrence of problems (risks, hazards, adverse impacts), their nature, extent and timing, under diverse future scenarios (</w:t>
      </w:r>
      <w:proofErr w:type="spellStart"/>
      <w:r w:rsidR="005C558F">
        <w:rPr>
          <w:bCs/>
          <w:color w:val="7F7F7F" w:themeColor="text1" w:themeTint="80"/>
        </w:rPr>
        <w:t>Deltares</w:t>
      </w:r>
      <w:proofErr w:type="spellEnd"/>
      <w:r w:rsidR="005C558F">
        <w:rPr>
          <w:bCs/>
          <w:color w:val="7F7F7F" w:themeColor="text1" w:themeTint="80"/>
        </w:rPr>
        <w:t xml:space="preserve"> 2018</w:t>
      </w:r>
      <w:r w:rsidRPr="00974448">
        <w:rPr>
          <w:bCs/>
          <w:color w:val="7F7F7F" w:themeColor="text1" w:themeTint="80"/>
        </w:rPr>
        <w:t xml:space="preserve">, p.2-3; </w:t>
      </w:r>
      <w:r w:rsidR="005C558F">
        <w:rPr>
          <w:bCs/>
          <w:color w:val="7F7F7F" w:themeColor="text1" w:themeTint="80"/>
        </w:rPr>
        <w:t>Brugge and Bruggeman 2019</w:t>
      </w:r>
      <w:r w:rsidRPr="00974448">
        <w:rPr>
          <w:bCs/>
        </w:rPr>
        <w:t>). It involves:</w:t>
      </w:r>
      <w:r w:rsidR="00711771" w:rsidRPr="00974448">
        <w:rPr>
          <w:bCs/>
        </w:rPr>
        <w:t xml:space="preserve"> </w:t>
      </w:r>
      <w:r w:rsidRPr="00974448">
        <w:rPr>
          <w:bCs/>
        </w:rPr>
        <w:t>a) the definition of the main objectives for now and</w:t>
      </w:r>
      <w:r w:rsidR="00590D82" w:rsidRPr="00974448">
        <w:rPr>
          <w:bCs/>
        </w:rPr>
        <w:t xml:space="preserve"> for</w:t>
      </w:r>
      <w:r w:rsidRPr="00974448">
        <w:rPr>
          <w:bCs/>
        </w:rPr>
        <w:t xml:space="preserve"> the future, and b) the </w:t>
      </w:r>
      <w:bookmarkStart w:id="45" w:name="_Hlk139973613"/>
      <w:r w:rsidRPr="00974448">
        <w:rPr>
          <w:bCs/>
        </w:rPr>
        <w:t xml:space="preserve">identification of </w:t>
      </w:r>
      <w:r w:rsidR="00590D82" w:rsidRPr="00974448">
        <w:rPr>
          <w:bCs/>
        </w:rPr>
        <w:t xml:space="preserve">current and future </w:t>
      </w:r>
      <w:r w:rsidRPr="00974448">
        <w:rPr>
          <w:bCs/>
        </w:rPr>
        <w:t>‘vulnerabilities’ (external developments to which the objectives are most vulnerable or that may threaten the objectives</w:t>
      </w:r>
      <w:r w:rsidR="00590D82" w:rsidRPr="00974448">
        <w:rPr>
          <w:bCs/>
        </w:rPr>
        <w:t>, i.e. problems, needs, challenges</w:t>
      </w:r>
      <w:r w:rsidRPr="00974448">
        <w:rPr>
          <w:bCs/>
        </w:rPr>
        <w:t>) and ‘opportunities’ to achieve the objectives</w:t>
      </w:r>
      <w:r w:rsidR="00590D82" w:rsidRPr="00974448">
        <w:rPr>
          <w:bCs/>
        </w:rPr>
        <w:t>, under different future scenarios</w:t>
      </w:r>
      <w:r w:rsidRPr="00974448">
        <w:rPr>
          <w:bCs/>
        </w:rPr>
        <w:t xml:space="preserve"> </w:t>
      </w:r>
      <w:bookmarkEnd w:id="45"/>
      <w:r w:rsidRPr="00974448">
        <w:rPr>
          <w:bCs/>
        </w:rPr>
        <w:t>(</w:t>
      </w:r>
      <w:proofErr w:type="spellStart"/>
      <w:r w:rsidRPr="00974448">
        <w:rPr>
          <w:bCs/>
          <w:color w:val="7F7F7F" w:themeColor="text1" w:themeTint="80"/>
        </w:rPr>
        <w:t>Jeuken</w:t>
      </w:r>
      <w:proofErr w:type="spellEnd"/>
      <w:r w:rsidRPr="00974448">
        <w:rPr>
          <w:bCs/>
          <w:color w:val="7F7F7F" w:themeColor="text1" w:themeTint="80"/>
        </w:rPr>
        <w:t xml:space="preserve"> et al. 2014, p.4-5</w:t>
      </w:r>
      <w:r w:rsidR="00590D82" w:rsidRPr="00974448">
        <w:rPr>
          <w:bCs/>
          <w:color w:val="7F7F7F" w:themeColor="text1" w:themeTint="80"/>
        </w:rPr>
        <w:t xml:space="preserve">; </w:t>
      </w:r>
      <w:proofErr w:type="spellStart"/>
      <w:r w:rsidR="00590D82" w:rsidRPr="00974448">
        <w:rPr>
          <w:bCs/>
          <w:color w:val="7F7F7F" w:themeColor="text1" w:themeTint="80"/>
        </w:rPr>
        <w:t>Haasnoot</w:t>
      </w:r>
      <w:proofErr w:type="spellEnd"/>
      <w:r w:rsidR="00590D82" w:rsidRPr="00974448">
        <w:rPr>
          <w:bCs/>
          <w:color w:val="7F7F7F" w:themeColor="text1" w:themeTint="80"/>
        </w:rPr>
        <w:t xml:space="preserve"> and </w:t>
      </w:r>
      <w:proofErr w:type="spellStart"/>
      <w:r w:rsidR="00590D82" w:rsidRPr="00974448">
        <w:rPr>
          <w:bCs/>
          <w:color w:val="7F7F7F" w:themeColor="text1" w:themeTint="80"/>
        </w:rPr>
        <w:t>Jeuken</w:t>
      </w:r>
      <w:proofErr w:type="spellEnd"/>
      <w:r w:rsidRPr="00974448">
        <w:rPr>
          <w:bCs/>
        </w:rPr>
        <w:t xml:space="preserve">). </w:t>
      </w:r>
      <w:r w:rsidR="00711771" w:rsidRPr="00974448">
        <w:rPr>
          <w:bCs/>
        </w:rPr>
        <w:t>Sub-step 1a involves the definition of objectives, i.e. a ‘</w:t>
      </w:r>
      <w:r w:rsidR="00711771" w:rsidRPr="00974448">
        <w:rPr>
          <w:bCs/>
          <w:i/>
          <w:iCs/>
        </w:rPr>
        <w:t>strategic vision of the future</w:t>
      </w:r>
      <w:r w:rsidR="00711771" w:rsidRPr="00974448">
        <w:rPr>
          <w:bCs/>
        </w:rPr>
        <w:t>’, goals and criteria for success (also called ‘agenda setting’) (</w:t>
      </w:r>
      <w:r w:rsidR="00711771" w:rsidRPr="00974448">
        <w:rPr>
          <w:bCs/>
          <w:color w:val="7F7F7F" w:themeColor="text1" w:themeTint="80"/>
        </w:rPr>
        <w:t xml:space="preserve">Marchand and Ludwig 2014; Zevenbergen et al. 2018; </w:t>
      </w:r>
      <w:proofErr w:type="spellStart"/>
      <w:r w:rsidR="00711771" w:rsidRPr="00974448">
        <w:rPr>
          <w:bCs/>
          <w:color w:val="7F7F7F" w:themeColor="text1" w:themeTint="80"/>
        </w:rPr>
        <w:t>Haasnoot</w:t>
      </w:r>
      <w:proofErr w:type="spellEnd"/>
      <w:r w:rsidR="00711771" w:rsidRPr="00974448">
        <w:rPr>
          <w:bCs/>
          <w:color w:val="7F7F7F" w:themeColor="text1" w:themeTint="80"/>
        </w:rPr>
        <w:t xml:space="preserve"> and </w:t>
      </w:r>
      <w:proofErr w:type="spellStart"/>
      <w:r w:rsidR="00711771" w:rsidRPr="00974448">
        <w:rPr>
          <w:bCs/>
          <w:color w:val="7F7F7F" w:themeColor="text1" w:themeTint="80"/>
        </w:rPr>
        <w:t>Jeuken</w:t>
      </w:r>
      <w:proofErr w:type="spellEnd"/>
      <w:r w:rsidR="00711771" w:rsidRPr="00974448">
        <w:rPr>
          <w:bCs/>
          <w:color w:val="7F7F7F" w:themeColor="text1" w:themeTint="80"/>
        </w:rPr>
        <w:t xml:space="preserve">; </w:t>
      </w:r>
      <w:proofErr w:type="spellStart"/>
      <w:r w:rsidR="00711771" w:rsidRPr="00974448">
        <w:rPr>
          <w:bCs/>
          <w:color w:val="7F7F7F" w:themeColor="text1" w:themeTint="80"/>
        </w:rPr>
        <w:t>Gersonius</w:t>
      </w:r>
      <w:proofErr w:type="spellEnd"/>
      <w:r w:rsidR="00711771" w:rsidRPr="00974448">
        <w:rPr>
          <w:bCs/>
          <w:color w:val="7F7F7F" w:themeColor="text1" w:themeTint="80"/>
        </w:rPr>
        <w:t xml:space="preserve"> et al. 2016</w:t>
      </w:r>
      <w:r w:rsidR="00711771" w:rsidRPr="00974448">
        <w:rPr>
          <w:bCs/>
        </w:rPr>
        <w:t>)</w:t>
      </w:r>
      <w:r w:rsidR="003A116C" w:rsidRPr="00974448">
        <w:rPr>
          <w:rStyle w:val="Refdenotaderodap"/>
          <w:bCs/>
        </w:rPr>
        <w:footnoteReference w:id="29"/>
      </w:r>
      <w:r w:rsidR="00711771" w:rsidRPr="00974448">
        <w:rPr>
          <w:bCs/>
        </w:rPr>
        <w:t>; ADM assumes that clear goals can be defined to then find measures and design ‘development trajectories’ (</w:t>
      </w:r>
      <w:r w:rsidR="00711771" w:rsidRPr="00974448">
        <w:rPr>
          <w:bCs/>
          <w:color w:val="7F7F7F" w:themeColor="text1" w:themeTint="80"/>
        </w:rPr>
        <w:t>Zandvoort et al. 2018, p.190</w:t>
      </w:r>
      <w:r w:rsidR="00711771" w:rsidRPr="00974448">
        <w:rPr>
          <w:bCs/>
        </w:rPr>
        <w:t>). Sub-step 1b involves the identification of current and future problems and needs based on relevant future scenarios (also called ‘</w:t>
      </w:r>
      <w:r w:rsidR="00711771" w:rsidRPr="00974448">
        <w:rPr>
          <w:bCs/>
          <w:i/>
          <w:iCs/>
        </w:rPr>
        <w:t>problem analysis</w:t>
      </w:r>
      <w:r w:rsidR="00711771" w:rsidRPr="00974448">
        <w:rPr>
          <w:bCs/>
        </w:rPr>
        <w:t>’, this requires using scenarios) (</w:t>
      </w:r>
      <w:r w:rsidR="00711771" w:rsidRPr="00974448">
        <w:rPr>
          <w:bCs/>
          <w:color w:val="7F7F7F" w:themeColor="text1" w:themeTint="80"/>
        </w:rPr>
        <w:t xml:space="preserve">Marchand and Ludwig 2014; Zevenbergen et al. 2018; </w:t>
      </w:r>
      <w:proofErr w:type="spellStart"/>
      <w:r w:rsidR="00711771" w:rsidRPr="00974448">
        <w:rPr>
          <w:bCs/>
          <w:color w:val="7F7F7F" w:themeColor="text1" w:themeTint="80"/>
        </w:rPr>
        <w:t>Haasnoot</w:t>
      </w:r>
      <w:proofErr w:type="spellEnd"/>
      <w:r w:rsidR="00711771" w:rsidRPr="00974448">
        <w:rPr>
          <w:bCs/>
          <w:color w:val="7F7F7F" w:themeColor="text1" w:themeTint="80"/>
        </w:rPr>
        <w:t xml:space="preserve"> and </w:t>
      </w:r>
      <w:proofErr w:type="spellStart"/>
      <w:r w:rsidR="00711771" w:rsidRPr="00974448">
        <w:rPr>
          <w:bCs/>
          <w:color w:val="7F7F7F" w:themeColor="text1" w:themeTint="80"/>
        </w:rPr>
        <w:t>Jeuken</w:t>
      </w:r>
      <w:proofErr w:type="spellEnd"/>
      <w:r w:rsidR="00711771" w:rsidRPr="00974448">
        <w:rPr>
          <w:bCs/>
          <w:color w:val="7F7F7F" w:themeColor="text1" w:themeTint="80"/>
        </w:rPr>
        <w:t xml:space="preserve">; </w:t>
      </w:r>
      <w:proofErr w:type="spellStart"/>
      <w:r w:rsidR="00711771" w:rsidRPr="00974448">
        <w:rPr>
          <w:bCs/>
          <w:color w:val="7F7F7F" w:themeColor="text1" w:themeTint="80"/>
        </w:rPr>
        <w:t>Gersonius</w:t>
      </w:r>
      <w:proofErr w:type="spellEnd"/>
      <w:r w:rsidR="00711771" w:rsidRPr="00974448">
        <w:rPr>
          <w:bCs/>
          <w:color w:val="7F7F7F" w:themeColor="text1" w:themeTint="80"/>
        </w:rPr>
        <w:t xml:space="preserve"> et al. 2016</w:t>
      </w:r>
      <w:r w:rsidR="00711771" w:rsidRPr="00974448">
        <w:rPr>
          <w:bCs/>
        </w:rPr>
        <w:t xml:space="preserve">). </w:t>
      </w:r>
      <w:bookmarkStart w:id="46" w:name="_Hlk139973568"/>
      <w:r w:rsidR="00711771" w:rsidRPr="00974448">
        <w:rPr>
          <w:bCs/>
        </w:rPr>
        <w:t xml:space="preserve">In </w:t>
      </w:r>
      <w:r w:rsidR="003A116C" w:rsidRPr="00974448">
        <w:rPr>
          <w:bCs/>
        </w:rPr>
        <w:t>particular</w:t>
      </w:r>
      <w:r w:rsidR="00711771" w:rsidRPr="00974448">
        <w:rPr>
          <w:bCs/>
        </w:rPr>
        <w:t xml:space="preserve">, </w:t>
      </w:r>
      <w:r w:rsidRPr="00974448">
        <w:rPr>
          <w:bCs/>
        </w:rPr>
        <w:t xml:space="preserve">Sub-step </w:t>
      </w:r>
      <w:r w:rsidR="00590D82" w:rsidRPr="00974448">
        <w:rPr>
          <w:bCs/>
        </w:rPr>
        <w:t>1</w:t>
      </w:r>
      <w:r w:rsidRPr="00974448">
        <w:rPr>
          <w:bCs/>
        </w:rPr>
        <w:t xml:space="preserve">b requires analysing the amount of change that the system can handle (critical levels) and specifying (what are) the </w:t>
      </w:r>
      <w:r w:rsidRPr="00974448">
        <w:rPr>
          <w:bCs/>
          <w:i/>
          <w:iCs/>
        </w:rPr>
        <w:t>Adaptation Tipping-points</w:t>
      </w:r>
      <w:r w:rsidRPr="00974448">
        <w:rPr>
          <w:bCs/>
        </w:rPr>
        <w:t xml:space="preserve"> (ATPs, i.e. conditions / points at which the objectives cease to be met), and assessing when the first ATP might occur using various scenarios (</w:t>
      </w:r>
      <w:proofErr w:type="spellStart"/>
      <w:r w:rsidRPr="00974448">
        <w:rPr>
          <w:bCs/>
          <w:color w:val="7F7F7F" w:themeColor="text1" w:themeTint="80"/>
        </w:rPr>
        <w:t>Jeuken</w:t>
      </w:r>
      <w:proofErr w:type="spellEnd"/>
      <w:r w:rsidRPr="00974448">
        <w:rPr>
          <w:bCs/>
          <w:color w:val="7F7F7F" w:themeColor="text1" w:themeTint="80"/>
        </w:rPr>
        <w:t xml:space="preserve"> et al. 2014, p.4-5</w:t>
      </w:r>
      <w:r w:rsidRPr="00974448">
        <w:rPr>
          <w:bCs/>
        </w:rPr>
        <w:t>)</w:t>
      </w:r>
      <w:r w:rsidR="003A116C" w:rsidRPr="00974448">
        <w:rPr>
          <w:bCs/>
        </w:rPr>
        <w:t xml:space="preserve">, </w:t>
      </w:r>
      <w:r w:rsidRPr="00974448">
        <w:rPr>
          <w:bCs/>
        </w:rPr>
        <w:t>i.e. ‘</w:t>
      </w:r>
      <w:r w:rsidRPr="00974448">
        <w:rPr>
          <w:bCs/>
          <w:i/>
          <w:iCs/>
        </w:rPr>
        <w:t>how long the current management strategies continue to be effective under different climate change scenarios</w:t>
      </w:r>
      <w:r w:rsidRPr="00974448">
        <w:rPr>
          <w:bCs/>
          <w:iCs/>
        </w:rPr>
        <w:t xml:space="preserve">’ </w:t>
      </w:r>
      <w:r w:rsidRPr="00974448">
        <w:rPr>
          <w:bCs/>
        </w:rPr>
        <w:t>(</w:t>
      </w:r>
      <w:proofErr w:type="spellStart"/>
      <w:r w:rsidR="005C558F">
        <w:rPr>
          <w:bCs/>
          <w:color w:val="7F7F7F" w:themeColor="text1" w:themeTint="80"/>
        </w:rPr>
        <w:t>Deltares</w:t>
      </w:r>
      <w:proofErr w:type="spellEnd"/>
      <w:r w:rsidR="005C558F">
        <w:rPr>
          <w:bCs/>
          <w:color w:val="7F7F7F" w:themeColor="text1" w:themeTint="80"/>
        </w:rPr>
        <w:t xml:space="preserve"> 2018</w:t>
      </w:r>
      <w:r w:rsidRPr="00974448">
        <w:rPr>
          <w:bCs/>
          <w:color w:val="7F7F7F" w:themeColor="text1" w:themeTint="80"/>
        </w:rPr>
        <w:t>, p.2</w:t>
      </w:r>
      <w:r w:rsidRPr="00974448">
        <w:rPr>
          <w:bCs/>
        </w:rPr>
        <w:t>).</w:t>
      </w:r>
      <w:r w:rsidR="003562A2" w:rsidRPr="00974448">
        <w:rPr>
          <w:bCs/>
        </w:rPr>
        <w:t xml:space="preserve"> Moreover, </w:t>
      </w:r>
      <w:r w:rsidRPr="00974448">
        <w:rPr>
          <w:bCs/>
        </w:rPr>
        <w:t>S</w:t>
      </w:r>
      <w:r w:rsidR="003562A2" w:rsidRPr="00974448">
        <w:rPr>
          <w:bCs/>
        </w:rPr>
        <w:t>ub-s</w:t>
      </w:r>
      <w:r w:rsidRPr="00974448">
        <w:rPr>
          <w:bCs/>
        </w:rPr>
        <w:t>tep 1b implies the identification of constraints and uncertainties relevant for decision-making, and such uncertainties must be considered in the generation of an ensemble of plausible future scenarios (</w:t>
      </w:r>
      <w:proofErr w:type="spellStart"/>
      <w:r w:rsidRPr="00974448">
        <w:rPr>
          <w:bCs/>
          <w:color w:val="7F7F7F" w:themeColor="text1" w:themeTint="80"/>
        </w:rPr>
        <w:t>Haasnoot</w:t>
      </w:r>
      <w:proofErr w:type="spellEnd"/>
      <w:r w:rsidRPr="00974448">
        <w:rPr>
          <w:bCs/>
          <w:color w:val="7F7F7F" w:themeColor="text1" w:themeTint="80"/>
        </w:rPr>
        <w:t xml:space="preserve"> and </w:t>
      </w:r>
      <w:proofErr w:type="spellStart"/>
      <w:r w:rsidRPr="00974448">
        <w:rPr>
          <w:bCs/>
          <w:color w:val="7F7F7F" w:themeColor="text1" w:themeTint="80"/>
        </w:rPr>
        <w:t>Jeuken</w:t>
      </w:r>
      <w:proofErr w:type="spellEnd"/>
      <w:r w:rsidRPr="00974448">
        <w:rPr>
          <w:bCs/>
          <w:color w:val="7F7F7F" w:themeColor="text1" w:themeTint="80"/>
        </w:rPr>
        <w:t xml:space="preserve">; </w:t>
      </w:r>
      <w:proofErr w:type="spellStart"/>
      <w:r w:rsidRPr="00974448">
        <w:rPr>
          <w:bCs/>
          <w:color w:val="7F7F7F" w:themeColor="text1" w:themeTint="80"/>
        </w:rPr>
        <w:t>Gersonius</w:t>
      </w:r>
      <w:proofErr w:type="spellEnd"/>
      <w:r w:rsidRPr="00974448">
        <w:rPr>
          <w:bCs/>
          <w:color w:val="7F7F7F" w:themeColor="text1" w:themeTint="80"/>
        </w:rPr>
        <w:t xml:space="preserve"> et al. 2016</w:t>
      </w:r>
      <w:r w:rsidRPr="00974448">
        <w:rPr>
          <w:bCs/>
        </w:rPr>
        <w:t>)</w:t>
      </w:r>
      <w:r w:rsidRPr="00974448">
        <w:rPr>
          <w:rStyle w:val="Refdenotaderodap"/>
          <w:bCs/>
        </w:rPr>
        <w:footnoteReference w:id="30"/>
      </w:r>
      <w:r w:rsidR="003A116C" w:rsidRPr="00974448">
        <w:rPr>
          <w:bCs/>
        </w:rPr>
        <w:t>;</w:t>
      </w:r>
      <w:r w:rsidRPr="00974448">
        <w:rPr>
          <w:bCs/>
        </w:rPr>
        <w:t xml:space="preserve"> </w:t>
      </w:r>
      <w:r w:rsidR="009F377F" w:rsidRPr="00974448">
        <w:rPr>
          <w:bCs/>
        </w:rPr>
        <w:t>such</w:t>
      </w:r>
      <w:r w:rsidRPr="00974448">
        <w:rPr>
          <w:bCs/>
        </w:rPr>
        <w:t xml:space="preserve"> scenarios are then compared to the defined objectives to see if problems (vulnerabilities), or opportunities, arise; and they are used to determine when the first ATP may occur and a new measure will be needed (</w:t>
      </w:r>
      <w:proofErr w:type="spellStart"/>
      <w:r w:rsidRPr="00974448">
        <w:rPr>
          <w:bCs/>
          <w:color w:val="7F7F7F" w:themeColor="text1" w:themeTint="80"/>
        </w:rPr>
        <w:t>Haasnoot</w:t>
      </w:r>
      <w:proofErr w:type="spellEnd"/>
      <w:r w:rsidRPr="00974448">
        <w:rPr>
          <w:bCs/>
          <w:color w:val="7F7F7F" w:themeColor="text1" w:themeTint="80"/>
        </w:rPr>
        <w:t xml:space="preserve"> and </w:t>
      </w:r>
      <w:proofErr w:type="spellStart"/>
      <w:r w:rsidRPr="00974448">
        <w:rPr>
          <w:bCs/>
          <w:color w:val="7F7F7F" w:themeColor="text1" w:themeTint="80"/>
        </w:rPr>
        <w:t>Jeuken</w:t>
      </w:r>
      <w:proofErr w:type="spellEnd"/>
      <w:r w:rsidRPr="00974448">
        <w:rPr>
          <w:bCs/>
        </w:rPr>
        <w:t xml:space="preserve">). </w:t>
      </w:r>
      <w:r w:rsidR="00711771" w:rsidRPr="00974448">
        <w:rPr>
          <w:bCs/>
        </w:rPr>
        <w:t>Thus, within Step 1b, it is necessary to specify (define) what are ‘adaptation tipping-points’, i.e. the ‘boundary conditions’ / points under which the objectives are no longer met (e.g. an unacceptable level of SLR) (</w:t>
      </w:r>
      <w:proofErr w:type="spellStart"/>
      <w:r w:rsidR="00711771" w:rsidRPr="00974448">
        <w:rPr>
          <w:bCs/>
          <w:color w:val="7F7F7F" w:themeColor="text1" w:themeTint="80"/>
        </w:rPr>
        <w:t>Kwadjik</w:t>
      </w:r>
      <w:proofErr w:type="spellEnd"/>
      <w:r w:rsidR="00711771" w:rsidRPr="00974448">
        <w:rPr>
          <w:bCs/>
          <w:color w:val="7F7F7F" w:themeColor="text1" w:themeTint="80"/>
        </w:rPr>
        <w:t xml:space="preserve"> et al. 2010</w:t>
      </w:r>
      <w:r w:rsidR="00711771" w:rsidRPr="00974448">
        <w:rPr>
          <w:bCs/>
        </w:rPr>
        <w:t>), and then, confront such ATPs with a range plausible futures to estimate the moment when such ATPs might occur</w:t>
      </w:r>
      <w:r w:rsidR="003A116C" w:rsidRPr="00974448">
        <w:rPr>
          <w:bCs/>
        </w:rPr>
        <w:t xml:space="preserve">; </w:t>
      </w:r>
      <w:r w:rsidR="003A116C" w:rsidRPr="00974448">
        <w:rPr>
          <w:rFonts w:eastAsiaTheme="minorHAnsi"/>
          <w:bCs/>
        </w:rPr>
        <w:t>it is important to</w:t>
      </w:r>
      <w:r w:rsidR="003A116C" w:rsidRPr="00974448">
        <w:rPr>
          <w:bCs/>
        </w:rPr>
        <w:t xml:space="preserve"> use different futures with changing conditions to gain insight into the possible occurrence of ATPs, and estimate when the first ATP might happen (the point at which the current measure will no longer meet the objectives and new measures will be required)</w:t>
      </w:r>
      <w:r w:rsidR="00711771" w:rsidRPr="00974448">
        <w:rPr>
          <w:bCs/>
        </w:rPr>
        <w:t xml:space="preserve"> (</w:t>
      </w:r>
      <w:proofErr w:type="spellStart"/>
      <w:r w:rsidR="00711771" w:rsidRPr="00974448">
        <w:rPr>
          <w:bCs/>
          <w:color w:val="7F7F7F" w:themeColor="text1" w:themeTint="80"/>
        </w:rPr>
        <w:t>Gersonius</w:t>
      </w:r>
      <w:proofErr w:type="spellEnd"/>
      <w:r w:rsidR="00711771" w:rsidRPr="00974448">
        <w:rPr>
          <w:bCs/>
          <w:color w:val="7F7F7F" w:themeColor="text1" w:themeTint="80"/>
        </w:rPr>
        <w:t xml:space="preserve"> et al.2016, p.204-206</w:t>
      </w:r>
      <w:r w:rsidR="00711771" w:rsidRPr="00974448">
        <w:rPr>
          <w:bCs/>
        </w:rPr>
        <w:t>).</w:t>
      </w:r>
      <w:bookmarkEnd w:id="46"/>
      <w:r w:rsidR="003A116C" w:rsidRPr="00974448">
        <w:rPr>
          <w:bCs/>
        </w:rPr>
        <w:t xml:space="preserve"> Thus,</w:t>
      </w:r>
      <w:r w:rsidR="00711771" w:rsidRPr="00974448">
        <w:rPr>
          <w:bCs/>
        </w:rPr>
        <w:t xml:space="preserve"> Step 1 implies analysing </w:t>
      </w:r>
      <w:r w:rsidR="003A116C" w:rsidRPr="00974448">
        <w:rPr>
          <w:bCs/>
        </w:rPr>
        <w:t xml:space="preserve">what, where, and </w:t>
      </w:r>
      <w:r w:rsidR="00711771" w:rsidRPr="00974448">
        <w:rPr>
          <w:bCs/>
        </w:rPr>
        <w:t>when problems will occur under the different scenarios</w:t>
      </w:r>
      <w:r w:rsidR="003A116C" w:rsidRPr="00974448">
        <w:rPr>
          <w:bCs/>
        </w:rPr>
        <w:t xml:space="preserve"> – a </w:t>
      </w:r>
      <w:r w:rsidR="00711771" w:rsidRPr="00974448">
        <w:rPr>
          <w:bCs/>
        </w:rPr>
        <w:t xml:space="preserve"> problem occurs if the policy objectives (e.g. flood safety, flood protection standards, required water levels) are no longer met</w:t>
      </w:r>
      <w:r w:rsidR="003A116C" w:rsidRPr="00974448">
        <w:rPr>
          <w:bCs/>
        </w:rPr>
        <w:t>, which is</w:t>
      </w:r>
      <w:r w:rsidR="00711771" w:rsidRPr="00974448">
        <w:rPr>
          <w:bCs/>
        </w:rPr>
        <w:t xml:space="preserve"> also denominated a ‘tipping-point’</w:t>
      </w:r>
      <w:r w:rsidR="003A116C" w:rsidRPr="00974448">
        <w:rPr>
          <w:bCs/>
        </w:rPr>
        <w:t xml:space="preserve"> (Step 1 </w:t>
      </w:r>
      <w:r w:rsidR="00711771" w:rsidRPr="00974448">
        <w:rPr>
          <w:bCs/>
        </w:rPr>
        <w:t>requires analysing the nature, extent and timing of the problems in diverse scenarios</w:t>
      </w:r>
      <w:r w:rsidR="003A116C" w:rsidRPr="00974448">
        <w:rPr>
          <w:bCs/>
        </w:rPr>
        <w:t>)</w:t>
      </w:r>
      <w:r w:rsidR="00711771" w:rsidRPr="00974448">
        <w:rPr>
          <w:bCs/>
        </w:rPr>
        <w:t xml:space="preserve"> (</w:t>
      </w:r>
      <w:r w:rsidR="005C558F">
        <w:rPr>
          <w:bCs/>
          <w:color w:val="7F7F7F" w:themeColor="text1" w:themeTint="80"/>
        </w:rPr>
        <w:t>Brugge and Bruggeman 2019</w:t>
      </w:r>
      <w:r w:rsidR="00711771" w:rsidRPr="00974448">
        <w:rPr>
          <w:bCs/>
          <w:color w:val="7F7F7F" w:themeColor="text1" w:themeTint="80"/>
        </w:rPr>
        <w:t>, p.4-5</w:t>
      </w:r>
      <w:r w:rsidR="00711771" w:rsidRPr="00974448">
        <w:rPr>
          <w:bCs/>
        </w:rPr>
        <w:t>).</w:t>
      </w:r>
    </w:p>
    <w:p w14:paraId="03BEB2E7" w14:textId="11421A31" w:rsidR="009F377F" w:rsidRPr="00974448" w:rsidRDefault="00C4751F" w:rsidP="00E74925">
      <w:pPr>
        <w:pStyle w:val="TEXTBODY"/>
        <w:numPr>
          <w:ilvl w:val="0"/>
          <w:numId w:val="63"/>
        </w:numPr>
        <w:spacing w:line="276" w:lineRule="auto"/>
        <w:ind w:left="284" w:hanging="284"/>
        <w:rPr>
          <w:bCs/>
        </w:rPr>
      </w:pPr>
      <w:r w:rsidRPr="00974448">
        <w:rPr>
          <w:bCs/>
          <w:i/>
          <w:iCs/>
        </w:rPr>
        <w:t>Step 2. Identify measures and options and assess their efficacy.</w:t>
      </w:r>
      <w:r w:rsidRPr="00974448">
        <w:rPr>
          <w:bCs/>
        </w:rPr>
        <w:t xml:space="preserve"> </w:t>
      </w:r>
      <w:r w:rsidR="003562A2" w:rsidRPr="00974448">
        <w:rPr>
          <w:bCs/>
        </w:rPr>
        <w:t>It</w:t>
      </w:r>
      <w:r w:rsidRPr="00974448">
        <w:rPr>
          <w:bCs/>
        </w:rPr>
        <w:t xml:space="preserve"> involves identifying possible measures to solve the problem (</w:t>
      </w:r>
      <w:r w:rsidR="009F377F" w:rsidRPr="00974448">
        <w:rPr>
          <w:bCs/>
        </w:rPr>
        <w:t xml:space="preserve">risk </w:t>
      </w:r>
      <w:r w:rsidRPr="00974448">
        <w:rPr>
          <w:bCs/>
        </w:rPr>
        <w:t>management / adaptation actions) and assessing their efficacy (</w:t>
      </w:r>
      <w:proofErr w:type="spellStart"/>
      <w:r w:rsidR="005C558F">
        <w:rPr>
          <w:bCs/>
          <w:color w:val="7F7F7F" w:themeColor="text1" w:themeTint="80"/>
        </w:rPr>
        <w:t>Deltares</w:t>
      </w:r>
      <w:proofErr w:type="spellEnd"/>
      <w:r w:rsidR="005C558F">
        <w:rPr>
          <w:bCs/>
          <w:color w:val="7F7F7F" w:themeColor="text1" w:themeTint="80"/>
        </w:rPr>
        <w:t xml:space="preserve"> 2018</w:t>
      </w:r>
      <w:r w:rsidRPr="00974448">
        <w:rPr>
          <w:bCs/>
          <w:color w:val="7F7F7F" w:themeColor="text1" w:themeTint="80"/>
        </w:rPr>
        <w:t>, p.2-3</w:t>
      </w:r>
      <w:r w:rsidR="009F377F" w:rsidRPr="00974448">
        <w:rPr>
          <w:bCs/>
          <w:color w:val="7F7F7F" w:themeColor="text1" w:themeTint="80"/>
        </w:rPr>
        <w:t xml:space="preserve">; </w:t>
      </w:r>
      <w:r w:rsidR="009F377F" w:rsidRPr="00974448">
        <w:rPr>
          <w:bCs/>
          <w:color w:val="7F7F7F" w:themeColor="text1" w:themeTint="80"/>
          <w:szCs w:val="22"/>
        </w:rPr>
        <w:t xml:space="preserve">Marchand and Ludwig 2014, p.3; </w:t>
      </w:r>
      <w:r w:rsidR="005C558F">
        <w:rPr>
          <w:bCs/>
          <w:color w:val="7F7F7F" w:themeColor="text1" w:themeTint="80"/>
          <w:szCs w:val="22"/>
        </w:rPr>
        <w:t>Brugge and Bruggeman 2019</w:t>
      </w:r>
      <w:r w:rsidR="009F377F" w:rsidRPr="00974448">
        <w:rPr>
          <w:bCs/>
          <w:color w:val="7F7F7F" w:themeColor="text1" w:themeTint="80"/>
          <w:szCs w:val="22"/>
        </w:rPr>
        <w:t>, p.4-5</w:t>
      </w:r>
      <w:r w:rsidRPr="00974448">
        <w:rPr>
          <w:bCs/>
        </w:rPr>
        <w:t>).</w:t>
      </w:r>
      <w:r w:rsidR="009F377F" w:rsidRPr="00974448">
        <w:rPr>
          <w:rStyle w:val="Refdenotaderodap"/>
          <w:bCs/>
        </w:rPr>
        <w:footnoteReference w:id="31"/>
      </w:r>
      <w:r w:rsidRPr="00974448">
        <w:rPr>
          <w:bCs/>
        </w:rPr>
        <w:t xml:space="preserve"> In this step, it is necessary to: (a) </w:t>
      </w:r>
      <w:r w:rsidR="009F377F" w:rsidRPr="00974448">
        <w:rPr>
          <w:bCs/>
        </w:rPr>
        <w:t xml:space="preserve">search for and </w:t>
      </w:r>
      <w:r w:rsidRPr="00974448">
        <w:rPr>
          <w:bCs/>
        </w:rPr>
        <w:t xml:space="preserve">identify </w:t>
      </w:r>
      <w:r w:rsidR="009F377F" w:rsidRPr="00974448">
        <w:rPr>
          <w:bCs/>
        </w:rPr>
        <w:t xml:space="preserve">possible </w:t>
      </w:r>
      <w:r w:rsidRPr="00974448">
        <w:rPr>
          <w:bCs/>
        </w:rPr>
        <w:t xml:space="preserve">measures / actions </w:t>
      </w:r>
      <w:r w:rsidR="009F377F" w:rsidRPr="00974448">
        <w:rPr>
          <w:bCs/>
        </w:rPr>
        <w:t xml:space="preserve">available </w:t>
      </w:r>
      <w:r w:rsidRPr="00974448">
        <w:rPr>
          <w:bCs/>
        </w:rPr>
        <w:t xml:space="preserve">based on the vulnerabilities and opportunities found in Step 1, and (b) assess </w:t>
      </w:r>
      <w:r w:rsidR="009F377F" w:rsidRPr="00974448">
        <w:rPr>
          <w:bCs/>
        </w:rPr>
        <w:t xml:space="preserve">the </w:t>
      </w:r>
      <w:r w:rsidRPr="00974448">
        <w:rPr>
          <w:bCs/>
        </w:rPr>
        <w:t xml:space="preserve">performance </w:t>
      </w:r>
      <w:r w:rsidR="009F377F" w:rsidRPr="00974448">
        <w:rPr>
          <w:bCs/>
        </w:rPr>
        <w:t>and efficacy</w:t>
      </w:r>
      <w:r w:rsidRPr="00974448">
        <w:rPr>
          <w:bCs/>
        </w:rPr>
        <w:t xml:space="preserve"> of each measure in light of the predefined </w:t>
      </w:r>
      <w:r w:rsidRPr="00974448">
        <w:rPr>
          <w:bCs/>
        </w:rPr>
        <w:lastRenderedPageBreak/>
        <w:t>objectives to determine its tipping-point</w:t>
      </w:r>
      <w:r w:rsidR="002F23E2" w:rsidRPr="00974448">
        <w:rPr>
          <w:bCs/>
        </w:rPr>
        <w:t xml:space="preserve"> (by exploring for how long a given measure will be effective, and the timing of this is largely influenced by the scenario considered); and, then, exploring which other measures are available)</w:t>
      </w:r>
      <w:r w:rsidRPr="00974448">
        <w:rPr>
          <w:bCs/>
        </w:rPr>
        <w:t xml:space="preserve"> (</w:t>
      </w:r>
      <w:proofErr w:type="spellStart"/>
      <w:r w:rsidRPr="00974448">
        <w:rPr>
          <w:bCs/>
          <w:color w:val="7F7F7F" w:themeColor="text1" w:themeTint="80"/>
        </w:rPr>
        <w:t>Haasnoot</w:t>
      </w:r>
      <w:proofErr w:type="spellEnd"/>
      <w:r w:rsidRPr="00974448">
        <w:rPr>
          <w:bCs/>
          <w:color w:val="7F7F7F" w:themeColor="text1" w:themeTint="80"/>
        </w:rPr>
        <w:t xml:space="preserve"> and </w:t>
      </w:r>
      <w:proofErr w:type="spellStart"/>
      <w:r w:rsidRPr="00974448">
        <w:rPr>
          <w:bCs/>
          <w:color w:val="7F7F7F" w:themeColor="text1" w:themeTint="80"/>
        </w:rPr>
        <w:t>Jeuken</w:t>
      </w:r>
      <w:proofErr w:type="spellEnd"/>
      <w:r w:rsidR="002F23E2" w:rsidRPr="00974448">
        <w:rPr>
          <w:bCs/>
          <w:color w:val="7F7F7F" w:themeColor="text1" w:themeTint="80"/>
        </w:rPr>
        <w:t xml:space="preserve">; </w:t>
      </w:r>
      <w:r w:rsidR="005C558F">
        <w:rPr>
          <w:bCs/>
          <w:color w:val="7F7F7F" w:themeColor="text1" w:themeTint="80"/>
        </w:rPr>
        <w:t>Brugge and Bruggeman 2019</w:t>
      </w:r>
      <w:r w:rsidR="002F23E2" w:rsidRPr="00974448">
        <w:rPr>
          <w:bCs/>
          <w:color w:val="7F7F7F" w:themeColor="text1" w:themeTint="80"/>
        </w:rPr>
        <w:t xml:space="preserve">, p.4-5; </w:t>
      </w:r>
      <w:proofErr w:type="spellStart"/>
      <w:r w:rsidR="002F23E2" w:rsidRPr="00974448">
        <w:rPr>
          <w:bCs/>
          <w:color w:val="7F7F7F" w:themeColor="text1" w:themeTint="80"/>
          <w:szCs w:val="22"/>
        </w:rPr>
        <w:t>Gersonius</w:t>
      </w:r>
      <w:proofErr w:type="spellEnd"/>
      <w:r w:rsidR="002F23E2" w:rsidRPr="00974448">
        <w:rPr>
          <w:bCs/>
          <w:color w:val="7F7F7F" w:themeColor="text1" w:themeTint="80"/>
          <w:szCs w:val="22"/>
        </w:rPr>
        <w:t xml:space="preserve"> et al. 2016, p.204-206, 202</w:t>
      </w:r>
      <w:r w:rsidRPr="00974448">
        <w:rPr>
          <w:bCs/>
        </w:rPr>
        <w:t>)</w:t>
      </w:r>
      <w:r w:rsidR="002F23E2" w:rsidRPr="00974448">
        <w:rPr>
          <w:bCs/>
        </w:rPr>
        <w:t>.</w:t>
      </w:r>
      <w:r w:rsidR="002F23E2" w:rsidRPr="00974448">
        <w:rPr>
          <w:rStyle w:val="Refdenotaderodap"/>
          <w:bCs/>
        </w:rPr>
        <w:footnoteReference w:id="32"/>
      </w:r>
      <w:r w:rsidR="009F377F" w:rsidRPr="00974448">
        <w:rPr>
          <w:bCs/>
        </w:rPr>
        <w:t xml:space="preserve"> </w:t>
      </w:r>
      <w:r w:rsidRPr="00974448">
        <w:rPr>
          <w:bCs/>
        </w:rPr>
        <w:t xml:space="preserve">In the DAPP approach (which inspired ADM), an </w:t>
      </w:r>
      <w:r w:rsidRPr="00974448">
        <w:rPr>
          <w:bCs/>
          <w:i/>
          <w:iCs/>
        </w:rPr>
        <w:t>adaptive plan</w:t>
      </w:r>
      <w:r w:rsidRPr="00974448">
        <w:rPr>
          <w:bCs/>
        </w:rPr>
        <w:t xml:space="preserve"> should contain measures for the short-term and options for the long-term, including measures that should be taken now to keep options open to adapt the plan (its strategies or measures) if necessary in the future (e.g. by changing</w:t>
      </w:r>
      <w:r w:rsidR="003562A2" w:rsidRPr="00974448">
        <w:rPr>
          <w:bCs/>
        </w:rPr>
        <w:t xml:space="preserve"> or</w:t>
      </w:r>
      <w:r w:rsidRPr="00974448">
        <w:rPr>
          <w:bCs/>
        </w:rPr>
        <w:t xml:space="preserve"> switching of measure) (</w:t>
      </w:r>
      <w:proofErr w:type="spellStart"/>
      <w:r w:rsidRPr="00974448">
        <w:rPr>
          <w:bCs/>
          <w:color w:val="7F7F7F" w:themeColor="text1" w:themeTint="80"/>
        </w:rPr>
        <w:t>Haasnoot</w:t>
      </w:r>
      <w:proofErr w:type="spellEnd"/>
      <w:r w:rsidRPr="00974448">
        <w:rPr>
          <w:bCs/>
          <w:color w:val="7F7F7F" w:themeColor="text1" w:themeTint="80"/>
        </w:rPr>
        <w:t xml:space="preserve"> and </w:t>
      </w:r>
      <w:proofErr w:type="spellStart"/>
      <w:r w:rsidRPr="00974448">
        <w:rPr>
          <w:bCs/>
          <w:color w:val="7F7F7F" w:themeColor="text1" w:themeTint="80"/>
        </w:rPr>
        <w:t>Jeuken</w:t>
      </w:r>
      <w:proofErr w:type="spellEnd"/>
      <w:r w:rsidRPr="00974448">
        <w:rPr>
          <w:bCs/>
        </w:rPr>
        <w:t>).</w:t>
      </w:r>
      <w:r w:rsidR="002F23E2" w:rsidRPr="00974448">
        <w:rPr>
          <w:rStyle w:val="Refdenotaderodap"/>
          <w:bCs/>
        </w:rPr>
        <w:footnoteReference w:id="33"/>
      </w:r>
      <w:r w:rsidRPr="00974448">
        <w:rPr>
          <w:bCs/>
        </w:rPr>
        <w:t xml:space="preserve"> </w:t>
      </w:r>
      <w:bookmarkStart w:id="47" w:name="_Hlk141361391"/>
      <w:r w:rsidRPr="00974448">
        <w:rPr>
          <w:bCs/>
        </w:rPr>
        <w:t>Through an iterative assessment of measures’ efficacy and tipping-point, it is possible to select the most successful measures; and, once a set of measures seems adequate, it is possible to build various possible pathways (</w:t>
      </w:r>
      <w:proofErr w:type="spellStart"/>
      <w:r w:rsidRPr="00974448">
        <w:rPr>
          <w:bCs/>
          <w:color w:val="7F7F7F" w:themeColor="text1" w:themeTint="80"/>
        </w:rPr>
        <w:t>Jeuken</w:t>
      </w:r>
      <w:proofErr w:type="spellEnd"/>
      <w:r w:rsidRPr="00974448">
        <w:rPr>
          <w:bCs/>
          <w:color w:val="7F7F7F" w:themeColor="text1" w:themeTint="80"/>
        </w:rPr>
        <w:t xml:space="preserve"> et al. 2014, p.4</w:t>
      </w:r>
      <w:r w:rsidRPr="00974448">
        <w:rPr>
          <w:bCs/>
        </w:rPr>
        <w:t>).</w:t>
      </w:r>
      <w:bookmarkEnd w:id="47"/>
    </w:p>
    <w:p w14:paraId="76DFE5AD" w14:textId="04C30C17" w:rsidR="004B56A0" w:rsidRPr="00974448" w:rsidRDefault="00C4751F" w:rsidP="00E74925">
      <w:pPr>
        <w:pStyle w:val="TEXTBODY"/>
        <w:numPr>
          <w:ilvl w:val="0"/>
          <w:numId w:val="63"/>
        </w:numPr>
        <w:spacing w:line="276" w:lineRule="auto"/>
        <w:ind w:left="284" w:hanging="284"/>
        <w:rPr>
          <w:bCs/>
        </w:rPr>
      </w:pPr>
      <w:r w:rsidRPr="00974448">
        <w:rPr>
          <w:bCs/>
          <w:i/>
          <w:iCs/>
        </w:rPr>
        <w:t>Step 3. Develop adaptation pathways and the APs map</w:t>
      </w:r>
      <w:r w:rsidRPr="00974448">
        <w:rPr>
          <w:bCs/>
        </w:rPr>
        <w:t xml:space="preserve">. </w:t>
      </w:r>
      <w:r w:rsidR="003562A2" w:rsidRPr="00974448">
        <w:rPr>
          <w:bCs/>
        </w:rPr>
        <w:t>It</w:t>
      </w:r>
      <w:r w:rsidRPr="00974448">
        <w:rPr>
          <w:bCs/>
        </w:rPr>
        <w:t xml:space="preserve"> consists of the design of adaptation pathways </w:t>
      </w:r>
      <w:bookmarkStart w:id="48" w:name="_Hlk139974039"/>
      <w:r w:rsidRPr="00974448">
        <w:rPr>
          <w:bCs/>
        </w:rPr>
        <w:t>(APs)</w:t>
      </w:r>
      <w:r w:rsidR="002F23E2" w:rsidRPr="00974448">
        <w:rPr>
          <w:bCs/>
        </w:rPr>
        <w:t xml:space="preserve"> </w:t>
      </w:r>
      <w:r w:rsidR="002F23E2" w:rsidRPr="00974448">
        <w:rPr>
          <w:bCs/>
          <w:szCs w:val="22"/>
        </w:rPr>
        <w:t>(</w:t>
      </w:r>
      <w:proofErr w:type="spellStart"/>
      <w:r w:rsidR="002F23E2" w:rsidRPr="00974448">
        <w:rPr>
          <w:bCs/>
          <w:color w:val="7F7F7F" w:themeColor="text1" w:themeTint="80"/>
          <w:szCs w:val="22"/>
        </w:rPr>
        <w:t>Haasnoot</w:t>
      </w:r>
      <w:proofErr w:type="spellEnd"/>
      <w:r w:rsidR="002F23E2" w:rsidRPr="00974448">
        <w:rPr>
          <w:bCs/>
          <w:color w:val="7F7F7F" w:themeColor="text1" w:themeTint="80"/>
          <w:szCs w:val="22"/>
        </w:rPr>
        <w:t xml:space="preserve"> and </w:t>
      </w:r>
      <w:proofErr w:type="spellStart"/>
      <w:r w:rsidR="002F23E2" w:rsidRPr="00974448">
        <w:rPr>
          <w:bCs/>
          <w:color w:val="7F7F7F" w:themeColor="text1" w:themeTint="80"/>
          <w:szCs w:val="22"/>
        </w:rPr>
        <w:t>Jeuken</w:t>
      </w:r>
      <w:proofErr w:type="spellEnd"/>
      <w:r w:rsidR="002F23E2" w:rsidRPr="00974448">
        <w:rPr>
          <w:bCs/>
          <w:color w:val="7F7F7F" w:themeColor="text1" w:themeTint="80"/>
          <w:szCs w:val="22"/>
        </w:rPr>
        <w:t xml:space="preserve">; </w:t>
      </w:r>
      <w:proofErr w:type="spellStart"/>
      <w:r w:rsidR="002F23E2" w:rsidRPr="00974448">
        <w:rPr>
          <w:bCs/>
          <w:color w:val="7F7F7F" w:themeColor="text1" w:themeTint="80"/>
          <w:szCs w:val="22"/>
        </w:rPr>
        <w:t>Gersonius</w:t>
      </w:r>
      <w:proofErr w:type="spellEnd"/>
      <w:r w:rsidR="002F23E2" w:rsidRPr="00974448">
        <w:rPr>
          <w:bCs/>
          <w:color w:val="7F7F7F" w:themeColor="text1" w:themeTint="80"/>
          <w:szCs w:val="22"/>
        </w:rPr>
        <w:t xml:space="preserve"> et al. 2016, p.204; </w:t>
      </w:r>
      <w:r w:rsidR="005C558F">
        <w:rPr>
          <w:bCs/>
          <w:color w:val="7F7F7F" w:themeColor="text1" w:themeTint="80"/>
          <w:szCs w:val="22"/>
        </w:rPr>
        <w:t>Brugge and Bruggeman 2019</w:t>
      </w:r>
      <w:r w:rsidR="002F23E2" w:rsidRPr="00974448">
        <w:rPr>
          <w:bCs/>
          <w:color w:val="7F7F7F" w:themeColor="text1" w:themeTint="80"/>
          <w:szCs w:val="22"/>
        </w:rPr>
        <w:t>, p.4-5</w:t>
      </w:r>
      <w:r w:rsidR="002F23E2" w:rsidRPr="00974448">
        <w:rPr>
          <w:bCs/>
          <w:szCs w:val="22"/>
        </w:rPr>
        <w:t>).</w:t>
      </w:r>
      <w:r w:rsidRPr="00974448">
        <w:rPr>
          <w:bCs/>
        </w:rPr>
        <w:t xml:space="preserve"> </w:t>
      </w:r>
      <w:bookmarkStart w:id="49" w:name="_Hlk141361452"/>
      <w:r w:rsidR="003565E0" w:rsidRPr="00974448">
        <w:rPr>
          <w:bCs/>
          <w:szCs w:val="22"/>
        </w:rPr>
        <w:t>A pathway is a sequence of measures that may be activated before an ATP occurs (</w:t>
      </w:r>
      <w:proofErr w:type="spellStart"/>
      <w:r w:rsidR="003565E0" w:rsidRPr="00974448">
        <w:rPr>
          <w:bCs/>
          <w:color w:val="7F7F7F" w:themeColor="text1" w:themeTint="80"/>
          <w:szCs w:val="22"/>
        </w:rPr>
        <w:t>Gersonius</w:t>
      </w:r>
      <w:proofErr w:type="spellEnd"/>
      <w:r w:rsidR="003565E0" w:rsidRPr="00974448">
        <w:rPr>
          <w:bCs/>
          <w:color w:val="7F7F7F" w:themeColor="text1" w:themeTint="80"/>
          <w:szCs w:val="22"/>
        </w:rPr>
        <w:t xml:space="preserve"> et al. 2016, p.204</w:t>
      </w:r>
      <w:r w:rsidR="003565E0" w:rsidRPr="00974448">
        <w:rPr>
          <w:bCs/>
          <w:szCs w:val="22"/>
        </w:rPr>
        <w:t xml:space="preserve">). </w:t>
      </w:r>
      <w:r w:rsidRPr="00974448">
        <w:rPr>
          <w:bCs/>
        </w:rPr>
        <w:t>A pathway is a sequence of possible measures (assembled with measures identified in Step 2). This step requires constructing / assembling several possible pathways</w:t>
      </w:r>
      <w:r w:rsidR="003562A2" w:rsidRPr="00974448">
        <w:rPr>
          <w:bCs/>
        </w:rPr>
        <w:t xml:space="preserve"> (</w:t>
      </w:r>
      <w:r w:rsidRPr="00974448">
        <w:rPr>
          <w:bCs/>
        </w:rPr>
        <w:t xml:space="preserve">sequences of measures) </w:t>
      </w:r>
      <w:r w:rsidR="003562A2" w:rsidRPr="00974448">
        <w:rPr>
          <w:bCs/>
        </w:rPr>
        <w:t>by using the promising measures identified in Step 2 as building blocks, and then, representing such pathways in an APs’ map (and the costs and benefits of each pathway may be presented in a scorecard) (</w:t>
      </w:r>
      <w:proofErr w:type="spellStart"/>
      <w:r w:rsidR="003562A2" w:rsidRPr="00974448">
        <w:rPr>
          <w:bCs/>
          <w:color w:val="7F7F7F" w:themeColor="text1" w:themeTint="80"/>
        </w:rPr>
        <w:t>Haasnoot</w:t>
      </w:r>
      <w:proofErr w:type="spellEnd"/>
      <w:r w:rsidR="003562A2" w:rsidRPr="00974448">
        <w:rPr>
          <w:bCs/>
          <w:color w:val="7F7F7F" w:themeColor="text1" w:themeTint="80"/>
        </w:rPr>
        <w:t xml:space="preserve"> and </w:t>
      </w:r>
      <w:proofErr w:type="spellStart"/>
      <w:r w:rsidR="003562A2" w:rsidRPr="00974448">
        <w:rPr>
          <w:bCs/>
          <w:color w:val="7F7F7F" w:themeColor="text1" w:themeTint="80"/>
        </w:rPr>
        <w:t>Jeuken</w:t>
      </w:r>
      <w:proofErr w:type="spellEnd"/>
      <w:r w:rsidR="003562A2" w:rsidRPr="00974448">
        <w:rPr>
          <w:bCs/>
        </w:rPr>
        <w:t xml:space="preserve">; </w:t>
      </w:r>
      <w:proofErr w:type="spellStart"/>
      <w:r w:rsidRPr="00974448">
        <w:rPr>
          <w:bCs/>
          <w:color w:val="7F7F7F" w:themeColor="text1" w:themeTint="80"/>
        </w:rPr>
        <w:t>Jeuken</w:t>
      </w:r>
      <w:proofErr w:type="spellEnd"/>
      <w:r w:rsidRPr="00974448">
        <w:rPr>
          <w:bCs/>
          <w:color w:val="7F7F7F" w:themeColor="text1" w:themeTint="80"/>
        </w:rPr>
        <w:t xml:space="preserve"> et al. 2014, p.4-5</w:t>
      </w:r>
      <w:r w:rsidR="003562A2" w:rsidRPr="00974448">
        <w:rPr>
          <w:bCs/>
        </w:rPr>
        <w:t>).</w:t>
      </w:r>
      <w:r w:rsidR="003562A2" w:rsidRPr="00974448">
        <w:rPr>
          <w:rStyle w:val="Refdenotaderodap"/>
          <w:bCs/>
        </w:rPr>
        <w:footnoteReference w:id="34"/>
      </w:r>
      <w:r w:rsidRPr="00974448">
        <w:rPr>
          <w:bCs/>
        </w:rPr>
        <w:t xml:space="preserve"> Crucial to design the APs are the adaptation tipping-points (i.e. points/ conditions under which a measure no longer meets the defined objectives); when an ATP is reached, other / additional measures are required to achieve the objectives. The APs map shows which measures are available</w:t>
      </w:r>
      <w:r w:rsidR="003562A2" w:rsidRPr="00974448">
        <w:rPr>
          <w:bCs/>
        </w:rPr>
        <w:t xml:space="preserve"> and when these will be needed</w:t>
      </w:r>
      <w:r w:rsidRPr="00974448">
        <w:rPr>
          <w:bCs/>
        </w:rPr>
        <w:t xml:space="preserve"> (</w:t>
      </w:r>
      <w:proofErr w:type="spellStart"/>
      <w:r w:rsidR="005C558F">
        <w:rPr>
          <w:bCs/>
          <w:color w:val="7F7F7F" w:themeColor="text1" w:themeTint="80"/>
        </w:rPr>
        <w:t>Deltares</w:t>
      </w:r>
      <w:proofErr w:type="spellEnd"/>
      <w:r w:rsidR="005C558F">
        <w:rPr>
          <w:bCs/>
          <w:color w:val="7F7F7F" w:themeColor="text1" w:themeTint="80"/>
        </w:rPr>
        <w:t xml:space="preserve"> 2018</w:t>
      </w:r>
      <w:r w:rsidRPr="00974448">
        <w:rPr>
          <w:bCs/>
          <w:color w:val="7F7F7F" w:themeColor="text1" w:themeTint="80"/>
        </w:rPr>
        <w:t>, p.2-4</w:t>
      </w:r>
      <w:r w:rsidRPr="00974448">
        <w:rPr>
          <w:bCs/>
        </w:rPr>
        <w:t>)</w:t>
      </w:r>
      <w:r w:rsidR="004B56A0" w:rsidRPr="00974448">
        <w:rPr>
          <w:bCs/>
        </w:rPr>
        <w:t xml:space="preserve">. </w:t>
      </w:r>
      <w:bookmarkEnd w:id="49"/>
      <w:r w:rsidR="003565E0" w:rsidRPr="00974448">
        <w:rPr>
          <w:bCs/>
          <w:szCs w:val="22"/>
        </w:rPr>
        <w:t>Therefore, in</w:t>
      </w:r>
      <w:r w:rsidR="002F23E2" w:rsidRPr="00974448">
        <w:rPr>
          <w:bCs/>
          <w:szCs w:val="22"/>
        </w:rPr>
        <w:t xml:space="preserve"> this Step, it is necessary to design various adaptation pathways in a map (based on the assessment of the efficiency of the individual measures identified in step 2)</w:t>
      </w:r>
      <w:r w:rsidR="003565E0" w:rsidRPr="00974448">
        <w:rPr>
          <w:bCs/>
          <w:szCs w:val="22"/>
        </w:rPr>
        <w:t>; t</w:t>
      </w:r>
      <w:r w:rsidR="002F23E2" w:rsidRPr="00974448">
        <w:rPr>
          <w:bCs/>
          <w:szCs w:val="22"/>
        </w:rPr>
        <w:t>he various pathways provide flexibility to adapt to a wide range of future changes</w:t>
      </w:r>
      <w:r w:rsidR="003565E0" w:rsidRPr="00974448">
        <w:rPr>
          <w:bCs/>
          <w:szCs w:val="22"/>
        </w:rPr>
        <w:t>; t</w:t>
      </w:r>
      <w:r w:rsidR="002F23E2" w:rsidRPr="00974448">
        <w:rPr>
          <w:bCs/>
          <w:szCs w:val="22"/>
        </w:rPr>
        <w:t>he APs’ map shows the points in time for implementing measures</w:t>
      </w:r>
      <w:r w:rsidR="002F23E2" w:rsidRPr="00974448">
        <w:rPr>
          <w:bCs/>
          <w:color w:val="00B050"/>
          <w:szCs w:val="22"/>
        </w:rPr>
        <w:t xml:space="preserve"> </w:t>
      </w:r>
      <w:r w:rsidR="002F23E2" w:rsidRPr="00974448">
        <w:rPr>
          <w:bCs/>
          <w:szCs w:val="22"/>
        </w:rPr>
        <w:t>(</w:t>
      </w:r>
      <w:proofErr w:type="spellStart"/>
      <w:r w:rsidR="002F23E2" w:rsidRPr="00974448">
        <w:rPr>
          <w:bCs/>
          <w:color w:val="7F7F7F" w:themeColor="text1" w:themeTint="80"/>
          <w:szCs w:val="22"/>
        </w:rPr>
        <w:t>Gersonius</w:t>
      </w:r>
      <w:proofErr w:type="spellEnd"/>
      <w:r w:rsidR="002F23E2" w:rsidRPr="00974448">
        <w:rPr>
          <w:bCs/>
          <w:color w:val="7F7F7F" w:themeColor="text1" w:themeTint="80"/>
          <w:szCs w:val="22"/>
        </w:rPr>
        <w:t xml:space="preserve"> et al. 2016</w:t>
      </w:r>
      <w:r w:rsidR="002F23E2" w:rsidRPr="00974448">
        <w:rPr>
          <w:bCs/>
          <w:szCs w:val="22"/>
        </w:rPr>
        <w:t xml:space="preserve">). </w:t>
      </w:r>
      <w:r w:rsidR="003565E0" w:rsidRPr="00974448">
        <w:rPr>
          <w:bCs/>
          <w:szCs w:val="22"/>
        </w:rPr>
        <w:t xml:space="preserve"> To design the adaptation pathways in a map, the method of </w:t>
      </w:r>
      <w:proofErr w:type="spellStart"/>
      <w:r w:rsidR="003565E0" w:rsidRPr="00974448">
        <w:rPr>
          <w:bCs/>
          <w:color w:val="7F7F7F" w:themeColor="text1" w:themeTint="80"/>
          <w:szCs w:val="22"/>
        </w:rPr>
        <w:t>Haasnoot</w:t>
      </w:r>
      <w:proofErr w:type="spellEnd"/>
      <w:r w:rsidR="003565E0" w:rsidRPr="00974448">
        <w:rPr>
          <w:bCs/>
          <w:color w:val="7F7F7F" w:themeColor="text1" w:themeTint="80"/>
          <w:szCs w:val="22"/>
        </w:rPr>
        <w:t xml:space="preserve"> et al. (2012, 2013) </w:t>
      </w:r>
      <w:r w:rsidR="003565E0" w:rsidRPr="00974448">
        <w:rPr>
          <w:bCs/>
          <w:szCs w:val="22"/>
        </w:rPr>
        <w:t>is used; adaptation pathways are designed as series of sequenced measures that provide a solution to problems (</w:t>
      </w:r>
      <w:r w:rsidR="004B56A0" w:rsidRPr="00974448">
        <w:rPr>
          <w:bCs/>
          <w:i/>
          <w:iCs/>
          <w:szCs w:val="22"/>
        </w:rPr>
        <w:t>in</w:t>
      </w:r>
      <w:r w:rsidR="004B56A0" w:rsidRPr="00974448">
        <w:rPr>
          <w:bCs/>
          <w:szCs w:val="22"/>
        </w:rPr>
        <w:t xml:space="preserve"> </w:t>
      </w:r>
      <w:r w:rsidR="005C558F">
        <w:rPr>
          <w:bCs/>
          <w:color w:val="7F7F7F" w:themeColor="text1" w:themeTint="80"/>
          <w:szCs w:val="22"/>
        </w:rPr>
        <w:t>Brugge and Bruggeman 2019</w:t>
      </w:r>
      <w:r w:rsidR="003565E0" w:rsidRPr="00974448">
        <w:rPr>
          <w:bCs/>
          <w:szCs w:val="22"/>
        </w:rPr>
        <w:t>).</w:t>
      </w:r>
      <w:r w:rsidR="004B56A0" w:rsidRPr="00974448">
        <w:rPr>
          <w:bCs/>
        </w:rPr>
        <w:t xml:space="preserve"> </w:t>
      </w:r>
      <w:r w:rsidR="002F23E2" w:rsidRPr="00974448">
        <w:rPr>
          <w:bCs/>
          <w:szCs w:val="22"/>
        </w:rPr>
        <w:t xml:space="preserve">This step also implies the assessment of the proposed strategies (pathways) on their </w:t>
      </w:r>
      <w:r w:rsidR="002F23E2" w:rsidRPr="00974448">
        <w:rPr>
          <w:bCs/>
          <w:i/>
          <w:szCs w:val="22"/>
        </w:rPr>
        <w:t>robustness</w:t>
      </w:r>
      <w:r w:rsidR="002F23E2" w:rsidRPr="00974448">
        <w:rPr>
          <w:bCs/>
          <w:szCs w:val="22"/>
        </w:rPr>
        <w:t xml:space="preserve"> and </w:t>
      </w:r>
      <w:r w:rsidR="002F23E2" w:rsidRPr="00974448">
        <w:rPr>
          <w:bCs/>
          <w:i/>
          <w:szCs w:val="22"/>
        </w:rPr>
        <w:t>flexibility</w:t>
      </w:r>
      <w:r w:rsidR="002F23E2" w:rsidRPr="00974448">
        <w:rPr>
          <w:bCs/>
          <w:szCs w:val="22"/>
        </w:rPr>
        <w:t>, under different scenarios</w:t>
      </w:r>
      <w:r w:rsidR="003565E0" w:rsidRPr="00974448">
        <w:rPr>
          <w:bCs/>
          <w:szCs w:val="22"/>
        </w:rPr>
        <w:t>; in addition,</w:t>
      </w:r>
      <w:r w:rsidR="002F23E2" w:rsidRPr="00974448">
        <w:rPr>
          <w:bCs/>
          <w:szCs w:val="22"/>
        </w:rPr>
        <w:t xml:space="preserve"> other criteria, e.g.</w:t>
      </w:r>
      <w:r w:rsidR="003565E0" w:rsidRPr="00974448">
        <w:rPr>
          <w:bCs/>
          <w:szCs w:val="22"/>
        </w:rPr>
        <w:t xml:space="preserve"> effectiveness, costs, side-benefits,</w:t>
      </w:r>
      <w:r w:rsidR="002F23E2" w:rsidRPr="00974448">
        <w:rPr>
          <w:bCs/>
          <w:szCs w:val="22"/>
        </w:rPr>
        <w:t xml:space="preserve"> </w:t>
      </w:r>
      <w:r w:rsidR="002F23E2" w:rsidRPr="00974448">
        <w:rPr>
          <w:bCs/>
          <w:i/>
          <w:szCs w:val="22"/>
        </w:rPr>
        <w:t>impacts</w:t>
      </w:r>
      <w:r w:rsidR="002F23E2" w:rsidRPr="00974448">
        <w:rPr>
          <w:bCs/>
          <w:szCs w:val="22"/>
        </w:rPr>
        <w:t xml:space="preserve">, </w:t>
      </w:r>
      <w:r w:rsidR="002F23E2" w:rsidRPr="00974448">
        <w:rPr>
          <w:bCs/>
          <w:i/>
          <w:szCs w:val="22"/>
        </w:rPr>
        <w:t>uncertainty involved</w:t>
      </w:r>
      <w:r w:rsidR="003565E0" w:rsidRPr="00974448">
        <w:rPr>
          <w:bCs/>
          <w:szCs w:val="22"/>
        </w:rPr>
        <w:t xml:space="preserve">, </w:t>
      </w:r>
      <w:r w:rsidR="002F23E2" w:rsidRPr="00974448">
        <w:rPr>
          <w:bCs/>
          <w:i/>
          <w:szCs w:val="22"/>
        </w:rPr>
        <w:t>desire to keep options</w:t>
      </w:r>
      <w:r w:rsidR="002F23E2" w:rsidRPr="00974448">
        <w:rPr>
          <w:bCs/>
          <w:szCs w:val="22"/>
        </w:rPr>
        <w:t>, may be used</w:t>
      </w:r>
      <w:r w:rsidR="003565E0" w:rsidRPr="00974448">
        <w:rPr>
          <w:bCs/>
          <w:szCs w:val="22"/>
        </w:rPr>
        <w:t>; then, t</w:t>
      </w:r>
      <w:r w:rsidR="002F23E2" w:rsidRPr="00974448">
        <w:rPr>
          <w:bCs/>
          <w:szCs w:val="22"/>
        </w:rPr>
        <w:t>he results of this assessment can then help to select a subset of promising pathways</w:t>
      </w:r>
      <w:r w:rsidR="003565E0" w:rsidRPr="00974448">
        <w:rPr>
          <w:bCs/>
          <w:szCs w:val="22"/>
        </w:rPr>
        <w:t xml:space="preserve"> (it</w:t>
      </w:r>
      <w:r w:rsidR="002F23E2" w:rsidRPr="00974448">
        <w:rPr>
          <w:bCs/>
          <w:szCs w:val="22"/>
        </w:rPr>
        <w:t xml:space="preserve"> is important to include inputs from different actors and seize opportunities to link different investment agendas</w:t>
      </w:r>
      <w:r w:rsidR="003565E0" w:rsidRPr="00974448">
        <w:rPr>
          <w:bCs/>
          <w:szCs w:val="22"/>
        </w:rPr>
        <w:t>)</w:t>
      </w:r>
      <w:r w:rsidR="002F23E2" w:rsidRPr="00974448">
        <w:rPr>
          <w:bCs/>
          <w:szCs w:val="22"/>
        </w:rPr>
        <w:t xml:space="preserve"> (</w:t>
      </w:r>
      <w:proofErr w:type="spellStart"/>
      <w:r w:rsidR="002F23E2" w:rsidRPr="00974448">
        <w:rPr>
          <w:bCs/>
          <w:color w:val="7F7F7F" w:themeColor="text1" w:themeTint="80"/>
          <w:szCs w:val="22"/>
        </w:rPr>
        <w:t>Gersonius</w:t>
      </w:r>
      <w:proofErr w:type="spellEnd"/>
      <w:r w:rsidR="002F23E2" w:rsidRPr="00974448">
        <w:rPr>
          <w:bCs/>
          <w:color w:val="7F7F7F" w:themeColor="text1" w:themeTint="80"/>
          <w:szCs w:val="22"/>
        </w:rPr>
        <w:t xml:space="preserve"> et al. 2016, p.204-206</w:t>
      </w:r>
      <w:r w:rsidR="003565E0" w:rsidRPr="00974448">
        <w:rPr>
          <w:bCs/>
          <w:szCs w:val="22"/>
        </w:rPr>
        <w:t xml:space="preserve">; </w:t>
      </w:r>
      <w:r w:rsidR="002F23E2" w:rsidRPr="00974448">
        <w:rPr>
          <w:bCs/>
          <w:color w:val="7F7F7F" w:themeColor="text1" w:themeTint="80"/>
          <w:szCs w:val="22"/>
        </w:rPr>
        <w:t>Zandvoort et al. 2018, p.189</w:t>
      </w:r>
      <w:r w:rsidR="003565E0" w:rsidRPr="00974448">
        <w:rPr>
          <w:bCs/>
          <w:color w:val="7F7F7F" w:themeColor="text1" w:themeTint="80"/>
          <w:szCs w:val="22"/>
        </w:rPr>
        <w:t xml:space="preserve">; </w:t>
      </w:r>
      <w:r w:rsidR="005C558F">
        <w:rPr>
          <w:bCs/>
          <w:color w:val="7F7F7F" w:themeColor="text1" w:themeTint="80"/>
          <w:szCs w:val="22"/>
        </w:rPr>
        <w:t>Brugge and Bruggeman 2019</w:t>
      </w:r>
      <w:r w:rsidR="003565E0" w:rsidRPr="00974448">
        <w:rPr>
          <w:bCs/>
          <w:color w:val="7F7F7F" w:themeColor="text1" w:themeTint="80"/>
          <w:szCs w:val="22"/>
        </w:rPr>
        <w:t>, p.4-5</w:t>
      </w:r>
      <w:r w:rsidR="002F23E2" w:rsidRPr="00974448">
        <w:rPr>
          <w:bCs/>
          <w:szCs w:val="22"/>
        </w:rPr>
        <w:t>).</w:t>
      </w:r>
      <w:r w:rsidR="003565E0" w:rsidRPr="00974448">
        <w:rPr>
          <w:rStyle w:val="Refdenotaderodap"/>
          <w:bCs/>
          <w:szCs w:val="22"/>
        </w:rPr>
        <w:footnoteReference w:id="35"/>
      </w:r>
      <w:r w:rsidR="004B56A0" w:rsidRPr="00974448">
        <w:rPr>
          <w:bCs/>
        </w:rPr>
        <w:t xml:space="preserve"> </w:t>
      </w:r>
      <w:r w:rsidR="002F23E2" w:rsidRPr="00974448">
        <w:rPr>
          <w:bCs/>
          <w:szCs w:val="22"/>
        </w:rPr>
        <w:t>The pathways are generated (assembled) and then assessed, which may lead back to Step 2 in an iterative way</w:t>
      </w:r>
      <w:r w:rsidR="004B56A0" w:rsidRPr="00974448">
        <w:rPr>
          <w:bCs/>
          <w:szCs w:val="22"/>
        </w:rPr>
        <w:t xml:space="preserve"> </w:t>
      </w:r>
      <w:r w:rsidR="002F23E2" w:rsidRPr="00974448">
        <w:rPr>
          <w:bCs/>
          <w:szCs w:val="22"/>
        </w:rPr>
        <w:t>(</w:t>
      </w:r>
      <w:r w:rsidR="005C558F">
        <w:rPr>
          <w:bCs/>
          <w:color w:val="7F7F7F" w:themeColor="text1" w:themeTint="80"/>
          <w:szCs w:val="22"/>
        </w:rPr>
        <w:t>Brugge and Bruggeman 2019</w:t>
      </w:r>
      <w:r w:rsidR="002F23E2" w:rsidRPr="00974448">
        <w:rPr>
          <w:bCs/>
          <w:color w:val="7F7F7F" w:themeColor="text1" w:themeTint="80"/>
          <w:szCs w:val="22"/>
        </w:rPr>
        <w:t>, p.4-5</w:t>
      </w:r>
      <w:r w:rsidR="002F23E2" w:rsidRPr="00974448">
        <w:rPr>
          <w:bCs/>
          <w:szCs w:val="22"/>
        </w:rPr>
        <w:t>). Several methods can be used to assess measures and pathways, their ATPs and effects, e.g.:</w:t>
      </w:r>
      <w:r w:rsidR="002F23E2" w:rsidRPr="00974448">
        <w:rPr>
          <w:bCs/>
          <w:color w:val="C00000"/>
          <w:szCs w:val="22"/>
        </w:rPr>
        <w:t xml:space="preserve"> </w:t>
      </w:r>
      <w:r w:rsidR="002F23E2" w:rsidRPr="00974448">
        <w:rPr>
          <w:bCs/>
          <w:szCs w:val="22"/>
        </w:rPr>
        <w:t>cost-benefit, cost-effectiveness and multi-criteria analyses;</w:t>
      </w:r>
      <w:r w:rsidR="002F23E2" w:rsidRPr="00974448">
        <w:rPr>
          <w:bCs/>
          <w:color w:val="C00000"/>
          <w:szCs w:val="22"/>
        </w:rPr>
        <w:t xml:space="preserve"> r</w:t>
      </w:r>
      <w:r w:rsidR="002F23E2" w:rsidRPr="00974448">
        <w:rPr>
          <w:bCs/>
          <w:szCs w:val="22"/>
        </w:rPr>
        <w:t>obustness analysis (focused on measures’ performance under diverse scenarios); feasibility analysis (focused on barriers and facilitators) (</w:t>
      </w:r>
      <w:proofErr w:type="spellStart"/>
      <w:r w:rsidR="005C558F">
        <w:rPr>
          <w:bCs/>
          <w:color w:val="7F7F7F" w:themeColor="text1" w:themeTint="80"/>
          <w:szCs w:val="22"/>
        </w:rPr>
        <w:t>Deltares</w:t>
      </w:r>
      <w:proofErr w:type="spellEnd"/>
      <w:r w:rsidR="005C558F">
        <w:rPr>
          <w:bCs/>
          <w:color w:val="7F7F7F" w:themeColor="text1" w:themeTint="80"/>
          <w:szCs w:val="22"/>
        </w:rPr>
        <w:t xml:space="preserve"> 2018</w:t>
      </w:r>
      <w:r w:rsidR="002F23E2" w:rsidRPr="00974448">
        <w:rPr>
          <w:bCs/>
          <w:szCs w:val="22"/>
        </w:rPr>
        <w:t>).</w:t>
      </w:r>
      <w:r w:rsidR="004B56A0" w:rsidRPr="00974448">
        <w:rPr>
          <w:rStyle w:val="Refdenotaderodap"/>
          <w:bCs/>
          <w:szCs w:val="22"/>
        </w:rPr>
        <w:footnoteReference w:id="36"/>
      </w:r>
      <w:bookmarkEnd w:id="48"/>
    </w:p>
    <w:p w14:paraId="4348A741" w14:textId="31770D2C" w:rsidR="004B56A0" w:rsidRPr="00974448" w:rsidRDefault="00C4751F" w:rsidP="00E74925">
      <w:pPr>
        <w:pStyle w:val="TEXTBODY"/>
        <w:numPr>
          <w:ilvl w:val="0"/>
          <w:numId w:val="63"/>
        </w:numPr>
        <w:spacing w:line="276" w:lineRule="auto"/>
        <w:ind w:left="284" w:hanging="284"/>
        <w:rPr>
          <w:bCs/>
        </w:rPr>
      </w:pPr>
      <w:r w:rsidRPr="00974448">
        <w:rPr>
          <w:bCs/>
          <w:i/>
          <w:iCs/>
        </w:rPr>
        <w:t xml:space="preserve">Step 4. Design an adaptive </w:t>
      </w:r>
      <w:proofErr w:type="gramStart"/>
      <w:r w:rsidRPr="00974448">
        <w:rPr>
          <w:bCs/>
          <w:i/>
          <w:iCs/>
        </w:rPr>
        <w:t>plan, and</w:t>
      </w:r>
      <w:proofErr w:type="gramEnd"/>
      <w:r w:rsidRPr="00974448">
        <w:rPr>
          <w:bCs/>
          <w:i/>
          <w:iCs/>
        </w:rPr>
        <w:t xml:space="preserve"> define triggers</w:t>
      </w:r>
      <w:r w:rsidRPr="00974448">
        <w:rPr>
          <w:bCs/>
        </w:rPr>
        <w:t>. This</w:t>
      </w:r>
      <w:r w:rsidR="003562A2" w:rsidRPr="00974448">
        <w:rPr>
          <w:bCs/>
        </w:rPr>
        <w:t xml:space="preserve"> consists of </w:t>
      </w:r>
      <w:r w:rsidRPr="00974448">
        <w:rPr>
          <w:bCs/>
        </w:rPr>
        <w:t>formulati</w:t>
      </w:r>
      <w:r w:rsidR="003562A2" w:rsidRPr="00974448">
        <w:rPr>
          <w:bCs/>
        </w:rPr>
        <w:t xml:space="preserve">ng </w:t>
      </w:r>
      <w:r w:rsidRPr="00974448">
        <w:rPr>
          <w:bCs/>
        </w:rPr>
        <w:t xml:space="preserve">an </w:t>
      </w:r>
      <w:r w:rsidRPr="00974448">
        <w:rPr>
          <w:bCs/>
          <w:i/>
          <w:iCs/>
        </w:rPr>
        <w:t>adaptive plan</w:t>
      </w:r>
      <w:r w:rsidRPr="00974448">
        <w:rPr>
          <w:bCs/>
        </w:rPr>
        <w:t xml:space="preserve">. </w:t>
      </w:r>
      <w:r w:rsidR="003562A2" w:rsidRPr="00974448">
        <w:rPr>
          <w:bCs/>
        </w:rPr>
        <w:t>It</w:t>
      </w:r>
      <w:r w:rsidRPr="00974448">
        <w:rPr>
          <w:bCs/>
        </w:rPr>
        <w:t xml:space="preserve"> </w:t>
      </w:r>
      <w:r w:rsidR="007A49AF" w:rsidRPr="00974448">
        <w:rPr>
          <w:bCs/>
        </w:rPr>
        <w:t>implies</w:t>
      </w:r>
      <w:r w:rsidRPr="00974448">
        <w:rPr>
          <w:bCs/>
        </w:rPr>
        <w:t xml:space="preserve">: </w:t>
      </w:r>
      <w:r w:rsidR="007A49AF" w:rsidRPr="00974448">
        <w:rPr>
          <w:bCs/>
        </w:rPr>
        <w:t>(a) the appraisal of the various pathways on their social and economic feasibility, robustness and flexibility</w:t>
      </w:r>
      <w:r w:rsidR="007A49AF" w:rsidRPr="00974448">
        <w:rPr>
          <w:rStyle w:val="Refdenotaderodap"/>
          <w:bCs/>
        </w:rPr>
        <w:footnoteReference w:id="37"/>
      </w:r>
      <w:r w:rsidR="007A49AF" w:rsidRPr="00974448">
        <w:rPr>
          <w:bCs/>
        </w:rPr>
        <w:t xml:space="preserve">, and </w:t>
      </w:r>
      <w:r w:rsidRPr="00974448">
        <w:rPr>
          <w:bCs/>
        </w:rPr>
        <w:t xml:space="preserve">the selection of one or more </w:t>
      </w:r>
      <w:r w:rsidR="007A49AF" w:rsidRPr="00974448">
        <w:rPr>
          <w:bCs/>
        </w:rPr>
        <w:t>(</w:t>
      </w:r>
      <w:r w:rsidRPr="00974448">
        <w:rPr>
          <w:bCs/>
        </w:rPr>
        <w:t>preferred</w:t>
      </w:r>
      <w:r w:rsidR="007A49AF" w:rsidRPr="00974448">
        <w:rPr>
          <w:bCs/>
        </w:rPr>
        <w:t>)</w:t>
      </w:r>
      <w:r w:rsidRPr="00974448">
        <w:rPr>
          <w:bCs/>
        </w:rPr>
        <w:t xml:space="preserve"> pathways as input for a</w:t>
      </w:r>
      <w:r w:rsidR="007A49AF" w:rsidRPr="00974448">
        <w:rPr>
          <w:bCs/>
        </w:rPr>
        <w:t xml:space="preserve"> </w:t>
      </w:r>
      <w:r w:rsidR="007A49AF" w:rsidRPr="00974448">
        <w:rPr>
          <w:bCs/>
          <w:i/>
          <w:iCs/>
        </w:rPr>
        <w:t>dynamic</w:t>
      </w:r>
      <w:r w:rsidRPr="00974448">
        <w:rPr>
          <w:bCs/>
          <w:i/>
          <w:iCs/>
        </w:rPr>
        <w:t xml:space="preserve"> adaptive </w:t>
      </w:r>
      <w:r w:rsidR="003562A2" w:rsidRPr="00974448">
        <w:rPr>
          <w:bCs/>
          <w:i/>
          <w:iCs/>
        </w:rPr>
        <w:t xml:space="preserve">(action) </w:t>
      </w:r>
      <w:r w:rsidRPr="00974448">
        <w:rPr>
          <w:bCs/>
          <w:i/>
          <w:iCs/>
        </w:rPr>
        <w:t>plan</w:t>
      </w:r>
      <w:r w:rsidRPr="00974448">
        <w:rPr>
          <w:bCs/>
        </w:rPr>
        <w:t>, and (b</w:t>
      </w:r>
      <w:bookmarkStart w:id="50" w:name="_Hlk139974212"/>
      <w:r w:rsidRPr="00974448">
        <w:rPr>
          <w:bCs/>
        </w:rPr>
        <w:t xml:space="preserve">) the specification of indicators </w:t>
      </w:r>
      <w:r w:rsidR="003562A2" w:rsidRPr="00974448">
        <w:rPr>
          <w:bCs/>
        </w:rPr>
        <w:t>(</w:t>
      </w:r>
      <w:r w:rsidRPr="00974448">
        <w:rPr>
          <w:bCs/>
        </w:rPr>
        <w:t>signposts</w:t>
      </w:r>
      <w:r w:rsidR="003562A2" w:rsidRPr="00974448">
        <w:rPr>
          <w:bCs/>
        </w:rPr>
        <w:t>)</w:t>
      </w:r>
      <w:r w:rsidRPr="00974448">
        <w:rPr>
          <w:bCs/>
        </w:rPr>
        <w:t xml:space="preserve"> and triggers (critical values at which it is necessary to activate actions, </w:t>
      </w:r>
      <w:r w:rsidR="007A49AF" w:rsidRPr="00974448">
        <w:rPr>
          <w:bCs/>
        </w:rPr>
        <w:t>or make adjustments or change of measure; triggers</w:t>
      </w:r>
      <w:r w:rsidRPr="00974448">
        <w:rPr>
          <w:bCs/>
        </w:rPr>
        <w:t xml:space="preserve"> act as warning signals for the implementation of actions or reassessment of the plan</w:t>
      </w:r>
      <w:r w:rsidR="007A49AF" w:rsidRPr="00974448">
        <w:rPr>
          <w:bCs/>
        </w:rPr>
        <w:t>, and must be monitored</w:t>
      </w:r>
      <w:r w:rsidRPr="00974448">
        <w:rPr>
          <w:bCs/>
        </w:rPr>
        <w:t>) (</w:t>
      </w:r>
      <w:proofErr w:type="spellStart"/>
      <w:r w:rsidR="005C558F">
        <w:rPr>
          <w:bCs/>
          <w:color w:val="7F7F7F" w:themeColor="text1" w:themeTint="80"/>
        </w:rPr>
        <w:t>Deltares</w:t>
      </w:r>
      <w:proofErr w:type="spellEnd"/>
      <w:r w:rsidR="005C558F">
        <w:rPr>
          <w:bCs/>
          <w:color w:val="7F7F7F" w:themeColor="text1" w:themeTint="80"/>
        </w:rPr>
        <w:t xml:space="preserve"> 2018</w:t>
      </w:r>
      <w:r w:rsidR="007A49AF" w:rsidRPr="00974448">
        <w:rPr>
          <w:bCs/>
          <w:color w:val="7F7F7F" w:themeColor="text1" w:themeTint="80"/>
        </w:rPr>
        <w:t xml:space="preserve">, p.2-3; </w:t>
      </w:r>
      <w:proofErr w:type="spellStart"/>
      <w:r w:rsidR="007A49AF" w:rsidRPr="00974448">
        <w:rPr>
          <w:bCs/>
          <w:color w:val="7F7F7F" w:themeColor="text1" w:themeTint="80"/>
        </w:rPr>
        <w:t>Jeuken</w:t>
      </w:r>
      <w:proofErr w:type="spellEnd"/>
      <w:r w:rsidR="007A49AF" w:rsidRPr="00974448">
        <w:rPr>
          <w:bCs/>
          <w:color w:val="7F7F7F" w:themeColor="text1" w:themeTint="80"/>
        </w:rPr>
        <w:t xml:space="preserve"> et al. 2014, p.4-5; </w:t>
      </w:r>
      <w:proofErr w:type="spellStart"/>
      <w:r w:rsidRPr="00974448">
        <w:rPr>
          <w:bCs/>
          <w:color w:val="7F7F7F" w:themeColor="text1" w:themeTint="80"/>
        </w:rPr>
        <w:t>Haasnoot</w:t>
      </w:r>
      <w:proofErr w:type="spellEnd"/>
      <w:r w:rsidRPr="00974448">
        <w:rPr>
          <w:bCs/>
          <w:color w:val="7F7F7F" w:themeColor="text1" w:themeTint="80"/>
        </w:rPr>
        <w:t xml:space="preserve"> and </w:t>
      </w:r>
      <w:proofErr w:type="spellStart"/>
      <w:r w:rsidRPr="00974448">
        <w:rPr>
          <w:bCs/>
          <w:color w:val="7F7F7F" w:themeColor="text1" w:themeTint="80"/>
        </w:rPr>
        <w:t>Jeuken</w:t>
      </w:r>
      <w:proofErr w:type="spellEnd"/>
      <w:r w:rsidRPr="00974448">
        <w:rPr>
          <w:bCs/>
          <w:color w:val="7F7F7F" w:themeColor="text1" w:themeTint="80"/>
        </w:rPr>
        <w:t xml:space="preserve">; </w:t>
      </w:r>
      <w:r w:rsidRPr="00974448">
        <w:rPr>
          <w:bCs/>
          <w:color w:val="7F7F7F" w:themeColor="text1" w:themeTint="80"/>
          <w:szCs w:val="22"/>
        </w:rPr>
        <w:t>Marchand and Ludwig 2014</w:t>
      </w:r>
      <w:r w:rsidR="003F6F72" w:rsidRPr="00974448">
        <w:rPr>
          <w:bCs/>
          <w:color w:val="7F7F7F" w:themeColor="text1" w:themeTint="80"/>
          <w:szCs w:val="22"/>
        </w:rPr>
        <w:t xml:space="preserve">; </w:t>
      </w:r>
      <w:r w:rsidR="005C558F">
        <w:rPr>
          <w:bCs/>
          <w:color w:val="7F7F7F" w:themeColor="text1" w:themeTint="80"/>
        </w:rPr>
        <w:t>Brugge and Bruggeman 2019</w:t>
      </w:r>
      <w:r w:rsidR="003F6F72" w:rsidRPr="00974448">
        <w:rPr>
          <w:bCs/>
          <w:color w:val="7F7F7F" w:themeColor="text1" w:themeTint="80"/>
        </w:rPr>
        <w:t xml:space="preserve">, p.4-5; </w:t>
      </w:r>
      <w:proofErr w:type="spellStart"/>
      <w:r w:rsidR="003F6F72" w:rsidRPr="00974448">
        <w:rPr>
          <w:bCs/>
          <w:color w:val="7F7F7F" w:themeColor="text1" w:themeTint="80"/>
        </w:rPr>
        <w:t>Gersonius</w:t>
      </w:r>
      <w:proofErr w:type="spellEnd"/>
      <w:r w:rsidR="003F6F72" w:rsidRPr="00974448">
        <w:rPr>
          <w:bCs/>
          <w:color w:val="7F7F7F" w:themeColor="text1" w:themeTint="80"/>
        </w:rPr>
        <w:t xml:space="preserve"> et al. 2016, p.204-206</w:t>
      </w:r>
      <w:r w:rsidRPr="00974448">
        <w:rPr>
          <w:bCs/>
          <w:szCs w:val="22"/>
        </w:rPr>
        <w:t>).</w:t>
      </w:r>
      <w:r w:rsidR="003F6F72" w:rsidRPr="00974448">
        <w:rPr>
          <w:rStyle w:val="Refdenotaderodap"/>
          <w:bCs/>
          <w:szCs w:val="22"/>
        </w:rPr>
        <w:footnoteReference w:id="38"/>
      </w:r>
      <w:r w:rsidRPr="00974448">
        <w:rPr>
          <w:bCs/>
          <w:szCs w:val="22"/>
        </w:rPr>
        <w:t xml:space="preserve"> Step 4</w:t>
      </w:r>
      <w:r w:rsidR="003F6F72" w:rsidRPr="00974448">
        <w:rPr>
          <w:bCs/>
          <w:szCs w:val="22"/>
        </w:rPr>
        <w:t xml:space="preserve">b </w:t>
      </w:r>
      <w:r w:rsidRPr="00974448">
        <w:rPr>
          <w:bCs/>
          <w:szCs w:val="22"/>
        </w:rPr>
        <w:lastRenderedPageBreak/>
        <w:t xml:space="preserve">requires </w:t>
      </w:r>
      <w:r w:rsidRPr="00974448">
        <w:rPr>
          <w:bCs/>
        </w:rPr>
        <w:t>the definition of a monitoring system t</w:t>
      </w:r>
      <w:r w:rsidR="003562A2" w:rsidRPr="00974448">
        <w:rPr>
          <w:bCs/>
        </w:rPr>
        <w:t>hat</w:t>
      </w:r>
      <w:r w:rsidRPr="00974448">
        <w:rPr>
          <w:bCs/>
        </w:rPr>
        <w:t xml:space="preserve"> collect</w:t>
      </w:r>
      <w:r w:rsidR="003562A2" w:rsidRPr="00974448">
        <w:rPr>
          <w:bCs/>
        </w:rPr>
        <w:t>s</w:t>
      </w:r>
      <w:r w:rsidRPr="00974448">
        <w:rPr>
          <w:bCs/>
        </w:rPr>
        <w:t xml:space="preserve"> information on indicators and triggers (</w:t>
      </w:r>
      <w:proofErr w:type="spellStart"/>
      <w:r w:rsidRPr="00974448">
        <w:rPr>
          <w:bCs/>
          <w:color w:val="7F7F7F" w:themeColor="text1" w:themeTint="80"/>
        </w:rPr>
        <w:t>Haasnoot</w:t>
      </w:r>
      <w:proofErr w:type="spellEnd"/>
      <w:r w:rsidRPr="00974448">
        <w:rPr>
          <w:bCs/>
          <w:color w:val="7F7F7F" w:themeColor="text1" w:themeTint="80"/>
        </w:rPr>
        <w:t xml:space="preserve"> and </w:t>
      </w:r>
      <w:proofErr w:type="spellStart"/>
      <w:r w:rsidRPr="00974448">
        <w:rPr>
          <w:bCs/>
          <w:color w:val="7F7F7F" w:themeColor="text1" w:themeTint="80"/>
        </w:rPr>
        <w:t>Jeuken</w:t>
      </w:r>
      <w:proofErr w:type="spellEnd"/>
      <w:r w:rsidRPr="00974448">
        <w:rPr>
          <w:bCs/>
        </w:rPr>
        <w:t>)</w:t>
      </w:r>
      <w:r w:rsidR="007A49AF" w:rsidRPr="00974448">
        <w:rPr>
          <w:bCs/>
        </w:rPr>
        <w:t xml:space="preserve"> and mechanisms to adjust the plan (e.g. its strategies) if necessary (</w:t>
      </w:r>
      <w:proofErr w:type="spellStart"/>
      <w:r w:rsidR="005C558F">
        <w:rPr>
          <w:bCs/>
          <w:color w:val="7F7F7F" w:themeColor="text1" w:themeTint="80"/>
        </w:rPr>
        <w:t>Deltares</w:t>
      </w:r>
      <w:proofErr w:type="spellEnd"/>
      <w:r w:rsidR="005C558F">
        <w:rPr>
          <w:bCs/>
          <w:color w:val="7F7F7F" w:themeColor="text1" w:themeTint="80"/>
        </w:rPr>
        <w:t xml:space="preserve"> 2018</w:t>
      </w:r>
      <w:r w:rsidR="007A49AF" w:rsidRPr="00974448">
        <w:rPr>
          <w:bCs/>
          <w:color w:val="7F7F7F" w:themeColor="text1" w:themeTint="80"/>
        </w:rPr>
        <w:t>, p.2-3</w:t>
      </w:r>
      <w:r w:rsidR="007A49AF" w:rsidRPr="00974448">
        <w:rPr>
          <w:bCs/>
        </w:rPr>
        <w:t xml:space="preserve">). </w:t>
      </w:r>
      <w:r w:rsidR="003F6F72" w:rsidRPr="00974448">
        <w:rPr>
          <w:bCs/>
        </w:rPr>
        <w:t xml:space="preserve">Step 4b implies the definition of a monitoring and evaluation system that specifies ‘triggers’ (critical points beyond which it is necessary to </w:t>
      </w:r>
      <w:proofErr w:type="gramStart"/>
      <w:r w:rsidR="003F6F72" w:rsidRPr="00974448">
        <w:rPr>
          <w:bCs/>
        </w:rPr>
        <w:t>make adjustments to</w:t>
      </w:r>
      <w:proofErr w:type="gramEnd"/>
      <w:r w:rsidR="003F6F72" w:rsidRPr="00974448">
        <w:rPr>
          <w:bCs/>
        </w:rPr>
        <w:t xml:space="preserve"> the strategy or shift to another measure) and ‘preparatory actions’ (required to enable long-term options, e.g. adjustments in rules / legislation, research, spatial reservations, etc. (</w:t>
      </w:r>
      <w:proofErr w:type="spellStart"/>
      <w:r w:rsidR="003F6F72" w:rsidRPr="00974448">
        <w:rPr>
          <w:bCs/>
          <w:color w:val="7F7F7F" w:themeColor="text1" w:themeTint="80"/>
        </w:rPr>
        <w:t>Gersonius</w:t>
      </w:r>
      <w:proofErr w:type="spellEnd"/>
      <w:r w:rsidR="003F6F72" w:rsidRPr="00974448">
        <w:rPr>
          <w:bCs/>
          <w:color w:val="7F7F7F" w:themeColor="text1" w:themeTint="80"/>
        </w:rPr>
        <w:t xml:space="preserve"> et al. 2016, p.204-206</w:t>
      </w:r>
      <w:r w:rsidR="003F6F72" w:rsidRPr="00974448">
        <w:rPr>
          <w:bCs/>
        </w:rPr>
        <w:t xml:space="preserve">). </w:t>
      </w:r>
      <w:r w:rsidRPr="00974448">
        <w:rPr>
          <w:bCs/>
        </w:rPr>
        <w:t xml:space="preserve">A trigger may indicate that it is necessary to activate </w:t>
      </w:r>
      <w:r w:rsidRPr="00974448">
        <w:rPr>
          <w:bCs/>
          <w:i/>
          <w:iCs/>
        </w:rPr>
        <w:t>contingency actions</w:t>
      </w:r>
      <w:r w:rsidRPr="00974448">
        <w:rPr>
          <w:bCs/>
        </w:rPr>
        <w:t xml:space="preserve"> (to keep the pathways open as long as possible) (</w:t>
      </w:r>
      <w:proofErr w:type="spellStart"/>
      <w:r w:rsidR="007A49AF" w:rsidRPr="00974448">
        <w:rPr>
          <w:bCs/>
          <w:color w:val="7F7F7F" w:themeColor="text1" w:themeTint="80"/>
        </w:rPr>
        <w:t>Haasnoot</w:t>
      </w:r>
      <w:proofErr w:type="spellEnd"/>
      <w:r w:rsidR="007A49AF" w:rsidRPr="00974448">
        <w:rPr>
          <w:bCs/>
          <w:color w:val="7F7F7F" w:themeColor="text1" w:themeTint="80"/>
        </w:rPr>
        <w:t xml:space="preserve"> and </w:t>
      </w:r>
      <w:proofErr w:type="spellStart"/>
      <w:r w:rsidR="007A49AF" w:rsidRPr="00974448">
        <w:rPr>
          <w:bCs/>
          <w:color w:val="7F7F7F" w:themeColor="text1" w:themeTint="80"/>
        </w:rPr>
        <w:t>Jeuken</w:t>
      </w:r>
      <w:proofErr w:type="spellEnd"/>
      <w:r w:rsidRPr="00974448">
        <w:rPr>
          <w:bCs/>
        </w:rPr>
        <w:t>).</w:t>
      </w:r>
      <w:r w:rsidR="007A49AF" w:rsidRPr="00974448">
        <w:rPr>
          <w:bCs/>
        </w:rPr>
        <w:t xml:space="preserve"> </w:t>
      </w:r>
      <w:r w:rsidRPr="00974448">
        <w:rPr>
          <w:bCs/>
        </w:rPr>
        <w:t>To keep open the preferred pathway as long as possible, it may be necessary to specify contingency actions (</w:t>
      </w:r>
      <w:proofErr w:type="spellStart"/>
      <w:r w:rsidRPr="00974448">
        <w:rPr>
          <w:bCs/>
          <w:color w:val="7F7F7F" w:themeColor="text1" w:themeTint="80"/>
        </w:rPr>
        <w:t>Jeuken</w:t>
      </w:r>
      <w:proofErr w:type="spellEnd"/>
      <w:r w:rsidRPr="00974448">
        <w:rPr>
          <w:bCs/>
          <w:color w:val="7F7F7F" w:themeColor="text1" w:themeTint="80"/>
        </w:rPr>
        <w:t xml:space="preserve"> et al. 2014, p. 4-5</w:t>
      </w:r>
      <w:r w:rsidRPr="00974448">
        <w:rPr>
          <w:bCs/>
        </w:rPr>
        <w:t>).</w:t>
      </w:r>
      <w:r w:rsidR="003F6F72" w:rsidRPr="00974448">
        <w:rPr>
          <w:bCs/>
        </w:rPr>
        <w:t xml:space="preserve"> It is also important to integrate measures with investments of other actors (</w:t>
      </w:r>
      <w:r w:rsidR="003F6F72" w:rsidRPr="00974448">
        <w:rPr>
          <w:bCs/>
          <w:color w:val="7F7F7F" w:themeColor="text1" w:themeTint="80"/>
        </w:rPr>
        <w:t>Zandvoort et al. 2018, p.189</w:t>
      </w:r>
      <w:r w:rsidR="003F6F72" w:rsidRPr="00974448">
        <w:rPr>
          <w:bCs/>
        </w:rPr>
        <w:t xml:space="preserve">).  </w:t>
      </w:r>
    </w:p>
    <w:bookmarkEnd w:id="50"/>
    <w:p w14:paraId="505649DD" w14:textId="59CC7AF9" w:rsidR="00C4751F" w:rsidRPr="00974448" w:rsidRDefault="00C4751F" w:rsidP="00E74925">
      <w:pPr>
        <w:pStyle w:val="TEXTBODY"/>
        <w:numPr>
          <w:ilvl w:val="0"/>
          <w:numId w:val="63"/>
        </w:numPr>
        <w:spacing w:line="276" w:lineRule="auto"/>
        <w:ind w:left="284" w:hanging="284"/>
        <w:rPr>
          <w:bCs/>
        </w:rPr>
      </w:pPr>
      <w:r w:rsidRPr="00974448">
        <w:rPr>
          <w:bCs/>
          <w:i/>
          <w:iCs/>
        </w:rPr>
        <w:t>Step 5. Implement the plan</w:t>
      </w:r>
      <w:r w:rsidRPr="00974448">
        <w:rPr>
          <w:bCs/>
        </w:rPr>
        <w:t>. This means implementing the plan’s measures, namely measures necessary to keep open options that may be needed in the future (</w:t>
      </w:r>
      <w:proofErr w:type="spellStart"/>
      <w:r w:rsidR="005C558F">
        <w:rPr>
          <w:bCs/>
          <w:color w:val="7F7F7F" w:themeColor="text1" w:themeTint="80"/>
        </w:rPr>
        <w:t>Deltares</w:t>
      </w:r>
      <w:proofErr w:type="spellEnd"/>
      <w:r w:rsidR="005C558F">
        <w:rPr>
          <w:bCs/>
          <w:color w:val="7F7F7F" w:themeColor="text1" w:themeTint="80"/>
        </w:rPr>
        <w:t xml:space="preserve"> 2018</w:t>
      </w:r>
      <w:r w:rsidRPr="00974448">
        <w:rPr>
          <w:bCs/>
          <w:color w:val="7F7F7F" w:themeColor="text1" w:themeTint="80"/>
        </w:rPr>
        <w:t xml:space="preserve">, p.2-3; </w:t>
      </w:r>
      <w:proofErr w:type="spellStart"/>
      <w:r w:rsidRPr="00974448">
        <w:rPr>
          <w:bCs/>
          <w:color w:val="7F7F7F" w:themeColor="text1" w:themeTint="80"/>
        </w:rPr>
        <w:t>Jeuken</w:t>
      </w:r>
      <w:proofErr w:type="spellEnd"/>
      <w:r w:rsidRPr="00974448">
        <w:rPr>
          <w:bCs/>
          <w:color w:val="7F7F7F" w:themeColor="text1" w:themeTint="80"/>
        </w:rPr>
        <w:t xml:space="preserve"> et al. 2014</w:t>
      </w:r>
      <w:r w:rsidRPr="00974448">
        <w:rPr>
          <w:bCs/>
        </w:rPr>
        <w:t>).</w:t>
      </w:r>
      <w:r w:rsidR="003F6F72" w:rsidRPr="00974448">
        <w:rPr>
          <w:bCs/>
        </w:rPr>
        <w:t xml:space="preserve"> </w:t>
      </w:r>
      <w:r w:rsidR="003F6F72" w:rsidRPr="00974448">
        <w:rPr>
          <w:bCs/>
          <w:szCs w:val="22"/>
        </w:rPr>
        <w:t xml:space="preserve">The </w:t>
      </w:r>
      <w:r w:rsidR="003F6F72" w:rsidRPr="00974448">
        <w:rPr>
          <w:bCs/>
        </w:rPr>
        <w:t>selected short-term measures are implemented, as well as measures necessary to keep options open in the long-term (and, thus, maintain flexibility).</w:t>
      </w:r>
    </w:p>
    <w:p w14:paraId="4DE604B2" w14:textId="4C2027E9" w:rsidR="003F6F72" w:rsidRPr="00974448" w:rsidRDefault="00C4751F" w:rsidP="00E74925">
      <w:pPr>
        <w:pStyle w:val="TEXTBODY"/>
        <w:numPr>
          <w:ilvl w:val="0"/>
          <w:numId w:val="63"/>
        </w:numPr>
        <w:spacing w:line="276" w:lineRule="auto"/>
        <w:ind w:left="284" w:hanging="284"/>
        <w:rPr>
          <w:bCs/>
        </w:rPr>
      </w:pPr>
      <w:r w:rsidRPr="00974448">
        <w:rPr>
          <w:bCs/>
          <w:i/>
          <w:iCs/>
        </w:rPr>
        <w:t>Step 6. Monitor, reassess the plan (its strategies or measures), and adjust it, if necessary</w:t>
      </w:r>
      <w:r w:rsidRPr="00974448">
        <w:rPr>
          <w:bCs/>
        </w:rPr>
        <w:t xml:space="preserve">. </w:t>
      </w:r>
      <w:bookmarkStart w:id="51" w:name="_Hlk139974928"/>
      <w:r w:rsidRPr="00974448">
        <w:rPr>
          <w:bCs/>
        </w:rPr>
        <w:t>This step implies the monitoring and evaluation of external changes, implemented measures, and progresses in knowledge, and the reassessment of the plan, and, if necessary, its review (</w:t>
      </w:r>
      <w:proofErr w:type="spellStart"/>
      <w:r w:rsidRPr="00974448">
        <w:rPr>
          <w:bCs/>
          <w:color w:val="7F7F7F" w:themeColor="text1" w:themeTint="80"/>
        </w:rPr>
        <w:t>Haasnoot</w:t>
      </w:r>
      <w:proofErr w:type="spellEnd"/>
      <w:r w:rsidRPr="00974448">
        <w:rPr>
          <w:bCs/>
          <w:color w:val="7F7F7F" w:themeColor="text1" w:themeTint="80"/>
        </w:rPr>
        <w:t xml:space="preserve"> and </w:t>
      </w:r>
      <w:proofErr w:type="spellStart"/>
      <w:r w:rsidRPr="00974448">
        <w:rPr>
          <w:bCs/>
          <w:color w:val="7F7F7F" w:themeColor="text1" w:themeTint="80"/>
        </w:rPr>
        <w:t>Jeuken</w:t>
      </w:r>
      <w:proofErr w:type="spellEnd"/>
      <w:r w:rsidRPr="00974448">
        <w:rPr>
          <w:bCs/>
        </w:rPr>
        <w:t xml:space="preserve">). It requires a monitoring and evaluation system to keep track of climatic and socioeconomic </w:t>
      </w:r>
      <w:proofErr w:type="gramStart"/>
      <w:r w:rsidRPr="00974448">
        <w:rPr>
          <w:bCs/>
        </w:rPr>
        <w:t>developments, and</w:t>
      </w:r>
      <w:proofErr w:type="gramEnd"/>
      <w:r w:rsidRPr="00974448">
        <w:rPr>
          <w:bCs/>
        </w:rPr>
        <w:t xml:space="preserve"> assess if and when it is necessary to review or adjust the plan (e.g. change its strategies or measures) (</w:t>
      </w:r>
      <w:proofErr w:type="spellStart"/>
      <w:r w:rsidR="005C558F">
        <w:rPr>
          <w:bCs/>
          <w:color w:val="7F7F7F" w:themeColor="text1" w:themeTint="80"/>
        </w:rPr>
        <w:t>Deltares</w:t>
      </w:r>
      <w:proofErr w:type="spellEnd"/>
      <w:r w:rsidR="005C558F">
        <w:rPr>
          <w:bCs/>
          <w:color w:val="7F7F7F" w:themeColor="text1" w:themeTint="80"/>
        </w:rPr>
        <w:t xml:space="preserve"> 2018</w:t>
      </w:r>
      <w:r w:rsidRPr="00974448">
        <w:rPr>
          <w:bCs/>
          <w:color w:val="7F7F7F" w:themeColor="text1" w:themeTint="80"/>
        </w:rPr>
        <w:t>, p.2-3</w:t>
      </w:r>
      <w:r w:rsidRPr="00974448">
        <w:rPr>
          <w:bCs/>
        </w:rPr>
        <w:t xml:space="preserve">). </w:t>
      </w:r>
      <w:r w:rsidR="003F6F72" w:rsidRPr="00974448">
        <w:rPr>
          <w:bCs/>
          <w:szCs w:val="22"/>
        </w:rPr>
        <w:t>The monitoring and evaluation system must keep track of climatic, physical, and socioeconomic trends (monitoring climatic and socioeconomic developments is necessary to identify when it is necessary to adjust a strategy, e.g. to shift from a measure to another) (</w:t>
      </w:r>
      <w:proofErr w:type="spellStart"/>
      <w:r w:rsidR="005C558F">
        <w:rPr>
          <w:bCs/>
          <w:color w:val="7F7F7F" w:themeColor="text1" w:themeTint="80"/>
          <w:szCs w:val="22"/>
        </w:rPr>
        <w:t>Deltares</w:t>
      </w:r>
      <w:proofErr w:type="spellEnd"/>
      <w:r w:rsidR="001522F8">
        <w:rPr>
          <w:bCs/>
          <w:color w:val="7F7F7F" w:themeColor="text1" w:themeTint="80"/>
          <w:szCs w:val="22"/>
        </w:rPr>
        <w:t xml:space="preserve"> </w:t>
      </w:r>
      <w:r w:rsidR="005C558F">
        <w:rPr>
          <w:bCs/>
          <w:color w:val="7F7F7F" w:themeColor="text1" w:themeTint="80"/>
          <w:szCs w:val="22"/>
        </w:rPr>
        <w:t>2018</w:t>
      </w:r>
      <w:r w:rsidR="003F6F72" w:rsidRPr="00974448">
        <w:rPr>
          <w:bCs/>
          <w:color w:val="7F7F7F" w:themeColor="text1" w:themeTint="80"/>
          <w:szCs w:val="22"/>
        </w:rPr>
        <w:t>, p.5</w:t>
      </w:r>
      <w:r w:rsidR="003F6F72" w:rsidRPr="00974448">
        <w:rPr>
          <w:bCs/>
          <w:szCs w:val="22"/>
        </w:rPr>
        <w:t xml:space="preserve">). </w:t>
      </w:r>
      <w:r w:rsidRPr="00974448">
        <w:rPr>
          <w:bCs/>
        </w:rPr>
        <w:t xml:space="preserve">Step 6 is essential to allow a </w:t>
      </w:r>
      <w:r w:rsidR="007A49AF" w:rsidRPr="00974448">
        <w:rPr>
          <w:bCs/>
        </w:rPr>
        <w:t>real</w:t>
      </w:r>
      <w:r w:rsidRPr="00974448">
        <w:rPr>
          <w:bCs/>
        </w:rPr>
        <w:t xml:space="preserve"> adaptive planning and management. Variables that may induce to triggers must be monitored (</w:t>
      </w:r>
      <w:proofErr w:type="spellStart"/>
      <w:r w:rsidRPr="00974448">
        <w:rPr>
          <w:bCs/>
          <w:color w:val="7F7F7F" w:themeColor="text1" w:themeTint="80"/>
        </w:rPr>
        <w:t>Jeuken</w:t>
      </w:r>
      <w:proofErr w:type="spellEnd"/>
      <w:r w:rsidRPr="00974448">
        <w:rPr>
          <w:bCs/>
          <w:color w:val="7F7F7F" w:themeColor="text1" w:themeTint="80"/>
        </w:rPr>
        <w:t xml:space="preserve"> et al. 2014, p. 4</w:t>
      </w:r>
      <w:r w:rsidRPr="00974448">
        <w:rPr>
          <w:bCs/>
        </w:rPr>
        <w:t>).</w:t>
      </w:r>
      <w:r w:rsidR="003F6F72" w:rsidRPr="00974448">
        <w:rPr>
          <w:bCs/>
        </w:rPr>
        <w:t xml:space="preserve"> In this step, the monitoring and evaluation system is conducted: it tracks climatic and socioeconomic changes relevant for adapting the plan’s strategies or measures, e.g. for anticipating / delaying the implementation of measures; e.g. if SLR unfolds at a faster rate than expected and a tipping-point is expected to be reached earlier, it may be necessary to implement a measure earlier than projected (if SLR evolves slower, then, the measure can be delayed). The monitoring system indicates the rate and direction of risks and their implications for adjusting the plan</w:t>
      </w:r>
      <w:r w:rsidR="008756AD" w:rsidRPr="00974448">
        <w:rPr>
          <w:bCs/>
        </w:rPr>
        <w:t>, it allows</w:t>
      </w:r>
      <w:r w:rsidR="003F6F72" w:rsidRPr="00974448">
        <w:rPr>
          <w:bCs/>
        </w:rPr>
        <w:t xml:space="preserve"> the adjustment of the plan</w:t>
      </w:r>
      <w:r w:rsidR="008756AD" w:rsidRPr="00974448">
        <w:rPr>
          <w:bCs/>
        </w:rPr>
        <w:t xml:space="preserve"> </w:t>
      </w:r>
      <w:r w:rsidR="003F6F72" w:rsidRPr="00974448">
        <w:rPr>
          <w:bCs/>
        </w:rPr>
        <w:t>- its measures or their timing (</w:t>
      </w:r>
      <w:r w:rsidR="005C558F">
        <w:rPr>
          <w:bCs/>
          <w:color w:val="7F7F7F" w:themeColor="text1" w:themeTint="80"/>
        </w:rPr>
        <w:t>Brugge and Bruggeman 2019</w:t>
      </w:r>
      <w:r w:rsidR="003F6F72" w:rsidRPr="00974448">
        <w:rPr>
          <w:bCs/>
          <w:color w:val="7F7F7F" w:themeColor="text1" w:themeTint="80"/>
        </w:rPr>
        <w:t>, p.4-5</w:t>
      </w:r>
      <w:r w:rsidR="003F6F72" w:rsidRPr="00974448">
        <w:rPr>
          <w:bCs/>
        </w:rPr>
        <w:t>).</w:t>
      </w:r>
      <w:r w:rsidR="003F6F72" w:rsidRPr="00974448">
        <w:rPr>
          <w:bCs/>
          <w:color w:val="C00000"/>
        </w:rPr>
        <w:t xml:space="preserve"> </w:t>
      </w:r>
    </w:p>
    <w:bookmarkEnd w:id="51"/>
    <w:p w14:paraId="4A10CDB0" w14:textId="77777777" w:rsidR="008756AD" w:rsidRPr="009B720F" w:rsidRDefault="008756AD" w:rsidP="00E74925">
      <w:pPr>
        <w:pStyle w:val="TEXTBODY"/>
        <w:spacing w:after="0" w:line="276" w:lineRule="auto"/>
        <w:rPr>
          <w:bCs/>
        </w:rPr>
      </w:pPr>
    </w:p>
    <w:p w14:paraId="4EE222F6" w14:textId="15EF6EBC" w:rsidR="008756AD" w:rsidRPr="009B720F" w:rsidRDefault="008756AD" w:rsidP="00E74925">
      <w:pPr>
        <w:pStyle w:val="TEXTBODY"/>
        <w:spacing w:before="100" w:line="276" w:lineRule="auto"/>
        <w:rPr>
          <w:bCs/>
        </w:rPr>
      </w:pPr>
      <w:bookmarkStart w:id="52" w:name="_Hlk139975007"/>
      <w:r w:rsidRPr="009B720F">
        <w:rPr>
          <w:bCs/>
        </w:rPr>
        <w:t>In sum, ADM involves a cyclical and iterative process of 6 main steps. Each step offers the possibility to adjust elements of the plan / strateg</w:t>
      </w:r>
      <w:r w:rsidR="008E30C0" w:rsidRPr="009B720F">
        <w:rPr>
          <w:bCs/>
        </w:rPr>
        <w:t>ies</w:t>
      </w:r>
      <w:r w:rsidRPr="009B720F">
        <w:rPr>
          <w:bCs/>
        </w:rPr>
        <w:t xml:space="preserve">, and, thus, helps </w:t>
      </w:r>
      <w:r w:rsidRPr="00974448">
        <w:rPr>
          <w:bCs/>
        </w:rPr>
        <w:t>to ensure adaptability in the general plan, and in planning and management process. Adaptability is necessary to cope with change and uncertainty in policymaking: it is not known what scenario will unfold, but it is still necessary to make decisions (</w:t>
      </w:r>
      <w:r w:rsidR="005C558F">
        <w:rPr>
          <w:bCs/>
          <w:color w:val="7F7F7F" w:themeColor="text1" w:themeTint="80"/>
        </w:rPr>
        <w:t>Brugge and Bruggeman 2019</w:t>
      </w:r>
      <w:r w:rsidRPr="00974448">
        <w:rPr>
          <w:bCs/>
          <w:color w:val="7F7F7F" w:themeColor="text1" w:themeTint="80"/>
        </w:rPr>
        <w:t>, p.4</w:t>
      </w:r>
      <w:r w:rsidRPr="00974448">
        <w:rPr>
          <w:bCs/>
        </w:rPr>
        <w:t xml:space="preserve">). ADM offers a structured management process that considers uncertain future </w:t>
      </w:r>
      <w:r w:rsidR="008E30C0" w:rsidRPr="00974448">
        <w:rPr>
          <w:bCs/>
        </w:rPr>
        <w:t>conditions and changes</w:t>
      </w:r>
      <w:r w:rsidRPr="00974448">
        <w:rPr>
          <w:bCs/>
        </w:rPr>
        <w:t xml:space="preserve"> into planning and decision-making</w:t>
      </w:r>
      <w:r w:rsidRPr="009B720F">
        <w:rPr>
          <w:bCs/>
        </w:rPr>
        <w:t xml:space="preserve"> (</w:t>
      </w:r>
      <w:r w:rsidRPr="009B720F">
        <w:rPr>
          <w:bCs/>
          <w:color w:val="7F7F7F" w:themeColor="text1" w:themeTint="80"/>
        </w:rPr>
        <w:t>Zevenbergen et al. 2018</w:t>
      </w:r>
      <w:r w:rsidRPr="009B720F">
        <w:rPr>
          <w:bCs/>
        </w:rPr>
        <w:t>).</w:t>
      </w:r>
    </w:p>
    <w:p w14:paraId="14027FA7" w14:textId="5D2D1278" w:rsidR="008E30C0" w:rsidRPr="009B720F" w:rsidRDefault="008E30C0" w:rsidP="00E74925">
      <w:pPr>
        <w:pStyle w:val="TEXTBODY"/>
        <w:spacing w:after="0" w:line="276" w:lineRule="auto"/>
        <w:rPr>
          <w:bCs/>
        </w:rPr>
      </w:pPr>
      <w:bookmarkStart w:id="53" w:name="_Hlk139975389"/>
      <w:bookmarkStart w:id="54" w:name="_Hlk141361754"/>
      <w:r w:rsidRPr="009B720F">
        <w:rPr>
          <w:bCs/>
        </w:rPr>
        <w:t>ADM process differs from the traditional adaptation planning approaches as the starting point of the analysis is the question of ‘</w:t>
      </w:r>
      <w:r w:rsidRPr="009B720F">
        <w:rPr>
          <w:bCs/>
          <w:i/>
          <w:iCs/>
        </w:rPr>
        <w:t xml:space="preserve">how long </w:t>
      </w:r>
      <w:proofErr w:type="gramStart"/>
      <w:r w:rsidRPr="009B720F">
        <w:rPr>
          <w:bCs/>
          <w:i/>
          <w:iCs/>
        </w:rPr>
        <w:t>will the current strategies</w:t>
      </w:r>
      <w:proofErr w:type="gramEnd"/>
      <w:r w:rsidRPr="009B720F">
        <w:rPr>
          <w:bCs/>
          <w:i/>
          <w:iCs/>
        </w:rPr>
        <w:t xml:space="preserve"> be effective under different scenarios</w:t>
      </w:r>
      <w:r w:rsidRPr="009B720F">
        <w:rPr>
          <w:bCs/>
        </w:rPr>
        <w:t>’,</w:t>
      </w:r>
      <w:r w:rsidRPr="009B720F">
        <w:rPr>
          <w:bCs/>
          <w:iCs/>
        </w:rPr>
        <w:t xml:space="preserve"> which leads to the exploration of alternative measures and the design of multiple solution pathways (rather than a single solution that is designed for a ‘business-as-usual’ scenario or worst scenario)</w:t>
      </w:r>
      <w:r w:rsidRPr="009B720F">
        <w:rPr>
          <w:bCs/>
        </w:rPr>
        <w:t xml:space="preserve">. </w:t>
      </w:r>
      <w:bookmarkStart w:id="55" w:name="_Hlk139975372"/>
      <w:bookmarkEnd w:id="53"/>
      <w:r w:rsidRPr="009B720F">
        <w:rPr>
          <w:bCs/>
        </w:rPr>
        <w:t xml:space="preserve">The basic idea underlying the APs approach is </w:t>
      </w:r>
      <w:r w:rsidRPr="009B720F">
        <w:rPr>
          <w:bCs/>
          <w:i/>
        </w:rPr>
        <w:t>to generate a wide array of pathways</w:t>
      </w:r>
      <w:r w:rsidRPr="009B720F">
        <w:rPr>
          <w:bCs/>
          <w:iCs/>
        </w:rPr>
        <w:t xml:space="preserve"> (</w:t>
      </w:r>
      <w:r w:rsidRPr="009B720F">
        <w:rPr>
          <w:bCs/>
        </w:rPr>
        <w:t xml:space="preserve">each pathway </w:t>
      </w:r>
      <w:r w:rsidRPr="009B720F">
        <w:rPr>
          <w:bCs/>
          <w:i/>
          <w:iCs/>
        </w:rPr>
        <w:t>consisting of a series</w:t>
      </w:r>
      <w:r w:rsidRPr="009B720F">
        <w:rPr>
          <w:bCs/>
          <w:i/>
        </w:rPr>
        <w:t xml:space="preserve"> of measures</w:t>
      </w:r>
      <w:r w:rsidRPr="009B720F">
        <w:rPr>
          <w:bCs/>
        </w:rPr>
        <w:t xml:space="preserve">) </w:t>
      </w:r>
      <w:r w:rsidRPr="009B720F">
        <w:rPr>
          <w:bCs/>
          <w:i/>
        </w:rPr>
        <w:t>through which the policy objectives are achieved under changing climate and socioeconomic conditions</w:t>
      </w:r>
      <w:r w:rsidRPr="009B720F">
        <w:rPr>
          <w:bCs/>
        </w:rPr>
        <w:t xml:space="preserve"> (</w:t>
      </w:r>
      <w:proofErr w:type="spellStart"/>
      <w:r w:rsidR="005C558F">
        <w:rPr>
          <w:bCs/>
          <w:color w:val="7F7F7F" w:themeColor="text1" w:themeTint="80"/>
        </w:rPr>
        <w:t>Deltares</w:t>
      </w:r>
      <w:proofErr w:type="spellEnd"/>
      <w:r w:rsidR="005C558F">
        <w:rPr>
          <w:bCs/>
          <w:color w:val="7F7F7F" w:themeColor="text1" w:themeTint="80"/>
        </w:rPr>
        <w:t xml:space="preserve"> 2018</w:t>
      </w:r>
      <w:r w:rsidRPr="009B720F">
        <w:rPr>
          <w:bCs/>
          <w:color w:val="7F7F7F" w:themeColor="text1" w:themeTint="80"/>
        </w:rPr>
        <w:t>, p.4, 3</w:t>
      </w:r>
      <w:r w:rsidRPr="009B720F">
        <w:rPr>
          <w:bCs/>
        </w:rPr>
        <w:t>). The set of pathways presented in an AP’s map provides a range of options that may be used in future</w:t>
      </w:r>
      <w:r w:rsidR="00E7719F" w:rsidRPr="009B720F">
        <w:rPr>
          <w:bCs/>
        </w:rPr>
        <w:t xml:space="preserve"> </w:t>
      </w:r>
      <w:proofErr w:type="gramStart"/>
      <w:r w:rsidR="00E7719F" w:rsidRPr="009B720F">
        <w:rPr>
          <w:bCs/>
        </w:rPr>
        <w:t>planning</w:t>
      </w:r>
      <w:r w:rsidRPr="009B720F">
        <w:rPr>
          <w:bCs/>
        </w:rPr>
        <w:t>,</w:t>
      </w:r>
      <w:proofErr w:type="gramEnd"/>
      <w:r w:rsidRPr="009B720F">
        <w:rPr>
          <w:bCs/>
        </w:rPr>
        <w:t xml:space="preserve"> </w:t>
      </w:r>
      <w:r w:rsidR="00E7719F" w:rsidRPr="009B720F">
        <w:rPr>
          <w:bCs/>
        </w:rPr>
        <w:t>thus,</w:t>
      </w:r>
      <w:r w:rsidRPr="009B720F">
        <w:rPr>
          <w:bCs/>
        </w:rPr>
        <w:t xml:space="preserve"> the APs approach helps to enhance the plan’s and </w:t>
      </w:r>
      <w:r w:rsidR="00E7719F" w:rsidRPr="009B720F">
        <w:rPr>
          <w:bCs/>
        </w:rPr>
        <w:t xml:space="preserve">the </w:t>
      </w:r>
      <w:r w:rsidRPr="009B720F">
        <w:rPr>
          <w:bCs/>
        </w:rPr>
        <w:t>system’s flexibility and adaptability (capacity to adapt to multiple plausible futures and changes) (</w:t>
      </w:r>
      <w:proofErr w:type="spellStart"/>
      <w:r w:rsidR="005C558F">
        <w:rPr>
          <w:bCs/>
          <w:color w:val="7F7F7F" w:themeColor="text1" w:themeTint="80"/>
        </w:rPr>
        <w:t>Deltares</w:t>
      </w:r>
      <w:proofErr w:type="spellEnd"/>
      <w:r w:rsidR="005C558F">
        <w:rPr>
          <w:bCs/>
          <w:color w:val="7F7F7F" w:themeColor="text1" w:themeTint="80"/>
        </w:rPr>
        <w:t xml:space="preserve"> 2018</w:t>
      </w:r>
      <w:r w:rsidRPr="009B720F">
        <w:rPr>
          <w:bCs/>
          <w:color w:val="7F7F7F" w:themeColor="text1" w:themeTint="80"/>
        </w:rPr>
        <w:t>, p. 4, 2</w:t>
      </w:r>
      <w:r w:rsidRPr="009B720F">
        <w:rPr>
          <w:bCs/>
        </w:rPr>
        <w:t>).</w:t>
      </w:r>
    </w:p>
    <w:bookmarkEnd w:id="52"/>
    <w:bookmarkEnd w:id="54"/>
    <w:bookmarkEnd w:id="55"/>
    <w:p w14:paraId="60D3C5A5" w14:textId="10A3F627" w:rsidR="000E1F00" w:rsidRPr="009B720F" w:rsidRDefault="000E1F00" w:rsidP="00C4751F">
      <w:pPr>
        <w:pStyle w:val="TEXTBODY"/>
        <w:rPr>
          <w:bCs/>
        </w:rPr>
      </w:pPr>
    </w:p>
    <w:p w14:paraId="0F2F153F" w14:textId="531D1300" w:rsidR="00C4751F" w:rsidRPr="00974448" w:rsidRDefault="00AD22FD" w:rsidP="00C4751F">
      <w:pPr>
        <w:pStyle w:val="Ttulo2"/>
        <w:rPr>
          <w:bCs/>
        </w:rPr>
      </w:pPr>
      <w:r>
        <w:rPr>
          <w:rFonts w:eastAsia="RijksoverheidSansText-Regular"/>
          <w:bCs/>
        </w:rPr>
        <w:t>2</w:t>
      </w:r>
      <w:r w:rsidR="00C4751F" w:rsidRPr="009B720F">
        <w:rPr>
          <w:rFonts w:eastAsia="RijksoverheidSansText-Regular"/>
          <w:bCs/>
        </w:rPr>
        <w:t xml:space="preserve">.2. </w:t>
      </w:r>
      <w:r w:rsidR="00C4751F" w:rsidRPr="009B720F">
        <w:rPr>
          <w:bCs/>
        </w:rPr>
        <w:t xml:space="preserve">Annual </w:t>
      </w:r>
      <w:r w:rsidR="00C4751F" w:rsidRPr="00974448">
        <w:rPr>
          <w:bCs/>
        </w:rPr>
        <w:t>cycle of</w:t>
      </w:r>
      <w:r w:rsidR="009E52EC" w:rsidRPr="00974448">
        <w:rPr>
          <w:bCs/>
        </w:rPr>
        <w:t xml:space="preserve"> development of</w:t>
      </w:r>
      <w:r w:rsidR="00C4751F" w:rsidRPr="00974448">
        <w:rPr>
          <w:bCs/>
        </w:rPr>
        <w:t xml:space="preserve"> the DP: steps </w:t>
      </w:r>
      <w:r w:rsidR="009E52EC" w:rsidRPr="00974448">
        <w:rPr>
          <w:bCs/>
        </w:rPr>
        <w:t>until the</w:t>
      </w:r>
      <w:r w:rsidR="00C4751F" w:rsidRPr="00974448">
        <w:rPr>
          <w:bCs/>
        </w:rPr>
        <w:t xml:space="preserve"> </w:t>
      </w:r>
      <w:r w:rsidR="00C4751F" w:rsidRPr="00974448">
        <w:rPr>
          <w:bCs/>
          <w:i/>
          <w:iCs/>
        </w:rPr>
        <w:t>Delta Decisions</w:t>
      </w:r>
      <w:r w:rsidR="00C4751F" w:rsidRPr="00974448">
        <w:rPr>
          <w:bCs/>
        </w:rPr>
        <w:t xml:space="preserve"> and </w:t>
      </w:r>
      <w:r w:rsidR="00C4751F" w:rsidRPr="00974448">
        <w:rPr>
          <w:bCs/>
          <w:i/>
          <w:iCs/>
        </w:rPr>
        <w:t xml:space="preserve">Preferential Strategies </w:t>
      </w:r>
    </w:p>
    <w:p w14:paraId="2D350EEF" w14:textId="4B038299" w:rsidR="007A0619" w:rsidRPr="009B720F" w:rsidRDefault="00C4751F" w:rsidP="00F8219A">
      <w:pPr>
        <w:pStyle w:val="TEXTBODY"/>
        <w:spacing w:line="276" w:lineRule="auto"/>
        <w:rPr>
          <w:bCs/>
        </w:rPr>
      </w:pPr>
      <w:bookmarkStart w:id="56" w:name="_Hlk139975849"/>
      <w:r w:rsidRPr="00974448">
        <w:rPr>
          <w:bCs/>
        </w:rPr>
        <w:t xml:space="preserve">The DP </w:t>
      </w:r>
      <w:r w:rsidR="008A5731" w:rsidRPr="00974448">
        <w:rPr>
          <w:bCs/>
        </w:rPr>
        <w:t xml:space="preserve">has </w:t>
      </w:r>
      <w:r w:rsidRPr="00974448">
        <w:rPr>
          <w:bCs/>
        </w:rPr>
        <w:t>follow</w:t>
      </w:r>
      <w:r w:rsidR="008A5731" w:rsidRPr="00974448">
        <w:rPr>
          <w:bCs/>
        </w:rPr>
        <w:t xml:space="preserve">ed </w:t>
      </w:r>
      <w:r w:rsidRPr="00974448">
        <w:rPr>
          <w:bCs/>
        </w:rPr>
        <w:t>an annual development cycle</w:t>
      </w:r>
      <w:r w:rsidR="004F393E" w:rsidRPr="00974448">
        <w:rPr>
          <w:rStyle w:val="Refdenotaderodap"/>
          <w:bCs/>
        </w:rPr>
        <w:footnoteReference w:id="39"/>
      </w:r>
      <w:r w:rsidR="00665016" w:rsidRPr="00974448">
        <w:rPr>
          <w:bCs/>
        </w:rPr>
        <w:t xml:space="preserve">, </w:t>
      </w:r>
      <w:r w:rsidR="00EA15EC" w:rsidRPr="00974448">
        <w:rPr>
          <w:bCs/>
        </w:rPr>
        <w:t>and, in this cycle,</w:t>
      </w:r>
      <w:r w:rsidRPr="00974448">
        <w:rPr>
          <w:bCs/>
        </w:rPr>
        <w:t xml:space="preserve"> the DP has carried out</w:t>
      </w:r>
      <w:r w:rsidRPr="00974448">
        <w:rPr>
          <w:rFonts w:cs="Arial"/>
          <w:bCs/>
        </w:rPr>
        <w:t xml:space="preserve"> the </w:t>
      </w:r>
      <w:r w:rsidR="004F393E" w:rsidRPr="00974448">
        <w:rPr>
          <w:rFonts w:cs="Arial"/>
          <w:bCs/>
        </w:rPr>
        <w:t xml:space="preserve">main </w:t>
      </w:r>
      <w:r w:rsidRPr="00974448">
        <w:rPr>
          <w:rFonts w:cs="Arial"/>
          <w:bCs/>
        </w:rPr>
        <w:t>steps of ADM process (or similar steps to those prescribed in ADM) (</w:t>
      </w:r>
      <w:r w:rsidRPr="00974448">
        <w:rPr>
          <w:rFonts w:cs="Arial"/>
          <w:bCs/>
          <w:color w:val="7F7F7F" w:themeColor="text1" w:themeTint="80"/>
        </w:rPr>
        <w:t>DP 2016, p.6</w:t>
      </w:r>
      <w:r w:rsidRPr="00974448">
        <w:rPr>
          <w:rFonts w:cs="Arial"/>
          <w:bCs/>
        </w:rPr>
        <w:t>).</w:t>
      </w:r>
      <w:r w:rsidRPr="009B720F">
        <w:rPr>
          <w:rFonts w:cs="Arial"/>
          <w:bCs/>
        </w:rPr>
        <w:t xml:space="preserve"> </w:t>
      </w:r>
      <w:r w:rsidR="00E74925" w:rsidRPr="009B720F">
        <w:rPr>
          <w:bCs/>
        </w:rPr>
        <w:t xml:space="preserve">In the year 2011/2012, each regional Subprogramme explored </w:t>
      </w:r>
      <w:r w:rsidR="00E74925" w:rsidRPr="009B720F">
        <w:rPr>
          <w:bCs/>
          <w:i/>
          <w:iCs/>
        </w:rPr>
        <w:t>Possible Strategies</w:t>
      </w:r>
      <w:r w:rsidR="00E74925" w:rsidRPr="009B720F">
        <w:rPr>
          <w:bCs/>
        </w:rPr>
        <w:t xml:space="preserve"> for its region, i.e. possible measures / solutions. In the year 2012/2013, these </w:t>
      </w:r>
      <w:r w:rsidR="00E74925" w:rsidRPr="009B720F">
        <w:rPr>
          <w:bCs/>
          <w:i/>
          <w:iCs/>
        </w:rPr>
        <w:t>Possible Strategies</w:t>
      </w:r>
      <w:r w:rsidR="00E74925" w:rsidRPr="009B720F">
        <w:rPr>
          <w:bCs/>
        </w:rPr>
        <w:t xml:space="preserve"> were further developed into</w:t>
      </w:r>
      <w:r w:rsidR="00E74925" w:rsidRPr="009B720F">
        <w:rPr>
          <w:bCs/>
          <w:i/>
          <w:iCs/>
        </w:rPr>
        <w:t xml:space="preserve"> Promising Strategies</w:t>
      </w:r>
      <w:r w:rsidR="00E74925" w:rsidRPr="009B720F">
        <w:rPr>
          <w:bCs/>
        </w:rPr>
        <w:t xml:space="preserve">, which consist of </w:t>
      </w:r>
      <w:r w:rsidR="00E74925" w:rsidRPr="00974448">
        <w:rPr>
          <w:bCs/>
        </w:rPr>
        <w:t xml:space="preserve">the measures and, in some cases, the initial </w:t>
      </w:r>
      <w:r w:rsidR="00E74925" w:rsidRPr="00974448">
        <w:rPr>
          <w:bCs/>
          <w:i/>
          <w:iCs/>
        </w:rPr>
        <w:t>paths</w:t>
      </w:r>
      <w:r w:rsidR="00E74925" w:rsidRPr="00974448">
        <w:rPr>
          <w:bCs/>
        </w:rPr>
        <w:t xml:space="preserve">, which are presented in the DP2013. In the year 2013/2014, the </w:t>
      </w:r>
      <w:r w:rsidR="00E74925" w:rsidRPr="00974448">
        <w:rPr>
          <w:bCs/>
          <w:i/>
          <w:iCs/>
        </w:rPr>
        <w:t>Promising Strategies</w:t>
      </w:r>
      <w:r w:rsidR="00E74925" w:rsidRPr="00974448">
        <w:rPr>
          <w:bCs/>
        </w:rPr>
        <w:t xml:space="preserve"> were furthe</w:t>
      </w:r>
      <w:r w:rsidR="00E74925" w:rsidRPr="00E74925">
        <w:rPr>
          <w:bCs/>
        </w:rPr>
        <w:t xml:space="preserve">r detailed which led to a </w:t>
      </w:r>
      <w:r w:rsidR="00E74925" w:rsidRPr="00E74925">
        <w:rPr>
          <w:bCs/>
          <w:i/>
          <w:iCs/>
        </w:rPr>
        <w:t>Preferential Strategy</w:t>
      </w:r>
      <w:r w:rsidR="00E74925" w:rsidRPr="00E74925">
        <w:rPr>
          <w:bCs/>
        </w:rPr>
        <w:t xml:space="preserve">, which shows the final </w:t>
      </w:r>
      <w:r w:rsidR="00E74925" w:rsidRPr="00E74925">
        <w:rPr>
          <w:bCs/>
          <w:i/>
          <w:iCs/>
        </w:rPr>
        <w:t xml:space="preserve">adaptation path(s) </w:t>
      </w:r>
      <w:r w:rsidR="00E74925" w:rsidRPr="00E74925">
        <w:rPr>
          <w:bCs/>
        </w:rPr>
        <w:t xml:space="preserve">chosen, </w:t>
      </w:r>
      <w:r w:rsidR="00E74925" w:rsidRPr="00974448">
        <w:rPr>
          <w:bCs/>
        </w:rPr>
        <w:t xml:space="preserve">and such </w:t>
      </w:r>
      <w:r w:rsidR="00E74925" w:rsidRPr="00974448">
        <w:rPr>
          <w:bCs/>
          <w:i/>
          <w:iCs/>
        </w:rPr>
        <w:t>Preferential Strategy</w:t>
      </w:r>
      <w:r w:rsidR="00E74925" w:rsidRPr="00974448">
        <w:rPr>
          <w:bCs/>
        </w:rPr>
        <w:t xml:space="preserve"> is presented in the DP2014. The </w:t>
      </w:r>
      <w:r w:rsidR="00E74925" w:rsidRPr="00974448">
        <w:rPr>
          <w:bCs/>
          <w:i/>
          <w:iCs/>
        </w:rPr>
        <w:t>Preferential Strategies</w:t>
      </w:r>
      <w:r w:rsidR="00E74925" w:rsidRPr="00974448">
        <w:rPr>
          <w:bCs/>
        </w:rPr>
        <w:t xml:space="preserve"> correspond to the final strategies proposed, which were adopted in 2015 (</w:t>
      </w:r>
      <w:r w:rsidR="00E74925" w:rsidRPr="00974448">
        <w:rPr>
          <w:bCs/>
          <w:color w:val="7F7F7F" w:themeColor="text1" w:themeTint="80"/>
        </w:rPr>
        <w:t>DP 2013, p.56</w:t>
      </w:r>
      <w:r w:rsidR="00E74925" w:rsidRPr="009B720F">
        <w:rPr>
          <w:bCs/>
          <w:color w:val="7F7F7F" w:themeColor="text1" w:themeTint="80"/>
        </w:rPr>
        <w:t>, 78</w:t>
      </w:r>
      <w:r w:rsidR="00E74925" w:rsidRPr="009B720F">
        <w:rPr>
          <w:bCs/>
        </w:rPr>
        <w:t xml:space="preserve">). </w:t>
      </w:r>
      <w:bookmarkEnd w:id="56"/>
    </w:p>
    <w:p w14:paraId="38CA7B78" w14:textId="764687FA" w:rsidR="008649BD" w:rsidRDefault="00BA6F30" w:rsidP="008649BD">
      <w:pPr>
        <w:pStyle w:val="TEXTBODY"/>
        <w:spacing w:line="276" w:lineRule="auto"/>
        <w:rPr>
          <w:bCs/>
        </w:rPr>
      </w:pPr>
      <w:r w:rsidRPr="009B720F">
        <w:rPr>
          <w:bCs/>
        </w:rPr>
        <w:lastRenderedPageBreak/>
        <w:t>The DP has followed the ADM process, which has consisted of a phased planning</w:t>
      </w:r>
      <w:r w:rsidR="001E2094" w:rsidRPr="009B720F">
        <w:rPr>
          <w:bCs/>
        </w:rPr>
        <w:t xml:space="preserve"> / </w:t>
      </w:r>
      <w:r w:rsidRPr="009B720F">
        <w:rPr>
          <w:bCs/>
        </w:rPr>
        <w:t xml:space="preserve">decision-making and management cycle with six main steps (inspired by the DAPP approach), including the design of adaptation pathways. </w:t>
      </w:r>
      <w:r w:rsidR="008649BD" w:rsidRPr="001A6DF9">
        <w:rPr>
          <w:b/>
        </w:rPr>
        <w:t xml:space="preserve">Figure </w:t>
      </w:r>
      <w:r w:rsidR="00AD22FD">
        <w:rPr>
          <w:b/>
        </w:rPr>
        <w:t>2</w:t>
      </w:r>
      <w:r w:rsidR="008649BD">
        <w:rPr>
          <w:bCs/>
        </w:rPr>
        <w:t xml:space="preserve"> illustrates the process of development of the </w:t>
      </w:r>
      <w:r w:rsidR="008649BD" w:rsidRPr="001A6DF9">
        <w:rPr>
          <w:bCs/>
          <w:i/>
          <w:iCs/>
        </w:rPr>
        <w:t>Preferential Strategies</w:t>
      </w:r>
      <w:r w:rsidR="008649BD">
        <w:rPr>
          <w:bCs/>
        </w:rPr>
        <w:t xml:space="preserve"> of the DP Subprogrammes, using ADM (it provides a detailed depiction of the process of development of robust adaptive Strategies in the Subprogrammes).</w:t>
      </w:r>
    </w:p>
    <w:p w14:paraId="4AEF7A8B" w14:textId="77777777" w:rsidR="008649BD" w:rsidRDefault="008649BD" w:rsidP="008649BD">
      <w:pPr>
        <w:pStyle w:val="TEXTBODY"/>
        <w:spacing w:line="480" w:lineRule="auto"/>
        <w:rPr>
          <w:bCs/>
        </w:rPr>
      </w:pPr>
      <w:r>
        <w:rPr>
          <w:bCs/>
          <w:noProof/>
        </w:rPr>
        <w:drawing>
          <wp:anchor distT="0" distB="0" distL="114300" distR="114300" simplePos="0" relativeHeight="252744192" behindDoc="1" locked="0" layoutInCell="1" allowOverlap="1" wp14:anchorId="6FED9718" wp14:editId="08CA7978">
            <wp:simplePos x="0" y="0"/>
            <wp:positionH relativeFrom="column">
              <wp:posOffset>-635</wp:posOffset>
            </wp:positionH>
            <wp:positionV relativeFrom="paragraph">
              <wp:posOffset>635</wp:posOffset>
            </wp:positionV>
            <wp:extent cx="6263640" cy="8151495"/>
            <wp:effectExtent l="0" t="0" r="3810" b="1905"/>
            <wp:wrapNone/>
            <wp:docPr id="435862606" name="Imagem 2" descr="Uma imagem com texto, círculo, Tipo de letr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862606" name="Imagem 2" descr="Uma imagem com texto, círculo, Tipo de letra&#10;&#10;Descrição gerada automaticament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263640" cy="8151495"/>
                    </a:xfrm>
                    <a:prstGeom prst="rect">
                      <a:avLst/>
                    </a:prstGeom>
                  </pic:spPr>
                </pic:pic>
              </a:graphicData>
            </a:graphic>
            <wp14:sizeRelH relativeFrom="page">
              <wp14:pctWidth>0</wp14:pctWidth>
            </wp14:sizeRelH>
            <wp14:sizeRelV relativeFrom="page">
              <wp14:pctHeight>0</wp14:pctHeight>
            </wp14:sizeRelV>
          </wp:anchor>
        </w:drawing>
      </w:r>
    </w:p>
    <w:p w14:paraId="603CF911" w14:textId="77777777" w:rsidR="008649BD" w:rsidRDefault="008649BD" w:rsidP="008649BD">
      <w:pPr>
        <w:pStyle w:val="TEXTBODY"/>
        <w:spacing w:line="480" w:lineRule="auto"/>
        <w:rPr>
          <w:bCs/>
        </w:rPr>
      </w:pPr>
    </w:p>
    <w:p w14:paraId="1E2BE176" w14:textId="77777777" w:rsidR="008649BD" w:rsidRDefault="008649BD" w:rsidP="008649BD">
      <w:pPr>
        <w:pStyle w:val="TEXTBODY"/>
        <w:spacing w:line="480" w:lineRule="auto"/>
        <w:rPr>
          <w:bCs/>
        </w:rPr>
      </w:pPr>
    </w:p>
    <w:p w14:paraId="14752F02" w14:textId="77777777" w:rsidR="008649BD" w:rsidRDefault="008649BD" w:rsidP="008649BD">
      <w:pPr>
        <w:pStyle w:val="TEXTBODY"/>
        <w:spacing w:line="480" w:lineRule="auto"/>
        <w:rPr>
          <w:bCs/>
        </w:rPr>
      </w:pPr>
    </w:p>
    <w:p w14:paraId="6E99099C" w14:textId="77777777" w:rsidR="008649BD" w:rsidRDefault="008649BD" w:rsidP="008649BD">
      <w:pPr>
        <w:pStyle w:val="TEXTBODY"/>
        <w:spacing w:line="480" w:lineRule="auto"/>
        <w:rPr>
          <w:bCs/>
        </w:rPr>
      </w:pPr>
    </w:p>
    <w:p w14:paraId="0012941F" w14:textId="77777777" w:rsidR="008649BD" w:rsidRDefault="008649BD" w:rsidP="008649BD">
      <w:pPr>
        <w:pStyle w:val="TEXTBODY"/>
        <w:spacing w:line="480" w:lineRule="auto"/>
        <w:rPr>
          <w:bCs/>
        </w:rPr>
      </w:pPr>
    </w:p>
    <w:p w14:paraId="63C912D8" w14:textId="77777777" w:rsidR="008649BD" w:rsidRDefault="008649BD" w:rsidP="008649BD">
      <w:pPr>
        <w:pStyle w:val="TEXTBODY"/>
        <w:spacing w:line="480" w:lineRule="auto"/>
        <w:rPr>
          <w:bCs/>
        </w:rPr>
      </w:pPr>
    </w:p>
    <w:p w14:paraId="33E4E168" w14:textId="77777777" w:rsidR="008649BD" w:rsidRDefault="008649BD" w:rsidP="008649BD">
      <w:pPr>
        <w:pStyle w:val="TEXTBODY"/>
        <w:spacing w:line="480" w:lineRule="auto"/>
        <w:rPr>
          <w:bCs/>
        </w:rPr>
      </w:pPr>
    </w:p>
    <w:p w14:paraId="6EA81A56" w14:textId="77777777" w:rsidR="008649BD" w:rsidRDefault="008649BD" w:rsidP="008649BD">
      <w:pPr>
        <w:pStyle w:val="TEXTBODY"/>
        <w:spacing w:line="480" w:lineRule="auto"/>
        <w:rPr>
          <w:bCs/>
        </w:rPr>
      </w:pPr>
    </w:p>
    <w:p w14:paraId="420740FD" w14:textId="77777777" w:rsidR="008649BD" w:rsidRDefault="008649BD" w:rsidP="008649BD">
      <w:pPr>
        <w:pStyle w:val="TEXTBODY"/>
        <w:spacing w:line="480" w:lineRule="auto"/>
        <w:rPr>
          <w:bCs/>
        </w:rPr>
      </w:pPr>
    </w:p>
    <w:p w14:paraId="2B550B8B" w14:textId="77777777" w:rsidR="008649BD" w:rsidRDefault="008649BD" w:rsidP="008649BD">
      <w:pPr>
        <w:pStyle w:val="TEXTBODY"/>
        <w:spacing w:line="480" w:lineRule="auto"/>
        <w:rPr>
          <w:bCs/>
        </w:rPr>
      </w:pPr>
    </w:p>
    <w:p w14:paraId="78A8A0F8" w14:textId="77777777" w:rsidR="008649BD" w:rsidRDefault="008649BD" w:rsidP="008649BD">
      <w:pPr>
        <w:pStyle w:val="TEXTBODY"/>
        <w:spacing w:line="480" w:lineRule="auto"/>
        <w:rPr>
          <w:bCs/>
        </w:rPr>
      </w:pPr>
    </w:p>
    <w:p w14:paraId="78344340" w14:textId="77777777" w:rsidR="008649BD" w:rsidRDefault="008649BD" w:rsidP="008649BD">
      <w:pPr>
        <w:pStyle w:val="TEXTBODY"/>
        <w:spacing w:line="480" w:lineRule="auto"/>
        <w:rPr>
          <w:bCs/>
        </w:rPr>
      </w:pPr>
    </w:p>
    <w:p w14:paraId="0804E384" w14:textId="77777777" w:rsidR="008649BD" w:rsidRDefault="008649BD" w:rsidP="008649BD">
      <w:pPr>
        <w:pStyle w:val="TEXTBODY"/>
        <w:spacing w:line="480" w:lineRule="auto"/>
        <w:rPr>
          <w:bCs/>
        </w:rPr>
      </w:pPr>
    </w:p>
    <w:p w14:paraId="3E98FCC5" w14:textId="77777777" w:rsidR="008649BD" w:rsidRDefault="008649BD" w:rsidP="008649BD">
      <w:pPr>
        <w:pStyle w:val="TEXTBODY"/>
        <w:spacing w:line="480" w:lineRule="auto"/>
        <w:rPr>
          <w:bCs/>
        </w:rPr>
      </w:pPr>
    </w:p>
    <w:p w14:paraId="0E25E5CA" w14:textId="77777777" w:rsidR="008649BD" w:rsidRDefault="008649BD" w:rsidP="008649BD">
      <w:pPr>
        <w:pStyle w:val="TEXTBODY"/>
        <w:spacing w:line="480" w:lineRule="auto"/>
        <w:rPr>
          <w:bCs/>
        </w:rPr>
      </w:pPr>
    </w:p>
    <w:p w14:paraId="5EED3027" w14:textId="77777777" w:rsidR="008649BD" w:rsidRDefault="008649BD" w:rsidP="008649BD">
      <w:pPr>
        <w:pStyle w:val="TEXTBODY"/>
        <w:spacing w:line="480" w:lineRule="auto"/>
        <w:rPr>
          <w:bCs/>
        </w:rPr>
      </w:pPr>
    </w:p>
    <w:p w14:paraId="4C5D23BB" w14:textId="77777777" w:rsidR="008649BD" w:rsidRDefault="008649BD" w:rsidP="008649BD">
      <w:pPr>
        <w:pStyle w:val="TEXTBODY"/>
        <w:spacing w:line="480" w:lineRule="auto"/>
        <w:rPr>
          <w:bCs/>
        </w:rPr>
      </w:pPr>
    </w:p>
    <w:p w14:paraId="2C30956D" w14:textId="77777777" w:rsidR="008649BD" w:rsidRDefault="008649BD" w:rsidP="008649BD">
      <w:pPr>
        <w:pStyle w:val="TEXTBODY"/>
        <w:spacing w:line="480" w:lineRule="auto"/>
        <w:rPr>
          <w:bCs/>
        </w:rPr>
      </w:pPr>
    </w:p>
    <w:p w14:paraId="5EE13DEE" w14:textId="77777777" w:rsidR="008649BD" w:rsidRDefault="008649BD" w:rsidP="008649BD">
      <w:pPr>
        <w:pStyle w:val="TEXTBODY"/>
        <w:spacing w:line="480" w:lineRule="auto"/>
        <w:rPr>
          <w:bCs/>
        </w:rPr>
      </w:pPr>
    </w:p>
    <w:p w14:paraId="0211AA4F" w14:textId="77777777" w:rsidR="008649BD" w:rsidRDefault="008649BD" w:rsidP="008649BD">
      <w:pPr>
        <w:pStyle w:val="TEXTBODY"/>
        <w:spacing w:line="480" w:lineRule="auto"/>
        <w:rPr>
          <w:bCs/>
        </w:rPr>
      </w:pPr>
    </w:p>
    <w:p w14:paraId="7ABF39D0" w14:textId="49272426" w:rsidR="008649BD" w:rsidRDefault="008649BD" w:rsidP="008649BD">
      <w:pPr>
        <w:pStyle w:val="TEXTBODY"/>
        <w:spacing w:line="480" w:lineRule="auto"/>
        <w:rPr>
          <w:bCs/>
        </w:rPr>
      </w:pPr>
    </w:p>
    <w:p w14:paraId="65CE533F" w14:textId="6212CE48" w:rsidR="008649BD" w:rsidRPr="008649BD" w:rsidRDefault="008649BD" w:rsidP="008649BD">
      <w:pPr>
        <w:pStyle w:val="TEXTBODY"/>
        <w:spacing w:line="480" w:lineRule="auto"/>
        <w:rPr>
          <w:bCs/>
        </w:rPr>
      </w:pPr>
      <w:r w:rsidRPr="00BA2399">
        <w:rPr>
          <w:noProof/>
        </w:rPr>
        <mc:AlternateContent>
          <mc:Choice Requires="wps">
            <w:drawing>
              <wp:anchor distT="45720" distB="45720" distL="114300" distR="114300" simplePos="0" relativeHeight="252743168" behindDoc="0" locked="0" layoutInCell="1" allowOverlap="1" wp14:anchorId="5AA2ACE9" wp14:editId="34DC4A9C">
                <wp:simplePos x="0" y="0"/>
                <wp:positionH relativeFrom="margin">
                  <wp:posOffset>-23495</wp:posOffset>
                </wp:positionH>
                <wp:positionV relativeFrom="paragraph">
                  <wp:posOffset>674370</wp:posOffset>
                </wp:positionV>
                <wp:extent cx="6286500" cy="228600"/>
                <wp:effectExtent l="0" t="0" r="0" b="0"/>
                <wp:wrapNone/>
                <wp:docPr id="1639956192"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228600"/>
                        </a:xfrm>
                        <a:prstGeom prst="rect">
                          <a:avLst/>
                        </a:prstGeom>
                        <a:noFill/>
                        <a:ln w="9525">
                          <a:noFill/>
                          <a:miter lim="800000"/>
                          <a:headEnd/>
                          <a:tailEnd/>
                        </a:ln>
                      </wps:spPr>
                      <wps:txbx>
                        <w:txbxContent>
                          <w:p w14:paraId="68474E4C" w14:textId="1FA26E2D" w:rsidR="008649BD" w:rsidRPr="00006076" w:rsidRDefault="008649BD" w:rsidP="008649BD">
                            <w:pPr>
                              <w:pStyle w:val="TEXTBODY"/>
                              <w:spacing w:line="240" w:lineRule="auto"/>
                              <w:jc w:val="center"/>
                              <w:rPr>
                                <w:rFonts w:ascii="Arial" w:hAnsi="Arial" w:cs="Arial"/>
                                <w:sz w:val="14"/>
                                <w:szCs w:val="14"/>
                              </w:rPr>
                            </w:pPr>
                            <w:r w:rsidRPr="007804F7">
                              <w:rPr>
                                <w:rFonts w:ascii="Arial" w:hAnsi="Arial" w:cs="Arial"/>
                                <w:b/>
                                <w:bCs/>
                                <w:color w:val="000000"/>
                                <w:sz w:val="14"/>
                                <w:szCs w:val="14"/>
                              </w:rPr>
                              <w:t>Fig.</w:t>
                            </w:r>
                            <w:r>
                              <w:rPr>
                                <w:rFonts w:ascii="Arial" w:hAnsi="Arial" w:cs="Arial"/>
                                <w:b/>
                                <w:bCs/>
                                <w:color w:val="000000"/>
                                <w:sz w:val="14"/>
                                <w:szCs w:val="14"/>
                              </w:rPr>
                              <w:t xml:space="preserve"> </w:t>
                            </w:r>
                            <w:r w:rsidR="00AD22FD">
                              <w:rPr>
                                <w:rFonts w:ascii="Arial" w:hAnsi="Arial" w:cs="Arial"/>
                                <w:b/>
                                <w:bCs/>
                                <w:color w:val="000000"/>
                                <w:sz w:val="14"/>
                                <w:szCs w:val="14"/>
                              </w:rPr>
                              <w:t>2</w:t>
                            </w:r>
                            <w:r w:rsidRPr="007804F7">
                              <w:rPr>
                                <w:rFonts w:ascii="Arial" w:hAnsi="Arial" w:cs="Arial"/>
                                <w:sz w:val="14"/>
                                <w:szCs w:val="14"/>
                              </w:rPr>
                              <w:t xml:space="preserve"> </w:t>
                            </w:r>
                            <w:r>
                              <w:rPr>
                                <w:rFonts w:ascii="Arial" w:hAnsi="Arial" w:cs="Arial"/>
                                <w:sz w:val="14"/>
                                <w:szCs w:val="14"/>
                              </w:rPr>
                              <w:t>ADM process in the DP and its Subprogrammes</w:t>
                            </w:r>
                            <w:r w:rsidRPr="007804F7">
                              <w:rPr>
                                <w:rFonts w:ascii="Arial" w:hAnsi="Arial" w:cs="Arial"/>
                                <w:sz w:val="14"/>
                                <w:szCs w:val="14"/>
                              </w:rPr>
                              <w:t xml:space="preserve">, showing the various steps of development of </w:t>
                            </w:r>
                            <w:r>
                              <w:rPr>
                                <w:rFonts w:ascii="Arial" w:hAnsi="Arial" w:cs="Arial"/>
                                <w:sz w:val="14"/>
                                <w:szCs w:val="14"/>
                              </w:rPr>
                              <w:t>the Preferential Strategies devised by each Subprogramme</w:t>
                            </w:r>
                            <w:r w:rsidRPr="007804F7">
                              <w:rPr>
                                <w:rFonts w:ascii="Arial" w:hAnsi="Arial" w:cs="Arial"/>
                                <w:sz w:val="14"/>
                                <w:szCs w:val="14"/>
                              </w:rPr>
                              <w:t xml:space="preserve">. </w:t>
                            </w:r>
                            <w:r w:rsidRPr="004E4EC8">
                              <w:rPr>
                                <w:rFonts w:ascii="Arial" w:hAnsi="Arial" w:cs="Arial"/>
                                <w:color w:val="7F7F7F" w:themeColor="text1" w:themeTint="80"/>
                                <w:sz w:val="14"/>
                                <w:szCs w:val="14"/>
                              </w:rPr>
                              <w:t>Source: own elaboration, based on DP 2011, 2012, 2013, 2014, 2016, etc</w:t>
                            </w:r>
                            <w:r w:rsidRPr="004E4EC8">
                              <w:rPr>
                                <w:rFonts w:ascii="Arial" w:hAnsi="Arial" w:cs="Arial"/>
                                <w:sz w:val="14"/>
                                <w:szCs w:val="14"/>
                              </w:rPr>
                              <w:t>.</w:t>
                            </w:r>
                          </w:p>
                          <w:p w14:paraId="12939B78" w14:textId="77777777" w:rsidR="008649BD" w:rsidRPr="007804F7" w:rsidRDefault="008649BD" w:rsidP="008649BD">
                            <w:pPr>
                              <w:spacing w:line="240" w:lineRule="auto"/>
                              <w:jc w:val="center"/>
                              <w:rPr>
                                <w:rFonts w:cs="Arial"/>
                                <w:sz w:val="14"/>
                                <w:szCs w:val="14"/>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AA2ACE9" id="_x0000_s1028" type="#_x0000_t202" style="position:absolute;left:0;text-align:left;margin-left:-1.85pt;margin-top:53.1pt;width:495pt;height:18pt;z-index:2527431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" filled="f" stroked="f">
                <v:textbox inset="0,0,0,0">
                  <w:txbxContent>
                    <w:p w14:paraId="68474E4C" w14:textId="1FA26E2D" w:rsidR="008649BD" w:rsidRPr="00006076" w:rsidRDefault="008649BD" w:rsidP="008649BD">
                      <w:pPr>
                        <w:pStyle w:val="TEXTBODY"/>
                        <w:spacing w:line="240" w:lineRule="auto"/>
                        <w:jc w:val="center"/>
                        <w:rPr>
                          <w:rFonts w:ascii="Arial" w:hAnsi="Arial" w:cs="Arial"/>
                          <w:sz w:val="14"/>
                          <w:szCs w:val="14"/>
                        </w:rPr>
                      </w:pPr>
                      <w:r w:rsidRPr="007804F7">
                        <w:rPr>
                          <w:rFonts w:ascii="Arial" w:hAnsi="Arial" w:cs="Arial"/>
                          <w:b/>
                          <w:bCs/>
                          <w:color w:val="000000"/>
                          <w:sz w:val="14"/>
                          <w:szCs w:val="14"/>
                        </w:rPr>
                        <w:t>Fig.</w:t>
                      </w:r>
                      <w:r>
                        <w:rPr>
                          <w:rFonts w:ascii="Arial" w:hAnsi="Arial" w:cs="Arial"/>
                          <w:b/>
                          <w:bCs/>
                          <w:color w:val="000000"/>
                          <w:sz w:val="14"/>
                          <w:szCs w:val="14"/>
                        </w:rPr>
                        <w:t xml:space="preserve"> </w:t>
                      </w:r>
                      <w:r w:rsidR="00AD22FD">
                        <w:rPr>
                          <w:rFonts w:ascii="Arial" w:hAnsi="Arial" w:cs="Arial"/>
                          <w:b/>
                          <w:bCs/>
                          <w:color w:val="000000"/>
                          <w:sz w:val="14"/>
                          <w:szCs w:val="14"/>
                        </w:rPr>
                        <w:t>2</w:t>
                      </w:r>
                      <w:r w:rsidRPr="007804F7">
                        <w:rPr>
                          <w:rFonts w:ascii="Arial" w:hAnsi="Arial" w:cs="Arial"/>
                          <w:sz w:val="14"/>
                          <w:szCs w:val="14"/>
                        </w:rPr>
                        <w:t xml:space="preserve"> </w:t>
                      </w:r>
                      <w:r>
                        <w:rPr>
                          <w:rFonts w:ascii="Arial" w:hAnsi="Arial" w:cs="Arial"/>
                          <w:sz w:val="14"/>
                          <w:szCs w:val="14"/>
                        </w:rPr>
                        <w:t>ADM process in the DP and its Subprogrammes</w:t>
                      </w:r>
                      <w:r w:rsidRPr="007804F7">
                        <w:rPr>
                          <w:rFonts w:ascii="Arial" w:hAnsi="Arial" w:cs="Arial"/>
                          <w:sz w:val="14"/>
                          <w:szCs w:val="14"/>
                        </w:rPr>
                        <w:t xml:space="preserve">, showing the various steps of development of </w:t>
                      </w:r>
                      <w:r>
                        <w:rPr>
                          <w:rFonts w:ascii="Arial" w:hAnsi="Arial" w:cs="Arial"/>
                          <w:sz w:val="14"/>
                          <w:szCs w:val="14"/>
                        </w:rPr>
                        <w:t>the Preferential Strategies devised by each Subprogramme</w:t>
                      </w:r>
                      <w:r w:rsidRPr="007804F7">
                        <w:rPr>
                          <w:rFonts w:ascii="Arial" w:hAnsi="Arial" w:cs="Arial"/>
                          <w:sz w:val="14"/>
                          <w:szCs w:val="14"/>
                        </w:rPr>
                        <w:t xml:space="preserve">. </w:t>
                      </w:r>
                      <w:r w:rsidRPr="004E4EC8">
                        <w:rPr>
                          <w:rFonts w:ascii="Arial" w:hAnsi="Arial" w:cs="Arial"/>
                          <w:color w:val="7F7F7F" w:themeColor="text1" w:themeTint="80"/>
                          <w:sz w:val="14"/>
                          <w:szCs w:val="14"/>
                        </w:rPr>
                        <w:t>Source: own elaboration, based on DP 2011, 2012, 2013, 2014, 2016, etc</w:t>
                      </w:r>
                      <w:r w:rsidRPr="004E4EC8">
                        <w:rPr>
                          <w:rFonts w:ascii="Arial" w:hAnsi="Arial" w:cs="Arial"/>
                          <w:sz w:val="14"/>
                          <w:szCs w:val="14"/>
                        </w:rPr>
                        <w:t>.</w:t>
                      </w:r>
                    </w:p>
                    <w:p w14:paraId="12939B78" w14:textId="77777777" w:rsidR="008649BD" w:rsidRPr="007804F7" w:rsidRDefault="008649BD" w:rsidP="008649BD">
                      <w:pPr>
                        <w:spacing w:line="240" w:lineRule="auto"/>
                        <w:jc w:val="center"/>
                        <w:rPr>
                          <w:rFonts w:cs="Arial"/>
                          <w:sz w:val="14"/>
                          <w:szCs w:val="14"/>
                        </w:rPr>
                      </w:pPr>
                    </w:p>
                  </w:txbxContent>
                </v:textbox>
                <w10:wrap anchorx="margin"/>
              </v:shape>
            </w:pict>
          </mc:Fallback>
        </mc:AlternateContent>
      </w:r>
    </w:p>
    <w:p w14:paraId="031AD51F" w14:textId="46C1A2A4" w:rsidR="00BA6F30" w:rsidRPr="009B720F" w:rsidRDefault="00BA6F30" w:rsidP="00E74925">
      <w:pPr>
        <w:pStyle w:val="TEXTBODY"/>
        <w:spacing w:line="276" w:lineRule="auto"/>
        <w:rPr>
          <w:bCs/>
        </w:rPr>
      </w:pPr>
      <w:r w:rsidRPr="00974448">
        <w:rPr>
          <w:b/>
        </w:rPr>
        <w:lastRenderedPageBreak/>
        <w:t xml:space="preserve">Table </w:t>
      </w:r>
      <w:r w:rsidR="00AD22FD">
        <w:rPr>
          <w:b/>
        </w:rPr>
        <w:t>2</w:t>
      </w:r>
      <w:r w:rsidRPr="00974448">
        <w:rPr>
          <w:bCs/>
        </w:rPr>
        <w:t xml:space="preserve"> </w:t>
      </w:r>
      <w:r w:rsidRPr="009B720F">
        <w:rPr>
          <w:bCs/>
        </w:rPr>
        <w:t xml:space="preserve">summarizes the process of ADM followed in the DP: it identifies its main </w:t>
      </w:r>
      <w:proofErr w:type="gramStart"/>
      <w:r w:rsidRPr="009B720F">
        <w:rPr>
          <w:bCs/>
        </w:rPr>
        <w:t>steps, and</w:t>
      </w:r>
      <w:proofErr w:type="gramEnd"/>
      <w:r w:rsidRPr="009B720F">
        <w:rPr>
          <w:bCs/>
        </w:rPr>
        <w:t xml:space="preserve"> explains how these were applied in the DP and its Subprogrammes, the main years of elaboration of important DP contents, and examples of the</w:t>
      </w:r>
      <w:r w:rsidR="000F3FB1" w:rsidRPr="009B720F">
        <w:rPr>
          <w:bCs/>
        </w:rPr>
        <w:t xml:space="preserve"> work carried out in each phase</w:t>
      </w:r>
      <w:r w:rsidRPr="009B720F">
        <w:rPr>
          <w:bCs/>
        </w:rPr>
        <w:t xml:space="preserve"> in the Subprogramme for the Rhine Estuary-Drechtsteden (RE-D). </w:t>
      </w:r>
    </w:p>
    <w:p w14:paraId="1D0DAC2E" w14:textId="77777777" w:rsidR="00BA6F30" w:rsidRPr="009B720F" w:rsidRDefault="00BA6F30" w:rsidP="00BA6F30">
      <w:pPr>
        <w:pStyle w:val="TEXTBODY"/>
        <w:spacing w:after="0"/>
        <w:rPr>
          <w:bCs/>
        </w:rPr>
      </w:pPr>
    </w:p>
    <w:tbl>
      <w:tblPr>
        <w:tblStyle w:val="TabelacomGrelha"/>
        <w:tblW w:w="9918" w:type="dxa"/>
        <w:tblLayout w:type="fixed"/>
        <w:tblLook w:val="04A0" w:firstRow="1" w:lastRow="0" w:firstColumn="1" w:lastColumn="0" w:noHBand="0" w:noVBand="1"/>
      </w:tblPr>
      <w:tblGrid>
        <w:gridCol w:w="704"/>
        <w:gridCol w:w="2552"/>
        <w:gridCol w:w="4819"/>
        <w:gridCol w:w="1843"/>
      </w:tblGrid>
      <w:tr w:rsidR="00995F3E" w:rsidRPr="00E74925" w14:paraId="0B0FFC7E" w14:textId="77777777" w:rsidTr="00E74925">
        <w:tc>
          <w:tcPr>
            <w:tcW w:w="9918" w:type="dxa"/>
            <w:gridSpan w:val="4"/>
            <w:shd w:val="clear" w:color="auto" w:fill="auto"/>
          </w:tcPr>
          <w:p w14:paraId="060864CF" w14:textId="69544536" w:rsidR="00995F3E" w:rsidRPr="00E74925" w:rsidRDefault="00995F3E" w:rsidP="00E74925">
            <w:pPr>
              <w:spacing w:after="60"/>
              <w:jc w:val="left"/>
              <w:outlineLvl w:val="3"/>
              <w:rPr>
                <w:rFonts w:cs="Arial"/>
                <w:b/>
                <w:sz w:val="14"/>
                <w:szCs w:val="14"/>
              </w:rPr>
            </w:pPr>
            <w:r w:rsidRPr="00E74925">
              <w:rPr>
                <w:rFonts w:cs="Arial"/>
                <w:b/>
                <w:sz w:val="14"/>
                <w:szCs w:val="14"/>
              </w:rPr>
              <w:t>Table</w:t>
            </w:r>
            <w:r w:rsidR="001A6DF9">
              <w:rPr>
                <w:rFonts w:cs="Arial"/>
                <w:b/>
                <w:sz w:val="14"/>
                <w:szCs w:val="14"/>
              </w:rPr>
              <w:t xml:space="preserve"> </w:t>
            </w:r>
            <w:r w:rsidR="00AD22FD">
              <w:rPr>
                <w:rFonts w:cs="Arial"/>
                <w:b/>
                <w:sz w:val="14"/>
                <w:szCs w:val="14"/>
              </w:rPr>
              <w:t>2</w:t>
            </w:r>
            <w:r w:rsidRPr="00E74925">
              <w:rPr>
                <w:rFonts w:cs="Arial"/>
                <w:b/>
                <w:sz w:val="14"/>
                <w:szCs w:val="14"/>
              </w:rPr>
              <w:t>. Steps of the ADM process, and their application in the DP and its Subprogrammes</w:t>
            </w:r>
          </w:p>
        </w:tc>
      </w:tr>
      <w:tr w:rsidR="00995F3E" w:rsidRPr="00995F3E" w14:paraId="0107B153" w14:textId="77777777" w:rsidTr="00E74925">
        <w:tc>
          <w:tcPr>
            <w:tcW w:w="704" w:type="dxa"/>
            <w:shd w:val="clear" w:color="auto" w:fill="auto"/>
          </w:tcPr>
          <w:p w14:paraId="3F88C085" w14:textId="4DDE9588" w:rsidR="00995F3E" w:rsidRPr="00995F3E" w:rsidRDefault="00995F3E" w:rsidP="00E74925">
            <w:pPr>
              <w:spacing w:after="60"/>
              <w:jc w:val="left"/>
              <w:rPr>
                <w:rFonts w:cs="Arial"/>
                <w:b/>
                <w:sz w:val="14"/>
                <w:szCs w:val="14"/>
              </w:rPr>
            </w:pPr>
            <w:r w:rsidRPr="00E74925">
              <w:rPr>
                <w:rFonts w:cs="Arial"/>
                <w:b/>
                <w:sz w:val="14"/>
                <w:szCs w:val="14"/>
              </w:rPr>
              <w:t>STEP OF ADM</w:t>
            </w:r>
          </w:p>
        </w:tc>
        <w:tc>
          <w:tcPr>
            <w:tcW w:w="2552" w:type="dxa"/>
            <w:shd w:val="clear" w:color="auto" w:fill="auto"/>
          </w:tcPr>
          <w:p w14:paraId="7C4E811C" w14:textId="247EC33F" w:rsidR="00995F3E" w:rsidRPr="00995F3E" w:rsidRDefault="00995F3E" w:rsidP="00E74925">
            <w:pPr>
              <w:spacing w:after="60"/>
              <w:jc w:val="left"/>
              <w:rPr>
                <w:rFonts w:cs="Arial"/>
                <w:b/>
                <w:sz w:val="14"/>
                <w:szCs w:val="14"/>
              </w:rPr>
            </w:pPr>
            <w:r w:rsidRPr="00E74925">
              <w:rPr>
                <w:rFonts w:cs="Arial"/>
                <w:b/>
                <w:sz w:val="14"/>
                <w:szCs w:val="14"/>
              </w:rPr>
              <w:t>Main step explanation</w:t>
            </w:r>
          </w:p>
        </w:tc>
        <w:tc>
          <w:tcPr>
            <w:tcW w:w="4819" w:type="dxa"/>
            <w:shd w:val="clear" w:color="auto" w:fill="auto"/>
          </w:tcPr>
          <w:p w14:paraId="6ABC045C" w14:textId="39C3C525" w:rsidR="00995F3E" w:rsidRPr="00995F3E" w:rsidRDefault="00995F3E" w:rsidP="00E74925">
            <w:pPr>
              <w:spacing w:after="60"/>
              <w:jc w:val="left"/>
              <w:rPr>
                <w:rFonts w:cs="Arial"/>
                <w:b/>
                <w:sz w:val="14"/>
                <w:szCs w:val="14"/>
              </w:rPr>
            </w:pPr>
            <w:r w:rsidRPr="00E74925">
              <w:rPr>
                <w:rFonts w:cs="Arial"/>
                <w:b/>
                <w:sz w:val="14"/>
                <w:szCs w:val="14"/>
              </w:rPr>
              <w:t>Sub-steps as applied in ADM</w:t>
            </w:r>
          </w:p>
        </w:tc>
        <w:tc>
          <w:tcPr>
            <w:tcW w:w="1843" w:type="dxa"/>
            <w:shd w:val="clear" w:color="auto" w:fill="auto"/>
          </w:tcPr>
          <w:p w14:paraId="4A001A8F" w14:textId="3B94F885" w:rsidR="00995F3E" w:rsidRPr="00995F3E" w:rsidRDefault="00995F3E" w:rsidP="00E74925">
            <w:pPr>
              <w:spacing w:after="60"/>
              <w:jc w:val="left"/>
              <w:outlineLvl w:val="3"/>
              <w:rPr>
                <w:rFonts w:cs="Arial"/>
                <w:b/>
                <w:sz w:val="14"/>
                <w:szCs w:val="14"/>
              </w:rPr>
            </w:pPr>
            <w:r w:rsidRPr="00E74925">
              <w:rPr>
                <w:rFonts w:cs="Arial"/>
                <w:b/>
                <w:sz w:val="14"/>
                <w:szCs w:val="14"/>
              </w:rPr>
              <w:t>Main years</w:t>
            </w:r>
          </w:p>
        </w:tc>
      </w:tr>
      <w:tr w:rsidR="00995F3E" w:rsidRPr="00995F3E" w14:paraId="28FDA909" w14:textId="77777777" w:rsidTr="00E74925">
        <w:tc>
          <w:tcPr>
            <w:tcW w:w="704" w:type="dxa"/>
            <w:shd w:val="clear" w:color="auto" w:fill="auto"/>
          </w:tcPr>
          <w:p w14:paraId="1F2A7AAC" w14:textId="77777777" w:rsidR="00995F3E" w:rsidRPr="00995F3E" w:rsidRDefault="00995F3E" w:rsidP="00E74925">
            <w:pPr>
              <w:spacing w:after="60"/>
              <w:jc w:val="left"/>
              <w:rPr>
                <w:rFonts w:cs="Arial"/>
                <w:bCs/>
                <w:i/>
                <w:iCs/>
                <w:sz w:val="14"/>
                <w:szCs w:val="14"/>
              </w:rPr>
            </w:pPr>
            <w:r w:rsidRPr="00995F3E">
              <w:rPr>
                <w:rFonts w:cs="Arial"/>
                <w:bCs/>
                <w:i/>
                <w:iCs/>
                <w:sz w:val="14"/>
                <w:szCs w:val="14"/>
              </w:rPr>
              <w:t>Step 1. Analyse vulnerabilities and opportunities, under different scenarios (also called ‘problem analysis’)</w:t>
            </w:r>
          </w:p>
        </w:tc>
        <w:tc>
          <w:tcPr>
            <w:tcW w:w="2552" w:type="dxa"/>
            <w:shd w:val="clear" w:color="auto" w:fill="auto"/>
          </w:tcPr>
          <w:p w14:paraId="3BB0D0D5" w14:textId="4AE5B503" w:rsidR="00995F3E" w:rsidRPr="00995F3E" w:rsidRDefault="00995F3E" w:rsidP="00E74925">
            <w:pPr>
              <w:spacing w:after="60"/>
              <w:jc w:val="left"/>
              <w:rPr>
                <w:rFonts w:cs="Arial"/>
                <w:bCs/>
                <w:sz w:val="14"/>
                <w:szCs w:val="14"/>
              </w:rPr>
            </w:pPr>
            <w:r w:rsidRPr="00995F3E">
              <w:rPr>
                <w:rFonts w:cs="Arial"/>
                <w:bCs/>
                <w:sz w:val="14"/>
                <w:szCs w:val="14"/>
              </w:rPr>
              <w:t>This step involves: (a) the definition of the objectives for now and the future (a strategic vision for the future, goals and criteria for success), and (b) the identification of current and future vulnerabilities (external developments to which the objectives are vulnerable or that threaten them, i.e. current and future problems / needs / challenges) and ‘opportunities’ to achieve the objectives (</w:t>
            </w:r>
            <w:proofErr w:type="spellStart"/>
            <w:r w:rsidRPr="00995F3E">
              <w:rPr>
                <w:rFonts w:cs="Arial"/>
                <w:bCs/>
                <w:color w:val="7F7F7F" w:themeColor="text1" w:themeTint="80"/>
                <w:sz w:val="14"/>
                <w:szCs w:val="14"/>
              </w:rPr>
              <w:t>Jeuken</w:t>
            </w:r>
            <w:proofErr w:type="spellEnd"/>
            <w:r w:rsidRPr="00995F3E">
              <w:rPr>
                <w:rFonts w:cs="Arial"/>
                <w:bCs/>
                <w:color w:val="7F7F7F" w:themeColor="text1" w:themeTint="80"/>
                <w:sz w:val="14"/>
                <w:szCs w:val="14"/>
              </w:rPr>
              <w:t xml:space="preserve"> et al. 2014, p.4-5</w:t>
            </w:r>
            <w:r w:rsidRPr="00995F3E">
              <w:rPr>
                <w:rFonts w:cs="Arial"/>
                <w:bCs/>
                <w:sz w:val="14"/>
                <w:szCs w:val="14"/>
              </w:rPr>
              <w:t>), under relevant future scenarios (</w:t>
            </w:r>
            <w:proofErr w:type="spellStart"/>
            <w:r w:rsidRPr="00995F3E">
              <w:rPr>
                <w:rFonts w:cs="Arial"/>
                <w:bCs/>
                <w:color w:val="7F7F7F" w:themeColor="text1" w:themeTint="80"/>
                <w:sz w:val="14"/>
                <w:szCs w:val="14"/>
              </w:rPr>
              <w:t>Haasnoot</w:t>
            </w:r>
            <w:proofErr w:type="spellEnd"/>
            <w:r w:rsidRPr="00995F3E">
              <w:rPr>
                <w:rFonts w:cs="Arial"/>
                <w:bCs/>
                <w:color w:val="7F7F7F" w:themeColor="text1" w:themeTint="80"/>
                <w:sz w:val="14"/>
                <w:szCs w:val="14"/>
              </w:rPr>
              <w:t xml:space="preserve"> and </w:t>
            </w:r>
            <w:proofErr w:type="spellStart"/>
            <w:r w:rsidRPr="00995F3E">
              <w:rPr>
                <w:rFonts w:cs="Arial"/>
                <w:bCs/>
                <w:color w:val="7F7F7F" w:themeColor="text1" w:themeTint="80"/>
                <w:sz w:val="14"/>
                <w:szCs w:val="14"/>
              </w:rPr>
              <w:t>Jeuken</w:t>
            </w:r>
            <w:proofErr w:type="spellEnd"/>
            <w:r w:rsidRPr="00995F3E">
              <w:rPr>
                <w:rFonts w:cs="Arial"/>
                <w:bCs/>
                <w:color w:val="7F7F7F" w:themeColor="text1" w:themeTint="80"/>
                <w:sz w:val="14"/>
                <w:szCs w:val="14"/>
              </w:rPr>
              <w:t xml:space="preserve">; Marchand and Ludwig 2014; Zevenbergen et al. 2018;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 Zandvoort et al. 2018</w:t>
            </w:r>
            <w:r w:rsidRPr="00995F3E">
              <w:rPr>
                <w:rFonts w:cs="Arial"/>
                <w:bCs/>
                <w:sz w:val="14"/>
                <w:szCs w:val="14"/>
              </w:rPr>
              <w:t xml:space="preserve">). Sub-step 1b requires analysing the amount of change that the system can handle (critical levels) and specifying (what are the) </w:t>
            </w:r>
            <w:r w:rsidRPr="00995F3E">
              <w:rPr>
                <w:rFonts w:cs="Arial"/>
                <w:bCs/>
                <w:i/>
                <w:iCs/>
                <w:sz w:val="14"/>
                <w:szCs w:val="14"/>
              </w:rPr>
              <w:t>Adaptation Tipping-points</w:t>
            </w:r>
            <w:r w:rsidRPr="00995F3E">
              <w:rPr>
                <w:rFonts w:cs="Arial"/>
                <w:bCs/>
                <w:sz w:val="14"/>
                <w:szCs w:val="14"/>
              </w:rPr>
              <w:t xml:space="preserve"> (i.e. ATPs, conditions / points under which the objectives cease to be met (e.g. an unacceptable level of SLR) (</w:t>
            </w:r>
            <w:proofErr w:type="spellStart"/>
            <w:r w:rsidRPr="00995F3E">
              <w:rPr>
                <w:rFonts w:cs="Arial"/>
                <w:bCs/>
                <w:color w:val="7F7F7F" w:themeColor="text1" w:themeTint="80"/>
                <w:sz w:val="14"/>
                <w:szCs w:val="14"/>
              </w:rPr>
              <w:t>Kwadjik</w:t>
            </w:r>
            <w:proofErr w:type="spellEnd"/>
            <w:r w:rsidRPr="00995F3E">
              <w:rPr>
                <w:rFonts w:cs="Arial"/>
                <w:bCs/>
                <w:color w:val="7F7F7F" w:themeColor="text1" w:themeTint="80"/>
                <w:sz w:val="14"/>
                <w:szCs w:val="14"/>
              </w:rPr>
              <w:t xml:space="preserve"> et al. 2010</w:t>
            </w:r>
            <w:r w:rsidRPr="00995F3E">
              <w:rPr>
                <w:rFonts w:cs="Arial"/>
                <w:bCs/>
                <w:sz w:val="14"/>
                <w:szCs w:val="14"/>
              </w:rPr>
              <w:t>), and assessing when these occur (by confronting such ATPs with a range of plausible futures scenarios to estimate the moment when they might occur), and, in specific, assessing /estimating when the first ATP might occur using various scenarios (</w:t>
            </w:r>
            <w:proofErr w:type="spellStart"/>
            <w:r w:rsidRPr="00995F3E">
              <w:rPr>
                <w:rFonts w:cs="Arial"/>
                <w:bCs/>
                <w:color w:val="7F7F7F" w:themeColor="text1" w:themeTint="80"/>
                <w:sz w:val="14"/>
                <w:szCs w:val="14"/>
              </w:rPr>
              <w:t>Jeuken</w:t>
            </w:r>
            <w:proofErr w:type="spellEnd"/>
            <w:r w:rsidRPr="00995F3E">
              <w:rPr>
                <w:rFonts w:cs="Arial"/>
                <w:bCs/>
                <w:color w:val="7F7F7F" w:themeColor="text1" w:themeTint="80"/>
                <w:sz w:val="14"/>
                <w:szCs w:val="14"/>
              </w:rPr>
              <w:t xml:space="preserve"> et al. 2014, p.4-5</w:t>
            </w:r>
            <w:r w:rsidRPr="00995F3E">
              <w:rPr>
                <w:rFonts w:cs="Arial"/>
                <w:bCs/>
                <w:sz w:val="14"/>
                <w:szCs w:val="14"/>
              </w:rPr>
              <w:t xml:space="preserve">;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al.2016, p.204-206</w:t>
            </w:r>
            <w:r w:rsidRPr="00995F3E">
              <w:rPr>
                <w:rFonts w:cs="Arial"/>
                <w:bCs/>
                <w:sz w:val="14"/>
                <w:szCs w:val="14"/>
              </w:rPr>
              <w:t>), e.g. ‘</w:t>
            </w:r>
            <w:r w:rsidRPr="00995F3E">
              <w:rPr>
                <w:rFonts w:cs="Arial"/>
                <w:bCs/>
                <w:i/>
                <w:iCs/>
                <w:sz w:val="14"/>
                <w:szCs w:val="14"/>
              </w:rPr>
              <w:t>how long the current management strategies continue to be effective under different CC scenarios</w:t>
            </w:r>
            <w:r w:rsidRPr="00995F3E">
              <w:rPr>
                <w:rFonts w:cs="Arial"/>
                <w:bCs/>
                <w:iCs/>
                <w:sz w:val="14"/>
                <w:szCs w:val="14"/>
              </w:rPr>
              <w:t xml:space="preserve">’) </w:t>
            </w:r>
            <w:r w:rsidRPr="00995F3E">
              <w:rPr>
                <w:rFonts w:cs="Arial"/>
                <w:bCs/>
                <w:sz w:val="14"/>
                <w:szCs w:val="14"/>
              </w:rPr>
              <w:t>(</w:t>
            </w:r>
            <w:proofErr w:type="spellStart"/>
            <w:r w:rsidR="005C558F" w:rsidRPr="00E74925">
              <w:rPr>
                <w:rFonts w:cs="Arial"/>
                <w:bCs/>
                <w:color w:val="7F7F7F" w:themeColor="text1" w:themeTint="80"/>
                <w:sz w:val="14"/>
                <w:szCs w:val="14"/>
              </w:rPr>
              <w:t>Deltares</w:t>
            </w:r>
            <w:proofErr w:type="spellEnd"/>
            <w:r w:rsidR="005C558F" w:rsidRPr="00E74925">
              <w:rPr>
                <w:rFonts w:cs="Arial"/>
                <w:bCs/>
                <w:color w:val="7F7F7F" w:themeColor="text1" w:themeTint="80"/>
                <w:sz w:val="14"/>
                <w:szCs w:val="14"/>
              </w:rPr>
              <w:t xml:space="preserve"> 2018</w:t>
            </w:r>
            <w:r w:rsidRPr="00995F3E">
              <w:rPr>
                <w:rFonts w:cs="Arial"/>
                <w:bCs/>
                <w:color w:val="7F7F7F" w:themeColor="text1" w:themeTint="80"/>
                <w:sz w:val="14"/>
                <w:szCs w:val="14"/>
              </w:rPr>
              <w:t>, p.2</w:t>
            </w:r>
            <w:r w:rsidRPr="00995F3E">
              <w:rPr>
                <w:rFonts w:cs="Arial"/>
                <w:bCs/>
                <w:sz w:val="14"/>
                <w:szCs w:val="14"/>
              </w:rPr>
              <w:t>). Sub-step 1b also implies the identification of constraints and uncertainties relevant for decision-making (e.g. uncertainties about future climatic and socioeconomic changes), and such uncertainties must be considered in the generation of an ensemble of plausible future scenarios (</w:t>
            </w:r>
            <w:proofErr w:type="spellStart"/>
            <w:r w:rsidRPr="00995F3E">
              <w:rPr>
                <w:rFonts w:cs="Arial"/>
                <w:bCs/>
                <w:color w:val="7F7F7F" w:themeColor="text1" w:themeTint="80"/>
                <w:sz w:val="14"/>
                <w:szCs w:val="14"/>
              </w:rPr>
              <w:t>Haasnoot</w:t>
            </w:r>
            <w:proofErr w:type="spellEnd"/>
            <w:r w:rsidRPr="00995F3E">
              <w:rPr>
                <w:rFonts w:cs="Arial"/>
                <w:bCs/>
                <w:color w:val="7F7F7F" w:themeColor="text1" w:themeTint="80"/>
                <w:sz w:val="14"/>
                <w:szCs w:val="14"/>
              </w:rPr>
              <w:t xml:space="preserve"> and </w:t>
            </w:r>
            <w:proofErr w:type="spellStart"/>
            <w:r w:rsidRPr="00995F3E">
              <w:rPr>
                <w:rFonts w:cs="Arial"/>
                <w:bCs/>
                <w:color w:val="7F7F7F" w:themeColor="text1" w:themeTint="80"/>
                <w:sz w:val="14"/>
                <w:szCs w:val="14"/>
              </w:rPr>
              <w:t>Jeuken</w:t>
            </w:r>
            <w:proofErr w:type="spellEnd"/>
            <w:r w:rsidRPr="00995F3E">
              <w:rPr>
                <w:rFonts w:cs="Arial"/>
                <w:bCs/>
                <w:color w:val="7F7F7F" w:themeColor="text1" w:themeTint="80"/>
                <w:sz w:val="14"/>
                <w:szCs w:val="14"/>
              </w:rPr>
              <w:t xml:space="preserve">;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w:t>
            </w:r>
            <w:r w:rsidRPr="00995F3E">
              <w:rPr>
                <w:rFonts w:cs="Arial"/>
                <w:bCs/>
                <w:sz w:val="14"/>
                <w:szCs w:val="14"/>
              </w:rPr>
              <w:t xml:space="preserve">). Such scenarios are then compared to the defined objectives to see if problems (vulnerabilities) or opportunities arise, and to determine when the first ATP may </w:t>
            </w:r>
            <w:proofErr w:type="gramStart"/>
            <w:r w:rsidRPr="00995F3E">
              <w:rPr>
                <w:rFonts w:cs="Arial"/>
                <w:bCs/>
                <w:sz w:val="14"/>
                <w:szCs w:val="14"/>
              </w:rPr>
              <w:t>occur</w:t>
            </w:r>
            <w:proofErr w:type="gramEnd"/>
            <w:r w:rsidRPr="00995F3E">
              <w:rPr>
                <w:rFonts w:cs="Arial"/>
                <w:bCs/>
                <w:sz w:val="14"/>
                <w:szCs w:val="14"/>
              </w:rPr>
              <w:t xml:space="preserve"> and a new measure will be needed (</w:t>
            </w:r>
            <w:proofErr w:type="spellStart"/>
            <w:r w:rsidRPr="00995F3E">
              <w:rPr>
                <w:rFonts w:cs="Arial"/>
                <w:bCs/>
                <w:color w:val="7F7F7F" w:themeColor="text1" w:themeTint="80"/>
                <w:sz w:val="14"/>
                <w:szCs w:val="14"/>
              </w:rPr>
              <w:t>Haasnoot</w:t>
            </w:r>
            <w:proofErr w:type="spellEnd"/>
            <w:r w:rsidRPr="00995F3E">
              <w:rPr>
                <w:rFonts w:cs="Arial"/>
                <w:bCs/>
                <w:color w:val="7F7F7F" w:themeColor="text1" w:themeTint="80"/>
                <w:sz w:val="14"/>
                <w:szCs w:val="14"/>
              </w:rPr>
              <w:t xml:space="preserve"> and </w:t>
            </w:r>
            <w:proofErr w:type="spellStart"/>
            <w:r w:rsidRPr="00995F3E">
              <w:rPr>
                <w:rFonts w:cs="Arial"/>
                <w:bCs/>
                <w:color w:val="7F7F7F" w:themeColor="text1" w:themeTint="80"/>
                <w:sz w:val="14"/>
                <w:szCs w:val="14"/>
              </w:rPr>
              <w:t>Jeuken</w:t>
            </w:r>
            <w:proofErr w:type="spellEnd"/>
            <w:r w:rsidRPr="00995F3E">
              <w:rPr>
                <w:rFonts w:cs="Arial"/>
                <w:bCs/>
                <w:sz w:val="14"/>
                <w:szCs w:val="14"/>
              </w:rPr>
              <w:t xml:space="preserve">). </w:t>
            </w:r>
          </w:p>
          <w:p w14:paraId="09485123" w14:textId="1DC68578" w:rsidR="00995F3E" w:rsidRPr="00995F3E" w:rsidRDefault="00995F3E" w:rsidP="00E74925">
            <w:pPr>
              <w:spacing w:after="60"/>
              <w:jc w:val="left"/>
              <w:rPr>
                <w:rFonts w:cs="Arial"/>
                <w:bCs/>
                <w:sz w:val="14"/>
                <w:szCs w:val="14"/>
              </w:rPr>
            </w:pPr>
            <w:r w:rsidRPr="00995F3E">
              <w:rPr>
                <w:rFonts w:cs="Arial"/>
                <w:bCs/>
                <w:sz w:val="14"/>
                <w:szCs w:val="14"/>
              </w:rPr>
              <w:t>Overall, Step 1, also called ‘</w:t>
            </w:r>
            <w:r w:rsidRPr="00995F3E">
              <w:rPr>
                <w:rFonts w:cs="Arial"/>
                <w:bCs/>
                <w:i/>
                <w:iCs/>
                <w:sz w:val="14"/>
                <w:szCs w:val="14"/>
              </w:rPr>
              <w:t>problem analysis</w:t>
            </w:r>
            <w:r w:rsidRPr="00995F3E">
              <w:rPr>
                <w:rFonts w:cs="Arial"/>
                <w:bCs/>
                <w:sz w:val="14"/>
                <w:szCs w:val="14"/>
              </w:rPr>
              <w:t>’, serves to examine the occurrence of possible problems (risks, hazards, impacts), their nature, extent, and timing, under diverse future scenarios (</w:t>
            </w:r>
            <w:proofErr w:type="spellStart"/>
            <w:r w:rsidR="005C558F" w:rsidRPr="00E74925">
              <w:rPr>
                <w:rFonts w:cs="Arial"/>
                <w:bCs/>
                <w:color w:val="7F7F7F" w:themeColor="text1" w:themeTint="80"/>
                <w:sz w:val="14"/>
                <w:szCs w:val="14"/>
              </w:rPr>
              <w:t>Deltares</w:t>
            </w:r>
            <w:proofErr w:type="spellEnd"/>
            <w:r w:rsidR="005C558F" w:rsidRPr="00E74925">
              <w:rPr>
                <w:rFonts w:cs="Arial"/>
                <w:bCs/>
                <w:color w:val="7F7F7F" w:themeColor="text1" w:themeTint="80"/>
                <w:sz w:val="14"/>
                <w:szCs w:val="14"/>
              </w:rPr>
              <w:t xml:space="preserve"> 2018</w:t>
            </w:r>
            <w:r w:rsidRPr="00995F3E">
              <w:rPr>
                <w:rFonts w:cs="Arial"/>
                <w:bCs/>
                <w:color w:val="7F7F7F" w:themeColor="text1" w:themeTint="80"/>
                <w:sz w:val="14"/>
                <w:szCs w:val="14"/>
              </w:rPr>
              <w:t xml:space="preserve">, p.2-3; </w:t>
            </w:r>
            <w:r w:rsidR="005C558F" w:rsidRPr="00E74925">
              <w:rPr>
                <w:rFonts w:cs="Arial"/>
                <w:bCs/>
                <w:color w:val="7F7F7F" w:themeColor="text1" w:themeTint="80"/>
                <w:sz w:val="14"/>
                <w:szCs w:val="14"/>
              </w:rPr>
              <w:t>Brugge and Bruggeman 2019</w:t>
            </w:r>
            <w:r w:rsidRPr="00995F3E">
              <w:rPr>
                <w:rFonts w:cs="Arial"/>
                <w:bCs/>
                <w:sz w:val="14"/>
                <w:szCs w:val="14"/>
              </w:rPr>
              <w:t xml:space="preserve">). It consists of analysing when and where problems will occur under the different scenarios. A problem occurs if the policy objectives (e.g. </w:t>
            </w:r>
            <w:r w:rsidRPr="00995F3E">
              <w:rPr>
                <w:rFonts w:cs="Arial"/>
                <w:bCs/>
                <w:sz w:val="14"/>
                <w:szCs w:val="14"/>
              </w:rPr>
              <w:lastRenderedPageBreak/>
              <w:t>flood protection standards, required water levels, flood safety) are no longer met; this is also denominated a ‘tipping-point’. Step 1 requires analysing the nature, extent, and timing of the problems in diverse scenarios (</w:t>
            </w:r>
            <w:r w:rsidR="005C558F" w:rsidRPr="00E74925">
              <w:rPr>
                <w:rFonts w:cs="Arial"/>
                <w:bCs/>
                <w:color w:val="7F7F7F" w:themeColor="text1" w:themeTint="80"/>
                <w:sz w:val="14"/>
                <w:szCs w:val="14"/>
              </w:rPr>
              <w:t>Brugge and Bruggeman 2019</w:t>
            </w:r>
            <w:r w:rsidRPr="00995F3E">
              <w:rPr>
                <w:rFonts w:cs="Arial"/>
                <w:bCs/>
                <w:color w:val="7F7F7F" w:themeColor="text1" w:themeTint="80"/>
                <w:sz w:val="14"/>
                <w:szCs w:val="14"/>
              </w:rPr>
              <w:t>, p.4-5</w:t>
            </w:r>
            <w:r w:rsidRPr="00995F3E">
              <w:rPr>
                <w:rFonts w:cs="Arial"/>
                <w:bCs/>
                <w:sz w:val="14"/>
                <w:szCs w:val="14"/>
              </w:rPr>
              <w:t>).</w:t>
            </w:r>
          </w:p>
          <w:p w14:paraId="365D6E1A" w14:textId="77777777" w:rsidR="00995F3E" w:rsidRPr="00995F3E" w:rsidRDefault="00995F3E" w:rsidP="00E74925">
            <w:pPr>
              <w:spacing w:after="60"/>
              <w:rPr>
                <w:rFonts w:cs="Arial"/>
                <w:bCs/>
                <w:sz w:val="14"/>
                <w:szCs w:val="14"/>
              </w:rPr>
            </w:pPr>
            <w:r w:rsidRPr="00995F3E">
              <w:rPr>
                <w:rFonts w:cs="Arial"/>
                <w:bCs/>
                <w:sz w:val="14"/>
                <w:szCs w:val="14"/>
              </w:rPr>
              <w:t>………………</w:t>
            </w:r>
          </w:p>
          <w:p w14:paraId="3955B2BD" w14:textId="77777777" w:rsidR="00995F3E" w:rsidRPr="00995F3E" w:rsidRDefault="00995F3E" w:rsidP="00E74925">
            <w:pPr>
              <w:spacing w:after="60"/>
              <w:jc w:val="left"/>
              <w:rPr>
                <w:rFonts w:cs="Arial"/>
                <w:bCs/>
                <w:iCs/>
                <w:sz w:val="14"/>
                <w:szCs w:val="14"/>
              </w:rPr>
            </w:pPr>
            <w:r w:rsidRPr="00995F3E">
              <w:rPr>
                <w:rFonts w:cs="Arial"/>
                <w:bCs/>
                <w:iCs/>
                <w:sz w:val="14"/>
                <w:szCs w:val="14"/>
              </w:rPr>
              <w:t>Step 1 involves: (a) the definition of objectives, i.e. a ‘</w:t>
            </w:r>
            <w:r w:rsidRPr="00995F3E">
              <w:rPr>
                <w:rFonts w:cs="Arial"/>
                <w:bCs/>
                <w:i/>
                <w:iCs/>
                <w:sz w:val="14"/>
                <w:szCs w:val="14"/>
              </w:rPr>
              <w:t>strategic vision of the future</w:t>
            </w:r>
            <w:r w:rsidRPr="00995F3E">
              <w:rPr>
                <w:rFonts w:cs="Arial"/>
                <w:bCs/>
                <w:iCs/>
                <w:sz w:val="14"/>
                <w:szCs w:val="14"/>
              </w:rPr>
              <w:t>’, goals and criteria for success (also called ‘</w:t>
            </w:r>
            <w:r w:rsidRPr="00995F3E">
              <w:rPr>
                <w:rFonts w:cs="Arial"/>
                <w:bCs/>
                <w:i/>
                <w:iCs/>
                <w:sz w:val="14"/>
                <w:szCs w:val="14"/>
              </w:rPr>
              <w:t>agenda setting</w:t>
            </w:r>
            <w:r w:rsidRPr="00995F3E">
              <w:rPr>
                <w:rFonts w:cs="Arial"/>
                <w:bCs/>
                <w:iCs/>
                <w:sz w:val="14"/>
                <w:szCs w:val="14"/>
              </w:rPr>
              <w:t>’); (b) the identification of current and future problems and needs, based on relevant future scenarios (also called ‘</w:t>
            </w:r>
            <w:r w:rsidRPr="00995F3E">
              <w:rPr>
                <w:rFonts w:cs="Arial"/>
                <w:bCs/>
                <w:i/>
                <w:iCs/>
                <w:sz w:val="14"/>
                <w:szCs w:val="14"/>
              </w:rPr>
              <w:t>problem analysis</w:t>
            </w:r>
            <w:r w:rsidRPr="00995F3E">
              <w:rPr>
                <w:rFonts w:cs="Arial"/>
                <w:bCs/>
                <w:iCs/>
                <w:sz w:val="14"/>
                <w:szCs w:val="14"/>
              </w:rPr>
              <w:t>’, it requires using scenarios) (</w:t>
            </w:r>
            <w:r w:rsidRPr="00995F3E">
              <w:rPr>
                <w:rFonts w:cs="Arial"/>
                <w:bCs/>
                <w:iCs/>
                <w:color w:val="7F7F7F" w:themeColor="text1" w:themeTint="80"/>
                <w:sz w:val="14"/>
                <w:szCs w:val="14"/>
              </w:rPr>
              <w:t xml:space="preserve">Marchand and Ludwig 2014; Zevenbergen et al. 2018; </w:t>
            </w:r>
            <w:proofErr w:type="spellStart"/>
            <w:r w:rsidRPr="00995F3E">
              <w:rPr>
                <w:rFonts w:cs="Arial"/>
                <w:bCs/>
                <w:iCs/>
                <w:color w:val="7F7F7F" w:themeColor="text1" w:themeTint="80"/>
                <w:sz w:val="14"/>
                <w:szCs w:val="14"/>
              </w:rPr>
              <w:t>Haasnoot</w:t>
            </w:r>
            <w:proofErr w:type="spellEnd"/>
            <w:r w:rsidRPr="00995F3E">
              <w:rPr>
                <w:rFonts w:cs="Arial"/>
                <w:bCs/>
                <w:iCs/>
                <w:color w:val="7F7F7F" w:themeColor="text1" w:themeTint="80"/>
                <w:sz w:val="14"/>
                <w:szCs w:val="14"/>
              </w:rPr>
              <w:t xml:space="preserve"> and </w:t>
            </w:r>
            <w:proofErr w:type="spellStart"/>
            <w:r w:rsidRPr="00995F3E">
              <w:rPr>
                <w:rFonts w:cs="Arial"/>
                <w:bCs/>
                <w:iCs/>
                <w:color w:val="7F7F7F" w:themeColor="text1" w:themeTint="80"/>
                <w:sz w:val="14"/>
                <w:szCs w:val="14"/>
              </w:rPr>
              <w:t>Jeuken</w:t>
            </w:r>
            <w:proofErr w:type="spellEnd"/>
            <w:r w:rsidRPr="00995F3E">
              <w:rPr>
                <w:rFonts w:cs="Arial"/>
                <w:bCs/>
                <w:iCs/>
                <w:color w:val="7F7F7F" w:themeColor="text1" w:themeTint="80"/>
                <w:sz w:val="14"/>
                <w:szCs w:val="14"/>
              </w:rPr>
              <w:t xml:space="preserve">; </w:t>
            </w:r>
            <w:proofErr w:type="spellStart"/>
            <w:r w:rsidRPr="00995F3E">
              <w:rPr>
                <w:rFonts w:cs="Arial"/>
                <w:bCs/>
                <w:iCs/>
                <w:color w:val="7F7F7F" w:themeColor="text1" w:themeTint="80"/>
                <w:sz w:val="14"/>
                <w:szCs w:val="14"/>
              </w:rPr>
              <w:t>Gersonius</w:t>
            </w:r>
            <w:proofErr w:type="spellEnd"/>
            <w:r w:rsidRPr="00995F3E">
              <w:rPr>
                <w:rFonts w:cs="Arial"/>
                <w:bCs/>
                <w:iCs/>
                <w:color w:val="7F7F7F" w:themeColor="text1" w:themeTint="80"/>
                <w:sz w:val="14"/>
                <w:szCs w:val="14"/>
              </w:rPr>
              <w:t xml:space="preserve"> et al. 2016</w:t>
            </w:r>
            <w:r w:rsidRPr="00995F3E">
              <w:rPr>
                <w:rFonts w:cs="Arial"/>
                <w:bCs/>
                <w:iCs/>
                <w:sz w:val="14"/>
                <w:szCs w:val="14"/>
              </w:rPr>
              <w:t xml:space="preserve">). Step 1a implies defining a </w:t>
            </w:r>
            <w:r w:rsidRPr="00995F3E">
              <w:rPr>
                <w:rFonts w:cs="Arial"/>
                <w:bCs/>
                <w:i/>
                <w:sz w:val="14"/>
                <w:szCs w:val="14"/>
              </w:rPr>
              <w:t>vision</w:t>
            </w:r>
            <w:r w:rsidRPr="00995F3E">
              <w:rPr>
                <w:rFonts w:cs="Arial"/>
                <w:bCs/>
                <w:iCs/>
                <w:sz w:val="14"/>
                <w:szCs w:val="14"/>
              </w:rPr>
              <w:t xml:space="preserve"> (a framework of policy goals); ADM assumes that clear goals can be defined to then find measures and design ‘</w:t>
            </w:r>
            <w:r w:rsidRPr="00995F3E">
              <w:rPr>
                <w:rFonts w:cs="Arial"/>
                <w:bCs/>
                <w:i/>
                <w:sz w:val="14"/>
                <w:szCs w:val="14"/>
              </w:rPr>
              <w:t>development trajectories’</w:t>
            </w:r>
            <w:r w:rsidRPr="00995F3E">
              <w:rPr>
                <w:rFonts w:cs="Arial"/>
                <w:bCs/>
                <w:iCs/>
                <w:sz w:val="14"/>
                <w:szCs w:val="14"/>
              </w:rPr>
              <w:t xml:space="preserve"> (</w:t>
            </w:r>
            <w:r w:rsidRPr="00995F3E">
              <w:rPr>
                <w:rFonts w:cs="Arial"/>
                <w:bCs/>
                <w:iCs/>
                <w:color w:val="7F7F7F" w:themeColor="text1" w:themeTint="80"/>
                <w:sz w:val="14"/>
                <w:szCs w:val="14"/>
              </w:rPr>
              <w:t>Zandvoort et al. 2018, p.190</w:t>
            </w:r>
            <w:r w:rsidRPr="00995F3E">
              <w:rPr>
                <w:rFonts w:cs="Arial"/>
                <w:bCs/>
                <w:iCs/>
                <w:sz w:val="14"/>
                <w:szCs w:val="14"/>
              </w:rPr>
              <w:t>).</w:t>
            </w:r>
          </w:p>
          <w:p w14:paraId="27B6C797" w14:textId="77777777" w:rsidR="00995F3E" w:rsidRPr="00995F3E" w:rsidRDefault="00995F3E" w:rsidP="00E74925">
            <w:pPr>
              <w:spacing w:after="60"/>
              <w:jc w:val="left"/>
              <w:rPr>
                <w:rFonts w:cs="Arial"/>
                <w:bCs/>
                <w:iCs/>
                <w:sz w:val="14"/>
                <w:szCs w:val="14"/>
              </w:rPr>
            </w:pPr>
            <w:r w:rsidRPr="00995F3E">
              <w:rPr>
                <w:rFonts w:cs="Arial"/>
                <w:bCs/>
                <w:iCs/>
                <w:sz w:val="14"/>
                <w:szCs w:val="14"/>
              </w:rPr>
              <w:t>In Step 1b, it is necessary to specify (define) what are ‘adaptation tipping-points’, i.e. the ‘boundary conditions’ / points under which the objectives are no longer met (e.g. an unacceptable level of SLR) (</w:t>
            </w:r>
            <w:proofErr w:type="spellStart"/>
            <w:r w:rsidRPr="00995F3E">
              <w:rPr>
                <w:rFonts w:cs="Arial"/>
                <w:bCs/>
                <w:iCs/>
                <w:color w:val="7F7F7F" w:themeColor="text1" w:themeTint="80"/>
                <w:sz w:val="14"/>
                <w:szCs w:val="14"/>
              </w:rPr>
              <w:t>Kwadjik</w:t>
            </w:r>
            <w:proofErr w:type="spellEnd"/>
            <w:r w:rsidRPr="00995F3E">
              <w:rPr>
                <w:rFonts w:cs="Arial"/>
                <w:bCs/>
                <w:iCs/>
                <w:color w:val="7F7F7F" w:themeColor="text1" w:themeTint="80"/>
                <w:sz w:val="14"/>
                <w:szCs w:val="14"/>
              </w:rPr>
              <w:t xml:space="preserve"> et al. 2010</w:t>
            </w:r>
            <w:r w:rsidRPr="00995F3E">
              <w:rPr>
                <w:rFonts w:cs="Arial"/>
                <w:bCs/>
                <w:iCs/>
                <w:sz w:val="14"/>
                <w:szCs w:val="14"/>
              </w:rPr>
              <w:t xml:space="preserve">), and then, confront such ATPs with a range plausible futures to estimate the moment when such ATPs might occur. </w:t>
            </w:r>
            <w:r w:rsidRPr="00995F3E">
              <w:rPr>
                <w:rFonts w:eastAsiaTheme="minorHAnsi" w:cs="Arial"/>
                <w:bCs/>
                <w:iCs/>
                <w:sz w:val="14"/>
                <w:szCs w:val="14"/>
              </w:rPr>
              <w:t>It is important to</w:t>
            </w:r>
            <w:r w:rsidRPr="00995F3E">
              <w:rPr>
                <w:rFonts w:cs="Arial"/>
                <w:bCs/>
                <w:iCs/>
                <w:sz w:val="14"/>
                <w:szCs w:val="14"/>
              </w:rPr>
              <w:t xml:space="preserve"> use different futures with changing conditions to gain insight into the possible occurrence of </w:t>
            </w:r>
            <w:proofErr w:type="gramStart"/>
            <w:r w:rsidRPr="00995F3E">
              <w:rPr>
                <w:rFonts w:cs="Arial"/>
                <w:bCs/>
                <w:iCs/>
                <w:sz w:val="14"/>
                <w:szCs w:val="14"/>
              </w:rPr>
              <w:t>ATPs, and</w:t>
            </w:r>
            <w:proofErr w:type="gramEnd"/>
            <w:r w:rsidRPr="00995F3E">
              <w:rPr>
                <w:rFonts w:cs="Arial"/>
                <w:bCs/>
                <w:iCs/>
                <w:sz w:val="14"/>
                <w:szCs w:val="14"/>
              </w:rPr>
              <w:t xml:space="preserve"> estimate when the first ATP might happen (the point at which the current measure will no longer meet the objectives and new measures will be required) (</w:t>
            </w:r>
            <w:proofErr w:type="spellStart"/>
            <w:r w:rsidRPr="00995F3E">
              <w:rPr>
                <w:rFonts w:cs="Arial"/>
                <w:bCs/>
                <w:iCs/>
                <w:color w:val="7F7F7F" w:themeColor="text1" w:themeTint="80"/>
                <w:sz w:val="14"/>
                <w:szCs w:val="14"/>
              </w:rPr>
              <w:t>Gersonius</w:t>
            </w:r>
            <w:proofErr w:type="spellEnd"/>
            <w:r w:rsidRPr="00995F3E">
              <w:rPr>
                <w:rFonts w:cs="Arial"/>
                <w:bCs/>
                <w:iCs/>
                <w:color w:val="7F7F7F" w:themeColor="text1" w:themeTint="80"/>
                <w:sz w:val="14"/>
                <w:szCs w:val="14"/>
              </w:rPr>
              <w:t xml:space="preserve"> et al.2016, p.204-206</w:t>
            </w:r>
            <w:r w:rsidRPr="00995F3E">
              <w:rPr>
                <w:rFonts w:cs="Arial"/>
                <w:bCs/>
                <w:iCs/>
                <w:sz w:val="14"/>
                <w:szCs w:val="14"/>
              </w:rPr>
              <w:t>). In Step 1, it also is important to: analyse the current policy measure; translate the objectives into tasks for the short- and long-term; and define metrics / parameters to describe changing conditions, e.g. the rate of SLR in cm/year (</w:t>
            </w:r>
            <w:proofErr w:type="spellStart"/>
            <w:r w:rsidRPr="00995F3E">
              <w:rPr>
                <w:rFonts w:cs="Arial"/>
                <w:bCs/>
                <w:iCs/>
                <w:color w:val="7F7F7F" w:themeColor="text1" w:themeTint="80"/>
                <w:sz w:val="14"/>
                <w:szCs w:val="14"/>
              </w:rPr>
              <w:t>Gersonius</w:t>
            </w:r>
            <w:proofErr w:type="spellEnd"/>
            <w:r w:rsidRPr="00995F3E">
              <w:rPr>
                <w:rFonts w:cs="Arial"/>
                <w:bCs/>
                <w:iCs/>
                <w:color w:val="7F7F7F" w:themeColor="text1" w:themeTint="80"/>
                <w:sz w:val="14"/>
                <w:szCs w:val="14"/>
              </w:rPr>
              <w:t xml:space="preserve"> et al.2016, p.204-206</w:t>
            </w:r>
            <w:r w:rsidRPr="00995F3E">
              <w:rPr>
                <w:rFonts w:cs="Arial"/>
                <w:bCs/>
                <w:iCs/>
                <w:sz w:val="14"/>
                <w:szCs w:val="14"/>
              </w:rPr>
              <w:t>).</w:t>
            </w:r>
          </w:p>
        </w:tc>
        <w:tc>
          <w:tcPr>
            <w:tcW w:w="4819" w:type="dxa"/>
            <w:shd w:val="clear" w:color="auto" w:fill="auto"/>
          </w:tcPr>
          <w:p w14:paraId="2A13B7E9" w14:textId="77777777" w:rsidR="00995F3E" w:rsidRPr="00995F3E" w:rsidRDefault="00995F3E" w:rsidP="00E74925">
            <w:pPr>
              <w:spacing w:after="60"/>
              <w:jc w:val="left"/>
              <w:rPr>
                <w:rFonts w:cs="Arial"/>
                <w:bCs/>
                <w:sz w:val="14"/>
                <w:szCs w:val="14"/>
              </w:rPr>
            </w:pPr>
            <w:proofErr w:type="spellStart"/>
            <w:r w:rsidRPr="00995F3E">
              <w:rPr>
                <w:rFonts w:cs="Arial"/>
                <w:bCs/>
                <w:sz w:val="14"/>
                <w:szCs w:val="14"/>
              </w:rPr>
              <w:lastRenderedPageBreak/>
              <w:t>Substep</w:t>
            </w:r>
            <w:proofErr w:type="spellEnd"/>
            <w:r w:rsidRPr="00995F3E">
              <w:rPr>
                <w:rFonts w:cs="Arial"/>
                <w:bCs/>
                <w:sz w:val="14"/>
                <w:szCs w:val="14"/>
              </w:rPr>
              <w:t xml:space="preserve"> 1a (definition of a </w:t>
            </w:r>
            <w:r w:rsidRPr="00995F3E">
              <w:rPr>
                <w:rFonts w:cs="Arial"/>
                <w:bCs/>
                <w:i/>
                <w:iCs/>
                <w:sz w:val="14"/>
                <w:szCs w:val="14"/>
              </w:rPr>
              <w:t>vision</w:t>
            </w:r>
            <w:r w:rsidRPr="00995F3E">
              <w:rPr>
                <w:rFonts w:cs="Arial"/>
                <w:bCs/>
                <w:sz w:val="14"/>
                <w:szCs w:val="14"/>
              </w:rPr>
              <w:t>, i.e. objectives, ambitions, and tasks) The Team elaborated a vision of how to deal with the risks and problems expected the future.</w:t>
            </w:r>
          </w:p>
          <w:p w14:paraId="51832722" w14:textId="77777777" w:rsidR="00995F3E" w:rsidRPr="00995F3E" w:rsidRDefault="00995F3E" w:rsidP="00E74925">
            <w:pPr>
              <w:spacing w:after="60"/>
              <w:jc w:val="left"/>
              <w:rPr>
                <w:rFonts w:eastAsia="RijksoverheidSansText-Regular" w:cs="Arial"/>
                <w:bCs/>
                <w:color w:val="000000"/>
                <w:sz w:val="14"/>
                <w:szCs w:val="14"/>
              </w:rPr>
            </w:pPr>
            <w:r w:rsidRPr="00995F3E">
              <w:rPr>
                <w:rFonts w:cs="Arial"/>
                <w:bCs/>
                <w:sz w:val="14"/>
                <w:szCs w:val="14"/>
              </w:rPr>
              <w:t>The DP was initiated in 2010</w:t>
            </w:r>
            <w:r w:rsidRPr="00995F3E">
              <w:rPr>
                <w:rFonts w:eastAsia="RijksoverheidSansText-Regular" w:cs="Arial"/>
                <w:bCs/>
                <w:sz w:val="14"/>
                <w:szCs w:val="14"/>
              </w:rPr>
              <w:t>.</w:t>
            </w:r>
            <w:r w:rsidRPr="00995F3E">
              <w:rPr>
                <w:rFonts w:cs="Arial"/>
                <w:bCs/>
                <w:sz w:val="14"/>
                <w:szCs w:val="14"/>
              </w:rPr>
              <w:t xml:space="preserve">In the year 2010/2011, the Subprogrammes identified the </w:t>
            </w:r>
            <w:r w:rsidRPr="00995F3E">
              <w:rPr>
                <w:rFonts w:cs="Arial"/>
                <w:bCs/>
                <w:i/>
                <w:iCs/>
                <w:sz w:val="14"/>
                <w:szCs w:val="14"/>
              </w:rPr>
              <w:t xml:space="preserve">tasks </w:t>
            </w:r>
            <w:r w:rsidRPr="00995F3E">
              <w:rPr>
                <w:rFonts w:cs="Arial"/>
                <w:bCs/>
                <w:sz w:val="14"/>
                <w:szCs w:val="14"/>
              </w:rPr>
              <w:t>of FRM and FS up to 2050 and 2100 (</w:t>
            </w:r>
            <w:r w:rsidRPr="00995F3E">
              <w:rPr>
                <w:rFonts w:cs="Arial"/>
                <w:bCs/>
                <w:color w:val="7F7F7F" w:themeColor="text1" w:themeTint="80"/>
                <w:sz w:val="14"/>
                <w:szCs w:val="14"/>
              </w:rPr>
              <w:t xml:space="preserve">DP 2014, p.132; </w:t>
            </w:r>
            <w:r w:rsidRPr="00995F3E">
              <w:rPr>
                <w:rFonts w:eastAsia="RijksoverheidSansText-Regular" w:cs="Arial"/>
                <w:bCs/>
                <w:color w:val="7F7F7F" w:themeColor="text1" w:themeTint="80"/>
                <w:sz w:val="14"/>
                <w:szCs w:val="14"/>
              </w:rPr>
              <w:t>2012, p.43</w:t>
            </w:r>
            <w:r w:rsidRPr="00995F3E">
              <w:rPr>
                <w:rFonts w:eastAsia="RijksoverheidSansText-Regular" w:cs="Arial"/>
                <w:bCs/>
                <w:color w:val="000000"/>
                <w:sz w:val="14"/>
                <w:szCs w:val="14"/>
              </w:rPr>
              <w:t xml:space="preserve">). </w:t>
            </w:r>
            <w:r w:rsidRPr="00995F3E">
              <w:rPr>
                <w:rFonts w:cs="Arial"/>
                <w:bCs/>
                <w:sz w:val="14"/>
                <w:szCs w:val="14"/>
              </w:rPr>
              <w:t>To identify the tasks, the Teams examined ‘</w:t>
            </w:r>
            <w:r w:rsidRPr="00995F3E">
              <w:rPr>
                <w:rFonts w:cs="Arial"/>
                <w:bCs/>
                <w:i/>
                <w:iCs/>
                <w:sz w:val="14"/>
                <w:szCs w:val="14"/>
              </w:rPr>
              <w:t>what is needed, now and in the future</w:t>
            </w:r>
            <w:r w:rsidRPr="00995F3E">
              <w:rPr>
                <w:rFonts w:cs="Arial"/>
                <w:bCs/>
                <w:sz w:val="14"/>
                <w:szCs w:val="14"/>
              </w:rPr>
              <w:t>’ to meet the objectives</w:t>
            </w:r>
            <w:r w:rsidRPr="00995F3E">
              <w:rPr>
                <w:rFonts w:eastAsia="RijksoverheidSansText-Regular" w:cs="Arial"/>
                <w:bCs/>
                <w:color w:val="000000"/>
                <w:sz w:val="14"/>
                <w:szCs w:val="14"/>
              </w:rPr>
              <w:t xml:space="preserve"> (</w:t>
            </w:r>
            <w:r w:rsidRPr="00995F3E">
              <w:rPr>
                <w:rFonts w:eastAsia="RijksoverheidSansText-Regular" w:cs="Arial"/>
                <w:bCs/>
                <w:color w:val="7F7F7F" w:themeColor="text1" w:themeTint="80"/>
                <w:sz w:val="14"/>
                <w:szCs w:val="14"/>
              </w:rPr>
              <w:t>DP 2011, p.14</w:t>
            </w:r>
            <w:r w:rsidRPr="00995F3E">
              <w:rPr>
                <w:rFonts w:eastAsia="RijksoverheidSansText-Regular" w:cs="Arial"/>
                <w:bCs/>
                <w:color w:val="000000"/>
                <w:sz w:val="14"/>
                <w:szCs w:val="14"/>
              </w:rPr>
              <w:t xml:space="preserve">). </w:t>
            </w:r>
            <w:proofErr w:type="gramStart"/>
            <w:r w:rsidRPr="00995F3E">
              <w:rPr>
                <w:rFonts w:cs="Arial"/>
                <w:bCs/>
                <w:sz w:val="14"/>
                <w:szCs w:val="14"/>
              </w:rPr>
              <w:t>Joint-fact</w:t>
            </w:r>
            <w:proofErr w:type="gramEnd"/>
            <w:r w:rsidRPr="00995F3E">
              <w:rPr>
                <w:rFonts w:cs="Arial"/>
                <w:bCs/>
                <w:sz w:val="14"/>
                <w:szCs w:val="14"/>
              </w:rPr>
              <w:t xml:space="preserve"> finding was used to identify the tasks for the 9 Subprogrammes, and the various </w:t>
            </w:r>
            <w:r w:rsidRPr="00995F3E">
              <w:rPr>
                <w:rFonts w:cs="Arial"/>
                <w:bCs/>
                <w:i/>
                <w:iCs/>
                <w:sz w:val="14"/>
                <w:szCs w:val="14"/>
              </w:rPr>
              <w:t>Delta Scenarios</w:t>
            </w:r>
            <w:r w:rsidRPr="00995F3E">
              <w:rPr>
                <w:rFonts w:cs="Arial"/>
                <w:bCs/>
                <w:sz w:val="14"/>
                <w:szCs w:val="14"/>
              </w:rPr>
              <w:t xml:space="preserve"> were used </w:t>
            </w:r>
            <w:r w:rsidRPr="00995F3E">
              <w:rPr>
                <w:rFonts w:eastAsia="RijksoverheidSansText-Regular" w:cs="Arial"/>
                <w:bCs/>
                <w:color w:val="000000"/>
                <w:sz w:val="14"/>
                <w:szCs w:val="14"/>
              </w:rPr>
              <w:t>(</w:t>
            </w:r>
            <w:r w:rsidRPr="00995F3E">
              <w:rPr>
                <w:rFonts w:eastAsia="RijksoverheidSansText-Regular" w:cs="Arial"/>
                <w:bCs/>
                <w:color w:val="7F7F7F" w:themeColor="text1" w:themeTint="80"/>
                <w:sz w:val="14"/>
                <w:szCs w:val="14"/>
              </w:rPr>
              <w:t>DP 2011, p.14).</w:t>
            </w:r>
            <w:r w:rsidRPr="00995F3E">
              <w:rPr>
                <w:rFonts w:cs="Arial"/>
                <w:bCs/>
                <w:color w:val="7F7F7F" w:themeColor="text1" w:themeTint="80"/>
                <w:sz w:val="14"/>
                <w:szCs w:val="14"/>
              </w:rPr>
              <w:t xml:space="preserve"> </w:t>
            </w:r>
            <w:r w:rsidRPr="00995F3E">
              <w:rPr>
                <w:rFonts w:cs="Arial"/>
                <w:bCs/>
                <w:sz w:val="14"/>
                <w:szCs w:val="14"/>
              </w:rPr>
              <w:t xml:space="preserve">The DP 2011 presents the tasks for the short-, mid- and long-term, and outlines the process to be followed each year to develop the </w:t>
            </w:r>
            <w:r w:rsidRPr="00995F3E">
              <w:rPr>
                <w:rFonts w:cs="Arial"/>
                <w:bCs/>
                <w:i/>
                <w:iCs/>
                <w:sz w:val="14"/>
                <w:szCs w:val="14"/>
              </w:rPr>
              <w:t>Delta Decisions</w:t>
            </w:r>
            <w:r w:rsidRPr="00995F3E">
              <w:rPr>
                <w:rFonts w:cs="Arial"/>
                <w:bCs/>
                <w:sz w:val="14"/>
                <w:szCs w:val="14"/>
              </w:rPr>
              <w:t xml:space="preserve"> and regional </w:t>
            </w:r>
            <w:r w:rsidRPr="00995F3E">
              <w:rPr>
                <w:rFonts w:cs="Arial"/>
                <w:bCs/>
                <w:i/>
                <w:iCs/>
                <w:sz w:val="14"/>
                <w:szCs w:val="14"/>
              </w:rPr>
              <w:t>Strategies</w:t>
            </w:r>
            <w:r w:rsidRPr="00995F3E">
              <w:rPr>
                <w:rFonts w:cs="Arial"/>
                <w:bCs/>
                <w:sz w:val="14"/>
                <w:szCs w:val="14"/>
              </w:rPr>
              <w:t xml:space="preserve"> until 2015 </w:t>
            </w:r>
            <w:r w:rsidRPr="00995F3E">
              <w:rPr>
                <w:rFonts w:eastAsia="RijksoverheidSansText-Regular" w:cs="Arial"/>
                <w:bCs/>
                <w:color w:val="000000"/>
                <w:sz w:val="14"/>
                <w:szCs w:val="14"/>
              </w:rPr>
              <w:t>(</w:t>
            </w:r>
            <w:r w:rsidRPr="00995F3E">
              <w:rPr>
                <w:rFonts w:eastAsia="RijksoverheidSansText-Regular" w:cs="Arial"/>
                <w:bCs/>
                <w:color w:val="7F7F7F" w:themeColor="text1" w:themeTint="80"/>
                <w:sz w:val="14"/>
                <w:szCs w:val="14"/>
              </w:rPr>
              <w:t>DP 2011, p.14</w:t>
            </w:r>
            <w:r w:rsidRPr="00995F3E">
              <w:rPr>
                <w:rFonts w:eastAsia="RijksoverheidSansText-Regular" w:cs="Arial"/>
                <w:bCs/>
                <w:color w:val="000000"/>
                <w:sz w:val="14"/>
                <w:szCs w:val="14"/>
              </w:rPr>
              <w:t>).</w:t>
            </w:r>
          </w:p>
          <w:p w14:paraId="2F8113C0" w14:textId="3E58C1E1" w:rsidR="00995F3E" w:rsidRPr="00995F3E" w:rsidRDefault="00995F3E" w:rsidP="00E74925">
            <w:pPr>
              <w:spacing w:after="60"/>
              <w:jc w:val="left"/>
              <w:rPr>
                <w:rFonts w:cs="Arial"/>
                <w:bCs/>
                <w:sz w:val="14"/>
                <w:szCs w:val="14"/>
              </w:rPr>
            </w:pPr>
            <w:r w:rsidRPr="00995F3E">
              <w:rPr>
                <w:rFonts w:eastAsia="RijksoverheidSansText-Regular" w:cs="Arial"/>
                <w:bCs/>
                <w:sz w:val="14"/>
                <w:szCs w:val="14"/>
              </w:rPr>
              <w:t xml:space="preserve">In 2010, the DP started to develop a set of </w:t>
            </w:r>
            <w:r w:rsidRPr="00995F3E">
              <w:rPr>
                <w:rFonts w:eastAsia="RijksoverheidSansText-Regular" w:cs="Arial"/>
                <w:bCs/>
                <w:i/>
                <w:iCs/>
                <w:sz w:val="14"/>
                <w:szCs w:val="14"/>
              </w:rPr>
              <w:t>Delta Scenarios</w:t>
            </w:r>
            <w:r w:rsidRPr="00995F3E">
              <w:rPr>
                <w:rFonts w:eastAsia="RijksoverheidSansText-Regular" w:cs="Arial"/>
                <w:bCs/>
                <w:sz w:val="14"/>
                <w:szCs w:val="14"/>
              </w:rPr>
              <w:t xml:space="preserve"> to be used in all studies in the DP, and an evaluation system to assess solutions (DP 2010, p.4). </w:t>
            </w:r>
            <w:r w:rsidRPr="00995F3E">
              <w:rPr>
                <w:rFonts w:cs="Arial"/>
                <w:bCs/>
                <w:sz w:val="14"/>
                <w:szCs w:val="14"/>
              </w:rPr>
              <w:t xml:space="preserve">The </w:t>
            </w:r>
            <w:r w:rsidRPr="00995F3E">
              <w:rPr>
                <w:rFonts w:cs="Arial"/>
                <w:bCs/>
                <w:i/>
                <w:iCs/>
                <w:sz w:val="14"/>
                <w:szCs w:val="14"/>
              </w:rPr>
              <w:t>Delta Scenarios</w:t>
            </w:r>
            <w:r w:rsidRPr="00995F3E">
              <w:rPr>
                <w:rFonts w:cs="Arial"/>
                <w:bCs/>
                <w:sz w:val="14"/>
                <w:szCs w:val="14"/>
              </w:rPr>
              <w:t xml:space="preserve"> were issued in 2011, enabling further agreement on the range of future effects that should be considered (</w:t>
            </w:r>
            <w:r w:rsidRPr="00995F3E">
              <w:rPr>
                <w:rFonts w:cs="Arial"/>
                <w:bCs/>
                <w:color w:val="7F7F7F" w:themeColor="text1" w:themeTint="80"/>
                <w:sz w:val="14"/>
                <w:szCs w:val="14"/>
              </w:rPr>
              <w:t>Werners et al. 2016</w:t>
            </w:r>
            <w:r w:rsidRPr="00995F3E">
              <w:rPr>
                <w:rFonts w:cs="Arial"/>
                <w:bCs/>
                <w:sz w:val="14"/>
                <w:szCs w:val="14"/>
              </w:rPr>
              <w:t>).</w:t>
            </w:r>
          </w:p>
          <w:p w14:paraId="05DF82C6" w14:textId="77777777" w:rsidR="00995F3E" w:rsidRPr="00995F3E" w:rsidRDefault="00995F3E" w:rsidP="00E74925">
            <w:pPr>
              <w:spacing w:after="60"/>
              <w:jc w:val="left"/>
              <w:rPr>
                <w:rFonts w:cs="Arial"/>
                <w:bCs/>
                <w:sz w:val="14"/>
                <w:szCs w:val="14"/>
              </w:rPr>
            </w:pPr>
            <w:r w:rsidRPr="00995F3E">
              <w:rPr>
                <w:rFonts w:cs="Arial"/>
                <w:bCs/>
                <w:sz w:val="14"/>
                <w:szCs w:val="14"/>
              </w:rPr>
              <w:t>Moreover, in this period of ‘problem definition’, the Regional Subprogrammes sought to identify adaptation needs, by analysing ‘</w:t>
            </w:r>
            <w:r w:rsidRPr="00995F3E">
              <w:rPr>
                <w:rFonts w:cs="Arial"/>
                <w:bCs/>
                <w:i/>
                <w:iCs/>
                <w:sz w:val="14"/>
                <w:szCs w:val="14"/>
              </w:rPr>
              <w:t>what are the effects of CC on the region’</w:t>
            </w:r>
            <w:r w:rsidRPr="00995F3E">
              <w:rPr>
                <w:rFonts w:cs="Arial"/>
                <w:bCs/>
                <w:sz w:val="14"/>
                <w:szCs w:val="14"/>
              </w:rPr>
              <w:t xml:space="preserve"> and ‘</w:t>
            </w:r>
            <w:r w:rsidRPr="00995F3E">
              <w:rPr>
                <w:rFonts w:cs="Arial"/>
                <w:bCs/>
                <w:i/>
                <w:iCs/>
                <w:sz w:val="14"/>
                <w:szCs w:val="14"/>
              </w:rPr>
              <w:t>how can the long-term safety of the region be safeguarded</w:t>
            </w:r>
            <w:r w:rsidRPr="00995F3E">
              <w:rPr>
                <w:rFonts w:cs="Arial"/>
                <w:bCs/>
                <w:sz w:val="14"/>
                <w:szCs w:val="14"/>
              </w:rPr>
              <w:t>’ (</w:t>
            </w:r>
            <w:r w:rsidRPr="00995F3E">
              <w:rPr>
                <w:rFonts w:cs="Arial"/>
                <w:bCs/>
                <w:color w:val="7F7F7F" w:themeColor="text1" w:themeTint="80"/>
                <w:sz w:val="14"/>
                <w:szCs w:val="14"/>
              </w:rPr>
              <w:t>Werners et al. 2016</w:t>
            </w:r>
            <w:r w:rsidRPr="00995F3E">
              <w:rPr>
                <w:rFonts w:cs="Arial"/>
                <w:bCs/>
                <w:sz w:val="14"/>
                <w:szCs w:val="14"/>
              </w:rPr>
              <w:t>).</w:t>
            </w:r>
            <w:r w:rsidRPr="00995F3E">
              <w:rPr>
                <w:rFonts w:cs="Arial"/>
                <w:bCs/>
                <w:sz w:val="14"/>
                <w:szCs w:val="14"/>
                <w:vertAlign w:val="superscript"/>
              </w:rPr>
              <w:footnoteReference w:id="40"/>
            </w:r>
          </w:p>
          <w:p w14:paraId="6AA8871F" w14:textId="77777777" w:rsidR="00995F3E" w:rsidRPr="00995F3E" w:rsidRDefault="00995F3E" w:rsidP="00E74925">
            <w:pPr>
              <w:spacing w:after="60"/>
              <w:jc w:val="left"/>
              <w:rPr>
                <w:rFonts w:cs="Arial"/>
                <w:bCs/>
                <w:sz w:val="14"/>
                <w:szCs w:val="14"/>
              </w:rPr>
            </w:pPr>
          </w:p>
          <w:p w14:paraId="5E549C02" w14:textId="77777777" w:rsidR="00995F3E" w:rsidRPr="00995F3E" w:rsidRDefault="00995F3E" w:rsidP="00E74925">
            <w:pPr>
              <w:spacing w:after="60"/>
              <w:jc w:val="left"/>
              <w:rPr>
                <w:rFonts w:cs="Arial"/>
                <w:bCs/>
                <w:sz w:val="14"/>
                <w:szCs w:val="14"/>
              </w:rPr>
            </w:pPr>
            <w:proofErr w:type="spellStart"/>
            <w:r w:rsidRPr="00995F3E">
              <w:rPr>
                <w:rFonts w:cs="Arial"/>
                <w:bCs/>
                <w:sz w:val="14"/>
                <w:szCs w:val="14"/>
              </w:rPr>
              <w:t>Substep</w:t>
            </w:r>
            <w:proofErr w:type="spellEnd"/>
            <w:r w:rsidRPr="00995F3E">
              <w:rPr>
                <w:rFonts w:cs="Arial"/>
                <w:bCs/>
                <w:sz w:val="14"/>
                <w:szCs w:val="14"/>
              </w:rPr>
              <w:t xml:space="preserve"> 1b (analysis of vulnerabilities and opportunities under different scenarios)</w:t>
            </w:r>
          </w:p>
          <w:p w14:paraId="6EF1DA35" w14:textId="77777777" w:rsidR="00995F3E" w:rsidRPr="00995F3E" w:rsidRDefault="00995F3E" w:rsidP="00E74925">
            <w:pPr>
              <w:spacing w:after="60"/>
              <w:jc w:val="left"/>
              <w:rPr>
                <w:rFonts w:cs="Arial"/>
                <w:bCs/>
                <w:sz w:val="14"/>
                <w:szCs w:val="14"/>
              </w:rPr>
            </w:pPr>
            <w:r w:rsidRPr="00995F3E">
              <w:rPr>
                <w:rFonts w:cs="Arial"/>
                <w:bCs/>
                <w:sz w:val="14"/>
                <w:szCs w:val="14"/>
              </w:rPr>
              <w:t>The DP analysed current and future situation and problems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 p.205</w:t>
            </w:r>
            <w:r w:rsidRPr="00995F3E">
              <w:rPr>
                <w:rFonts w:cs="Arial"/>
                <w:bCs/>
                <w:sz w:val="14"/>
                <w:szCs w:val="14"/>
              </w:rPr>
              <w:t xml:space="preserve">); in specific the DP analysed which developments or changes might influence the current and future tasks on FRM and FS </w:t>
            </w:r>
            <w:r w:rsidRPr="00995F3E">
              <w:rPr>
                <w:rFonts w:eastAsia="RijksoverheidSansText-Regular" w:cs="Arial"/>
                <w:bCs/>
                <w:color w:val="000000"/>
                <w:sz w:val="14"/>
                <w:szCs w:val="14"/>
              </w:rPr>
              <w:t>(</w:t>
            </w:r>
            <w:r w:rsidRPr="00995F3E">
              <w:rPr>
                <w:rFonts w:eastAsia="RijksoverheidSansText-Regular" w:cs="Arial"/>
                <w:bCs/>
                <w:color w:val="7F7F7F" w:themeColor="text1" w:themeTint="80"/>
                <w:sz w:val="14"/>
                <w:szCs w:val="14"/>
              </w:rPr>
              <w:t>DP 2012, p.88</w:t>
            </w:r>
            <w:r w:rsidRPr="00995F3E">
              <w:rPr>
                <w:rFonts w:eastAsia="RijksoverheidSansText-Regular" w:cs="Arial"/>
                <w:bCs/>
                <w:sz w:val="14"/>
                <w:szCs w:val="14"/>
              </w:rPr>
              <w:t xml:space="preserve">). </w:t>
            </w:r>
            <w:r w:rsidRPr="00995F3E">
              <w:rPr>
                <w:rFonts w:cs="Arial"/>
                <w:bCs/>
                <w:sz w:val="14"/>
                <w:szCs w:val="14"/>
              </w:rPr>
              <w:t xml:space="preserve">The analysis of </w:t>
            </w:r>
            <w:r w:rsidRPr="00995F3E">
              <w:rPr>
                <w:rFonts w:cs="Arial"/>
                <w:bCs/>
                <w:i/>
                <w:sz w:val="14"/>
                <w:szCs w:val="14"/>
              </w:rPr>
              <w:t>what might happen in the future</w:t>
            </w:r>
            <w:r w:rsidRPr="00995F3E">
              <w:rPr>
                <w:rFonts w:cs="Arial"/>
                <w:bCs/>
                <w:sz w:val="14"/>
                <w:szCs w:val="14"/>
              </w:rPr>
              <w:t xml:space="preserve"> required the generation of the four </w:t>
            </w:r>
            <w:r w:rsidRPr="00995F3E">
              <w:rPr>
                <w:rFonts w:cs="Arial"/>
                <w:bCs/>
                <w:i/>
                <w:iCs/>
                <w:sz w:val="14"/>
                <w:szCs w:val="14"/>
              </w:rPr>
              <w:t>Delta Scenarios</w:t>
            </w:r>
            <w:r w:rsidRPr="00995F3E">
              <w:rPr>
                <w:rFonts w:cs="Arial"/>
                <w:bCs/>
                <w:sz w:val="14"/>
                <w:szCs w:val="14"/>
              </w:rPr>
              <w:t xml:space="preserve"> (</w:t>
            </w:r>
            <w:r w:rsidRPr="00995F3E">
              <w:rPr>
                <w:rFonts w:cs="Arial"/>
                <w:bCs/>
                <w:color w:val="7F7F7F" w:themeColor="text1" w:themeTint="80"/>
                <w:sz w:val="14"/>
                <w:szCs w:val="14"/>
              </w:rPr>
              <w:t>Klijn et al. 2016</w:t>
            </w:r>
            <w:r w:rsidRPr="00995F3E">
              <w:rPr>
                <w:rFonts w:cs="Arial"/>
                <w:bCs/>
                <w:sz w:val="14"/>
                <w:szCs w:val="14"/>
              </w:rPr>
              <w:t>).</w:t>
            </w:r>
          </w:p>
          <w:p w14:paraId="4F4D0928" w14:textId="77777777" w:rsidR="00995F3E" w:rsidRPr="00995F3E" w:rsidRDefault="00995F3E" w:rsidP="00E74925">
            <w:pPr>
              <w:spacing w:after="60"/>
              <w:ind w:left="172"/>
              <w:jc w:val="left"/>
              <w:outlineLvl w:val="6"/>
              <w:rPr>
                <w:rFonts w:cs="Arial"/>
                <w:bCs/>
                <w:i/>
                <w:iCs/>
                <w:sz w:val="14"/>
                <w:szCs w:val="14"/>
              </w:rPr>
            </w:pPr>
            <w:r w:rsidRPr="00995F3E">
              <w:rPr>
                <w:rFonts w:cs="Arial"/>
                <w:bCs/>
                <w:sz w:val="14"/>
                <w:szCs w:val="14"/>
              </w:rPr>
              <w:t xml:space="preserve">Working with several plausible futures: the four </w:t>
            </w:r>
            <w:r w:rsidRPr="00995F3E">
              <w:rPr>
                <w:rFonts w:cs="Arial"/>
                <w:bCs/>
                <w:i/>
                <w:iCs/>
                <w:sz w:val="14"/>
                <w:szCs w:val="14"/>
              </w:rPr>
              <w:t>Delta Scenarios</w:t>
            </w:r>
          </w:p>
          <w:p w14:paraId="59651E91" w14:textId="1D540B7A" w:rsidR="00995F3E" w:rsidRPr="00995F3E" w:rsidRDefault="00995F3E" w:rsidP="00E74925">
            <w:pPr>
              <w:spacing w:after="60"/>
              <w:ind w:left="172"/>
              <w:jc w:val="left"/>
              <w:rPr>
                <w:rFonts w:cs="Arial"/>
                <w:bCs/>
                <w:sz w:val="14"/>
                <w:szCs w:val="14"/>
              </w:rPr>
            </w:pPr>
            <w:r w:rsidRPr="00995F3E">
              <w:rPr>
                <w:rFonts w:cs="Arial"/>
                <w:bCs/>
                <w:sz w:val="14"/>
                <w:szCs w:val="14"/>
              </w:rPr>
              <w:t xml:space="preserve">To deal with uncertainties about future changes, the DP devised and used four different plausible futures, so-called </w:t>
            </w:r>
            <w:r w:rsidRPr="00995F3E">
              <w:rPr>
                <w:rFonts w:cs="Arial"/>
                <w:bCs/>
                <w:i/>
                <w:iCs/>
                <w:sz w:val="14"/>
                <w:szCs w:val="14"/>
              </w:rPr>
              <w:t>Delta Scenarios</w:t>
            </w:r>
            <w:r w:rsidRPr="00995F3E">
              <w:rPr>
                <w:rFonts w:cs="Arial"/>
                <w:bCs/>
                <w:sz w:val="14"/>
                <w:szCs w:val="14"/>
              </w:rPr>
              <w:t xml:space="preserve"> (</w:t>
            </w:r>
            <w:r w:rsidRPr="00995F3E">
              <w:rPr>
                <w:rFonts w:cs="Arial"/>
                <w:bCs/>
                <w:color w:val="7F7F7F" w:themeColor="text1" w:themeTint="80"/>
                <w:sz w:val="14"/>
                <w:szCs w:val="14"/>
              </w:rPr>
              <w:t>DP 2014, p.135; 2013, p.6</w:t>
            </w:r>
            <w:r w:rsidRPr="00995F3E">
              <w:rPr>
                <w:rFonts w:cs="Arial"/>
                <w:bCs/>
                <w:sz w:val="14"/>
                <w:szCs w:val="14"/>
              </w:rPr>
              <w:t xml:space="preserve">). The </w:t>
            </w:r>
            <w:r w:rsidRPr="00995F3E">
              <w:rPr>
                <w:rFonts w:cs="Arial"/>
                <w:bCs/>
                <w:i/>
                <w:iCs/>
                <w:sz w:val="14"/>
                <w:szCs w:val="14"/>
              </w:rPr>
              <w:t>Delta Scenarios</w:t>
            </w:r>
            <w:r w:rsidRPr="00995F3E">
              <w:rPr>
                <w:rFonts w:cs="Arial"/>
                <w:bCs/>
                <w:sz w:val="14"/>
                <w:szCs w:val="14"/>
              </w:rPr>
              <w:t xml:space="preserve"> are different plausible scenarios which show how the climatic and socioeconomic conditions might change until 2050 and 2100 (</w:t>
            </w:r>
            <w:r w:rsidR="005C558F" w:rsidRPr="00E74925">
              <w:rPr>
                <w:rFonts w:cs="Arial"/>
                <w:bCs/>
                <w:color w:val="7F7F7F" w:themeColor="text1" w:themeTint="80"/>
                <w:sz w:val="14"/>
                <w:szCs w:val="14"/>
              </w:rPr>
              <w:t>Brugge and Bruggeman 2019</w:t>
            </w:r>
            <w:r w:rsidRPr="00995F3E">
              <w:rPr>
                <w:rFonts w:cs="Arial"/>
                <w:bCs/>
                <w:color w:val="7F7F7F" w:themeColor="text1" w:themeTint="80"/>
                <w:sz w:val="14"/>
                <w:szCs w:val="14"/>
              </w:rPr>
              <w:t xml:space="preserve"> p.3</w:t>
            </w:r>
            <w:r w:rsidRPr="00995F3E">
              <w:rPr>
                <w:rFonts w:cs="Arial"/>
                <w:bCs/>
                <w:sz w:val="14"/>
                <w:szCs w:val="14"/>
              </w:rPr>
              <w:t xml:space="preserve">). The </w:t>
            </w:r>
            <w:r w:rsidRPr="00995F3E">
              <w:rPr>
                <w:rFonts w:cs="Arial"/>
                <w:bCs/>
                <w:i/>
                <w:iCs/>
                <w:sz w:val="14"/>
                <w:szCs w:val="14"/>
              </w:rPr>
              <w:t>Delta Scenarios</w:t>
            </w:r>
            <w:r w:rsidRPr="00995F3E">
              <w:rPr>
                <w:rFonts w:cs="Arial"/>
                <w:bCs/>
                <w:sz w:val="14"/>
                <w:szCs w:val="14"/>
              </w:rPr>
              <w:t xml:space="preserve"> assume 2050 and 2100 as time-horizons (</w:t>
            </w:r>
            <w:r w:rsidRPr="00995F3E">
              <w:rPr>
                <w:rFonts w:cs="Arial"/>
                <w:bCs/>
                <w:color w:val="7F7F7F" w:themeColor="text1" w:themeTint="80"/>
                <w:sz w:val="14"/>
                <w:szCs w:val="14"/>
              </w:rPr>
              <w:t xml:space="preserve">DP 2013, p.100; </w:t>
            </w:r>
            <w:r w:rsidRPr="00995F3E">
              <w:rPr>
                <w:rFonts w:eastAsia="RijksoverheidSansText-Regular" w:cs="Arial"/>
                <w:bCs/>
                <w:color w:val="7F7F7F" w:themeColor="text1" w:themeTint="80"/>
                <w:sz w:val="14"/>
                <w:szCs w:val="14"/>
              </w:rPr>
              <w:t>2011, p.48, 70</w:t>
            </w:r>
            <w:r w:rsidRPr="00995F3E">
              <w:rPr>
                <w:rFonts w:cs="Arial"/>
                <w:bCs/>
                <w:sz w:val="14"/>
                <w:szCs w:val="14"/>
              </w:rPr>
              <w:t xml:space="preserve">). </w:t>
            </w:r>
          </w:p>
          <w:p w14:paraId="1752951E" w14:textId="252A5EC3" w:rsidR="00995F3E" w:rsidRPr="00995F3E" w:rsidRDefault="00995F3E" w:rsidP="00E74925">
            <w:pPr>
              <w:spacing w:after="60"/>
              <w:ind w:left="170"/>
              <w:jc w:val="left"/>
              <w:rPr>
                <w:rFonts w:cs="Arial"/>
                <w:bCs/>
                <w:sz w:val="14"/>
                <w:szCs w:val="14"/>
              </w:rPr>
            </w:pPr>
            <w:r w:rsidRPr="00995F3E">
              <w:rPr>
                <w:rFonts w:cs="Arial"/>
                <w:bCs/>
                <w:sz w:val="14"/>
                <w:szCs w:val="14"/>
              </w:rPr>
              <w:t xml:space="preserve">The </w:t>
            </w:r>
            <w:r w:rsidRPr="00995F3E">
              <w:rPr>
                <w:rFonts w:cs="Arial"/>
                <w:bCs/>
                <w:i/>
                <w:iCs/>
                <w:sz w:val="14"/>
                <w:szCs w:val="14"/>
              </w:rPr>
              <w:t>Delta Scenarios</w:t>
            </w:r>
            <w:r w:rsidRPr="00995F3E">
              <w:rPr>
                <w:rFonts w:cs="Arial"/>
                <w:bCs/>
                <w:sz w:val="14"/>
                <w:szCs w:val="14"/>
              </w:rPr>
              <w:t xml:space="preserve"> (</w:t>
            </w:r>
            <w:r w:rsidRPr="00995F3E">
              <w:rPr>
                <w:rFonts w:cs="Arial"/>
                <w:bCs/>
                <w:i/>
                <w:iCs/>
                <w:sz w:val="14"/>
                <w:szCs w:val="14"/>
              </w:rPr>
              <w:t>Busy</w:t>
            </w:r>
            <w:r w:rsidRPr="00995F3E">
              <w:rPr>
                <w:rFonts w:cs="Arial"/>
                <w:bCs/>
                <w:sz w:val="14"/>
                <w:szCs w:val="14"/>
              </w:rPr>
              <w:t xml:space="preserve">, </w:t>
            </w:r>
            <w:r w:rsidRPr="00995F3E">
              <w:rPr>
                <w:rFonts w:cs="Arial"/>
                <w:bCs/>
                <w:i/>
                <w:iCs/>
                <w:sz w:val="14"/>
                <w:szCs w:val="14"/>
              </w:rPr>
              <w:t>Steam</w:t>
            </w:r>
            <w:r w:rsidRPr="00995F3E">
              <w:rPr>
                <w:rFonts w:cs="Arial"/>
                <w:bCs/>
                <w:sz w:val="14"/>
                <w:szCs w:val="14"/>
              </w:rPr>
              <w:t xml:space="preserve">, </w:t>
            </w:r>
            <w:r w:rsidRPr="00995F3E">
              <w:rPr>
                <w:rFonts w:cs="Arial"/>
                <w:bCs/>
                <w:i/>
                <w:iCs/>
                <w:sz w:val="14"/>
                <w:szCs w:val="14"/>
              </w:rPr>
              <w:t>Rest</w:t>
            </w:r>
            <w:r w:rsidRPr="00995F3E">
              <w:rPr>
                <w:rFonts w:cs="Arial"/>
                <w:bCs/>
                <w:sz w:val="14"/>
                <w:szCs w:val="14"/>
              </w:rPr>
              <w:t xml:space="preserve"> and </w:t>
            </w:r>
            <w:r w:rsidRPr="00995F3E">
              <w:rPr>
                <w:rFonts w:cs="Arial"/>
                <w:bCs/>
                <w:i/>
                <w:iCs/>
                <w:sz w:val="14"/>
                <w:szCs w:val="14"/>
              </w:rPr>
              <w:t>Warm</w:t>
            </w:r>
            <w:r w:rsidRPr="00995F3E">
              <w:rPr>
                <w:rFonts w:cs="Arial"/>
                <w:bCs/>
                <w:sz w:val="14"/>
                <w:szCs w:val="14"/>
              </w:rPr>
              <w:t>) combine rapid / moderate CC with socioeconomic growth / decline, and present their corresponding figures (</w:t>
            </w:r>
            <w:r w:rsidRPr="00995F3E">
              <w:rPr>
                <w:rFonts w:cs="Arial"/>
                <w:bCs/>
                <w:color w:val="7F7F7F" w:themeColor="text1" w:themeTint="80"/>
                <w:sz w:val="14"/>
                <w:szCs w:val="14"/>
              </w:rPr>
              <w:t xml:space="preserve">DP 2011, p.14, 46; 2012, p.35; 2013, 100; Marchand and Ludwig 2014; </w:t>
            </w:r>
            <w:r w:rsidR="005C558F" w:rsidRPr="00E74925">
              <w:rPr>
                <w:rFonts w:cs="Arial"/>
                <w:bCs/>
                <w:color w:val="7F7F7F" w:themeColor="text1" w:themeTint="80"/>
                <w:sz w:val="14"/>
                <w:szCs w:val="14"/>
              </w:rPr>
              <w:t>Deltares2018</w:t>
            </w:r>
            <w:r w:rsidRPr="00995F3E">
              <w:rPr>
                <w:rFonts w:cs="Arial"/>
                <w:bCs/>
                <w:color w:val="7F7F7F" w:themeColor="text1" w:themeTint="80"/>
                <w:sz w:val="14"/>
                <w:szCs w:val="14"/>
              </w:rPr>
              <w:t xml:space="preserve">; </w:t>
            </w:r>
            <w:r w:rsidR="005C558F" w:rsidRPr="00E74925">
              <w:rPr>
                <w:rFonts w:cs="Arial"/>
                <w:bCs/>
                <w:color w:val="7F7F7F" w:themeColor="text1" w:themeTint="80"/>
                <w:sz w:val="14"/>
                <w:szCs w:val="14"/>
              </w:rPr>
              <w:t>Brugge and Bruggeman 2019</w:t>
            </w:r>
            <w:r w:rsidRPr="00995F3E">
              <w:rPr>
                <w:rFonts w:cs="Arial"/>
                <w:bCs/>
                <w:sz w:val="14"/>
                <w:szCs w:val="14"/>
              </w:rPr>
              <w:t>).// The four</w:t>
            </w:r>
            <w:r w:rsidRPr="00995F3E">
              <w:rPr>
                <w:rFonts w:cs="Arial"/>
                <w:bCs/>
                <w:i/>
                <w:iCs/>
                <w:sz w:val="14"/>
                <w:szCs w:val="14"/>
              </w:rPr>
              <w:t xml:space="preserve"> Delta Scenarios</w:t>
            </w:r>
            <w:r w:rsidRPr="00995F3E">
              <w:rPr>
                <w:rFonts w:cs="Arial"/>
                <w:bCs/>
                <w:sz w:val="14"/>
                <w:szCs w:val="14"/>
              </w:rPr>
              <w:t xml:space="preserve"> differ in terms of moderate/ rapid CC (X axis), and of socioeconomic growth / decline (Y axis) </w:t>
            </w:r>
            <w:r w:rsidRPr="00995F3E">
              <w:rPr>
                <w:rFonts w:eastAsia="RijksoverheidSansText-Regular" w:cs="Arial"/>
                <w:bCs/>
                <w:color w:val="000000"/>
                <w:sz w:val="14"/>
                <w:szCs w:val="14"/>
              </w:rPr>
              <w:t>(</w:t>
            </w:r>
            <w:r w:rsidRPr="00995F3E">
              <w:rPr>
                <w:rFonts w:eastAsia="RijksoverheidSansText-Regular" w:cs="Arial"/>
                <w:bCs/>
                <w:color w:val="7F7F7F" w:themeColor="text1" w:themeTint="80"/>
                <w:sz w:val="14"/>
                <w:szCs w:val="14"/>
              </w:rPr>
              <w:t xml:space="preserve">DP 2012, p.35; </w:t>
            </w:r>
            <w:r w:rsidRPr="00995F3E">
              <w:rPr>
                <w:rFonts w:cs="Arial"/>
                <w:bCs/>
                <w:color w:val="7F7F7F" w:themeColor="text1" w:themeTint="80"/>
                <w:sz w:val="14"/>
                <w:szCs w:val="14"/>
              </w:rPr>
              <w:t xml:space="preserve">2014, p.168; Marchand and Ludwig 2014; Haegen and </w:t>
            </w:r>
            <w:proofErr w:type="spellStart"/>
            <w:r w:rsidRPr="00995F3E">
              <w:rPr>
                <w:rFonts w:cs="Arial"/>
                <w:bCs/>
                <w:color w:val="7F7F7F" w:themeColor="text1" w:themeTint="80"/>
                <w:sz w:val="14"/>
                <w:szCs w:val="14"/>
              </w:rPr>
              <w:t>Wieriks</w:t>
            </w:r>
            <w:proofErr w:type="spellEnd"/>
            <w:r w:rsidRPr="00995F3E">
              <w:rPr>
                <w:rFonts w:cs="Arial"/>
                <w:bCs/>
                <w:color w:val="7F7F7F" w:themeColor="text1" w:themeTint="80"/>
                <w:sz w:val="14"/>
                <w:szCs w:val="14"/>
              </w:rPr>
              <w:t xml:space="preserve"> 2015; Alphen 2015; </w:t>
            </w:r>
            <w:proofErr w:type="spellStart"/>
            <w:r w:rsidRPr="00995F3E">
              <w:rPr>
                <w:rFonts w:cs="Arial"/>
                <w:bCs/>
                <w:color w:val="7F7F7F" w:themeColor="text1" w:themeTint="80"/>
                <w:sz w:val="14"/>
                <w:szCs w:val="14"/>
              </w:rPr>
              <w:t>Restemeyer</w:t>
            </w:r>
            <w:proofErr w:type="spellEnd"/>
            <w:r w:rsidRPr="00995F3E">
              <w:rPr>
                <w:rFonts w:cs="Arial"/>
                <w:bCs/>
                <w:color w:val="7F7F7F" w:themeColor="text1" w:themeTint="80"/>
                <w:sz w:val="14"/>
                <w:szCs w:val="14"/>
              </w:rPr>
              <w:t xml:space="preserve"> et al. 2017; Bloemen et al. 2018</w:t>
            </w:r>
            <w:r w:rsidRPr="00995F3E">
              <w:rPr>
                <w:rFonts w:cs="Arial"/>
                <w:bCs/>
                <w:sz w:val="14"/>
                <w:szCs w:val="14"/>
              </w:rPr>
              <w:t>). Each scenario has its corresponding climatological and socioeconomic circumstances and presents its respective figures for SLR, drought and soil subsidence (</w:t>
            </w:r>
            <w:r w:rsidRPr="00995F3E">
              <w:rPr>
                <w:rFonts w:cs="Arial"/>
                <w:bCs/>
                <w:color w:val="7F7F7F" w:themeColor="text1" w:themeTint="80"/>
                <w:sz w:val="14"/>
                <w:szCs w:val="14"/>
              </w:rPr>
              <w:t>DP 2016, p.6, 2014, p.136</w:t>
            </w:r>
            <w:r w:rsidRPr="00995F3E">
              <w:rPr>
                <w:rFonts w:cs="Arial"/>
                <w:bCs/>
                <w:sz w:val="14"/>
                <w:szCs w:val="14"/>
              </w:rPr>
              <w:t>). The climatic parameters considered in these scenarios were SLR, extreme river discharge, precipitation, evaporation; whereas the socioeconomic parameters were future size and spatial distribution of population and land uses (</w:t>
            </w:r>
            <w:r w:rsidRPr="00995F3E">
              <w:rPr>
                <w:rFonts w:cs="Arial"/>
                <w:bCs/>
                <w:color w:val="7F7F7F" w:themeColor="text1" w:themeTint="80"/>
                <w:sz w:val="14"/>
                <w:szCs w:val="14"/>
              </w:rPr>
              <w:t xml:space="preserve">Alphen 2015; Haegen and </w:t>
            </w:r>
            <w:proofErr w:type="spellStart"/>
            <w:r w:rsidRPr="00995F3E">
              <w:rPr>
                <w:rFonts w:cs="Arial"/>
                <w:bCs/>
                <w:color w:val="7F7F7F" w:themeColor="text1" w:themeTint="80"/>
                <w:sz w:val="14"/>
                <w:szCs w:val="14"/>
              </w:rPr>
              <w:t>Wieriks</w:t>
            </w:r>
            <w:proofErr w:type="spellEnd"/>
            <w:r w:rsidRPr="00995F3E">
              <w:rPr>
                <w:rFonts w:cs="Arial"/>
                <w:bCs/>
                <w:color w:val="7F7F7F" w:themeColor="text1" w:themeTint="80"/>
                <w:sz w:val="14"/>
                <w:szCs w:val="14"/>
              </w:rPr>
              <w:t xml:space="preserve"> 2015; </w:t>
            </w:r>
            <w:proofErr w:type="spellStart"/>
            <w:r w:rsidRPr="00995F3E">
              <w:rPr>
                <w:rFonts w:cs="Arial"/>
                <w:bCs/>
                <w:color w:val="7F7F7F" w:themeColor="text1" w:themeTint="80"/>
                <w:sz w:val="14"/>
                <w:szCs w:val="14"/>
              </w:rPr>
              <w:t>Jeuken</w:t>
            </w:r>
            <w:proofErr w:type="spellEnd"/>
            <w:r w:rsidRPr="00995F3E">
              <w:rPr>
                <w:rFonts w:cs="Arial"/>
                <w:bCs/>
                <w:color w:val="7F7F7F" w:themeColor="text1" w:themeTint="80"/>
                <w:sz w:val="14"/>
                <w:szCs w:val="14"/>
              </w:rPr>
              <w:t xml:space="preserve"> et al. 2014</w:t>
            </w:r>
            <w:r w:rsidRPr="00995F3E">
              <w:rPr>
                <w:rFonts w:cs="Arial"/>
                <w:bCs/>
                <w:sz w:val="14"/>
                <w:szCs w:val="14"/>
              </w:rPr>
              <w:t>).</w:t>
            </w:r>
          </w:p>
          <w:p w14:paraId="562F5DB7" w14:textId="77777777" w:rsidR="00995F3E" w:rsidRPr="00995F3E" w:rsidRDefault="00995F3E" w:rsidP="00E74925">
            <w:pPr>
              <w:spacing w:after="60"/>
              <w:ind w:left="172"/>
              <w:jc w:val="left"/>
              <w:rPr>
                <w:rFonts w:cs="Arial"/>
                <w:bCs/>
                <w:sz w:val="14"/>
                <w:szCs w:val="14"/>
              </w:rPr>
            </w:pPr>
            <w:r w:rsidRPr="00995F3E">
              <w:rPr>
                <w:rFonts w:cs="Arial"/>
                <w:bCs/>
                <w:sz w:val="14"/>
                <w:szCs w:val="14"/>
              </w:rPr>
              <w:t xml:space="preserve">Though each </w:t>
            </w:r>
            <w:r w:rsidRPr="00995F3E">
              <w:rPr>
                <w:rFonts w:cs="Arial"/>
                <w:bCs/>
                <w:i/>
                <w:iCs/>
                <w:sz w:val="14"/>
                <w:szCs w:val="14"/>
              </w:rPr>
              <w:t>Delta Scenario</w:t>
            </w:r>
            <w:r w:rsidRPr="00995F3E">
              <w:rPr>
                <w:rFonts w:cs="Arial"/>
                <w:bCs/>
                <w:sz w:val="14"/>
                <w:szCs w:val="14"/>
              </w:rPr>
              <w:t xml:space="preserve"> has its respective climatological and socioeconomic figures, future circumstances may turn out differently than expected in the </w:t>
            </w:r>
            <w:r w:rsidRPr="00995F3E">
              <w:rPr>
                <w:rFonts w:cs="Arial"/>
                <w:bCs/>
                <w:i/>
                <w:iCs/>
                <w:sz w:val="14"/>
                <w:szCs w:val="14"/>
              </w:rPr>
              <w:t>Delta Scenarios</w:t>
            </w:r>
            <w:r w:rsidRPr="00995F3E">
              <w:rPr>
                <w:rFonts w:cs="Arial"/>
                <w:bCs/>
                <w:sz w:val="14"/>
                <w:szCs w:val="14"/>
              </w:rPr>
              <w:t xml:space="preserve">, therefore, the Preferential Strategies were designed to be </w:t>
            </w:r>
            <w:r w:rsidRPr="00995F3E">
              <w:rPr>
                <w:rFonts w:cs="Arial"/>
                <w:bCs/>
                <w:i/>
                <w:iCs/>
                <w:sz w:val="14"/>
                <w:szCs w:val="14"/>
              </w:rPr>
              <w:t>adaptive to slower and faster CC</w:t>
            </w:r>
            <w:r w:rsidRPr="00995F3E">
              <w:rPr>
                <w:rFonts w:cs="Arial"/>
                <w:bCs/>
                <w:sz w:val="14"/>
                <w:szCs w:val="14"/>
              </w:rPr>
              <w:t xml:space="preserve"> than expected (</w:t>
            </w:r>
            <w:r w:rsidRPr="00995F3E">
              <w:rPr>
                <w:rFonts w:cs="Arial"/>
                <w:bCs/>
                <w:color w:val="7F7F7F" w:themeColor="text1" w:themeTint="80"/>
                <w:sz w:val="14"/>
                <w:szCs w:val="14"/>
              </w:rPr>
              <w:t>DP 2014, p.136</w:t>
            </w:r>
            <w:r w:rsidRPr="00995F3E">
              <w:rPr>
                <w:rFonts w:cs="Arial"/>
                <w:bCs/>
                <w:sz w:val="14"/>
                <w:szCs w:val="14"/>
              </w:rPr>
              <w:t xml:space="preserve">). Moreover, the </w:t>
            </w:r>
            <w:r w:rsidRPr="00995F3E">
              <w:rPr>
                <w:rFonts w:cs="Arial"/>
                <w:bCs/>
                <w:i/>
                <w:iCs/>
                <w:sz w:val="14"/>
                <w:szCs w:val="14"/>
              </w:rPr>
              <w:t>Delta Scenarios</w:t>
            </w:r>
            <w:r w:rsidRPr="00995F3E">
              <w:rPr>
                <w:rFonts w:cs="Arial"/>
                <w:bCs/>
                <w:sz w:val="14"/>
                <w:szCs w:val="14"/>
              </w:rPr>
              <w:t xml:space="preserve"> may be periodically updated over time (</w:t>
            </w:r>
            <w:r w:rsidRPr="00995F3E">
              <w:rPr>
                <w:rFonts w:cs="Arial"/>
                <w:bCs/>
                <w:color w:val="7F7F7F" w:themeColor="text1" w:themeTint="80"/>
                <w:sz w:val="14"/>
                <w:szCs w:val="14"/>
              </w:rPr>
              <w:t>DP 2014, p.168</w:t>
            </w:r>
            <w:r w:rsidRPr="00995F3E">
              <w:rPr>
                <w:rFonts w:cs="Arial"/>
                <w:bCs/>
                <w:sz w:val="14"/>
                <w:szCs w:val="14"/>
              </w:rPr>
              <w:t>).</w:t>
            </w:r>
          </w:p>
          <w:p w14:paraId="722B09B2" w14:textId="33BFFF35" w:rsidR="00995F3E" w:rsidRPr="00995F3E" w:rsidRDefault="00995F3E" w:rsidP="00E74925">
            <w:pPr>
              <w:spacing w:after="60"/>
              <w:ind w:left="172"/>
              <w:jc w:val="left"/>
              <w:rPr>
                <w:rFonts w:cs="Arial"/>
                <w:bCs/>
                <w:sz w:val="14"/>
                <w:szCs w:val="14"/>
              </w:rPr>
            </w:pPr>
            <w:r w:rsidRPr="00995F3E">
              <w:rPr>
                <w:rFonts w:cs="Arial"/>
                <w:bCs/>
                <w:sz w:val="14"/>
                <w:szCs w:val="14"/>
              </w:rPr>
              <w:t xml:space="preserve">The </w:t>
            </w:r>
            <w:r w:rsidRPr="00995F3E">
              <w:rPr>
                <w:rFonts w:cs="Arial"/>
                <w:bCs/>
                <w:i/>
                <w:iCs/>
                <w:sz w:val="14"/>
                <w:szCs w:val="14"/>
              </w:rPr>
              <w:t>Delta Scenarios</w:t>
            </w:r>
            <w:r w:rsidRPr="00995F3E">
              <w:rPr>
                <w:rFonts w:cs="Arial"/>
                <w:bCs/>
                <w:sz w:val="14"/>
                <w:szCs w:val="14"/>
              </w:rPr>
              <w:t xml:space="preserve"> served to assess possible future risks and impacts (</w:t>
            </w:r>
            <w:proofErr w:type="spellStart"/>
            <w:r w:rsidRPr="00995F3E">
              <w:rPr>
                <w:rFonts w:cs="Arial"/>
                <w:bCs/>
                <w:color w:val="7F7F7F" w:themeColor="text1" w:themeTint="80"/>
                <w:sz w:val="14"/>
                <w:szCs w:val="14"/>
              </w:rPr>
              <w:t>Jeuken</w:t>
            </w:r>
            <w:proofErr w:type="spellEnd"/>
            <w:r w:rsidRPr="00995F3E">
              <w:rPr>
                <w:rFonts w:cs="Arial"/>
                <w:bCs/>
                <w:color w:val="7F7F7F" w:themeColor="text1" w:themeTint="80"/>
                <w:sz w:val="14"/>
                <w:szCs w:val="14"/>
              </w:rPr>
              <w:t xml:space="preserve"> et al. 2014, p.10, 11</w:t>
            </w:r>
            <w:r w:rsidRPr="00995F3E">
              <w:rPr>
                <w:rFonts w:cs="Arial"/>
                <w:bCs/>
                <w:sz w:val="14"/>
                <w:szCs w:val="14"/>
              </w:rPr>
              <w:t>); investigate future flood- and water-</w:t>
            </w:r>
            <w:r w:rsidRPr="00995F3E">
              <w:rPr>
                <w:rFonts w:cs="Arial"/>
                <w:bCs/>
                <w:sz w:val="14"/>
                <w:szCs w:val="14"/>
              </w:rPr>
              <w:lastRenderedPageBreak/>
              <w:t>related problems, risks and needs by 2050 and 2100 (they represented the ‘corner flags of the playing field of plausible futures’) (</w:t>
            </w:r>
            <w:r w:rsidRPr="00995F3E">
              <w:rPr>
                <w:rFonts w:cs="Arial"/>
                <w:bCs/>
                <w:color w:val="7F7F7F" w:themeColor="text1" w:themeTint="80"/>
                <w:sz w:val="14"/>
                <w:szCs w:val="14"/>
              </w:rPr>
              <w:t>Alphen 2015, p.312</w:t>
            </w:r>
            <w:r w:rsidRPr="00995F3E">
              <w:rPr>
                <w:rFonts w:cs="Arial"/>
                <w:bCs/>
                <w:sz w:val="14"/>
                <w:szCs w:val="14"/>
              </w:rPr>
              <w:t>). These scenarios translate the most relevant uncertainties about plausible future changes and diverse sociocultural perspectives (</w:t>
            </w:r>
            <w:r w:rsidRPr="00995F3E">
              <w:rPr>
                <w:rFonts w:cs="Arial"/>
                <w:bCs/>
                <w:color w:val="7F7F7F" w:themeColor="text1" w:themeTint="80"/>
                <w:sz w:val="14"/>
                <w:szCs w:val="14"/>
              </w:rPr>
              <w:t>Marchand and Ludwig 2014, p.15</w:t>
            </w:r>
            <w:r w:rsidRPr="00995F3E">
              <w:rPr>
                <w:rFonts w:cs="Arial"/>
                <w:bCs/>
                <w:sz w:val="14"/>
                <w:szCs w:val="14"/>
              </w:rPr>
              <w:t xml:space="preserve">). In 2012, the </w:t>
            </w:r>
            <w:r w:rsidRPr="00995F3E">
              <w:rPr>
                <w:rFonts w:cs="Arial"/>
                <w:bCs/>
                <w:i/>
                <w:iCs/>
                <w:sz w:val="14"/>
                <w:szCs w:val="14"/>
              </w:rPr>
              <w:t xml:space="preserve">Delta Scenarios </w:t>
            </w:r>
            <w:r w:rsidRPr="00995F3E">
              <w:rPr>
                <w:rFonts w:cs="Arial"/>
                <w:bCs/>
                <w:sz w:val="14"/>
                <w:szCs w:val="14"/>
              </w:rPr>
              <w:t>were used by the Subprogrammes to explore what problems of flood safety and freshwater supply might occur in the future (</w:t>
            </w:r>
            <w:r w:rsidR="005C558F" w:rsidRPr="00E74925">
              <w:rPr>
                <w:rFonts w:cs="Arial"/>
                <w:bCs/>
                <w:color w:val="7F7F7F" w:themeColor="text1" w:themeTint="80"/>
                <w:sz w:val="14"/>
                <w:szCs w:val="14"/>
              </w:rPr>
              <w:t>Brugge and Bruggeman 2019</w:t>
            </w:r>
            <w:r w:rsidRPr="00995F3E">
              <w:rPr>
                <w:rFonts w:cs="Arial"/>
                <w:bCs/>
                <w:color w:val="7F7F7F" w:themeColor="text1" w:themeTint="80"/>
                <w:sz w:val="14"/>
                <w:szCs w:val="14"/>
              </w:rPr>
              <w:t xml:space="preserve">, p.5; Haegen and </w:t>
            </w:r>
            <w:proofErr w:type="spellStart"/>
            <w:r w:rsidRPr="00995F3E">
              <w:rPr>
                <w:rFonts w:cs="Arial"/>
                <w:bCs/>
                <w:color w:val="7F7F7F" w:themeColor="text1" w:themeTint="80"/>
                <w:sz w:val="14"/>
                <w:szCs w:val="14"/>
              </w:rPr>
              <w:t>Wieriks</w:t>
            </w:r>
            <w:proofErr w:type="spellEnd"/>
            <w:r w:rsidRPr="00995F3E">
              <w:rPr>
                <w:rFonts w:cs="Arial"/>
                <w:bCs/>
                <w:color w:val="7F7F7F" w:themeColor="text1" w:themeTint="80"/>
                <w:sz w:val="14"/>
                <w:szCs w:val="14"/>
              </w:rPr>
              <w:t xml:space="preserve"> 2015</w:t>
            </w:r>
            <w:r w:rsidRPr="00995F3E">
              <w:rPr>
                <w:rFonts w:cs="Arial"/>
                <w:bCs/>
                <w:color w:val="231F20"/>
                <w:sz w:val="14"/>
                <w:szCs w:val="14"/>
              </w:rPr>
              <w:t>).</w:t>
            </w:r>
            <w:r w:rsidRPr="00995F3E">
              <w:rPr>
                <w:rFonts w:cs="Arial"/>
                <w:bCs/>
                <w:sz w:val="14"/>
                <w:szCs w:val="14"/>
              </w:rPr>
              <w:t xml:space="preserve"> The </w:t>
            </w:r>
            <w:r w:rsidRPr="00995F3E">
              <w:rPr>
                <w:rFonts w:cs="Arial"/>
                <w:bCs/>
                <w:i/>
                <w:iCs/>
                <w:sz w:val="14"/>
                <w:szCs w:val="14"/>
              </w:rPr>
              <w:t>Delta Scenarios</w:t>
            </w:r>
            <w:r w:rsidRPr="00995F3E">
              <w:rPr>
                <w:rFonts w:cs="Arial"/>
                <w:bCs/>
                <w:sz w:val="14"/>
                <w:szCs w:val="14"/>
              </w:rPr>
              <w:t xml:space="preserve"> were also used as the basis for analysing the future tasks (</w:t>
            </w:r>
            <w:r w:rsidRPr="00995F3E">
              <w:rPr>
                <w:rFonts w:cs="Arial"/>
                <w:bCs/>
                <w:color w:val="7F7F7F" w:themeColor="text1" w:themeTint="80"/>
                <w:sz w:val="14"/>
                <w:szCs w:val="14"/>
              </w:rPr>
              <w:t>DP 2011, p.14, 20</w:t>
            </w:r>
            <w:r w:rsidRPr="00995F3E">
              <w:rPr>
                <w:rFonts w:cs="Arial"/>
                <w:bCs/>
                <w:sz w:val="14"/>
                <w:szCs w:val="14"/>
              </w:rPr>
              <w:t xml:space="preserve">). </w:t>
            </w:r>
          </w:p>
          <w:p w14:paraId="781FF828" w14:textId="6E129A45" w:rsidR="00995F3E" w:rsidRPr="00995F3E" w:rsidRDefault="00995F3E" w:rsidP="00E74925">
            <w:pPr>
              <w:spacing w:after="60"/>
              <w:ind w:left="172"/>
              <w:jc w:val="left"/>
              <w:rPr>
                <w:rFonts w:eastAsia="RijksoverheidSansText-Regular" w:cs="Arial"/>
                <w:bCs/>
                <w:color w:val="000000"/>
                <w:sz w:val="14"/>
                <w:szCs w:val="14"/>
              </w:rPr>
            </w:pPr>
            <w:r w:rsidRPr="00995F3E">
              <w:rPr>
                <w:rFonts w:cs="Arial"/>
                <w:bCs/>
                <w:sz w:val="14"/>
                <w:szCs w:val="14"/>
              </w:rPr>
              <w:t xml:space="preserve">In 2010/2011, the DP Teams used the </w:t>
            </w:r>
            <w:r w:rsidRPr="00995F3E">
              <w:rPr>
                <w:rFonts w:cs="Arial"/>
                <w:bCs/>
                <w:i/>
                <w:iCs/>
                <w:sz w:val="14"/>
                <w:szCs w:val="14"/>
              </w:rPr>
              <w:t>Scenarios</w:t>
            </w:r>
            <w:r w:rsidRPr="00995F3E">
              <w:rPr>
                <w:rFonts w:cs="Arial"/>
                <w:bCs/>
                <w:sz w:val="14"/>
                <w:szCs w:val="14"/>
              </w:rPr>
              <w:t xml:space="preserve"> to assess how much longer the current measures (policy and management actions) are expected to suffice and when adjustments will be required – i.e. when the tipping-point of the existing system will be reached (</w:t>
            </w:r>
            <w:r w:rsidRPr="00995F3E">
              <w:rPr>
                <w:rFonts w:cs="Arial"/>
                <w:bCs/>
                <w:color w:val="595959" w:themeColor="text1" w:themeTint="A6"/>
                <w:sz w:val="14"/>
                <w:szCs w:val="14"/>
              </w:rPr>
              <w:t>DP 2010, p.3-4, 32</w:t>
            </w:r>
            <w:r w:rsidRPr="00995F3E">
              <w:rPr>
                <w:rFonts w:cs="Arial"/>
                <w:bCs/>
                <w:sz w:val="14"/>
                <w:szCs w:val="14"/>
              </w:rPr>
              <w:t>). The main issue was analysing if and for how long the current measures will still be satisfactory under a changing climate (more than determining the exact levels of SLR) (</w:t>
            </w:r>
            <w:r w:rsidRPr="00995F3E">
              <w:rPr>
                <w:rFonts w:cs="Arial"/>
                <w:bCs/>
                <w:color w:val="595959" w:themeColor="text1" w:themeTint="A6"/>
                <w:sz w:val="14"/>
                <w:szCs w:val="14"/>
              </w:rPr>
              <w:t>DP 2010, p.36</w:t>
            </w:r>
            <w:r w:rsidRPr="00995F3E">
              <w:rPr>
                <w:rFonts w:cs="Arial"/>
                <w:bCs/>
                <w:sz w:val="14"/>
                <w:szCs w:val="14"/>
              </w:rPr>
              <w:t xml:space="preserve">). </w:t>
            </w:r>
            <w:r w:rsidRPr="00995F3E">
              <w:rPr>
                <w:rFonts w:eastAsia="RijksoverheidSansText-Regular" w:cs="Arial"/>
                <w:bCs/>
                <w:sz w:val="14"/>
                <w:szCs w:val="14"/>
              </w:rPr>
              <w:t xml:space="preserve">The DP defines </w:t>
            </w:r>
            <w:r w:rsidRPr="00995F3E">
              <w:rPr>
                <w:rFonts w:eastAsia="RijksoverheidSansText-Regular" w:cs="Arial"/>
                <w:bCs/>
                <w:i/>
                <w:iCs/>
                <w:sz w:val="14"/>
                <w:szCs w:val="14"/>
              </w:rPr>
              <w:t>tipping-points</w:t>
            </w:r>
            <w:r w:rsidRPr="00995F3E">
              <w:rPr>
                <w:rFonts w:eastAsia="RijksoverheidSansText-Regular" w:cs="Arial"/>
                <w:bCs/>
                <w:sz w:val="14"/>
                <w:szCs w:val="14"/>
              </w:rPr>
              <w:t xml:space="preserve"> as points at which the existing system ceases to meet the requirements </w:t>
            </w:r>
            <w:r w:rsidRPr="00995F3E">
              <w:rPr>
                <w:rFonts w:eastAsia="RijksoverheidSansText-Regular" w:cs="Arial"/>
                <w:bCs/>
                <w:color w:val="000000"/>
                <w:sz w:val="14"/>
                <w:szCs w:val="14"/>
              </w:rPr>
              <w:t>(</w:t>
            </w:r>
            <w:r w:rsidRPr="00995F3E">
              <w:rPr>
                <w:rFonts w:eastAsia="RijksoverheidSansText-Regular" w:cs="Arial"/>
                <w:bCs/>
                <w:color w:val="595959" w:themeColor="text1" w:themeTint="A6"/>
                <w:sz w:val="14"/>
                <w:szCs w:val="14"/>
              </w:rPr>
              <w:t>DP 2011, p.8</w:t>
            </w:r>
            <w:r w:rsidRPr="00995F3E">
              <w:rPr>
                <w:rFonts w:eastAsia="RijksoverheidSansText-Regular" w:cs="Arial"/>
                <w:bCs/>
                <w:color w:val="000000"/>
                <w:sz w:val="14"/>
                <w:szCs w:val="14"/>
              </w:rPr>
              <w:t>); a</w:t>
            </w:r>
            <w:r w:rsidRPr="00995F3E">
              <w:rPr>
                <w:rFonts w:cs="Arial"/>
                <w:bCs/>
                <w:sz w:val="14"/>
                <w:szCs w:val="14"/>
              </w:rPr>
              <w:t xml:space="preserve"> tipping-point occurs when, due to changes in climate or socioeconomic circumstances, the existing measure, policy, or infrastructure, becomes insufficient to comply with the defined criteria (due to physical, technical, or financial constraints or socially unacceptable effects) (</w:t>
            </w:r>
            <w:r w:rsidRPr="00995F3E">
              <w:rPr>
                <w:rFonts w:cs="Arial"/>
                <w:bCs/>
                <w:color w:val="595959" w:themeColor="text1" w:themeTint="A6"/>
                <w:sz w:val="14"/>
                <w:szCs w:val="14"/>
              </w:rPr>
              <w:t>DP 2011, p.71</w:t>
            </w:r>
            <w:r w:rsidRPr="00995F3E">
              <w:rPr>
                <w:rFonts w:cs="Arial"/>
                <w:bCs/>
                <w:sz w:val="14"/>
                <w:szCs w:val="14"/>
              </w:rPr>
              <w:t>). The analysis of ATPs sets out when decisions and new measures need to be taken (</w:t>
            </w:r>
            <w:r w:rsidRPr="00995F3E">
              <w:rPr>
                <w:rFonts w:cs="Arial"/>
                <w:bCs/>
                <w:color w:val="595959" w:themeColor="text1" w:themeTint="A6"/>
                <w:sz w:val="14"/>
                <w:szCs w:val="14"/>
              </w:rPr>
              <w:t>DP 2011, p.55</w:t>
            </w:r>
            <w:r w:rsidRPr="00995F3E">
              <w:rPr>
                <w:rFonts w:cs="Arial"/>
                <w:bCs/>
                <w:sz w:val="14"/>
                <w:szCs w:val="14"/>
              </w:rPr>
              <w:t>). The DP Teams analysed for how long the current policy measure will suffice and when the first tipping-point (at which such measure is no longer tenable) will be reached.</w:t>
            </w:r>
            <w:r w:rsidRPr="00995F3E">
              <w:rPr>
                <w:rFonts w:eastAsia="RijksoverheidSansText-Regular" w:cs="Arial"/>
                <w:bCs/>
                <w:color w:val="000000"/>
                <w:sz w:val="14"/>
                <w:szCs w:val="14"/>
              </w:rPr>
              <w:t xml:space="preserve"> To answer this, scenarios were used (</w:t>
            </w:r>
            <w:r w:rsidRPr="00995F3E">
              <w:rPr>
                <w:rFonts w:eastAsia="RijksoverheidSansText-Regular" w:cs="Arial"/>
                <w:bCs/>
                <w:color w:val="7F7F7F" w:themeColor="text1" w:themeTint="80"/>
                <w:sz w:val="14"/>
                <w:szCs w:val="14"/>
              </w:rPr>
              <w:t>DP 2010, p.68</w:t>
            </w:r>
            <w:r w:rsidRPr="00995F3E">
              <w:rPr>
                <w:rFonts w:eastAsia="RijksoverheidSansText-Regular" w:cs="Arial"/>
                <w:bCs/>
                <w:color w:val="000000"/>
                <w:sz w:val="14"/>
                <w:szCs w:val="14"/>
              </w:rPr>
              <w:t>).</w:t>
            </w:r>
          </w:p>
        </w:tc>
        <w:tc>
          <w:tcPr>
            <w:tcW w:w="1843" w:type="dxa"/>
            <w:shd w:val="clear" w:color="auto" w:fill="auto"/>
          </w:tcPr>
          <w:p w14:paraId="7D801887" w14:textId="77777777" w:rsidR="00995F3E" w:rsidRPr="00995F3E" w:rsidRDefault="00995F3E" w:rsidP="00E74925">
            <w:pPr>
              <w:spacing w:after="60"/>
              <w:jc w:val="left"/>
              <w:outlineLvl w:val="3"/>
              <w:rPr>
                <w:rFonts w:cs="Arial"/>
                <w:bCs/>
                <w:smallCaps/>
                <w:sz w:val="14"/>
                <w:szCs w:val="14"/>
              </w:rPr>
            </w:pPr>
            <w:r w:rsidRPr="00995F3E">
              <w:rPr>
                <w:rFonts w:cs="Arial"/>
                <w:bCs/>
                <w:sz w:val="14"/>
                <w:szCs w:val="14"/>
              </w:rPr>
              <w:lastRenderedPageBreak/>
              <w:t>Year 1 (2010/2011): Analysis of tasks, problems, and needs (</w:t>
            </w:r>
            <w:r w:rsidRPr="00995F3E">
              <w:rPr>
                <w:rFonts w:cs="Arial"/>
                <w:bCs/>
                <w:i/>
                <w:iCs/>
                <w:sz w:val="14"/>
                <w:szCs w:val="14"/>
              </w:rPr>
              <w:t>tasking</w:t>
            </w:r>
            <w:r w:rsidRPr="00995F3E">
              <w:rPr>
                <w:rFonts w:cs="Arial"/>
                <w:bCs/>
                <w:sz w:val="14"/>
                <w:szCs w:val="14"/>
              </w:rPr>
              <w:t xml:space="preserve">/ </w:t>
            </w:r>
            <w:r w:rsidRPr="00995F3E">
              <w:rPr>
                <w:rFonts w:cs="Arial"/>
                <w:bCs/>
                <w:i/>
                <w:iCs/>
                <w:sz w:val="14"/>
                <w:szCs w:val="14"/>
              </w:rPr>
              <w:t>problem analysis</w:t>
            </w:r>
            <w:r w:rsidRPr="00995F3E">
              <w:rPr>
                <w:rFonts w:cs="Arial"/>
                <w:bCs/>
                <w:sz w:val="14"/>
                <w:szCs w:val="14"/>
              </w:rPr>
              <w:t xml:space="preserve"> / </w:t>
            </w:r>
            <w:r w:rsidRPr="00995F3E">
              <w:rPr>
                <w:rFonts w:cs="Arial"/>
                <w:bCs/>
                <w:i/>
                <w:iCs/>
                <w:sz w:val="14"/>
                <w:szCs w:val="14"/>
              </w:rPr>
              <w:t>problem definition</w:t>
            </w:r>
            <w:r w:rsidRPr="00995F3E">
              <w:rPr>
                <w:rFonts w:cs="Arial"/>
                <w:bCs/>
                <w:sz w:val="14"/>
                <w:szCs w:val="14"/>
              </w:rPr>
              <w:t>). It resulted in the DP 2011 (for</w:t>
            </w:r>
            <w:r w:rsidRPr="00995F3E">
              <w:rPr>
                <w:rFonts w:cs="Arial"/>
                <w:bCs/>
                <w:smallCaps/>
                <w:sz w:val="14"/>
                <w:szCs w:val="14"/>
              </w:rPr>
              <w:t xml:space="preserve"> 2012). </w:t>
            </w:r>
          </w:p>
          <w:p w14:paraId="3639F8F1" w14:textId="77777777" w:rsidR="00995F3E" w:rsidRPr="00995F3E" w:rsidRDefault="00995F3E" w:rsidP="00E74925">
            <w:pPr>
              <w:spacing w:after="60"/>
              <w:jc w:val="left"/>
              <w:rPr>
                <w:rFonts w:cs="Arial"/>
                <w:bCs/>
                <w:sz w:val="14"/>
                <w:szCs w:val="14"/>
              </w:rPr>
            </w:pPr>
            <w:r w:rsidRPr="00995F3E">
              <w:rPr>
                <w:rFonts w:cs="Arial"/>
                <w:bCs/>
                <w:sz w:val="14"/>
                <w:szCs w:val="14"/>
              </w:rPr>
              <w:t>This year involved: setting the goals and ambitions and delimitating the system, and b) identifying uncertainties, generating ‘</w:t>
            </w:r>
            <w:r w:rsidRPr="00995F3E">
              <w:rPr>
                <w:rFonts w:cs="Arial"/>
                <w:bCs/>
                <w:i/>
                <w:iCs/>
                <w:sz w:val="14"/>
                <w:szCs w:val="14"/>
              </w:rPr>
              <w:t>Delta Scenarios</w:t>
            </w:r>
            <w:r w:rsidRPr="00995F3E">
              <w:rPr>
                <w:rFonts w:cs="Arial"/>
                <w:bCs/>
                <w:sz w:val="14"/>
                <w:szCs w:val="14"/>
              </w:rPr>
              <w:t>’, and specifying Tipping-points (</w:t>
            </w:r>
            <w:r w:rsidRPr="00995F3E">
              <w:rPr>
                <w:rFonts w:cs="Arial"/>
                <w:bCs/>
                <w:color w:val="7F7F7F" w:themeColor="text1" w:themeTint="80"/>
                <w:sz w:val="14"/>
                <w:szCs w:val="14"/>
              </w:rPr>
              <w:t>Rhee 2012, p.9; Werners et al. 2016</w:t>
            </w:r>
            <w:r w:rsidRPr="00995F3E">
              <w:rPr>
                <w:rFonts w:cs="Arial"/>
                <w:bCs/>
                <w:sz w:val="14"/>
                <w:szCs w:val="14"/>
              </w:rPr>
              <w:t xml:space="preserve">). </w:t>
            </w:r>
          </w:p>
          <w:p w14:paraId="690FFFCD" w14:textId="77777777" w:rsidR="00995F3E" w:rsidRPr="00995F3E" w:rsidRDefault="00995F3E" w:rsidP="00E74925">
            <w:pPr>
              <w:spacing w:after="60"/>
              <w:jc w:val="left"/>
              <w:rPr>
                <w:rFonts w:cs="Arial"/>
                <w:bCs/>
                <w:sz w:val="14"/>
                <w:szCs w:val="14"/>
              </w:rPr>
            </w:pPr>
          </w:p>
          <w:p w14:paraId="25D55BE7" w14:textId="77777777" w:rsidR="00995F3E" w:rsidRPr="00995F3E" w:rsidRDefault="00995F3E" w:rsidP="00E74925">
            <w:pPr>
              <w:spacing w:after="60"/>
              <w:jc w:val="left"/>
              <w:outlineLvl w:val="3"/>
              <w:rPr>
                <w:rFonts w:cs="Arial"/>
                <w:bCs/>
                <w:color w:val="00B0F0"/>
                <w:sz w:val="14"/>
                <w:szCs w:val="14"/>
              </w:rPr>
            </w:pPr>
            <w:r w:rsidRPr="00995F3E">
              <w:rPr>
                <w:rFonts w:cs="Arial"/>
                <w:bCs/>
                <w:sz w:val="14"/>
                <w:szCs w:val="14"/>
              </w:rPr>
              <w:t xml:space="preserve">In 2010/2011, the RE-D Subprogramme analysed the future tasks. The tasks for short-term (until 2028) were based on findings of the Statutory Assessment of primary flood defences, and on the new flood protection standards defined. In this region, the main pre-existent FRM </w:t>
            </w:r>
            <w:r w:rsidRPr="00EB71B8">
              <w:rPr>
                <w:rFonts w:cs="Arial"/>
                <w:bCs/>
                <w:sz w:val="14"/>
                <w:szCs w:val="14"/>
              </w:rPr>
              <w:t xml:space="preserve">measures were </w:t>
            </w:r>
            <w:r w:rsidRPr="00EB71B8">
              <w:rPr>
                <w:rFonts w:cs="Arial"/>
                <w:bCs/>
                <w:i/>
                <w:iCs/>
                <w:sz w:val="14"/>
                <w:szCs w:val="14"/>
              </w:rPr>
              <w:t>‘dyke imp</w:t>
            </w:r>
            <w:r w:rsidRPr="00995F3E">
              <w:rPr>
                <w:rFonts w:cs="Arial"/>
                <w:bCs/>
                <w:i/>
                <w:iCs/>
                <w:sz w:val="14"/>
                <w:szCs w:val="14"/>
              </w:rPr>
              <w:t>rovements</w:t>
            </w:r>
            <w:r w:rsidRPr="00995F3E">
              <w:rPr>
                <w:rFonts w:cs="Arial"/>
                <w:bCs/>
                <w:sz w:val="14"/>
                <w:szCs w:val="14"/>
              </w:rPr>
              <w:t>’ and ‘</w:t>
            </w:r>
            <w:r w:rsidRPr="00995F3E">
              <w:rPr>
                <w:rFonts w:cs="Arial"/>
                <w:bCs/>
                <w:i/>
                <w:iCs/>
                <w:sz w:val="14"/>
                <w:szCs w:val="14"/>
              </w:rPr>
              <w:t xml:space="preserve">repairs of storm surge </w:t>
            </w:r>
            <w:proofErr w:type="gramStart"/>
            <w:r w:rsidRPr="00995F3E">
              <w:rPr>
                <w:rFonts w:cs="Arial"/>
                <w:bCs/>
                <w:i/>
                <w:iCs/>
                <w:sz w:val="14"/>
                <w:szCs w:val="14"/>
              </w:rPr>
              <w:t>barriers</w:t>
            </w:r>
            <w:r w:rsidRPr="00995F3E">
              <w:rPr>
                <w:rFonts w:cs="Arial"/>
                <w:bCs/>
                <w:sz w:val="14"/>
                <w:szCs w:val="14"/>
              </w:rPr>
              <w:t>’</w:t>
            </w:r>
            <w:proofErr w:type="gramEnd"/>
            <w:r w:rsidRPr="00995F3E">
              <w:rPr>
                <w:rFonts w:cs="Arial"/>
                <w:bCs/>
                <w:sz w:val="14"/>
                <w:szCs w:val="14"/>
              </w:rPr>
              <w:t>. New measures will be required in the mid-term (until 2050) due to expected changes, e.g. SLR.</w:t>
            </w:r>
          </w:p>
          <w:p w14:paraId="05336D23"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The Team used two </w:t>
            </w:r>
            <w:r w:rsidRPr="00995F3E">
              <w:rPr>
                <w:rFonts w:cs="Arial"/>
                <w:bCs/>
                <w:i/>
                <w:iCs/>
                <w:sz w:val="14"/>
                <w:szCs w:val="14"/>
              </w:rPr>
              <w:t>Delta Scenarios</w:t>
            </w:r>
            <w:r w:rsidRPr="00995F3E">
              <w:rPr>
                <w:rFonts w:cs="Arial"/>
                <w:bCs/>
                <w:sz w:val="14"/>
                <w:szCs w:val="14"/>
              </w:rPr>
              <w:t xml:space="preserve"> (</w:t>
            </w:r>
            <w:r w:rsidRPr="00995F3E">
              <w:rPr>
                <w:rFonts w:cs="Arial"/>
                <w:bCs/>
                <w:i/>
                <w:iCs/>
                <w:sz w:val="14"/>
                <w:szCs w:val="14"/>
              </w:rPr>
              <w:t>Steam</w:t>
            </w:r>
            <w:r w:rsidRPr="00995F3E">
              <w:rPr>
                <w:rFonts w:cs="Arial"/>
                <w:bCs/>
                <w:sz w:val="14"/>
                <w:szCs w:val="14"/>
              </w:rPr>
              <w:t xml:space="preserve"> and </w:t>
            </w:r>
            <w:r w:rsidRPr="00995F3E">
              <w:rPr>
                <w:rFonts w:cs="Arial"/>
                <w:bCs/>
                <w:i/>
                <w:iCs/>
                <w:sz w:val="14"/>
                <w:szCs w:val="14"/>
              </w:rPr>
              <w:t>Rest</w:t>
            </w:r>
            <w:r w:rsidRPr="00995F3E">
              <w:rPr>
                <w:rFonts w:cs="Arial"/>
                <w:bCs/>
                <w:sz w:val="14"/>
                <w:szCs w:val="14"/>
              </w:rPr>
              <w:t xml:space="preserve">) to analyse the tasks stemming from these changes. </w:t>
            </w:r>
            <w:r w:rsidRPr="00995F3E">
              <w:rPr>
                <w:rFonts w:eastAsiaTheme="minorHAnsi" w:cs="Arial"/>
                <w:bCs/>
                <w:sz w:val="14"/>
                <w:szCs w:val="14"/>
                <w:lang w:eastAsia="en-US"/>
              </w:rPr>
              <w:t xml:space="preserve">Moreover, the Subprogramme examined if the existing levels of protection (and standards) were still </w:t>
            </w:r>
            <w:proofErr w:type="gramStart"/>
            <w:r w:rsidRPr="00995F3E">
              <w:rPr>
                <w:rFonts w:eastAsiaTheme="minorHAnsi" w:cs="Arial"/>
                <w:bCs/>
                <w:sz w:val="14"/>
                <w:szCs w:val="14"/>
                <w:lang w:eastAsia="en-US"/>
              </w:rPr>
              <w:t>sufficient, and</w:t>
            </w:r>
            <w:proofErr w:type="gramEnd"/>
            <w:r w:rsidRPr="00995F3E">
              <w:rPr>
                <w:rFonts w:eastAsiaTheme="minorHAnsi" w:cs="Arial"/>
                <w:bCs/>
                <w:sz w:val="14"/>
                <w:szCs w:val="14"/>
                <w:lang w:eastAsia="en-US"/>
              </w:rPr>
              <w:t xml:space="preserve"> found that several parts had to increase their protection level; the DP 2014 proposed new protection standards in the </w:t>
            </w:r>
            <w:r w:rsidRPr="00995F3E">
              <w:rPr>
                <w:rFonts w:eastAsiaTheme="minorHAnsi" w:cs="Arial"/>
                <w:bCs/>
                <w:i/>
                <w:iCs/>
                <w:sz w:val="14"/>
                <w:szCs w:val="14"/>
                <w:lang w:eastAsia="en-US"/>
              </w:rPr>
              <w:t>Delta Decision on FRM</w:t>
            </w:r>
            <w:r w:rsidRPr="00995F3E">
              <w:rPr>
                <w:rFonts w:eastAsiaTheme="minorHAnsi" w:cs="Arial"/>
                <w:bCs/>
                <w:sz w:val="14"/>
                <w:szCs w:val="14"/>
                <w:lang w:eastAsia="en-US"/>
              </w:rPr>
              <w:t xml:space="preserve"> </w:t>
            </w:r>
            <w:r w:rsidRPr="00995F3E">
              <w:rPr>
                <w:rFonts w:cs="Arial"/>
                <w:bCs/>
                <w:sz w:val="14"/>
                <w:szCs w:val="14"/>
              </w:rPr>
              <w:t>(</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 p.207</w:t>
            </w:r>
            <w:r w:rsidRPr="00995F3E">
              <w:rPr>
                <w:rFonts w:cs="Arial"/>
                <w:bCs/>
                <w:sz w:val="14"/>
                <w:szCs w:val="14"/>
              </w:rPr>
              <w:t>).</w:t>
            </w:r>
          </w:p>
          <w:p w14:paraId="20EE7E61" w14:textId="77777777" w:rsidR="00995F3E" w:rsidRPr="00995F3E" w:rsidRDefault="00995F3E" w:rsidP="00E74925">
            <w:pPr>
              <w:spacing w:after="60"/>
              <w:jc w:val="left"/>
              <w:rPr>
                <w:rFonts w:cs="Arial"/>
                <w:bCs/>
                <w:sz w:val="14"/>
                <w:szCs w:val="14"/>
              </w:rPr>
            </w:pPr>
            <w:r w:rsidRPr="00995F3E">
              <w:rPr>
                <w:rFonts w:eastAsiaTheme="minorHAnsi" w:cs="Arial"/>
                <w:bCs/>
                <w:sz w:val="14"/>
                <w:szCs w:val="14"/>
                <w:lang w:eastAsia="en-US"/>
              </w:rPr>
              <w:t>Thus, the tasks resulted from external developments expected in the mid-term (e.g. SLR) and internal changes (</w:t>
            </w:r>
            <w:r w:rsidRPr="00995F3E">
              <w:rPr>
                <w:rFonts w:cs="Arial"/>
                <w:bCs/>
                <w:sz w:val="14"/>
                <w:szCs w:val="14"/>
              </w:rPr>
              <w:t xml:space="preserve">new flood protection standards set in the </w:t>
            </w:r>
            <w:r w:rsidRPr="00995F3E">
              <w:rPr>
                <w:rFonts w:cs="Arial"/>
                <w:bCs/>
                <w:i/>
                <w:iCs/>
                <w:sz w:val="14"/>
                <w:szCs w:val="14"/>
              </w:rPr>
              <w:t>Delta Decision on FRM</w:t>
            </w:r>
            <w:r w:rsidRPr="00995F3E">
              <w:rPr>
                <w:rFonts w:cs="Arial"/>
                <w:bCs/>
                <w:sz w:val="14"/>
                <w:szCs w:val="14"/>
              </w:rPr>
              <w:t xml:space="preserve">). </w:t>
            </w:r>
          </w:p>
          <w:p w14:paraId="78731E96" w14:textId="77777777" w:rsidR="00995F3E" w:rsidRPr="00995F3E" w:rsidRDefault="00995F3E" w:rsidP="00E74925">
            <w:pPr>
              <w:spacing w:after="60"/>
              <w:jc w:val="left"/>
              <w:rPr>
                <w:rFonts w:cs="Arial"/>
                <w:bCs/>
                <w:color w:val="00B0F0"/>
                <w:sz w:val="14"/>
                <w:szCs w:val="14"/>
              </w:rPr>
            </w:pPr>
          </w:p>
          <w:p w14:paraId="7369480A" w14:textId="77777777" w:rsidR="00995F3E" w:rsidRPr="00995F3E" w:rsidRDefault="00995F3E" w:rsidP="00E74925">
            <w:pPr>
              <w:spacing w:after="60"/>
              <w:jc w:val="left"/>
              <w:rPr>
                <w:rFonts w:cs="Arial"/>
                <w:bCs/>
                <w:sz w:val="14"/>
                <w:szCs w:val="14"/>
              </w:rPr>
            </w:pPr>
            <w:r w:rsidRPr="00995F3E">
              <w:rPr>
                <w:rFonts w:cs="Arial"/>
                <w:bCs/>
                <w:sz w:val="14"/>
                <w:szCs w:val="14"/>
              </w:rPr>
              <w:t>A key question that arose was whether the existing strategy / measure, i.e. ‘dyke improvements’, was adequate to meet the objectives and tasks and the new protection standards in a cost-effective way, or whether a shift to another measure was required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 p.208</w:t>
            </w:r>
            <w:r w:rsidRPr="00995F3E">
              <w:rPr>
                <w:rFonts w:cs="Arial"/>
                <w:bCs/>
                <w:sz w:val="14"/>
                <w:szCs w:val="14"/>
              </w:rPr>
              <w:t xml:space="preserve">). The complexity of improving dykes, or the desire to reduce investments in dykes, among other factors, led to the need to explore and develop other strategies (than traditional ‘dyke strengthening’, for example, based on the three layers of the ‘ML FRM’).  </w:t>
            </w:r>
          </w:p>
        </w:tc>
      </w:tr>
      <w:tr w:rsidR="00995F3E" w:rsidRPr="00995F3E" w14:paraId="211B2A88" w14:textId="77777777" w:rsidTr="00E74925">
        <w:tc>
          <w:tcPr>
            <w:tcW w:w="704" w:type="dxa"/>
            <w:shd w:val="clear" w:color="auto" w:fill="auto"/>
          </w:tcPr>
          <w:p w14:paraId="264A8C6C" w14:textId="77777777" w:rsidR="00995F3E" w:rsidRPr="00995F3E" w:rsidRDefault="00995F3E" w:rsidP="00E74925">
            <w:pPr>
              <w:spacing w:after="60"/>
              <w:jc w:val="left"/>
              <w:rPr>
                <w:rFonts w:cs="Arial"/>
                <w:bCs/>
                <w:i/>
                <w:iCs/>
                <w:sz w:val="14"/>
                <w:szCs w:val="14"/>
              </w:rPr>
            </w:pPr>
            <w:r w:rsidRPr="00995F3E">
              <w:rPr>
                <w:rFonts w:cs="Arial"/>
                <w:bCs/>
                <w:i/>
                <w:iCs/>
                <w:sz w:val="14"/>
                <w:szCs w:val="14"/>
              </w:rPr>
              <w:t>2. Identify measures and options, and assess their efficacy</w:t>
            </w:r>
          </w:p>
        </w:tc>
        <w:tc>
          <w:tcPr>
            <w:tcW w:w="2552" w:type="dxa"/>
            <w:shd w:val="clear" w:color="auto" w:fill="auto"/>
          </w:tcPr>
          <w:p w14:paraId="14F9D006" w14:textId="45B3D973" w:rsidR="00995F3E" w:rsidRPr="00995F3E" w:rsidRDefault="00995F3E" w:rsidP="00E74925">
            <w:pPr>
              <w:spacing w:after="60"/>
              <w:jc w:val="left"/>
              <w:rPr>
                <w:rFonts w:cs="Arial"/>
                <w:bCs/>
                <w:sz w:val="14"/>
                <w:szCs w:val="14"/>
              </w:rPr>
            </w:pPr>
            <w:r w:rsidRPr="00995F3E">
              <w:rPr>
                <w:rFonts w:cs="Arial"/>
                <w:bCs/>
                <w:sz w:val="14"/>
                <w:szCs w:val="14"/>
              </w:rPr>
              <w:t>This Step involves: a) identifying measures / actions to solve the problem and meet the objectives and tasks, i.e. management / adaptation actions, based on the vulnerabilities and opportunities found in Step 1 (it implies exploring possible measures to manage risk, namely to reduce the risk probability, or system’s vulnerability, or increase its resilience); and b) assessing the performance and efficacy of each measure in light of the predefined objectives to determine its tipping-point (</w:t>
            </w:r>
            <w:proofErr w:type="spellStart"/>
            <w:r w:rsidRPr="00995F3E">
              <w:rPr>
                <w:rFonts w:cs="Arial"/>
                <w:bCs/>
                <w:color w:val="7F7F7F" w:themeColor="text1" w:themeTint="80"/>
                <w:sz w:val="14"/>
                <w:szCs w:val="14"/>
              </w:rPr>
              <w:t>Haasnoot</w:t>
            </w:r>
            <w:proofErr w:type="spellEnd"/>
            <w:r w:rsidRPr="00995F3E">
              <w:rPr>
                <w:rFonts w:cs="Arial"/>
                <w:bCs/>
                <w:color w:val="7F7F7F" w:themeColor="text1" w:themeTint="80"/>
                <w:sz w:val="14"/>
                <w:szCs w:val="14"/>
              </w:rPr>
              <w:t xml:space="preserve"> and </w:t>
            </w:r>
            <w:proofErr w:type="spellStart"/>
            <w:r w:rsidRPr="00995F3E">
              <w:rPr>
                <w:rFonts w:cs="Arial"/>
                <w:bCs/>
                <w:color w:val="7F7F7F" w:themeColor="text1" w:themeTint="80"/>
                <w:sz w:val="14"/>
                <w:szCs w:val="14"/>
              </w:rPr>
              <w:t>Jeuken</w:t>
            </w:r>
            <w:proofErr w:type="spellEnd"/>
            <w:r w:rsidRPr="00995F3E">
              <w:rPr>
                <w:rFonts w:cs="Arial"/>
                <w:bCs/>
                <w:color w:val="7F7F7F" w:themeColor="text1" w:themeTint="80"/>
                <w:sz w:val="14"/>
                <w:szCs w:val="14"/>
              </w:rPr>
              <w:t xml:space="preserve">; </w:t>
            </w:r>
            <w:proofErr w:type="spellStart"/>
            <w:r w:rsidR="005C558F" w:rsidRPr="00E74925">
              <w:rPr>
                <w:rFonts w:cs="Arial"/>
                <w:bCs/>
                <w:color w:val="7F7F7F" w:themeColor="text1" w:themeTint="80"/>
                <w:sz w:val="14"/>
                <w:szCs w:val="14"/>
              </w:rPr>
              <w:t>Deltares</w:t>
            </w:r>
            <w:proofErr w:type="spellEnd"/>
            <w:r w:rsidR="005C558F" w:rsidRPr="00E74925">
              <w:rPr>
                <w:rFonts w:cs="Arial"/>
                <w:bCs/>
                <w:color w:val="7F7F7F" w:themeColor="text1" w:themeTint="80"/>
                <w:sz w:val="14"/>
                <w:szCs w:val="14"/>
              </w:rPr>
              <w:t xml:space="preserve"> 2018</w:t>
            </w:r>
            <w:r w:rsidRPr="00995F3E">
              <w:rPr>
                <w:rFonts w:cs="Arial"/>
                <w:bCs/>
                <w:color w:val="7F7F7F" w:themeColor="text1" w:themeTint="80"/>
                <w:sz w:val="14"/>
                <w:szCs w:val="14"/>
              </w:rPr>
              <w:t xml:space="preserve">, p.2-3; Marchand and Ludwig 2014, p.3; </w:t>
            </w:r>
            <w:r w:rsidR="005C558F" w:rsidRPr="00E74925">
              <w:rPr>
                <w:rFonts w:cs="Arial"/>
                <w:bCs/>
                <w:color w:val="7F7F7F" w:themeColor="text1" w:themeTint="80"/>
                <w:sz w:val="14"/>
                <w:szCs w:val="14"/>
              </w:rPr>
              <w:t>Brugge and Bruggeman 2019</w:t>
            </w:r>
            <w:r w:rsidRPr="00995F3E">
              <w:rPr>
                <w:rFonts w:cs="Arial"/>
                <w:bCs/>
                <w:color w:val="7F7F7F" w:themeColor="text1" w:themeTint="80"/>
                <w:sz w:val="14"/>
                <w:szCs w:val="14"/>
              </w:rPr>
              <w:t xml:space="preserve">, p.4-5;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 p.204-206, 202;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 p.204-206, 202</w:t>
            </w:r>
            <w:r w:rsidRPr="00995F3E">
              <w:rPr>
                <w:rFonts w:cs="Arial"/>
                <w:bCs/>
                <w:sz w:val="14"/>
                <w:szCs w:val="14"/>
              </w:rPr>
              <w:t xml:space="preserve">). The </w:t>
            </w:r>
            <w:r w:rsidRPr="00995F3E">
              <w:rPr>
                <w:rFonts w:cs="Arial"/>
                <w:bCs/>
                <w:i/>
                <w:iCs/>
                <w:sz w:val="14"/>
                <w:szCs w:val="14"/>
              </w:rPr>
              <w:t>plan</w:t>
            </w:r>
            <w:r w:rsidRPr="00995F3E">
              <w:rPr>
                <w:rFonts w:cs="Arial"/>
                <w:bCs/>
                <w:sz w:val="14"/>
                <w:szCs w:val="14"/>
              </w:rPr>
              <w:t xml:space="preserve"> should contain measures for the short-term and options for the long-term, including measures that should be taken now to keep options open to adapt the plan (its strategies) if </w:t>
            </w:r>
            <w:proofErr w:type="gramStart"/>
            <w:r w:rsidRPr="00995F3E">
              <w:rPr>
                <w:rFonts w:cs="Arial"/>
                <w:bCs/>
                <w:sz w:val="14"/>
                <w:szCs w:val="14"/>
              </w:rPr>
              <w:t>necessary</w:t>
            </w:r>
            <w:proofErr w:type="gramEnd"/>
            <w:r w:rsidRPr="00995F3E">
              <w:rPr>
                <w:rFonts w:cs="Arial"/>
                <w:bCs/>
                <w:sz w:val="14"/>
                <w:szCs w:val="14"/>
              </w:rPr>
              <w:t xml:space="preserve"> in the future (e.g. by changing/switching </w:t>
            </w:r>
            <w:r w:rsidRPr="00995F3E">
              <w:rPr>
                <w:rFonts w:cs="Arial"/>
                <w:bCs/>
                <w:sz w:val="14"/>
                <w:szCs w:val="14"/>
              </w:rPr>
              <w:lastRenderedPageBreak/>
              <w:t>of measure) (</w:t>
            </w:r>
            <w:proofErr w:type="spellStart"/>
            <w:r w:rsidRPr="00995F3E">
              <w:rPr>
                <w:rFonts w:cs="Arial"/>
                <w:bCs/>
                <w:color w:val="7F7F7F" w:themeColor="text1" w:themeTint="80"/>
                <w:sz w:val="14"/>
                <w:szCs w:val="14"/>
              </w:rPr>
              <w:t>Haasnoot</w:t>
            </w:r>
            <w:proofErr w:type="spellEnd"/>
            <w:r w:rsidRPr="00995F3E">
              <w:rPr>
                <w:rFonts w:cs="Arial"/>
                <w:bCs/>
                <w:color w:val="7F7F7F" w:themeColor="text1" w:themeTint="80"/>
                <w:sz w:val="14"/>
                <w:szCs w:val="14"/>
              </w:rPr>
              <w:t xml:space="preserve"> and </w:t>
            </w:r>
            <w:proofErr w:type="spellStart"/>
            <w:r w:rsidRPr="00995F3E">
              <w:rPr>
                <w:rFonts w:cs="Arial"/>
                <w:bCs/>
                <w:color w:val="7F7F7F" w:themeColor="text1" w:themeTint="80"/>
                <w:sz w:val="14"/>
                <w:szCs w:val="14"/>
              </w:rPr>
              <w:t>Jeuken</w:t>
            </w:r>
            <w:proofErr w:type="spellEnd"/>
            <w:r w:rsidRPr="00995F3E">
              <w:rPr>
                <w:rFonts w:cs="Arial"/>
                <w:bCs/>
                <w:sz w:val="14"/>
                <w:szCs w:val="14"/>
              </w:rPr>
              <w:t xml:space="preserve">). Step 2b requires assessing the efficacy of measures and for how long a given measure will be effective (the timing of this is largely influenced by the scenario considered); </w:t>
            </w:r>
            <w:proofErr w:type="gramStart"/>
            <w:r w:rsidRPr="00995F3E">
              <w:rPr>
                <w:rFonts w:cs="Arial"/>
                <w:bCs/>
                <w:sz w:val="14"/>
                <w:szCs w:val="14"/>
              </w:rPr>
              <w:t>and,</w:t>
            </w:r>
            <w:proofErr w:type="gramEnd"/>
            <w:r w:rsidRPr="00995F3E">
              <w:rPr>
                <w:rFonts w:cs="Arial"/>
                <w:bCs/>
                <w:sz w:val="14"/>
                <w:szCs w:val="14"/>
              </w:rPr>
              <w:t xml:space="preserve"> then, exploring which other measures are available (</w:t>
            </w:r>
            <w:r w:rsidR="005C558F" w:rsidRPr="00E74925">
              <w:rPr>
                <w:rFonts w:cs="Arial"/>
                <w:bCs/>
                <w:color w:val="7F7F7F" w:themeColor="text1" w:themeTint="80"/>
                <w:sz w:val="14"/>
                <w:szCs w:val="14"/>
              </w:rPr>
              <w:t>Brugge and Bruggeman 2019</w:t>
            </w:r>
            <w:r w:rsidRPr="00995F3E">
              <w:rPr>
                <w:rFonts w:cs="Arial"/>
                <w:bCs/>
                <w:color w:val="7F7F7F" w:themeColor="text1" w:themeTint="80"/>
                <w:sz w:val="14"/>
                <w:szCs w:val="14"/>
              </w:rPr>
              <w:t>, p.4-5</w:t>
            </w:r>
            <w:r w:rsidRPr="00995F3E">
              <w:rPr>
                <w:rFonts w:cs="Arial"/>
                <w:bCs/>
                <w:sz w:val="14"/>
                <w:szCs w:val="14"/>
              </w:rPr>
              <w:t>). Through an iterative assessment of measures’ efficacy and tipping-point, it is possible to identify the most successful measures; and, once a set of measures seems adequate, it is possible to build various possible pathways (</w:t>
            </w:r>
            <w:proofErr w:type="spellStart"/>
            <w:r w:rsidRPr="00995F3E">
              <w:rPr>
                <w:rFonts w:cs="Arial"/>
                <w:bCs/>
                <w:color w:val="7F7F7F" w:themeColor="text1" w:themeTint="80"/>
                <w:sz w:val="14"/>
                <w:szCs w:val="14"/>
              </w:rPr>
              <w:t>Jeuken</w:t>
            </w:r>
            <w:proofErr w:type="spellEnd"/>
            <w:r w:rsidRPr="00995F3E">
              <w:rPr>
                <w:rFonts w:cs="Arial"/>
                <w:bCs/>
                <w:color w:val="7F7F7F" w:themeColor="text1" w:themeTint="80"/>
                <w:sz w:val="14"/>
                <w:szCs w:val="14"/>
              </w:rPr>
              <w:t xml:space="preserve"> et al. 2014, p.4</w:t>
            </w:r>
            <w:r w:rsidRPr="00995F3E">
              <w:rPr>
                <w:rFonts w:cs="Arial"/>
                <w:bCs/>
                <w:sz w:val="14"/>
                <w:szCs w:val="14"/>
              </w:rPr>
              <w:t>). It is necessary to efficiently link measures for the short- and the long-term, thus, short</w:t>
            </w:r>
            <w:r w:rsidRPr="00995F3E">
              <w:rPr>
                <w:rFonts w:cs="Arial"/>
                <w:bCs/>
                <w:color w:val="231F20"/>
                <w:sz w:val="14"/>
                <w:szCs w:val="14"/>
              </w:rPr>
              <w:t>-term measures must be coherently linked to long-term objectives and tasks</w:t>
            </w:r>
            <w:r w:rsidRPr="00995F3E">
              <w:rPr>
                <w:rFonts w:cs="Arial"/>
                <w:bCs/>
                <w:sz w:val="14"/>
                <w:szCs w:val="14"/>
              </w:rPr>
              <w:t xml:space="preserve"> (i.e. </w:t>
            </w:r>
            <w:r w:rsidRPr="00995F3E">
              <w:rPr>
                <w:rFonts w:cs="Arial"/>
                <w:bCs/>
                <w:i/>
                <w:sz w:val="14"/>
                <w:szCs w:val="14"/>
              </w:rPr>
              <w:t>must be logical in the long-term</w:t>
            </w:r>
            <w:r w:rsidRPr="00995F3E">
              <w:rPr>
                <w:rFonts w:cs="Arial"/>
                <w:bCs/>
                <w:sz w:val="14"/>
                <w:szCs w:val="14"/>
              </w:rPr>
              <w:t>), which implies preparing measures to keep open options for the long-term, and avoiding decisions that lead to unnecessary increases of future costs (</w:t>
            </w:r>
            <w:r w:rsidRPr="00995F3E">
              <w:rPr>
                <w:rFonts w:cs="Arial"/>
                <w:bCs/>
                <w:color w:val="7F7F7F" w:themeColor="text1" w:themeTint="80"/>
                <w:sz w:val="14"/>
                <w:szCs w:val="14"/>
              </w:rPr>
              <w:t xml:space="preserve">Haegen and </w:t>
            </w:r>
            <w:proofErr w:type="spellStart"/>
            <w:r w:rsidRPr="00995F3E">
              <w:rPr>
                <w:rFonts w:cs="Arial"/>
                <w:bCs/>
                <w:color w:val="7F7F7F" w:themeColor="text1" w:themeTint="80"/>
                <w:sz w:val="14"/>
                <w:szCs w:val="14"/>
              </w:rPr>
              <w:t>Wieriks</w:t>
            </w:r>
            <w:proofErr w:type="spellEnd"/>
            <w:r w:rsidRPr="00995F3E">
              <w:rPr>
                <w:rFonts w:cs="Arial"/>
                <w:bCs/>
                <w:color w:val="7F7F7F" w:themeColor="text1" w:themeTint="80"/>
                <w:sz w:val="14"/>
                <w:szCs w:val="14"/>
              </w:rPr>
              <w:t xml:space="preserve"> 2015</w:t>
            </w:r>
            <w:r w:rsidRPr="00995F3E">
              <w:rPr>
                <w:rFonts w:cs="Arial"/>
                <w:bCs/>
                <w:sz w:val="14"/>
                <w:szCs w:val="14"/>
              </w:rPr>
              <w:t>).</w:t>
            </w:r>
          </w:p>
          <w:p w14:paraId="4EAE1FEA" w14:textId="77777777" w:rsidR="00995F3E" w:rsidRPr="00995F3E" w:rsidRDefault="00995F3E" w:rsidP="00E74925">
            <w:pPr>
              <w:spacing w:after="60"/>
              <w:jc w:val="left"/>
              <w:rPr>
                <w:rFonts w:cs="Arial"/>
                <w:bCs/>
                <w:iCs/>
                <w:sz w:val="14"/>
                <w:szCs w:val="14"/>
              </w:rPr>
            </w:pPr>
            <w:r w:rsidRPr="00995F3E">
              <w:rPr>
                <w:rFonts w:cs="Arial"/>
                <w:bCs/>
                <w:iCs/>
                <w:sz w:val="14"/>
                <w:szCs w:val="14"/>
              </w:rPr>
              <w:t>…………….</w:t>
            </w:r>
          </w:p>
          <w:p w14:paraId="090B3485" w14:textId="77777777" w:rsidR="00995F3E" w:rsidRPr="00995F3E" w:rsidRDefault="00995F3E" w:rsidP="00E74925">
            <w:pPr>
              <w:spacing w:after="60"/>
              <w:jc w:val="left"/>
              <w:rPr>
                <w:rFonts w:cs="Arial"/>
                <w:bCs/>
                <w:iCs/>
                <w:sz w:val="14"/>
                <w:szCs w:val="14"/>
              </w:rPr>
            </w:pPr>
            <w:r w:rsidRPr="00995F3E">
              <w:rPr>
                <w:rFonts w:cs="Arial"/>
                <w:bCs/>
                <w:iCs/>
                <w:sz w:val="14"/>
                <w:szCs w:val="14"/>
              </w:rPr>
              <w:t>Step 2 involves: (a) the exploration of all possible or relevant measures around an ATP; and (b) the evaluation of each measure’s performance under different future scenarios (and changing conditions) and against pre-defined criteria and standards. In Step 2, it is necessary to identify measures that can be used to meet the objectives and tasks, and assess their efficiency and cost-effectiveness (costs, effects, benefits) over different scenarios</w:t>
            </w:r>
            <w:r w:rsidRPr="00995F3E">
              <w:rPr>
                <w:rFonts w:cs="Arial"/>
                <w:bCs/>
                <w:iCs/>
                <w:color w:val="00B050"/>
                <w:sz w:val="14"/>
                <w:szCs w:val="14"/>
              </w:rPr>
              <w:t xml:space="preserve"> </w:t>
            </w:r>
            <w:r w:rsidRPr="00995F3E">
              <w:rPr>
                <w:rFonts w:cs="Arial"/>
                <w:bCs/>
                <w:iCs/>
                <w:sz w:val="14"/>
                <w:szCs w:val="14"/>
              </w:rPr>
              <w:t>(</w:t>
            </w:r>
            <w:proofErr w:type="spellStart"/>
            <w:r w:rsidRPr="00995F3E">
              <w:rPr>
                <w:rFonts w:cs="Arial"/>
                <w:bCs/>
                <w:iCs/>
                <w:color w:val="7F7F7F" w:themeColor="text1" w:themeTint="80"/>
                <w:sz w:val="14"/>
                <w:szCs w:val="14"/>
              </w:rPr>
              <w:t>Gersonius</w:t>
            </w:r>
            <w:proofErr w:type="spellEnd"/>
            <w:r w:rsidRPr="00995F3E">
              <w:rPr>
                <w:rFonts w:cs="Arial"/>
                <w:bCs/>
                <w:iCs/>
                <w:color w:val="7F7F7F" w:themeColor="text1" w:themeTint="80"/>
                <w:sz w:val="14"/>
                <w:szCs w:val="14"/>
              </w:rPr>
              <w:t xml:space="preserve"> et al. 2016, p.204-206, 202</w:t>
            </w:r>
            <w:r w:rsidRPr="00995F3E">
              <w:rPr>
                <w:rFonts w:cs="Arial"/>
                <w:bCs/>
                <w:iCs/>
                <w:sz w:val="14"/>
                <w:szCs w:val="14"/>
              </w:rPr>
              <w:t>).</w:t>
            </w:r>
          </w:p>
          <w:p w14:paraId="0DEA83FF" w14:textId="77777777" w:rsidR="00995F3E" w:rsidRPr="00995F3E" w:rsidRDefault="00995F3E" w:rsidP="00E74925">
            <w:pPr>
              <w:spacing w:after="60"/>
              <w:rPr>
                <w:rFonts w:cs="Arial"/>
                <w:bCs/>
                <w:sz w:val="14"/>
                <w:szCs w:val="14"/>
              </w:rPr>
            </w:pPr>
          </w:p>
          <w:p w14:paraId="78D69185" w14:textId="77777777" w:rsidR="00995F3E" w:rsidRPr="00995F3E" w:rsidRDefault="00995F3E" w:rsidP="00E74925">
            <w:pPr>
              <w:spacing w:after="60"/>
              <w:rPr>
                <w:rFonts w:cs="Arial"/>
                <w:bCs/>
                <w:sz w:val="14"/>
                <w:szCs w:val="14"/>
              </w:rPr>
            </w:pPr>
          </w:p>
          <w:p w14:paraId="5A998AE2" w14:textId="77777777" w:rsidR="00995F3E" w:rsidRPr="00995F3E" w:rsidRDefault="00995F3E" w:rsidP="00E74925">
            <w:pPr>
              <w:spacing w:after="60"/>
              <w:rPr>
                <w:rFonts w:cs="Arial"/>
                <w:bCs/>
                <w:sz w:val="14"/>
                <w:szCs w:val="14"/>
              </w:rPr>
            </w:pPr>
          </w:p>
          <w:p w14:paraId="4F71EBC6" w14:textId="77777777" w:rsidR="00995F3E" w:rsidRPr="00995F3E" w:rsidRDefault="00995F3E" w:rsidP="00E74925">
            <w:pPr>
              <w:spacing w:after="60"/>
              <w:rPr>
                <w:rFonts w:cs="Arial"/>
                <w:bCs/>
                <w:sz w:val="14"/>
                <w:szCs w:val="14"/>
              </w:rPr>
            </w:pPr>
          </w:p>
          <w:p w14:paraId="606EE571" w14:textId="77777777" w:rsidR="00995F3E" w:rsidRPr="00995F3E" w:rsidRDefault="00995F3E" w:rsidP="00E74925">
            <w:pPr>
              <w:spacing w:after="60"/>
              <w:rPr>
                <w:rFonts w:cs="Arial"/>
                <w:bCs/>
                <w:sz w:val="14"/>
                <w:szCs w:val="14"/>
              </w:rPr>
            </w:pPr>
          </w:p>
          <w:p w14:paraId="19650A14" w14:textId="77777777" w:rsidR="00995F3E" w:rsidRPr="00995F3E" w:rsidRDefault="00995F3E" w:rsidP="00E74925">
            <w:pPr>
              <w:spacing w:after="60"/>
              <w:rPr>
                <w:rFonts w:cs="Arial"/>
                <w:bCs/>
                <w:sz w:val="14"/>
                <w:szCs w:val="14"/>
              </w:rPr>
            </w:pPr>
          </w:p>
          <w:p w14:paraId="54405591" w14:textId="77777777" w:rsidR="00995F3E" w:rsidRPr="00995F3E" w:rsidRDefault="00995F3E" w:rsidP="00E74925">
            <w:pPr>
              <w:spacing w:after="60"/>
              <w:rPr>
                <w:rFonts w:cs="Arial"/>
                <w:bCs/>
                <w:sz w:val="14"/>
                <w:szCs w:val="14"/>
              </w:rPr>
            </w:pPr>
          </w:p>
          <w:p w14:paraId="431F6D46" w14:textId="77777777" w:rsidR="00995F3E" w:rsidRPr="00995F3E" w:rsidRDefault="00995F3E" w:rsidP="00E74925">
            <w:pPr>
              <w:spacing w:after="60"/>
              <w:rPr>
                <w:rFonts w:cs="Arial"/>
                <w:bCs/>
                <w:sz w:val="14"/>
                <w:szCs w:val="14"/>
              </w:rPr>
            </w:pPr>
          </w:p>
          <w:p w14:paraId="27AFE8DA" w14:textId="77777777" w:rsidR="00995F3E" w:rsidRPr="00995F3E" w:rsidRDefault="00995F3E" w:rsidP="00E74925">
            <w:pPr>
              <w:spacing w:after="60"/>
              <w:rPr>
                <w:rFonts w:cs="Arial"/>
                <w:bCs/>
                <w:sz w:val="14"/>
                <w:szCs w:val="14"/>
              </w:rPr>
            </w:pPr>
          </w:p>
          <w:p w14:paraId="2284C58B" w14:textId="77777777" w:rsidR="00995F3E" w:rsidRPr="00995F3E" w:rsidRDefault="00995F3E" w:rsidP="00E74925">
            <w:pPr>
              <w:spacing w:after="60"/>
              <w:rPr>
                <w:rFonts w:cs="Arial"/>
                <w:bCs/>
                <w:iCs/>
                <w:sz w:val="14"/>
                <w:szCs w:val="14"/>
              </w:rPr>
            </w:pPr>
          </w:p>
          <w:p w14:paraId="5A9B30DF" w14:textId="77777777" w:rsidR="00995F3E" w:rsidRPr="00995F3E" w:rsidRDefault="00995F3E" w:rsidP="00E74925">
            <w:pPr>
              <w:spacing w:after="60"/>
              <w:rPr>
                <w:rFonts w:cs="Arial"/>
                <w:bCs/>
                <w:sz w:val="14"/>
                <w:szCs w:val="14"/>
              </w:rPr>
            </w:pPr>
          </w:p>
          <w:p w14:paraId="0EAED0E1" w14:textId="77777777" w:rsidR="00995F3E" w:rsidRPr="00995F3E" w:rsidRDefault="00995F3E" w:rsidP="00E74925">
            <w:pPr>
              <w:spacing w:after="60"/>
              <w:rPr>
                <w:rFonts w:cs="Arial"/>
                <w:bCs/>
                <w:sz w:val="14"/>
                <w:szCs w:val="14"/>
              </w:rPr>
            </w:pPr>
          </w:p>
          <w:p w14:paraId="638FF07F" w14:textId="77777777" w:rsidR="00995F3E" w:rsidRPr="00995F3E" w:rsidRDefault="00995F3E" w:rsidP="00E74925">
            <w:pPr>
              <w:spacing w:after="60"/>
              <w:rPr>
                <w:rFonts w:cs="Arial"/>
                <w:bCs/>
                <w:sz w:val="14"/>
                <w:szCs w:val="14"/>
              </w:rPr>
            </w:pPr>
          </w:p>
          <w:p w14:paraId="240A3126" w14:textId="77777777" w:rsidR="00995F3E" w:rsidRPr="00995F3E" w:rsidRDefault="00995F3E" w:rsidP="00E74925">
            <w:pPr>
              <w:spacing w:after="60"/>
              <w:rPr>
                <w:rFonts w:cs="Arial"/>
                <w:bCs/>
                <w:iCs/>
                <w:sz w:val="14"/>
                <w:szCs w:val="14"/>
              </w:rPr>
            </w:pPr>
          </w:p>
          <w:p w14:paraId="360C3FB2" w14:textId="77777777" w:rsidR="00995F3E" w:rsidRPr="00995F3E" w:rsidRDefault="00995F3E" w:rsidP="00E74925">
            <w:pPr>
              <w:spacing w:after="60"/>
              <w:rPr>
                <w:rFonts w:cs="Arial"/>
                <w:bCs/>
                <w:sz w:val="14"/>
                <w:szCs w:val="14"/>
              </w:rPr>
            </w:pPr>
          </w:p>
          <w:p w14:paraId="0EF44EAF" w14:textId="77777777" w:rsidR="00995F3E" w:rsidRPr="00995F3E" w:rsidRDefault="00995F3E" w:rsidP="00E74925">
            <w:pPr>
              <w:spacing w:after="60"/>
              <w:rPr>
                <w:rFonts w:cs="Arial"/>
                <w:bCs/>
                <w:iCs/>
                <w:sz w:val="14"/>
                <w:szCs w:val="14"/>
              </w:rPr>
            </w:pPr>
          </w:p>
          <w:p w14:paraId="4D7B39D5" w14:textId="77777777" w:rsidR="00995F3E" w:rsidRPr="00995F3E" w:rsidRDefault="00995F3E" w:rsidP="00E74925">
            <w:pPr>
              <w:spacing w:after="60"/>
              <w:rPr>
                <w:rFonts w:cs="Arial"/>
                <w:bCs/>
                <w:sz w:val="14"/>
                <w:szCs w:val="14"/>
              </w:rPr>
            </w:pPr>
          </w:p>
        </w:tc>
        <w:tc>
          <w:tcPr>
            <w:tcW w:w="4819" w:type="dxa"/>
            <w:shd w:val="clear" w:color="auto" w:fill="auto"/>
          </w:tcPr>
          <w:p w14:paraId="0B668B4E" w14:textId="77777777" w:rsidR="00995F3E" w:rsidRPr="00995F3E" w:rsidRDefault="00995F3E" w:rsidP="00E74925">
            <w:pPr>
              <w:spacing w:after="60"/>
              <w:jc w:val="left"/>
              <w:rPr>
                <w:rFonts w:cs="Arial"/>
                <w:bCs/>
                <w:sz w:val="14"/>
                <w:szCs w:val="14"/>
              </w:rPr>
            </w:pPr>
            <w:bookmarkStart w:id="57" w:name="_Toc44341278"/>
            <w:r w:rsidRPr="00995F3E">
              <w:rPr>
                <w:rFonts w:cs="Arial"/>
                <w:bCs/>
                <w:sz w:val="14"/>
                <w:szCs w:val="14"/>
              </w:rPr>
              <w:lastRenderedPageBreak/>
              <w:t>Step 2) Exploring and identifying possible measures, and assessing their efficacy and ATPs</w:t>
            </w:r>
            <w:bookmarkEnd w:id="57"/>
          </w:p>
          <w:p w14:paraId="77FAEA87" w14:textId="77777777" w:rsidR="00995F3E" w:rsidRPr="00995F3E" w:rsidRDefault="00995F3E" w:rsidP="00E74925">
            <w:pPr>
              <w:spacing w:after="60"/>
              <w:jc w:val="left"/>
              <w:rPr>
                <w:rFonts w:cs="Arial"/>
                <w:bCs/>
                <w:sz w:val="14"/>
                <w:szCs w:val="14"/>
              </w:rPr>
            </w:pPr>
            <w:r w:rsidRPr="00995F3E">
              <w:rPr>
                <w:rFonts w:cs="Arial"/>
                <w:bCs/>
                <w:sz w:val="14"/>
                <w:szCs w:val="14"/>
              </w:rPr>
              <w:t>(2a) This step involved the exploration of possible measures for the short-, mid- and long-term, and their delineation in a schematic map. First, the Teams identified measures for the short-term, and then they assessed if other measures, or eventual amendments / adjustments, will be needed in the mid- or long-term, and looked at the conditions under which it will be wise to switch to an alternative measure. Each Subprogramme focused on identifying which possible measures and options were required to comply with the FRM objectives at local level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 p.205</w:t>
            </w:r>
            <w:r w:rsidRPr="00995F3E">
              <w:rPr>
                <w:rFonts w:cs="Arial"/>
                <w:bCs/>
                <w:sz w:val="14"/>
                <w:szCs w:val="14"/>
              </w:rPr>
              <w:t xml:space="preserve">). </w:t>
            </w:r>
          </w:p>
          <w:p w14:paraId="700429E9" w14:textId="77777777" w:rsidR="00995F3E" w:rsidRPr="00995F3E" w:rsidRDefault="00995F3E" w:rsidP="00E74925">
            <w:pPr>
              <w:spacing w:after="60"/>
              <w:jc w:val="left"/>
              <w:rPr>
                <w:rFonts w:cs="Arial"/>
                <w:bCs/>
                <w:sz w:val="14"/>
                <w:szCs w:val="14"/>
              </w:rPr>
            </w:pPr>
            <w:r w:rsidRPr="00995F3E">
              <w:rPr>
                <w:rFonts w:cs="Arial"/>
                <w:bCs/>
                <w:sz w:val="14"/>
                <w:szCs w:val="14"/>
              </w:rPr>
              <w:t>…….</w:t>
            </w:r>
          </w:p>
          <w:p w14:paraId="6AC8CCFF" w14:textId="19E4595D" w:rsidR="00995F3E" w:rsidRPr="00995F3E" w:rsidRDefault="00995F3E" w:rsidP="00E74925">
            <w:pPr>
              <w:spacing w:after="60"/>
              <w:jc w:val="left"/>
              <w:rPr>
                <w:rFonts w:eastAsia="RijksoverheidSansText-Regular" w:cs="Arial"/>
                <w:bCs/>
                <w:sz w:val="14"/>
                <w:szCs w:val="14"/>
              </w:rPr>
            </w:pPr>
            <w:r w:rsidRPr="00505570">
              <w:rPr>
                <w:rFonts w:cs="Arial"/>
                <w:bCs/>
                <w:sz w:val="14"/>
                <w:szCs w:val="14"/>
              </w:rPr>
              <w:t xml:space="preserve">(2a) In </w:t>
            </w:r>
            <w:r w:rsidRPr="00995F3E">
              <w:rPr>
                <w:rFonts w:cs="Arial"/>
                <w:bCs/>
                <w:sz w:val="14"/>
                <w:szCs w:val="14"/>
              </w:rPr>
              <w:t xml:space="preserve">2011/2012, each Subprogramme explored </w:t>
            </w:r>
            <w:r w:rsidRPr="00995F3E">
              <w:rPr>
                <w:rFonts w:cs="Arial"/>
                <w:bCs/>
                <w:i/>
                <w:sz w:val="14"/>
                <w:szCs w:val="14"/>
              </w:rPr>
              <w:t>Possible Strategies</w:t>
            </w:r>
            <w:r w:rsidRPr="00995F3E">
              <w:rPr>
                <w:rFonts w:cs="Arial"/>
                <w:bCs/>
                <w:sz w:val="14"/>
                <w:szCs w:val="14"/>
              </w:rPr>
              <w:t xml:space="preserve"> for its region (i.e. possible measures / solutions) (</w:t>
            </w:r>
            <w:r w:rsidRPr="00995F3E">
              <w:rPr>
                <w:rFonts w:cs="Arial"/>
                <w:bCs/>
                <w:color w:val="7F7F7F" w:themeColor="text1" w:themeTint="80"/>
                <w:sz w:val="14"/>
                <w:szCs w:val="14"/>
              </w:rPr>
              <w:t>DP 2014, p.132, 12; 2013, p.56, 78</w:t>
            </w:r>
            <w:r w:rsidRPr="00995F3E">
              <w:rPr>
                <w:rFonts w:cs="Arial"/>
                <w:bCs/>
                <w:sz w:val="14"/>
                <w:szCs w:val="14"/>
              </w:rPr>
              <w:t xml:space="preserve">). The </w:t>
            </w:r>
            <w:r w:rsidRPr="00995F3E">
              <w:rPr>
                <w:rFonts w:cs="Arial"/>
                <w:bCs/>
                <w:i/>
                <w:iCs/>
                <w:sz w:val="14"/>
                <w:szCs w:val="14"/>
              </w:rPr>
              <w:t>Possible Strategies</w:t>
            </w:r>
            <w:r w:rsidRPr="00995F3E">
              <w:rPr>
                <w:rFonts w:cs="Arial"/>
                <w:bCs/>
                <w:sz w:val="14"/>
                <w:szCs w:val="14"/>
              </w:rPr>
              <w:t xml:space="preserve"> </w:t>
            </w:r>
            <w:r w:rsidRPr="00995F3E">
              <w:rPr>
                <w:rFonts w:eastAsia="RijksoverheidSansText-Regular" w:cs="Arial"/>
                <w:bCs/>
                <w:sz w:val="14"/>
                <w:szCs w:val="14"/>
              </w:rPr>
              <w:t>show the playing field of measures available (</w:t>
            </w:r>
            <w:r w:rsidRPr="00995F3E">
              <w:rPr>
                <w:rFonts w:eastAsia="RijksoverheidSansText-Regular" w:cs="Arial"/>
                <w:bCs/>
                <w:color w:val="7F7F7F" w:themeColor="text1" w:themeTint="80"/>
                <w:sz w:val="14"/>
                <w:szCs w:val="14"/>
              </w:rPr>
              <w:t>DP 2012, p.43</w:t>
            </w:r>
            <w:r w:rsidRPr="00995F3E">
              <w:rPr>
                <w:rFonts w:eastAsia="RijksoverheidSansText-Regular" w:cs="Arial"/>
                <w:bCs/>
                <w:sz w:val="14"/>
                <w:szCs w:val="14"/>
              </w:rPr>
              <w:t xml:space="preserve">). </w:t>
            </w:r>
          </w:p>
          <w:p w14:paraId="346D4E7F" w14:textId="77777777" w:rsidR="00995F3E" w:rsidRPr="00995F3E" w:rsidRDefault="00995F3E" w:rsidP="00E74925">
            <w:pPr>
              <w:spacing w:after="60"/>
              <w:jc w:val="left"/>
              <w:rPr>
                <w:rFonts w:eastAsia="RijksoverheidSansText-Regular" w:cs="Arial"/>
                <w:bCs/>
                <w:iCs/>
                <w:color w:val="000000"/>
                <w:sz w:val="14"/>
                <w:szCs w:val="14"/>
              </w:rPr>
            </w:pPr>
            <w:r w:rsidRPr="00995F3E">
              <w:rPr>
                <w:rFonts w:cs="Arial"/>
                <w:bCs/>
                <w:iCs/>
                <w:sz w:val="14"/>
                <w:szCs w:val="14"/>
              </w:rPr>
              <w:t xml:space="preserve">A </w:t>
            </w:r>
            <w:r w:rsidRPr="00995F3E">
              <w:rPr>
                <w:rFonts w:cs="Arial"/>
                <w:bCs/>
                <w:i/>
                <w:iCs/>
                <w:sz w:val="14"/>
                <w:szCs w:val="14"/>
              </w:rPr>
              <w:t>Possible Strategy</w:t>
            </w:r>
            <w:r w:rsidRPr="00995F3E">
              <w:rPr>
                <w:rFonts w:cs="Arial"/>
                <w:bCs/>
                <w:iCs/>
                <w:sz w:val="14"/>
                <w:szCs w:val="14"/>
              </w:rPr>
              <w:t xml:space="preserve"> contains targets, related measures, and a </w:t>
            </w:r>
            <w:r w:rsidRPr="00995F3E">
              <w:rPr>
                <w:rFonts w:cs="Arial"/>
                <w:bCs/>
                <w:i/>
                <w:iCs/>
                <w:sz w:val="14"/>
                <w:szCs w:val="14"/>
              </w:rPr>
              <w:t>development path</w:t>
            </w:r>
            <w:r w:rsidRPr="00995F3E">
              <w:rPr>
                <w:rFonts w:cs="Arial"/>
                <w:bCs/>
                <w:iCs/>
                <w:sz w:val="14"/>
                <w:szCs w:val="14"/>
              </w:rPr>
              <w:t xml:space="preserve"> (also called </w:t>
            </w:r>
            <w:r w:rsidRPr="00995F3E">
              <w:rPr>
                <w:rFonts w:cs="Arial"/>
                <w:bCs/>
                <w:i/>
                <w:iCs/>
                <w:sz w:val="14"/>
                <w:szCs w:val="14"/>
              </w:rPr>
              <w:t>solution path</w:t>
            </w:r>
            <w:r w:rsidRPr="00995F3E">
              <w:rPr>
                <w:rFonts w:cs="Arial"/>
                <w:bCs/>
                <w:iCs/>
                <w:sz w:val="14"/>
                <w:szCs w:val="14"/>
              </w:rPr>
              <w:t xml:space="preserve"> or </w:t>
            </w:r>
            <w:r w:rsidRPr="00995F3E">
              <w:rPr>
                <w:rFonts w:cs="Arial"/>
                <w:bCs/>
                <w:i/>
                <w:iCs/>
                <w:sz w:val="14"/>
                <w:szCs w:val="14"/>
              </w:rPr>
              <w:t>adaptation path</w:t>
            </w:r>
            <w:r w:rsidRPr="00995F3E">
              <w:rPr>
                <w:rFonts w:cs="Arial"/>
                <w:bCs/>
                <w:iCs/>
                <w:sz w:val="14"/>
                <w:szCs w:val="14"/>
              </w:rPr>
              <w:t>) (</w:t>
            </w:r>
            <w:r w:rsidRPr="00995F3E">
              <w:rPr>
                <w:rFonts w:cs="Arial"/>
                <w:bCs/>
                <w:iCs/>
                <w:color w:val="7F7F7F" w:themeColor="text1" w:themeTint="80"/>
                <w:sz w:val="14"/>
                <w:szCs w:val="14"/>
              </w:rPr>
              <w:t xml:space="preserve">DP 2012, p.12, 43; </w:t>
            </w:r>
            <w:r w:rsidRPr="00995F3E">
              <w:rPr>
                <w:rFonts w:eastAsia="RijksoverheidSansText-Regular" w:cs="Arial"/>
                <w:bCs/>
                <w:iCs/>
                <w:color w:val="7F7F7F" w:themeColor="text1" w:themeTint="80"/>
                <w:sz w:val="14"/>
                <w:szCs w:val="14"/>
              </w:rPr>
              <w:t>2011, p.14</w:t>
            </w:r>
            <w:r w:rsidRPr="00995F3E">
              <w:rPr>
                <w:rFonts w:eastAsia="RijksoverheidSansText-Regular" w:cs="Arial"/>
                <w:bCs/>
                <w:iCs/>
                <w:color w:val="000000"/>
                <w:sz w:val="14"/>
                <w:szCs w:val="14"/>
              </w:rPr>
              <w:t>).</w:t>
            </w:r>
            <w:r w:rsidRPr="00995F3E">
              <w:rPr>
                <w:rFonts w:cs="Arial"/>
                <w:bCs/>
                <w:iCs/>
                <w:sz w:val="14"/>
                <w:szCs w:val="14"/>
              </w:rPr>
              <w:t xml:space="preserve"> </w:t>
            </w:r>
            <w:r w:rsidRPr="00995F3E">
              <w:rPr>
                <w:rFonts w:eastAsia="RijksoverheidSansText-Regular" w:cs="Arial"/>
                <w:bCs/>
                <w:iCs/>
                <w:sz w:val="14"/>
                <w:szCs w:val="14"/>
              </w:rPr>
              <w:t xml:space="preserve">To develop such </w:t>
            </w:r>
            <w:r w:rsidRPr="00995F3E">
              <w:rPr>
                <w:rFonts w:cs="Arial"/>
                <w:bCs/>
                <w:i/>
                <w:iCs/>
                <w:sz w:val="14"/>
                <w:szCs w:val="14"/>
              </w:rPr>
              <w:t>adaptation paths</w:t>
            </w:r>
            <w:r w:rsidRPr="00995F3E">
              <w:rPr>
                <w:rFonts w:cs="Arial"/>
                <w:bCs/>
                <w:iCs/>
                <w:sz w:val="14"/>
                <w:szCs w:val="14"/>
              </w:rPr>
              <w:t xml:space="preserve">, the Subprogrammes analysed at what time new measures will be required, i.e. the moment of tipping-points </w:t>
            </w:r>
            <w:r w:rsidRPr="00995F3E">
              <w:rPr>
                <w:rFonts w:eastAsia="RijksoverheidSansText-Regular" w:cs="Arial"/>
                <w:bCs/>
                <w:iCs/>
                <w:color w:val="000000"/>
                <w:sz w:val="14"/>
                <w:szCs w:val="14"/>
              </w:rPr>
              <w:t>(</w:t>
            </w:r>
            <w:r w:rsidRPr="00995F3E">
              <w:rPr>
                <w:rFonts w:eastAsia="RijksoverheidSansText-Regular" w:cs="Arial"/>
                <w:bCs/>
                <w:iCs/>
                <w:color w:val="7F7F7F" w:themeColor="text1" w:themeTint="80"/>
                <w:sz w:val="14"/>
                <w:szCs w:val="14"/>
              </w:rPr>
              <w:t>DP 2012, p.89</w:t>
            </w:r>
            <w:r w:rsidRPr="00995F3E">
              <w:rPr>
                <w:rFonts w:eastAsia="RijksoverheidSansText-Regular" w:cs="Arial"/>
                <w:bCs/>
                <w:iCs/>
                <w:color w:val="000000"/>
                <w:sz w:val="14"/>
                <w:szCs w:val="14"/>
              </w:rPr>
              <w:t>).</w:t>
            </w:r>
          </w:p>
          <w:p w14:paraId="60691B5A" w14:textId="77777777" w:rsidR="00995F3E" w:rsidRPr="00995F3E" w:rsidRDefault="00995F3E" w:rsidP="00E74925">
            <w:pPr>
              <w:spacing w:after="60"/>
              <w:jc w:val="left"/>
              <w:rPr>
                <w:rFonts w:eastAsia="RijksoverheidSansText-Regular" w:cs="Arial"/>
                <w:bCs/>
                <w:color w:val="000000"/>
                <w:sz w:val="14"/>
                <w:szCs w:val="14"/>
              </w:rPr>
            </w:pPr>
            <w:r w:rsidRPr="00995F3E">
              <w:rPr>
                <w:rFonts w:eastAsia="RijksoverheidSansText-Regular" w:cs="Arial"/>
                <w:bCs/>
                <w:sz w:val="14"/>
                <w:szCs w:val="14"/>
              </w:rPr>
              <w:t xml:space="preserve">During 2011/2012, the Subprogrammes devised (started to devise) several </w:t>
            </w:r>
            <w:r w:rsidRPr="00995F3E">
              <w:rPr>
                <w:rFonts w:eastAsia="RijksoverheidSansText-Regular" w:cs="Arial"/>
                <w:bCs/>
                <w:i/>
                <w:iCs/>
                <w:sz w:val="14"/>
                <w:szCs w:val="14"/>
              </w:rPr>
              <w:t>development paths</w:t>
            </w:r>
            <w:r w:rsidRPr="00995F3E">
              <w:rPr>
                <w:rFonts w:eastAsia="RijksoverheidSansText-Regular" w:cs="Arial"/>
                <w:bCs/>
                <w:sz w:val="14"/>
                <w:szCs w:val="14"/>
              </w:rPr>
              <w:t>. A</w:t>
            </w:r>
            <w:r w:rsidRPr="00995F3E">
              <w:rPr>
                <w:rFonts w:cs="Arial"/>
                <w:bCs/>
                <w:sz w:val="14"/>
                <w:szCs w:val="14"/>
              </w:rPr>
              <w:t xml:space="preserve"> path is generated by ‘</w:t>
            </w:r>
            <w:r w:rsidRPr="00995F3E">
              <w:rPr>
                <w:rFonts w:cs="Arial"/>
                <w:bCs/>
                <w:i/>
                <w:iCs/>
                <w:sz w:val="14"/>
                <w:szCs w:val="14"/>
              </w:rPr>
              <w:t>putting the first steps and the long-term possibilities in a logical chronological order</w:t>
            </w:r>
            <w:r w:rsidRPr="00995F3E">
              <w:rPr>
                <w:rFonts w:eastAsia="RijksoverheidSansText-Regular" w:cs="Arial"/>
                <w:bCs/>
                <w:color w:val="000000"/>
                <w:sz w:val="14"/>
                <w:szCs w:val="14"/>
              </w:rPr>
              <w:t>’, and, in</w:t>
            </w:r>
            <w:r w:rsidRPr="00995F3E">
              <w:rPr>
                <w:rFonts w:cs="Arial"/>
                <w:bCs/>
                <w:sz w:val="14"/>
                <w:szCs w:val="14"/>
              </w:rPr>
              <w:t xml:space="preserve"> this ‘</w:t>
            </w:r>
            <w:r w:rsidRPr="00995F3E">
              <w:rPr>
                <w:rFonts w:cs="Arial"/>
                <w:bCs/>
                <w:i/>
                <w:iCs/>
                <w:sz w:val="14"/>
                <w:szCs w:val="14"/>
              </w:rPr>
              <w:t>adaptive strategy</w:t>
            </w:r>
            <w:r w:rsidRPr="00995F3E">
              <w:rPr>
                <w:rFonts w:cs="Arial"/>
                <w:bCs/>
                <w:sz w:val="14"/>
                <w:szCs w:val="14"/>
              </w:rPr>
              <w:t xml:space="preserve">’, the steps envisioned for the short-term should leave </w:t>
            </w:r>
            <w:r w:rsidRPr="00995F3E">
              <w:rPr>
                <w:rFonts w:cs="Arial"/>
                <w:bCs/>
                <w:sz w:val="14"/>
                <w:szCs w:val="14"/>
              </w:rPr>
              <w:lastRenderedPageBreak/>
              <w:t xml:space="preserve">sufficient scope for different follow-up measures, in line with ADM </w:t>
            </w:r>
            <w:r w:rsidRPr="00995F3E">
              <w:rPr>
                <w:rFonts w:eastAsia="RijksoverheidSansText-Regular" w:cs="Arial"/>
                <w:bCs/>
                <w:color w:val="000000"/>
                <w:sz w:val="14"/>
                <w:szCs w:val="14"/>
              </w:rPr>
              <w:t>(</w:t>
            </w:r>
            <w:r w:rsidRPr="00995F3E">
              <w:rPr>
                <w:rFonts w:eastAsia="RijksoverheidSansText-Regular" w:cs="Arial"/>
                <w:bCs/>
                <w:color w:val="7F7F7F" w:themeColor="text1" w:themeTint="80"/>
                <w:sz w:val="14"/>
                <w:szCs w:val="14"/>
              </w:rPr>
              <w:t>DP 2012, p.61, 69</w:t>
            </w:r>
            <w:r w:rsidRPr="00995F3E">
              <w:rPr>
                <w:rFonts w:eastAsia="RijksoverheidSansText-Regular" w:cs="Arial"/>
                <w:bCs/>
                <w:color w:val="000000"/>
                <w:sz w:val="14"/>
                <w:szCs w:val="14"/>
              </w:rPr>
              <w:t xml:space="preserve">). </w:t>
            </w:r>
            <w:r w:rsidRPr="00995F3E">
              <w:rPr>
                <w:rFonts w:eastAsia="RijksoverheidSansText-Regular" w:cs="Arial"/>
                <w:bCs/>
                <w:sz w:val="14"/>
                <w:szCs w:val="14"/>
              </w:rPr>
              <w:t xml:space="preserve">The </w:t>
            </w:r>
            <w:r w:rsidRPr="00995F3E">
              <w:rPr>
                <w:rFonts w:eastAsia="RijksoverheidSansText-Regular" w:cs="Arial"/>
                <w:bCs/>
                <w:i/>
                <w:iCs/>
                <w:sz w:val="14"/>
                <w:szCs w:val="14"/>
              </w:rPr>
              <w:t>adaptation paths</w:t>
            </w:r>
            <w:r w:rsidRPr="00995F3E">
              <w:rPr>
                <w:rFonts w:cs="Arial"/>
                <w:bCs/>
                <w:sz w:val="14"/>
                <w:szCs w:val="14"/>
              </w:rPr>
              <w:t xml:space="preserve"> offered a powerful way of understanding what measures can be taken, when, and how tasks and options for the long-term affect short-term decisions and measures </w:t>
            </w:r>
            <w:r w:rsidRPr="00995F3E">
              <w:rPr>
                <w:rFonts w:eastAsia="RijksoverheidSansText-Regular" w:cs="Arial"/>
                <w:bCs/>
                <w:color w:val="000000"/>
                <w:sz w:val="14"/>
                <w:szCs w:val="14"/>
              </w:rPr>
              <w:t>(</w:t>
            </w:r>
            <w:r w:rsidRPr="00995F3E">
              <w:rPr>
                <w:rFonts w:eastAsia="RijksoverheidSansText-Regular" w:cs="Arial"/>
                <w:bCs/>
                <w:color w:val="7F7F7F" w:themeColor="text1" w:themeTint="80"/>
                <w:sz w:val="14"/>
                <w:szCs w:val="14"/>
              </w:rPr>
              <w:t>DP 2012, p.82</w:t>
            </w:r>
            <w:r w:rsidRPr="00995F3E">
              <w:rPr>
                <w:rFonts w:eastAsia="RijksoverheidSansText-Regular" w:cs="Arial"/>
                <w:bCs/>
                <w:color w:val="000000"/>
                <w:sz w:val="14"/>
                <w:szCs w:val="14"/>
              </w:rPr>
              <w:t>).</w:t>
            </w:r>
          </w:p>
          <w:p w14:paraId="3B4B34E5" w14:textId="77777777" w:rsidR="00995F3E" w:rsidRPr="00995F3E" w:rsidRDefault="00995F3E" w:rsidP="00E74925">
            <w:pPr>
              <w:spacing w:after="60"/>
              <w:jc w:val="left"/>
              <w:rPr>
                <w:rFonts w:eastAsia="RijksoverheidSansText-Regular" w:cs="Arial"/>
                <w:bCs/>
                <w:color w:val="000000"/>
                <w:sz w:val="14"/>
                <w:szCs w:val="14"/>
              </w:rPr>
            </w:pPr>
            <w:r w:rsidRPr="00505570">
              <w:rPr>
                <w:rFonts w:cs="Arial"/>
                <w:bCs/>
                <w:sz w:val="14"/>
                <w:szCs w:val="14"/>
              </w:rPr>
              <w:t xml:space="preserve">(2a) In </w:t>
            </w:r>
            <w:r w:rsidRPr="00995F3E">
              <w:rPr>
                <w:rFonts w:cs="Arial"/>
                <w:bCs/>
                <w:sz w:val="14"/>
                <w:szCs w:val="14"/>
              </w:rPr>
              <w:t xml:space="preserve">2011/2012, most Subprogrammes focused on the identification of measures, by analysing </w:t>
            </w:r>
            <w:r w:rsidRPr="00995F3E">
              <w:rPr>
                <w:rFonts w:cs="Arial"/>
                <w:bCs/>
                <w:iCs/>
                <w:sz w:val="14"/>
                <w:szCs w:val="14"/>
              </w:rPr>
              <w:t>how the flood protection standards could be met under CC</w:t>
            </w:r>
            <w:r w:rsidRPr="00995F3E">
              <w:rPr>
                <w:rFonts w:cs="Arial"/>
                <w:bCs/>
                <w:sz w:val="14"/>
                <w:szCs w:val="14"/>
              </w:rPr>
              <w:t>; in addition, during this period, the DP stimulated the Subprogrammes to assess ‘</w:t>
            </w:r>
            <w:r w:rsidRPr="00995F3E">
              <w:rPr>
                <w:rFonts w:cs="Arial"/>
                <w:bCs/>
                <w:i/>
                <w:sz w:val="14"/>
                <w:szCs w:val="14"/>
              </w:rPr>
              <w:t xml:space="preserve">how much longer current policies and management practices were expected to suffice and when adjustments would be required’ </w:t>
            </w:r>
            <w:r w:rsidRPr="00995F3E">
              <w:rPr>
                <w:rFonts w:cs="Arial"/>
                <w:bCs/>
                <w:sz w:val="14"/>
                <w:szCs w:val="14"/>
              </w:rPr>
              <w:t>(</w:t>
            </w:r>
            <w:r w:rsidRPr="00995F3E">
              <w:rPr>
                <w:rFonts w:cs="Arial"/>
                <w:bCs/>
                <w:color w:val="7F7F7F" w:themeColor="text1" w:themeTint="80"/>
                <w:sz w:val="14"/>
                <w:szCs w:val="14"/>
              </w:rPr>
              <w:t>Werners et al. 2016</w:t>
            </w:r>
            <w:r w:rsidRPr="00995F3E">
              <w:rPr>
                <w:rFonts w:cs="Arial"/>
                <w:bCs/>
                <w:sz w:val="14"/>
                <w:szCs w:val="14"/>
              </w:rPr>
              <w:t xml:space="preserve">) – which relates to the identification of the first ATPs (a failure of pre-existing policy / management measures). </w:t>
            </w:r>
            <w:r w:rsidRPr="00995F3E">
              <w:rPr>
                <w:rFonts w:cs="Arial"/>
                <w:bCs/>
                <w:iCs/>
                <w:sz w:val="14"/>
                <w:szCs w:val="14"/>
              </w:rPr>
              <w:t>The DP acknowledged</w:t>
            </w:r>
            <w:r w:rsidRPr="00995F3E">
              <w:rPr>
                <w:rFonts w:cs="Arial"/>
                <w:bCs/>
                <w:sz w:val="14"/>
                <w:szCs w:val="14"/>
              </w:rPr>
              <w:t xml:space="preserve"> that adaptation will be necessary if the amount of change is unacceptable or if the objectives can be realized more effectively with other measures. Hence, each Team identified a range of possible measures, as broad strategic alternatives to be further studied (e.g. innovative flood defences) (</w:t>
            </w:r>
            <w:r w:rsidRPr="00995F3E">
              <w:rPr>
                <w:rFonts w:cs="Arial"/>
                <w:bCs/>
                <w:color w:val="7F7F7F" w:themeColor="text1" w:themeTint="80"/>
                <w:sz w:val="14"/>
                <w:szCs w:val="14"/>
              </w:rPr>
              <w:t>Werners et al. 2016</w:t>
            </w:r>
            <w:r w:rsidRPr="00995F3E">
              <w:rPr>
                <w:rFonts w:cs="Arial"/>
                <w:bCs/>
                <w:sz w:val="14"/>
                <w:szCs w:val="14"/>
              </w:rPr>
              <w:t>).</w:t>
            </w:r>
          </w:p>
          <w:p w14:paraId="4F390FEE" w14:textId="77777777" w:rsidR="00995F3E" w:rsidRPr="00995F3E" w:rsidRDefault="00995F3E" w:rsidP="00E74925">
            <w:pPr>
              <w:spacing w:after="60"/>
              <w:jc w:val="left"/>
              <w:rPr>
                <w:rFonts w:cs="Arial"/>
                <w:bCs/>
                <w:iCs/>
                <w:sz w:val="14"/>
                <w:szCs w:val="14"/>
              </w:rPr>
            </w:pPr>
            <w:r w:rsidRPr="00995F3E">
              <w:rPr>
                <w:rFonts w:cs="Arial"/>
                <w:bCs/>
                <w:sz w:val="14"/>
                <w:szCs w:val="14"/>
              </w:rPr>
              <w:t xml:space="preserve">Moreover, in 2011/2012, the DP developed its </w:t>
            </w:r>
            <w:r w:rsidRPr="00995F3E">
              <w:rPr>
                <w:rFonts w:cs="Arial"/>
                <w:bCs/>
                <w:i/>
                <w:iCs/>
                <w:sz w:val="14"/>
                <w:szCs w:val="14"/>
              </w:rPr>
              <w:t>VGS evaluation system</w:t>
            </w:r>
            <w:r w:rsidRPr="00995F3E">
              <w:rPr>
                <w:rFonts w:cs="Arial"/>
                <w:bCs/>
                <w:sz w:val="14"/>
                <w:szCs w:val="14"/>
              </w:rPr>
              <w:t xml:space="preserve">, a system to assess and compare the </w:t>
            </w:r>
            <w:r w:rsidRPr="00995F3E">
              <w:rPr>
                <w:rFonts w:cs="Arial"/>
                <w:bCs/>
                <w:i/>
                <w:iCs/>
                <w:sz w:val="14"/>
                <w:szCs w:val="14"/>
              </w:rPr>
              <w:t>Strategies</w:t>
            </w:r>
            <w:r w:rsidRPr="00995F3E">
              <w:rPr>
                <w:rFonts w:cs="Arial"/>
                <w:bCs/>
                <w:sz w:val="14"/>
                <w:szCs w:val="14"/>
              </w:rPr>
              <w:t xml:space="preserve"> </w:t>
            </w:r>
            <w:r w:rsidRPr="00995F3E">
              <w:rPr>
                <w:rFonts w:eastAsia="RijksoverheidSansText-Regular" w:cs="Arial"/>
                <w:bCs/>
                <w:color w:val="000000"/>
                <w:sz w:val="14"/>
                <w:szCs w:val="14"/>
              </w:rPr>
              <w:t>(</w:t>
            </w:r>
            <w:r w:rsidRPr="00995F3E">
              <w:rPr>
                <w:rFonts w:eastAsia="RijksoverheidSansText-Regular" w:cs="Arial"/>
                <w:bCs/>
                <w:color w:val="7F7F7F" w:themeColor="text1" w:themeTint="80"/>
                <w:sz w:val="14"/>
                <w:szCs w:val="14"/>
              </w:rPr>
              <w:t>DP 2012, p.87</w:t>
            </w:r>
            <w:r w:rsidRPr="00995F3E">
              <w:rPr>
                <w:rFonts w:eastAsia="RijksoverheidSansText-Regular" w:cs="Arial"/>
                <w:bCs/>
                <w:color w:val="000000"/>
                <w:sz w:val="14"/>
                <w:szCs w:val="14"/>
              </w:rPr>
              <w:t>)</w:t>
            </w:r>
            <w:r w:rsidRPr="00995F3E">
              <w:rPr>
                <w:rFonts w:cs="Arial"/>
                <w:bCs/>
                <w:sz w:val="14"/>
                <w:szCs w:val="14"/>
              </w:rPr>
              <w:t>.</w:t>
            </w:r>
            <w:r w:rsidRPr="00995F3E">
              <w:rPr>
                <w:rFonts w:cs="Arial"/>
                <w:bCs/>
                <w:iCs/>
                <w:sz w:val="14"/>
                <w:szCs w:val="14"/>
              </w:rPr>
              <w:t xml:space="preserve"> </w:t>
            </w:r>
          </w:p>
          <w:p w14:paraId="5B24F606" w14:textId="77777777" w:rsidR="00995F3E" w:rsidRPr="00995F3E" w:rsidRDefault="00995F3E" w:rsidP="00E74925">
            <w:pPr>
              <w:spacing w:after="60"/>
              <w:jc w:val="left"/>
              <w:rPr>
                <w:rFonts w:cs="Arial"/>
                <w:bCs/>
                <w:iCs/>
                <w:sz w:val="14"/>
                <w:szCs w:val="14"/>
              </w:rPr>
            </w:pPr>
            <w:r w:rsidRPr="00995F3E">
              <w:rPr>
                <w:rFonts w:cs="Arial"/>
                <w:bCs/>
                <w:iCs/>
                <w:sz w:val="14"/>
                <w:szCs w:val="14"/>
              </w:rPr>
              <w:t xml:space="preserve">During this year, research continued to </w:t>
            </w:r>
            <w:r w:rsidRPr="00995F3E">
              <w:rPr>
                <w:rFonts w:cs="Arial"/>
                <w:bCs/>
                <w:i/>
                <w:iCs/>
                <w:sz w:val="14"/>
                <w:szCs w:val="14"/>
              </w:rPr>
              <w:t xml:space="preserve">(re)identify adaptation needs </w:t>
            </w:r>
            <w:r w:rsidRPr="00995F3E">
              <w:rPr>
                <w:rFonts w:cs="Arial"/>
                <w:bCs/>
                <w:iCs/>
                <w:sz w:val="14"/>
                <w:szCs w:val="14"/>
              </w:rPr>
              <w:t xml:space="preserve">and CC effects on each region. </w:t>
            </w:r>
          </w:p>
          <w:p w14:paraId="33FF38D8" w14:textId="77777777" w:rsidR="00995F3E" w:rsidRPr="00995F3E" w:rsidRDefault="00995F3E" w:rsidP="00E74925">
            <w:pPr>
              <w:spacing w:after="60"/>
              <w:jc w:val="left"/>
              <w:rPr>
                <w:rFonts w:cs="Arial"/>
                <w:bCs/>
                <w:sz w:val="14"/>
                <w:szCs w:val="14"/>
              </w:rPr>
            </w:pPr>
            <w:r w:rsidRPr="00995F3E">
              <w:rPr>
                <w:rFonts w:cs="Arial"/>
                <w:bCs/>
                <w:sz w:val="14"/>
                <w:szCs w:val="14"/>
              </w:rPr>
              <w:t>The DP also decided that it would create a monitoring system to provide early signals of CC and detect thresholds (</w:t>
            </w:r>
            <w:r w:rsidRPr="00995F3E">
              <w:rPr>
                <w:rFonts w:cs="Arial"/>
                <w:bCs/>
                <w:color w:val="7F7F7F" w:themeColor="text1" w:themeTint="80"/>
                <w:sz w:val="14"/>
                <w:szCs w:val="14"/>
              </w:rPr>
              <w:t>Werners et al. 2016</w:t>
            </w:r>
            <w:r w:rsidRPr="00995F3E">
              <w:rPr>
                <w:rFonts w:cs="Arial"/>
                <w:bCs/>
                <w:sz w:val="14"/>
                <w:szCs w:val="14"/>
              </w:rPr>
              <w:t>).</w:t>
            </w:r>
          </w:p>
          <w:p w14:paraId="61348930" w14:textId="77777777" w:rsidR="00995F3E" w:rsidRPr="00995F3E" w:rsidRDefault="00995F3E" w:rsidP="00E74925">
            <w:pPr>
              <w:spacing w:after="60"/>
              <w:jc w:val="left"/>
              <w:rPr>
                <w:rFonts w:cs="Arial"/>
                <w:bCs/>
                <w:sz w:val="14"/>
                <w:szCs w:val="14"/>
              </w:rPr>
            </w:pPr>
            <w:r w:rsidRPr="00995F3E">
              <w:rPr>
                <w:rFonts w:cs="Arial"/>
                <w:bCs/>
                <w:sz w:val="14"/>
                <w:szCs w:val="14"/>
              </w:rPr>
              <w:t>………………………….</w:t>
            </w:r>
          </w:p>
          <w:p w14:paraId="377FE4A8" w14:textId="7B431C0F" w:rsidR="00995F3E" w:rsidRPr="00995F3E" w:rsidRDefault="00995F3E" w:rsidP="00E74925">
            <w:pPr>
              <w:spacing w:after="60"/>
              <w:jc w:val="left"/>
              <w:rPr>
                <w:rFonts w:cs="Arial"/>
                <w:bCs/>
                <w:sz w:val="14"/>
                <w:szCs w:val="14"/>
              </w:rPr>
            </w:pPr>
            <w:r w:rsidRPr="00995F3E">
              <w:rPr>
                <w:rFonts w:cs="Arial"/>
                <w:bCs/>
                <w:sz w:val="14"/>
                <w:szCs w:val="14"/>
              </w:rPr>
              <w:t xml:space="preserve">Step </w:t>
            </w:r>
            <w:r w:rsidR="00974448" w:rsidRPr="00E74925">
              <w:rPr>
                <w:rFonts w:cs="Arial"/>
                <w:bCs/>
                <w:sz w:val="14"/>
                <w:szCs w:val="14"/>
              </w:rPr>
              <w:t>2</w:t>
            </w:r>
            <w:r w:rsidRPr="00995F3E">
              <w:rPr>
                <w:rFonts w:cs="Arial"/>
                <w:bCs/>
                <w:sz w:val="14"/>
                <w:szCs w:val="14"/>
              </w:rPr>
              <w:t xml:space="preserve"> also required assessing the effectiveness of the diverse measures under different scenarios and determining their ATPs (</w:t>
            </w:r>
            <w:r w:rsidRPr="00995F3E">
              <w:rPr>
                <w:rFonts w:cs="Arial"/>
                <w:bCs/>
                <w:color w:val="7F7F7F" w:themeColor="text1" w:themeTint="80"/>
                <w:sz w:val="14"/>
                <w:szCs w:val="14"/>
              </w:rPr>
              <w:t>Zandvoort et al. 2018, p.190-191</w:t>
            </w:r>
            <w:r w:rsidRPr="00995F3E">
              <w:rPr>
                <w:rFonts w:cs="Arial"/>
                <w:bCs/>
                <w:sz w:val="14"/>
                <w:szCs w:val="14"/>
              </w:rPr>
              <w:t>). In ADM, tipping-points correspond to points / conditions under which the current management actions / measures or policies become ‘</w:t>
            </w:r>
            <w:r w:rsidRPr="00995F3E">
              <w:rPr>
                <w:rFonts w:cs="Arial"/>
                <w:bCs/>
                <w:i/>
                <w:iCs/>
                <w:sz w:val="14"/>
                <w:szCs w:val="14"/>
              </w:rPr>
              <w:t>too expensive, technically impossible or societally unacceptable</w:t>
            </w:r>
            <w:r w:rsidRPr="00995F3E">
              <w:rPr>
                <w:rFonts w:cs="Arial"/>
                <w:bCs/>
                <w:sz w:val="14"/>
                <w:szCs w:val="14"/>
              </w:rPr>
              <w:t>’; the date of an ATP indicates an ‘expiration date’ at which a given measure or policy ceases to be feasible (</w:t>
            </w:r>
            <w:r w:rsidRPr="00995F3E">
              <w:rPr>
                <w:rFonts w:cs="Arial"/>
                <w:bCs/>
                <w:color w:val="7F7F7F" w:themeColor="text1" w:themeTint="80"/>
                <w:sz w:val="14"/>
                <w:szCs w:val="14"/>
              </w:rPr>
              <w:t xml:space="preserve">Rhee 2012, p.18, </w:t>
            </w:r>
            <w:r w:rsidRPr="00995F3E">
              <w:rPr>
                <w:rFonts w:cs="Arial"/>
                <w:bCs/>
                <w:i/>
                <w:iCs/>
                <w:color w:val="7F7F7F" w:themeColor="text1" w:themeTint="80"/>
                <w:sz w:val="14"/>
                <w:szCs w:val="14"/>
              </w:rPr>
              <w:t xml:space="preserve">in </w:t>
            </w:r>
            <w:r w:rsidRPr="00995F3E">
              <w:rPr>
                <w:rFonts w:cs="Arial"/>
                <w:bCs/>
                <w:color w:val="7F7F7F" w:themeColor="text1" w:themeTint="80"/>
                <w:sz w:val="14"/>
                <w:szCs w:val="14"/>
              </w:rPr>
              <w:t>Zandvoort et al. 2018, p.190</w:t>
            </w:r>
            <w:r w:rsidRPr="00995F3E">
              <w:rPr>
                <w:rFonts w:cs="Arial"/>
                <w:bCs/>
                <w:sz w:val="14"/>
                <w:szCs w:val="14"/>
              </w:rPr>
              <w:t>). More precisely,</w:t>
            </w:r>
            <w:r w:rsidRPr="00995F3E">
              <w:rPr>
                <w:rFonts w:cs="Arial"/>
                <w:bCs/>
                <w:color w:val="00B050"/>
                <w:sz w:val="14"/>
                <w:szCs w:val="14"/>
              </w:rPr>
              <w:t xml:space="preserve"> </w:t>
            </w:r>
            <w:r w:rsidRPr="00995F3E">
              <w:rPr>
                <w:rFonts w:cs="Arial"/>
                <w:bCs/>
                <w:sz w:val="14"/>
                <w:szCs w:val="14"/>
              </w:rPr>
              <w:t>tipping-points indicate conditions under which a given measure or policy action ceases to be effective or acceptable (or no longer suffices) and a new measure is required.</w:t>
            </w:r>
            <w:r w:rsidRPr="00995F3E">
              <w:rPr>
                <w:rFonts w:cs="Arial"/>
                <w:bCs/>
                <w:color w:val="00B050"/>
                <w:sz w:val="14"/>
                <w:szCs w:val="14"/>
              </w:rPr>
              <w:t xml:space="preserve"> </w:t>
            </w:r>
            <w:r w:rsidRPr="00995F3E">
              <w:rPr>
                <w:rFonts w:cs="Arial"/>
                <w:bCs/>
                <w:sz w:val="14"/>
                <w:szCs w:val="14"/>
              </w:rPr>
              <w:t>The moment of an ATP could be measured in relation to scenarios: by placing alternative measures against diverse future scenarios, their tipping-points emerge. Despite the difficulty of determining the exact moment of ATPs, the ADM approach primarily seeks to inform about the time needed to implement measures, and what are the measures available (</w:t>
            </w:r>
            <w:r w:rsidRPr="00995F3E">
              <w:rPr>
                <w:rFonts w:cs="Arial"/>
                <w:bCs/>
                <w:color w:val="7F7F7F" w:themeColor="text1" w:themeTint="80"/>
                <w:sz w:val="14"/>
                <w:szCs w:val="14"/>
              </w:rPr>
              <w:t>Zandvoort et al. 2018, p.190-191</w:t>
            </w:r>
            <w:r w:rsidRPr="00995F3E">
              <w:rPr>
                <w:rFonts w:cs="Arial"/>
                <w:bCs/>
                <w:sz w:val="14"/>
                <w:szCs w:val="14"/>
              </w:rPr>
              <w:t>).</w:t>
            </w:r>
          </w:p>
          <w:p w14:paraId="45FDFC24" w14:textId="061E3E16" w:rsidR="00995F3E" w:rsidRPr="00995F3E" w:rsidRDefault="00995F3E" w:rsidP="00E74925">
            <w:pPr>
              <w:spacing w:after="60"/>
              <w:jc w:val="left"/>
              <w:rPr>
                <w:rFonts w:cs="Arial"/>
                <w:bCs/>
                <w:color w:val="C00000"/>
                <w:sz w:val="14"/>
                <w:szCs w:val="14"/>
              </w:rPr>
            </w:pPr>
            <w:r w:rsidRPr="00995F3E">
              <w:rPr>
                <w:rFonts w:cs="Arial"/>
                <w:bCs/>
                <w:sz w:val="14"/>
                <w:szCs w:val="14"/>
              </w:rPr>
              <w:t xml:space="preserve">Moreover, in the DP, </w:t>
            </w:r>
            <w:r w:rsidRPr="00995F3E">
              <w:rPr>
                <w:rFonts w:cs="Arial"/>
                <w:bCs/>
                <w:i/>
                <w:iCs/>
                <w:sz w:val="14"/>
                <w:szCs w:val="14"/>
              </w:rPr>
              <w:t>Strategies</w:t>
            </w:r>
            <w:r w:rsidRPr="00995F3E">
              <w:rPr>
                <w:rFonts w:cs="Arial"/>
                <w:bCs/>
                <w:sz w:val="14"/>
                <w:szCs w:val="14"/>
              </w:rPr>
              <w:t xml:space="preserve"> should be made of a combination of diverse FRM measures.</w:t>
            </w:r>
          </w:p>
        </w:tc>
        <w:tc>
          <w:tcPr>
            <w:tcW w:w="1843" w:type="dxa"/>
            <w:shd w:val="clear" w:color="auto" w:fill="auto"/>
          </w:tcPr>
          <w:p w14:paraId="3BBEBE08" w14:textId="77777777" w:rsidR="00995F3E" w:rsidRPr="00995F3E" w:rsidRDefault="00995F3E" w:rsidP="00E74925">
            <w:pPr>
              <w:spacing w:after="60"/>
              <w:jc w:val="left"/>
              <w:rPr>
                <w:rFonts w:cs="Arial"/>
                <w:bCs/>
                <w:iCs/>
                <w:sz w:val="14"/>
                <w:szCs w:val="14"/>
              </w:rPr>
            </w:pPr>
            <w:r w:rsidRPr="00995F3E">
              <w:rPr>
                <w:rFonts w:cs="Arial"/>
                <w:bCs/>
                <w:iCs/>
                <w:noProof/>
                <w:sz w:val="14"/>
                <w:szCs w:val="14"/>
              </w:rPr>
              <w:lastRenderedPageBreak/>
              <w:t>Year 2 (2011/2012):</w:t>
            </w:r>
            <w:r w:rsidRPr="00995F3E">
              <w:rPr>
                <w:rFonts w:cs="Arial"/>
                <w:bCs/>
                <w:noProof/>
                <w:sz w:val="14"/>
                <w:szCs w:val="14"/>
              </w:rPr>
              <w:t xml:space="preserve"> </w:t>
            </w:r>
            <w:r w:rsidRPr="00995F3E">
              <w:rPr>
                <w:rFonts w:cs="Arial"/>
                <w:bCs/>
                <w:iCs/>
                <w:noProof/>
                <w:sz w:val="14"/>
                <w:szCs w:val="14"/>
              </w:rPr>
              <w:t>Exploration of ‘Possible Strategies’ (measures/ solutions for problems and to address tasks)</w:t>
            </w:r>
            <w:r w:rsidRPr="00995F3E">
              <w:rPr>
                <w:rFonts w:cs="Arial"/>
                <w:bCs/>
                <w:noProof/>
                <w:sz w:val="14"/>
                <w:szCs w:val="14"/>
              </w:rPr>
              <w:t xml:space="preserve">. It resulted in the </w:t>
            </w:r>
            <w:r w:rsidRPr="00995F3E">
              <w:rPr>
                <w:rFonts w:cs="Arial"/>
                <w:bCs/>
                <w:iCs/>
                <w:noProof/>
                <w:sz w:val="14"/>
                <w:szCs w:val="14"/>
              </w:rPr>
              <w:t>DP 2012 (for 2013)</w:t>
            </w:r>
            <w:r w:rsidRPr="00995F3E">
              <w:rPr>
                <w:rFonts w:cs="Arial"/>
                <w:bCs/>
                <w:noProof/>
                <w:sz w:val="14"/>
                <w:szCs w:val="14"/>
              </w:rPr>
              <w:t xml:space="preserve">. </w:t>
            </w:r>
            <w:r w:rsidRPr="00995F3E">
              <w:rPr>
                <w:rFonts w:cs="Arial"/>
                <w:bCs/>
                <w:iCs/>
                <w:noProof/>
                <w:sz w:val="14"/>
                <w:szCs w:val="14"/>
              </w:rPr>
              <w:t xml:space="preserve">This year involved: setting guiding principles, identifying </w:t>
            </w:r>
            <w:r w:rsidRPr="00995F3E">
              <w:rPr>
                <w:rFonts w:cs="Arial"/>
                <w:bCs/>
                <w:iCs/>
                <w:sz w:val="14"/>
                <w:szCs w:val="14"/>
              </w:rPr>
              <w:t>measures and possible ‘development paths’, which required analysing time-windows, lock-ins and -outs, transfer possibilities and bottlenecks (</w:t>
            </w:r>
            <w:r w:rsidRPr="00995F3E">
              <w:rPr>
                <w:rFonts w:cs="Arial"/>
                <w:bCs/>
                <w:iCs/>
                <w:color w:val="7F7F7F" w:themeColor="text1" w:themeTint="80"/>
                <w:sz w:val="14"/>
                <w:szCs w:val="14"/>
              </w:rPr>
              <w:t>Rhee 2012, p.9; Werners et al. 2016</w:t>
            </w:r>
            <w:r w:rsidRPr="00995F3E">
              <w:rPr>
                <w:rFonts w:cs="Arial"/>
                <w:bCs/>
                <w:iCs/>
                <w:sz w:val="14"/>
                <w:szCs w:val="14"/>
              </w:rPr>
              <w:t>).</w:t>
            </w:r>
          </w:p>
          <w:p w14:paraId="1F8D014A" w14:textId="77777777" w:rsidR="00995F3E" w:rsidRPr="00995F3E" w:rsidRDefault="00995F3E" w:rsidP="00E74925">
            <w:pPr>
              <w:spacing w:after="60"/>
              <w:jc w:val="left"/>
              <w:rPr>
                <w:rFonts w:cs="Arial"/>
                <w:bCs/>
                <w:iCs/>
                <w:sz w:val="14"/>
                <w:szCs w:val="14"/>
              </w:rPr>
            </w:pPr>
            <w:r w:rsidRPr="00995F3E">
              <w:rPr>
                <w:rFonts w:cs="Arial"/>
                <w:bCs/>
                <w:iCs/>
                <w:sz w:val="14"/>
                <w:szCs w:val="14"/>
              </w:rPr>
              <w:t>…………………</w:t>
            </w:r>
          </w:p>
          <w:p w14:paraId="7F773930"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In 2011/2012, the Subprogramme for Rhine Estuary-Drechtsteden started to develop its </w:t>
            </w:r>
            <w:r w:rsidRPr="00995F3E">
              <w:rPr>
                <w:rFonts w:cs="Arial"/>
                <w:bCs/>
                <w:i/>
                <w:iCs/>
                <w:sz w:val="14"/>
                <w:szCs w:val="14"/>
              </w:rPr>
              <w:t>adaptation paths</w:t>
            </w:r>
            <w:r w:rsidRPr="00995F3E">
              <w:rPr>
                <w:rFonts w:cs="Arial"/>
                <w:bCs/>
                <w:sz w:val="14"/>
                <w:szCs w:val="14"/>
              </w:rPr>
              <w:t xml:space="preserve"> by describing under what conditions new measures will be required, i.e. </w:t>
            </w:r>
            <w:r w:rsidRPr="00995F3E">
              <w:rPr>
                <w:rFonts w:cs="Arial"/>
                <w:bCs/>
                <w:sz w:val="14"/>
                <w:szCs w:val="14"/>
              </w:rPr>
              <w:lastRenderedPageBreak/>
              <w:t xml:space="preserve">tipping-points (e.g. dykes that no longer meet the standard) </w:t>
            </w:r>
            <w:r w:rsidRPr="00995F3E">
              <w:rPr>
                <w:rFonts w:eastAsia="RijksoverheidSansText-Regular" w:cs="Arial"/>
                <w:bCs/>
                <w:color w:val="000000"/>
                <w:sz w:val="14"/>
                <w:szCs w:val="14"/>
              </w:rPr>
              <w:t>(</w:t>
            </w:r>
            <w:r w:rsidRPr="00995F3E">
              <w:rPr>
                <w:rFonts w:eastAsia="RijksoverheidSansText-Regular" w:cs="Arial"/>
                <w:bCs/>
                <w:color w:val="7F7F7F" w:themeColor="text1" w:themeTint="80"/>
                <w:sz w:val="14"/>
                <w:szCs w:val="14"/>
              </w:rPr>
              <w:t>DP 2012, p.89</w:t>
            </w:r>
            <w:r w:rsidRPr="00995F3E">
              <w:rPr>
                <w:rFonts w:eastAsia="RijksoverheidSansText-Regular" w:cs="Arial"/>
                <w:bCs/>
                <w:color w:val="000000"/>
                <w:sz w:val="14"/>
                <w:szCs w:val="14"/>
              </w:rPr>
              <w:t xml:space="preserve">), while </w:t>
            </w:r>
            <w:r w:rsidRPr="00995F3E">
              <w:rPr>
                <w:rFonts w:cs="Arial"/>
                <w:bCs/>
                <w:sz w:val="14"/>
                <w:szCs w:val="14"/>
              </w:rPr>
              <w:t xml:space="preserve">the Subprogrammes for the </w:t>
            </w:r>
            <w:proofErr w:type="spellStart"/>
            <w:r w:rsidRPr="00995F3E">
              <w:rPr>
                <w:rFonts w:cs="Arial"/>
                <w:bCs/>
                <w:sz w:val="14"/>
                <w:szCs w:val="14"/>
              </w:rPr>
              <w:t>IJsselmeer</w:t>
            </w:r>
            <w:proofErr w:type="spellEnd"/>
            <w:r w:rsidRPr="00995F3E">
              <w:rPr>
                <w:rFonts w:cs="Arial"/>
                <w:bCs/>
                <w:sz w:val="14"/>
                <w:szCs w:val="14"/>
              </w:rPr>
              <w:t xml:space="preserve"> Region and for Southwest Delta already presented their ‘possible development paths’ in the DP2012 (</w:t>
            </w:r>
            <w:r w:rsidRPr="00995F3E">
              <w:rPr>
                <w:rFonts w:eastAsia="RijksoverheidSansText-Regular" w:cs="Arial"/>
                <w:bCs/>
                <w:color w:val="7F7F7F" w:themeColor="text1" w:themeTint="80"/>
                <w:sz w:val="14"/>
                <w:szCs w:val="14"/>
              </w:rPr>
              <w:t>DP 2012, p.59, 69</w:t>
            </w:r>
            <w:r w:rsidRPr="00995F3E">
              <w:rPr>
                <w:rFonts w:cs="Arial"/>
                <w:bCs/>
                <w:sz w:val="14"/>
                <w:szCs w:val="14"/>
              </w:rPr>
              <w:t>).</w:t>
            </w:r>
          </w:p>
          <w:p w14:paraId="1BD9E751" w14:textId="77777777" w:rsidR="00995F3E" w:rsidRPr="00995F3E" w:rsidRDefault="00995F3E" w:rsidP="00E74925">
            <w:pPr>
              <w:spacing w:after="60"/>
              <w:jc w:val="left"/>
              <w:rPr>
                <w:rFonts w:cs="Arial"/>
                <w:bCs/>
                <w:sz w:val="14"/>
                <w:szCs w:val="14"/>
              </w:rPr>
            </w:pPr>
            <w:r w:rsidRPr="00995F3E">
              <w:rPr>
                <w:rFonts w:cs="Arial"/>
                <w:bCs/>
                <w:sz w:val="14"/>
                <w:szCs w:val="14"/>
              </w:rPr>
              <w:t>………….</w:t>
            </w:r>
          </w:p>
          <w:p w14:paraId="118BD217" w14:textId="429CA141" w:rsidR="00995F3E" w:rsidRPr="00995F3E" w:rsidRDefault="00995F3E" w:rsidP="00E74925">
            <w:pPr>
              <w:spacing w:after="60"/>
              <w:jc w:val="left"/>
              <w:rPr>
                <w:rFonts w:cs="Arial"/>
                <w:bCs/>
                <w:sz w:val="14"/>
                <w:szCs w:val="14"/>
              </w:rPr>
            </w:pPr>
            <w:r w:rsidRPr="00995F3E">
              <w:rPr>
                <w:rFonts w:cs="Arial"/>
                <w:bCs/>
                <w:sz w:val="14"/>
                <w:szCs w:val="14"/>
              </w:rPr>
              <w:t xml:space="preserve">In 2011/2012, the RE-D Subprogramme had already defined (qualitatively) the tipping-points of the existing policy and system, and determined their timing / date in the </w:t>
            </w:r>
            <w:r w:rsidRPr="00995F3E">
              <w:rPr>
                <w:rFonts w:cs="Arial"/>
                <w:bCs/>
                <w:i/>
                <w:iCs/>
                <w:sz w:val="14"/>
                <w:szCs w:val="14"/>
              </w:rPr>
              <w:t>Delta Scenarios</w:t>
            </w:r>
            <w:r w:rsidRPr="00995F3E">
              <w:rPr>
                <w:rFonts w:cs="Arial"/>
                <w:bCs/>
                <w:sz w:val="14"/>
                <w:szCs w:val="14"/>
              </w:rPr>
              <w:t>; and it also</w:t>
            </w:r>
            <w:r w:rsidR="005C558F" w:rsidRPr="00E74925">
              <w:rPr>
                <w:rFonts w:cs="Arial"/>
                <w:bCs/>
                <w:sz w:val="14"/>
                <w:szCs w:val="14"/>
              </w:rPr>
              <w:t xml:space="preserve"> </w:t>
            </w:r>
            <w:r w:rsidRPr="00995F3E">
              <w:rPr>
                <w:rFonts w:cs="Arial"/>
                <w:bCs/>
                <w:sz w:val="14"/>
                <w:szCs w:val="14"/>
              </w:rPr>
              <w:t>started to develop ‘</w:t>
            </w:r>
            <w:r w:rsidRPr="00995F3E">
              <w:rPr>
                <w:rFonts w:cs="Arial"/>
                <w:bCs/>
                <w:i/>
                <w:sz w:val="14"/>
                <w:szCs w:val="14"/>
              </w:rPr>
              <w:t>interrelated packages of measures</w:t>
            </w:r>
            <w:r w:rsidRPr="00995F3E">
              <w:rPr>
                <w:rFonts w:cs="Arial"/>
                <w:bCs/>
                <w:sz w:val="14"/>
                <w:szCs w:val="14"/>
              </w:rPr>
              <w:t>’, i.e. strategies, which were then subjected  to a ‘</w:t>
            </w:r>
            <w:r w:rsidRPr="00995F3E">
              <w:rPr>
                <w:rFonts w:cs="Arial"/>
                <w:bCs/>
                <w:i/>
                <w:iCs/>
                <w:sz w:val="14"/>
                <w:szCs w:val="14"/>
              </w:rPr>
              <w:t>stress test’</w:t>
            </w:r>
            <w:r w:rsidRPr="00995F3E">
              <w:rPr>
                <w:rFonts w:cs="Arial"/>
                <w:bCs/>
                <w:sz w:val="14"/>
                <w:szCs w:val="14"/>
              </w:rPr>
              <w:t xml:space="preserve"> in order to identify potential vulnerabilities and ways to tackle them in the short-term (</w:t>
            </w:r>
            <w:r w:rsidR="005C558F" w:rsidRPr="00E74925">
              <w:rPr>
                <w:rFonts w:cs="Arial"/>
                <w:bCs/>
                <w:color w:val="7F7F7F" w:themeColor="text1" w:themeTint="80"/>
                <w:sz w:val="14"/>
                <w:szCs w:val="14"/>
              </w:rPr>
              <w:t>Brugge and Bruggeman 2019</w:t>
            </w:r>
            <w:r w:rsidRPr="00995F3E">
              <w:rPr>
                <w:rFonts w:cs="Arial"/>
                <w:bCs/>
                <w:color w:val="7F7F7F" w:themeColor="text1" w:themeTint="80"/>
                <w:sz w:val="14"/>
                <w:szCs w:val="14"/>
              </w:rPr>
              <w:t>, p.6</w:t>
            </w:r>
            <w:r w:rsidRPr="00995F3E">
              <w:rPr>
                <w:rFonts w:cs="Arial"/>
                <w:bCs/>
                <w:sz w:val="14"/>
                <w:szCs w:val="14"/>
              </w:rPr>
              <w:t xml:space="preserve">). These steps were undertaken in two workshops with experts and planners. Moreover, during this year, the RE-D Subprogramme explored how ADM (concept and approach) should be applied. </w:t>
            </w:r>
          </w:p>
          <w:p w14:paraId="3C0770A8" w14:textId="77777777" w:rsidR="00995F3E" w:rsidRPr="00995F3E" w:rsidRDefault="00995F3E" w:rsidP="00E74925">
            <w:pPr>
              <w:spacing w:after="60"/>
              <w:jc w:val="left"/>
              <w:rPr>
                <w:rFonts w:cs="Arial"/>
                <w:bCs/>
                <w:sz w:val="14"/>
                <w:szCs w:val="14"/>
              </w:rPr>
            </w:pPr>
          </w:p>
          <w:p w14:paraId="1EF7BD05" w14:textId="589876BD" w:rsidR="00995F3E" w:rsidRPr="00995F3E" w:rsidRDefault="00995F3E" w:rsidP="00E74925">
            <w:pPr>
              <w:spacing w:after="60"/>
              <w:jc w:val="left"/>
              <w:rPr>
                <w:rFonts w:cs="Arial"/>
                <w:bCs/>
                <w:sz w:val="14"/>
                <w:szCs w:val="14"/>
              </w:rPr>
            </w:pPr>
            <w:r w:rsidRPr="00995F3E">
              <w:rPr>
                <w:rFonts w:cs="Arial"/>
                <w:bCs/>
                <w:sz w:val="14"/>
                <w:szCs w:val="14"/>
              </w:rPr>
              <w:t>The RE-D Subprogramme searched for tipping-points, i.e. moments in which a measure / strategy does not work anymore, and it is necessary to shift to another (however, such moments were difficult to find or do not exist, thus, the exercise was more about ‘</w:t>
            </w:r>
            <w:r w:rsidRPr="00995F3E">
              <w:rPr>
                <w:rFonts w:cs="Arial"/>
                <w:bCs/>
                <w:i/>
                <w:iCs/>
                <w:sz w:val="14"/>
                <w:szCs w:val="14"/>
              </w:rPr>
              <w:t>spreading measures in time</w:t>
            </w:r>
            <w:r w:rsidRPr="00995F3E">
              <w:rPr>
                <w:rFonts w:cs="Arial"/>
                <w:bCs/>
                <w:sz w:val="14"/>
                <w:szCs w:val="14"/>
              </w:rPr>
              <w:t>’ than ‘</w:t>
            </w:r>
            <w:r w:rsidRPr="00995F3E">
              <w:rPr>
                <w:rFonts w:cs="Arial"/>
                <w:bCs/>
                <w:i/>
                <w:iCs/>
                <w:sz w:val="14"/>
                <w:szCs w:val="14"/>
              </w:rPr>
              <w:t>exploring alternative measures to shift to</w:t>
            </w:r>
            <w:r w:rsidRPr="00995F3E">
              <w:rPr>
                <w:rFonts w:cs="Arial"/>
                <w:bCs/>
                <w:sz w:val="14"/>
                <w:szCs w:val="14"/>
              </w:rPr>
              <w:t>’; and, in worse scenarios, measures would be implemented earlier than in ‘lighter’ scenarios (</w:t>
            </w:r>
            <w:proofErr w:type="spellStart"/>
            <w:r w:rsidRPr="00995F3E">
              <w:rPr>
                <w:rFonts w:cs="Arial"/>
                <w:bCs/>
                <w:color w:val="7F7F7F" w:themeColor="text1" w:themeTint="80"/>
                <w:sz w:val="14"/>
                <w:szCs w:val="14"/>
              </w:rPr>
              <w:t>Restemeyer</w:t>
            </w:r>
            <w:proofErr w:type="spellEnd"/>
            <w:r w:rsidRPr="00995F3E">
              <w:rPr>
                <w:rFonts w:cs="Arial"/>
                <w:bCs/>
                <w:color w:val="7F7F7F" w:themeColor="text1" w:themeTint="80"/>
                <w:sz w:val="14"/>
                <w:szCs w:val="14"/>
              </w:rPr>
              <w:t xml:space="preserve"> et al. 2017, p.932</w:t>
            </w:r>
            <w:r w:rsidRPr="00995F3E">
              <w:rPr>
                <w:rFonts w:cs="Arial"/>
                <w:bCs/>
                <w:sz w:val="14"/>
                <w:szCs w:val="14"/>
              </w:rPr>
              <w:t xml:space="preserve">). In the case of Dordrecht, for example, to evaluate to what extent the proposed measures meet the objectives in the short, mid- and long-term, the ATPs’ method was used. The performance of measures was assessed under the most extreme </w:t>
            </w:r>
            <w:r w:rsidRPr="00995F3E">
              <w:rPr>
                <w:rFonts w:cs="Arial"/>
                <w:bCs/>
                <w:i/>
                <w:iCs/>
                <w:sz w:val="14"/>
                <w:szCs w:val="14"/>
              </w:rPr>
              <w:t>Delta Scenarios</w:t>
            </w:r>
            <w:r w:rsidRPr="00995F3E">
              <w:rPr>
                <w:rFonts w:cs="Arial"/>
                <w:bCs/>
                <w:sz w:val="14"/>
                <w:szCs w:val="14"/>
              </w:rPr>
              <w:t xml:space="preserve"> (the </w:t>
            </w:r>
            <w:r w:rsidRPr="00995F3E">
              <w:rPr>
                <w:rFonts w:cs="Arial"/>
                <w:bCs/>
                <w:i/>
                <w:iCs/>
                <w:sz w:val="14"/>
                <w:szCs w:val="14"/>
              </w:rPr>
              <w:t>Rest</w:t>
            </w:r>
            <w:r w:rsidRPr="00995F3E">
              <w:rPr>
                <w:rFonts w:cs="Arial"/>
                <w:bCs/>
                <w:sz w:val="14"/>
                <w:szCs w:val="14"/>
              </w:rPr>
              <w:t xml:space="preserve"> and </w:t>
            </w:r>
            <w:r w:rsidRPr="00995F3E">
              <w:rPr>
                <w:rFonts w:cs="Arial"/>
                <w:bCs/>
                <w:i/>
                <w:iCs/>
                <w:sz w:val="14"/>
                <w:szCs w:val="14"/>
              </w:rPr>
              <w:t>Steam</w:t>
            </w:r>
            <w:r w:rsidRPr="00995F3E">
              <w:rPr>
                <w:rFonts w:cs="Arial"/>
                <w:bCs/>
                <w:sz w:val="14"/>
                <w:szCs w:val="14"/>
              </w:rPr>
              <w:t>)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 p.212</w:t>
            </w:r>
            <w:r w:rsidRPr="00995F3E">
              <w:rPr>
                <w:rFonts w:cs="Arial"/>
                <w:bCs/>
                <w:sz w:val="14"/>
                <w:szCs w:val="14"/>
              </w:rPr>
              <w:t xml:space="preserve">).  </w:t>
            </w:r>
          </w:p>
        </w:tc>
      </w:tr>
      <w:tr w:rsidR="00995F3E" w:rsidRPr="00995F3E" w14:paraId="7ED036CD" w14:textId="77777777" w:rsidTr="00E74925">
        <w:tc>
          <w:tcPr>
            <w:tcW w:w="704" w:type="dxa"/>
            <w:vMerge w:val="restart"/>
            <w:shd w:val="clear" w:color="auto" w:fill="auto"/>
          </w:tcPr>
          <w:p w14:paraId="2A3B6259" w14:textId="77777777" w:rsidR="00995F3E" w:rsidRPr="00995F3E" w:rsidRDefault="00995F3E" w:rsidP="00E74925">
            <w:pPr>
              <w:spacing w:after="60"/>
              <w:jc w:val="left"/>
              <w:rPr>
                <w:rFonts w:cs="Arial"/>
                <w:bCs/>
                <w:i/>
                <w:iCs/>
                <w:sz w:val="14"/>
                <w:szCs w:val="14"/>
              </w:rPr>
            </w:pPr>
            <w:r w:rsidRPr="00995F3E">
              <w:rPr>
                <w:rFonts w:cs="Arial"/>
                <w:bCs/>
                <w:i/>
                <w:sz w:val="14"/>
                <w:szCs w:val="14"/>
              </w:rPr>
              <w:t>Step 3. Develop adaptation pathwa</w:t>
            </w:r>
            <w:r w:rsidRPr="00995F3E">
              <w:rPr>
                <w:rFonts w:cs="Arial"/>
                <w:bCs/>
                <w:i/>
                <w:sz w:val="14"/>
                <w:szCs w:val="14"/>
              </w:rPr>
              <w:lastRenderedPageBreak/>
              <w:t>ys and APs’ map</w:t>
            </w:r>
          </w:p>
        </w:tc>
        <w:tc>
          <w:tcPr>
            <w:tcW w:w="2552" w:type="dxa"/>
            <w:shd w:val="clear" w:color="auto" w:fill="auto"/>
          </w:tcPr>
          <w:p w14:paraId="4338B9FD" w14:textId="7A3E8D29" w:rsidR="00995F3E" w:rsidRPr="00E74925" w:rsidRDefault="00995F3E" w:rsidP="00E74925">
            <w:pPr>
              <w:spacing w:after="60"/>
              <w:jc w:val="left"/>
              <w:rPr>
                <w:rFonts w:cs="Arial"/>
                <w:bCs/>
                <w:color w:val="00B050"/>
                <w:sz w:val="14"/>
                <w:szCs w:val="14"/>
              </w:rPr>
            </w:pPr>
            <w:r w:rsidRPr="00995F3E">
              <w:rPr>
                <w:rFonts w:cs="Arial"/>
                <w:bCs/>
                <w:sz w:val="14"/>
                <w:szCs w:val="14"/>
              </w:rPr>
              <w:lastRenderedPageBreak/>
              <w:t>This Step consists of developing (designing) ‘adaptation pathways’ (APs</w:t>
            </w:r>
            <w:r w:rsidRPr="00995F3E">
              <w:rPr>
                <w:rFonts w:cs="Arial"/>
                <w:bCs/>
                <w:color w:val="00B050"/>
                <w:sz w:val="14"/>
                <w:szCs w:val="14"/>
              </w:rPr>
              <w:t xml:space="preserve">) </w:t>
            </w:r>
            <w:r w:rsidRPr="00995F3E">
              <w:rPr>
                <w:rFonts w:cs="Arial"/>
                <w:bCs/>
                <w:color w:val="7F7F7F" w:themeColor="text1" w:themeTint="80"/>
                <w:sz w:val="14"/>
                <w:szCs w:val="14"/>
              </w:rPr>
              <w:t>(</w:t>
            </w:r>
            <w:proofErr w:type="spellStart"/>
            <w:r w:rsidRPr="00995F3E">
              <w:rPr>
                <w:rFonts w:cs="Arial"/>
                <w:bCs/>
                <w:color w:val="7F7F7F" w:themeColor="text1" w:themeTint="80"/>
                <w:sz w:val="14"/>
                <w:szCs w:val="14"/>
              </w:rPr>
              <w:t>Jeuken</w:t>
            </w:r>
            <w:proofErr w:type="spellEnd"/>
            <w:r w:rsidRPr="00995F3E">
              <w:rPr>
                <w:rFonts w:cs="Arial"/>
                <w:bCs/>
                <w:color w:val="7F7F7F" w:themeColor="text1" w:themeTint="80"/>
                <w:sz w:val="14"/>
                <w:szCs w:val="14"/>
              </w:rPr>
              <w:t xml:space="preserve"> et al. 2014, p.4-5; </w:t>
            </w:r>
            <w:proofErr w:type="spellStart"/>
            <w:r w:rsidRPr="00995F3E">
              <w:rPr>
                <w:rFonts w:cs="Arial"/>
                <w:bCs/>
                <w:color w:val="7F7F7F" w:themeColor="text1" w:themeTint="80"/>
                <w:sz w:val="14"/>
                <w:szCs w:val="14"/>
              </w:rPr>
              <w:t>Haasnoot</w:t>
            </w:r>
            <w:proofErr w:type="spellEnd"/>
            <w:r w:rsidRPr="00995F3E">
              <w:rPr>
                <w:rFonts w:cs="Arial"/>
                <w:bCs/>
                <w:color w:val="7F7F7F" w:themeColor="text1" w:themeTint="80"/>
                <w:sz w:val="14"/>
                <w:szCs w:val="14"/>
              </w:rPr>
              <w:t xml:space="preserve"> and </w:t>
            </w:r>
            <w:proofErr w:type="spellStart"/>
            <w:r w:rsidRPr="00995F3E">
              <w:rPr>
                <w:rFonts w:cs="Arial"/>
                <w:bCs/>
                <w:color w:val="7F7F7F" w:themeColor="text1" w:themeTint="80"/>
                <w:sz w:val="14"/>
                <w:szCs w:val="14"/>
              </w:rPr>
              <w:t>Jeuken</w:t>
            </w:r>
            <w:proofErr w:type="spellEnd"/>
            <w:r w:rsidRPr="00995F3E">
              <w:rPr>
                <w:rFonts w:cs="Arial"/>
                <w:bCs/>
                <w:color w:val="7F7F7F" w:themeColor="text1" w:themeTint="80"/>
                <w:sz w:val="14"/>
                <w:szCs w:val="14"/>
              </w:rPr>
              <w:t xml:space="preserve">;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 p.204; </w:t>
            </w:r>
            <w:r w:rsidR="005C558F" w:rsidRPr="00E74925">
              <w:rPr>
                <w:rFonts w:cs="Arial"/>
                <w:bCs/>
                <w:color w:val="7F7F7F" w:themeColor="text1" w:themeTint="80"/>
                <w:sz w:val="14"/>
                <w:szCs w:val="14"/>
              </w:rPr>
              <w:t>Brugge and Bruggeman 2019</w:t>
            </w:r>
            <w:r w:rsidRPr="00995F3E">
              <w:rPr>
                <w:rFonts w:cs="Arial"/>
                <w:bCs/>
                <w:color w:val="7F7F7F" w:themeColor="text1" w:themeTint="80"/>
                <w:sz w:val="14"/>
                <w:szCs w:val="14"/>
              </w:rPr>
              <w:t>, p.4-5</w:t>
            </w:r>
            <w:r w:rsidRPr="00995F3E">
              <w:rPr>
                <w:rFonts w:cs="Arial"/>
                <w:bCs/>
                <w:sz w:val="14"/>
                <w:szCs w:val="14"/>
              </w:rPr>
              <w:t xml:space="preserve">). A pathway </w:t>
            </w:r>
            <w:r w:rsidRPr="00995F3E">
              <w:rPr>
                <w:rFonts w:cs="Arial"/>
                <w:bCs/>
                <w:sz w:val="14"/>
                <w:szCs w:val="14"/>
              </w:rPr>
              <w:lastRenderedPageBreak/>
              <w:t>is a sequence of measures (which is assembled with measures identified in Step 2, it is made up of sequenced measures that are activated before ATPs occur) (</w:t>
            </w:r>
            <w:proofErr w:type="spellStart"/>
            <w:r w:rsidRPr="00995F3E">
              <w:rPr>
                <w:rFonts w:cs="Arial"/>
                <w:bCs/>
                <w:color w:val="7F7F7F" w:themeColor="text1" w:themeTint="80"/>
                <w:sz w:val="14"/>
                <w:szCs w:val="14"/>
              </w:rPr>
              <w:t>Jeuken</w:t>
            </w:r>
            <w:proofErr w:type="spellEnd"/>
            <w:r w:rsidRPr="00995F3E">
              <w:rPr>
                <w:rFonts w:cs="Arial"/>
                <w:bCs/>
                <w:color w:val="7F7F7F" w:themeColor="text1" w:themeTint="80"/>
                <w:sz w:val="14"/>
                <w:szCs w:val="14"/>
              </w:rPr>
              <w:t xml:space="preserve"> et al. 2014, p.4-5;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 p.204</w:t>
            </w:r>
            <w:r w:rsidRPr="00995F3E">
              <w:rPr>
                <w:rFonts w:cs="Arial"/>
                <w:bCs/>
                <w:sz w:val="14"/>
                <w:szCs w:val="14"/>
              </w:rPr>
              <w:t>), thus, adaptation pathways are series of sequenced measures that provide a solution to problems (</w:t>
            </w:r>
            <w:r w:rsidR="005C558F" w:rsidRPr="00E74925">
              <w:rPr>
                <w:rFonts w:cs="Arial"/>
                <w:bCs/>
                <w:color w:val="7F7F7F" w:themeColor="text1" w:themeTint="80"/>
                <w:sz w:val="14"/>
                <w:szCs w:val="14"/>
              </w:rPr>
              <w:t>Brugge and Bruggeman 2019</w:t>
            </w:r>
            <w:r w:rsidRPr="00995F3E">
              <w:rPr>
                <w:rFonts w:cs="Arial"/>
                <w:bCs/>
                <w:color w:val="7F7F7F" w:themeColor="text1" w:themeTint="80"/>
                <w:sz w:val="14"/>
                <w:szCs w:val="14"/>
              </w:rPr>
              <w:t>, p.4-5</w:t>
            </w:r>
            <w:r w:rsidRPr="00995F3E">
              <w:rPr>
                <w:rFonts w:cs="Arial"/>
                <w:bCs/>
                <w:sz w:val="14"/>
                <w:szCs w:val="14"/>
              </w:rPr>
              <w:t>). This step involves/requires constructing / assembling several possible adaptation pathways (sequences of measures), by using the promising measures identified in Step 2 as ‘building blocks’, and then, representing such pathways in an APs’ map (</w:t>
            </w:r>
            <w:proofErr w:type="spellStart"/>
            <w:r w:rsidRPr="00995F3E">
              <w:rPr>
                <w:rFonts w:cs="Arial"/>
                <w:bCs/>
                <w:color w:val="7F7F7F" w:themeColor="text1" w:themeTint="80"/>
                <w:sz w:val="14"/>
                <w:szCs w:val="14"/>
              </w:rPr>
              <w:t>Jeuken</w:t>
            </w:r>
            <w:proofErr w:type="spellEnd"/>
            <w:r w:rsidRPr="00995F3E">
              <w:rPr>
                <w:rFonts w:cs="Arial"/>
                <w:bCs/>
                <w:color w:val="7F7F7F" w:themeColor="text1" w:themeTint="80"/>
                <w:sz w:val="14"/>
                <w:szCs w:val="14"/>
              </w:rPr>
              <w:t xml:space="preserve"> et al. 2014, p.4-5; </w:t>
            </w:r>
            <w:proofErr w:type="spellStart"/>
            <w:r w:rsidRPr="00995F3E">
              <w:rPr>
                <w:rFonts w:cs="Arial"/>
                <w:bCs/>
                <w:color w:val="7F7F7F" w:themeColor="text1" w:themeTint="80"/>
                <w:sz w:val="14"/>
                <w:szCs w:val="14"/>
              </w:rPr>
              <w:t>Haasnoot</w:t>
            </w:r>
            <w:proofErr w:type="spellEnd"/>
            <w:r w:rsidRPr="00995F3E">
              <w:rPr>
                <w:rFonts w:cs="Arial"/>
                <w:bCs/>
                <w:color w:val="7F7F7F" w:themeColor="text1" w:themeTint="80"/>
                <w:sz w:val="14"/>
                <w:szCs w:val="14"/>
              </w:rPr>
              <w:t xml:space="preserve"> and </w:t>
            </w:r>
            <w:proofErr w:type="spellStart"/>
            <w:r w:rsidRPr="00995F3E">
              <w:rPr>
                <w:rFonts w:cs="Arial"/>
                <w:bCs/>
                <w:color w:val="7F7F7F" w:themeColor="text1" w:themeTint="80"/>
                <w:sz w:val="14"/>
                <w:szCs w:val="14"/>
              </w:rPr>
              <w:t>Jeuken</w:t>
            </w:r>
            <w:proofErr w:type="spellEnd"/>
            <w:r w:rsidRPr="00995F3E">
              <w:rPr>
                <w:rFonts w:cs="Arial"/>
                <w:bCs/>
                <w:color w:val="7F7F7F" w:themeColor="text1" w:themeTint="80"/>
                <w:sz w:val="14"/>
                <w:szCs w:val="14"/>
              </w:rPr>
              <w:t>; Zevenbergen et al. 2018</w:t>
            </w:r>
            <w:r w:rsidRPr="00995F3E">
              <w:rPr>
                <w:rFonts w:cs="Arial"/>
                <w:bCs/>
                <w:sz w:val="14"/>
                <w:szCs w:val="14"/>
              </w:rPr>
              <w:t>).</w:t>
            </w:r>
            <w:r w:rsidRPr="00995F3E">
              <w:rPr>
                <w:rFonts w:cs="Arial"/>
                <w:bCs/>
                <w:color w:val="C00000"/>
                <w:sz w:val="14"/>
                <w:szCs w:val="14"/>
              </w:rPr>
              <w:t xml:space="preserve"> </w:t>
            </w:r>
            <w:r w:rsidRPr="00995F3E">
              <w:rPr>
                <w:rFonts w:cs="Arial"/>
                <w:bCs/>
                <w:sz w:val="14"/>
                <w:szCs w:val="14"/>
              </w:rPr>
              <w:t>Crucial to design the pathways are the ATPs</w:t>
            </w:r>
            <w:r w:rsidRPr="00995F3E">
              <w:rPr>
                <w:rFonts w:cs="Arial"/>
                <w:bCs/>
                <w:sz w:val="14"/>
                <w:szCs w:val="14"/>
                <w:vertAlign w:val="superscript"/>
              </w:rPr>
              <w:footnoteReference w:id="41"/>
            </w:r>
            <w:r w:rsidRPr="00995F3E">
              <w:rPr>
                <w:rFonts w:cs="Arial"/>
                <w:bCs/>
                <w:sz w:val="14"/>
                <w:szCs w:val="14"/>
              </w:rPr>
              <w:t xml:space="preserve"> (points/ conditions under which a measure no longer meets predefined objectives): when an ATP is reached, other / additional measures are required to achieve the objectives</w:t>
            </w:r>
            <w:r w:rsidRPr="00995F3E">
              <w:rPr>
                <w:rFonts w:cs="Arial"/>
                <w:bCs/>
                <w:color w:val="00B050"/>
                <w:sz w:val="14"/>
                <w:szCs w:val="14"/>
              </w:rPr>
              <w:t>.</w:t>
            </w:r>
            <w:r w:rsidRPr="00995F3E">
              <w:rPr>
                <w:rFonts w:cs="Arial"/>
                <w:bCs/>
                <w:sz w:val="14"/>
                <w:szCs w:val="14"/>
                <w:vertAlign w:val="superscript"/>
              </w:rPr>
              <w:t xml:space="preserve"> </w:t>
            </w:r>
          </w:p>
          <w:p w14:paraId="7243E796" w14:textId="1EBE22E7" w:rsidR="00995F3E" w:rsidRPr="00995F3E" w:rsidRDefault="00995F3E" w:rsidP="00E74925">
            <w:pPr>
              <w:spacing w:after="60"/>
              <w:jc w:val="left"/>
              <w:rPr>
                <w:rFonts w:cs="Arial"/>
                <w:bCs/>
                <w:sz w:val="14"/>
                <w:szCs w:val="14"/>
              </w:rPr>
            </w:pPr>
            <w:r w:rsidRPr="00995F3E">
              <w:rPr>
                <w:rFonts w:cs="Arial"/>
                <w:bCs/>
                <w:sz w:val="14"/>
                <w:szCs w:val="14"/>
              </w:rPr>
              <w:t>The APs’ map shows the points in time for implementing measures, and the points at which a decision should be made on the potential option, and which measures are available</w:t>
            </w:r>
            <w:r w:rsidRPr="00E74925">
              <w:rPr>
                <w:rFonts w:cs="Arial"/>
                <w:bCs/>
                <w:sz w:val="14"/>
                <w:szCs w:val="14"/>
              </w:rPr>
              <w:t xml:space="preserve"> </w:t>
            </w:r>
            <w:r w:rsidRPr="00995F3E">
              <w:rPr>
                <w:rFonts w:cs="Arial"/>
                <w:bCs/>
                <w:sz w:val="14"/>
                <w:szCs w:val="14"/>
              </w:rPr>
              <w:t>(</w:t>
            </w:r>
            <w:proofErr w:type="spellStart"/>
            <w:r w:rsidR="005C558F" w:rsidRPr="00E74925">
              <w:rPr>
                <w:rFonts w:cs="Arial"/>
                <w:bCs/>
                <w:color w:val="7F7F7F" w:themeColor="text1" w:themeTint="80"/>
                <w:sz w:val="14"/>
                <w:szCs w:val="14"/>
              </w:rPr>
              <w:t>Deltares</w:t>
            </w:r>
            <w:proofErr w:type="spellEnd"/>
            <w:r w:rsidR="005C558F" w:rsidRPr="00E74925">
              <w:rPr>
                <w:rFonts w:cs="Arial"/>
                <w:bCs/>
                <w:color w:val="7F7F7F" w:themeColor="text1" w:themeTint="80"/>
                <w:sz w:val="14"/>
                <w:szCs w:val="14"/>
              </w:rPr>
              <w:t xml:space="preserve"> 2018</w:t>
            </w:r>
            <w:r w:rsidRPr="00995F3E">
              <w:rPr>
                <w:rFonts w:cs="Arial"/>
                <w:bCs/>
                <w:color w:val="7F7F7F" w:themeColor="text1" w:themeTint="80"/>
                <w:sz w:val="14"/>
                <w:szCs w:val="14"/>
              </w:rPr>
              <w:t>, p.2-4</w:t>
            </w:r>
            <w:r w:rsidRPr="00995F3E">
              <w:rPr>
                <w:rFonts w:cs="Arial"/>
                <w:bCs/>
                <w:color w:val="00B050"/>
                <w:sz w:val="14"/>
                <w:szCs w:val="14"/>
              </w:rPr>
              <w:t xml:space="preserve">;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w:t>
            </w:r>
            <w:r w:rsidRPr="00995F3E">
              <w:rPr>
                <w:rFonts w:cs="Arial"/>
                <w:bCs/>
                <w:sz w:val="14"/>
                <w:szCs w:val="14"/>
              </w:rPr>
              <w:t>).</w:t>
            </w:r>
          </w:p>
          <w:p w14:paraId="32186D0A" w14:textId="77777777" w:rsidR="00995F3E" w:rsidRPr="00995F3E" w:rsidRDefault="00995F3E" w:rsidP="00E74925">
            <w:pPr>
              <w:spacing w:after="60"/>
              <w:rPr>
                <w:rFonts w:cs="Arial"/>
                <w:bCs/>
                <w:sz w:val="14"/>
                <w:szCs w:val="14"/>
              </w:rPr>
            </w:pPr>
          </w:p>
          <w:p w14:paraId="6E1BE2BC" w14:textId="77777777" w:rsidR="00995F3E" w:rsidRPr="00995F3E" w:rsidRDefault="00995F3E" w:rsidP="00E74925">
            <w:pPr>
              <w:spacing w:after="60"/>
              <w:jc w:val="left"/>
              <w:rPr>
                <w:rFonts w:cs="Arial"/>
                <w:bCs/>
                <w:iCs/>
                <w:color w:val="C00000"/>
                <w:sz w:val="14"/>
                <w:szCs w:val="14"/>
              </w:rPr>
            </w:pPr>
            <w:r w:rsidRPr="00995F3E">
              <w:rPr>
                <w:rFonts w:cs="Arial"/>
                <w:bCs/>
                <w:iCs/>
                <w:sz w:val="14"/>
                <w:szCs w:val="14"/>
              </w:rPr>
              <w:t>This step requires building adaptation pathways as flexible routes to achieve the goals (</w:t>
            </w:r>
            <w:r w:rsidRPr="00995F3E">
              <w:rPr>
                <w:rFonts w:cs="Arial"/>
                <w:bCs/>
                <w:iCs/>
                <w:color w:val="7F7F7F" w:themeColor="text1" w:themeTint="80"/>
                <w:sz w:val="14"/>
                <w:szCs w:val="14"/>
              </w:rPr>
              <w:t>Zevenbergen et al. 2018</w:t>
            </w:r>
            <w:r w:rsidRPr="00995F3E">
              <w:rPr>
                <w:rFonts w:cs="Arial"/>
                <w:bCs/>
                <w:iCs/>
                <w:sz w:val="14"/>
                <w:szCs w:val="14"/>
              </w:rPr>
              <w:t>).</w:t>
            </w:r>
            <w:r w:rsidRPr="00995F3E">
              <w:rPr>
                <w:rFonts w:cs="Arial"/>
                <w:bCs/>
                <w:iCs/>
                <w:color w:val="00B050"/>
                <w:sz w:val="14"/>
                <w:szCs w:val="14"/>
              </w:rPr>
              <w:t xml:space="preserve"> </w:t>
            </w:r>
            <w:r w:rsidRPr="00995F3E">
              <w:rPr>
                <w:rFonts w:cs="Arial"/>
                <w:bCs/>
                <w:iCs/>
                <w:sz w:val="14"/>
                <w:szCs w:val="14"/>
              </w:rPr>
              <w:t>The various pathways provide flexibility to adapt to a wide range of future changes. (</w:t>
            </w:r>
            <w:proofErr w:type="spellStart"/>
            <w:r w:rsidRPr="00995F3E">
              <w:rPr>
                <w:rFonts w:cs="Arial"/>
                <w:bCs/>
                <w:iCs/>
                <w:color w:val="7F7F7F" w:themeColor="text1" w:themeTint="80"/>
                <w:sz w:val="14"/>
                <w:szCs w:val="14"/>
              </w:rPr>
              <w:t>Gersonius</w:t>
            </w:r>
            <w:proofErr w:type="spellEnd"/>
            <w:r w:rsidRPr="00995F3E">
              <w:rPr>
                <w:rFonts w:cs="Arial"/>
                <w:bCs/>
                <w:iCs/>
                <w:color w:val="7F7F7F" w:themeColor="text1" w:themeTint="80"/>
                <w:sz w:val="14"/>
                <w:szCs w:val="14"/>
              </w:rPr>
              <w:t xml:space="preserve"> et al. 2016</w:t>
            </w:r>
            <w:r w:rsidRPr="00995F3E">
              <w:rPr>
                <w:rFonts w:cs="Arial"/>
                <w:bCs/>
                <w:iCs/>
                <w:sz w:val="14"/>
                <w:szCs w:val="14"/>
              </w:rPr>
              <w:t>).</w:t>
            </w:r>
          </w:p>
          <w:p w14:paraId="3ED638CA" w14:textId="2628A647" w:rsidR="00995F3E" w:rsidRPr="00995F3E" w:rsidRDefault="00995F3E" w:rsidP="00E74925">
            <w:pPr>
              <w:spacing w:after="60"/>
              <w:jc w:val="left"/>
              <w:rPr>
                <w:rFonts w:cs="Arial"/>
                <w:bCs/>
                <w:iCs/>
                <w:sz w:val="14"/>
                <w:szCs w:val="14"/>
              </w:rPr>
            </w:pPr>
            <w:r w:rsidRPr="00995F3E">
              <w:rPr>
                <w:rFonts w:cs="Arial"/>
                <w:bCs/>
                <w:iCs/>
                <w:sz w:val="14"/>
                <w:szCs w:val="14"/>
              </w:rPr>
              <w:t>In this Step, it is necessary to design various adaptation pathways in a map (based on the assessment of the efficiency of the individual measures identified in step 2) (</w:t>
            </w:r>
            <w:proofErr w:type="spellStart"/>
            <w:r w:rsidRPr="00995F3E">
              <w:rPr>
                <w:rFonts w:cs="Arial"/>
                <w:bCs/>
                <w:iCs/>
                <w:color w:val="7F7F7F" w:themeColor="text1" w:themeTint="80"/>
                <w:sz w:val="14"/>
                <w:szCs w:val="14"/>
              </w:rPr>
              <w:t>Gersonius</w:t>
            </w:r>
            <w:proofErr w:type="spellEnd"/>
            <w:r w:rsidRPr="00995F3E">
              <w:rPr>
                <w:rFonts w:cs="Arial"/>
                <w:bCs/>
                <w:iCs/>
                <w:color w:val="7F7F7F" w:themeColor="text1" w:themeTint="80"/>
                <w:sz w:val="14"/>
                <w:szCs w:val="14"/>
              </w:rPr>
              <w:t xml:space="preserve"> et al. 2016</w:t>
            </w:r>
            <w:r w:rsidRPr="00995F3E">
              <w:rPr>
                <w:rFonts w:cs="Arial"/>
                <w:bCs/>
                <w:iCs/>
                <w:sz w:val="14"/>
                <w:szCs w:val="14"/>
              </w:rPr>
              <w:t xml:space="preserve">). To design the pathways in a map, the method of </w:t>
            </w:r>
            <w:proofErr w:type="spellStart"/>
            <w:r w:rsidRPr="00995F3E">
              <w:rPr>
                <w:rFonts w:cs="Arial"/>
                <w:bCs/>
                <w:iCs/>
                <w:color w:val="7F7F7F" w:themeColor="text1" w:themeTint="80"/>
                <w:sz w:val="14"/>
                <w:szCs w:val="14"/>
              </w:rPr>
              <w:t>Haasnoot</w:t>
            </w:r>
            <w:proofErr w:type="spellEnd"/>
            <w:r w:rsidRPr="00995F3E">
              <w:rPr>
                <w:rFonts w:cs="Arial"/>
                <w:bCs/>
                <w:iCs/>
                <w:color w:val="7F7F7F" w:themeColor="text1" w:themeTint="80"/>
                <w:sz w:val="14"/>
                <w:szCs w:val="14"/>
              </w:rPr>
              <w:t xml:space="preserve"> et al. (2012, 2013) </w:t>
            </w:r>
            <w:r w:rsidRPr="00995F3E">
              <w:rPr>
                <w:rFonts w:cs="Arial"/>
                <w:bCs/>
                <w:iCs/>
                <w:sz w:val="14"/>
                <w:szCs w:val="14"/>
              </w:rPr>
              <w:t>is used (</w:t>
            </w:r>
            <w:r w:rsidRPr="00995F3E">
              <w:rPr>
                <w:rFonts w:cs="Arial"/>
                <w:bCs/>
                <w:i/>
                <w:sz w:val="14"/>
                <w:szCs w:val="14"/>
              </w:rPr>
              <w:t xml:space="preserve">in </w:t>
            </w:r>
            <w:r w:rsidR="005C558F" w:rsidRPr="00E74925">
              <w:rPr>
                <w:rFonts w:cs="Arial"/>
                <w:bCs/>
                <w:iCs/>
                <w:color w:val="7F7F7F" w:themeColor="text1" w:themeTint="80"/>
                <w:sz w:val="14"/>
                <w:szCs w:val="14"/>
              </w:rPr>
              <w:t>Brugge and Bruggeman 2019</w:t>
            </w:r>
            <w:r w:rsidRPr="00995F3E">
              <w:rPr>
                <w:rFonts w:cs="Arial"/>
                <w:bCs/>
                <w:iCs/>
                <w:color w:val="7F7F7F" w:themeColor="text1" w:themeTint="80"/>
                <w:sz w:val="14"/>
                <w:szCs w:val="14"/>
              </w:rPr>
              <w:t>, p.4-5</w:t>
            </w:r>
            <w:r w:rsidRPr="00995F3E">
              <w:rPr>
                <w:rFonts w:cs="Arial"/>
                <w:bCs/>
                <w:iCs/>
                <w:sz w:val="14"/>
                <w:szCs w:val="14"/>
              </w:rPr>
              <w:t xml:space="preserve">). </w:t>
            </w:r>
            <w:r w:rsidRPr="00995F3E">
              <w:rPr>
                <w:rFonts w:cs="Arial"/>
                <w:bCs/>
                <w:iCs/>
                <w:sz w:val="14"/>
                <w:szCs w:val="14"/>
                <w:vertAlign w:val="superscript"/>
              </w:rPr>
              <w:t xml:space="preserve"> </w:t>
            </w:r>
          </w:p>
          <w:p w14:paraId="3B4D65D7" w14:textId="636CDF93" w:rsidR="00995F3E" w:rsidRPr="00995F3E" w:rsidRDefault="00995F3E" w:rsidP="00E74925">
            <w:pPr>
              <w:spacing w:after="60"/>
              <w:jc w:val="left"/>
              <w:rPr>
                <w:rFonts w:cs="Arial"/>
                <w:bCs/>
                <w:iCs/>
                <w:sz w:val="14"/>
                <w:szCs w:val="14"/>
              </w:rPr>
            </w:pPr>
            <w:r w:rsidRPr="00995F3E">
              <w:rPr>
                <w:rFonts w:cs="Arial"/>
                <w:bCs/>
                <w:iCs/>
                <w:sz w:val="14"/>
                <w:szCs w:val="14"/>
              </w:rPr>
              <w:t xml:space="preserve">This Step also requires an assessment of the proposed pathways (strategies) on their </w:t>
            </w:r>
            <w:r w:rsidRPr="00995F3E">
              <w:rPr>
                <w:rFonts w:cs="Arial"/>
                <w:bCs/>
                <w:i/>
                <w:iCs/>
                <w:sz w:val="14"/>
                <w:szCs w:val="14"/>
              </w:rPr>
              <w:t>robustness</w:t>
            </w:r>
            <w:r w:rsidRPr="00995F3E">
              <w:rPr>
                <w:rFonts w:cs="Arial"/>
                <w:bCs/>
                <w:iCs/>
                <w:sz w:val="14"/>
                <w:szCs w:val="14"/>
              </w:rPr>
              <w:t xml:space="preserve"> and </w:t>
            </w:r>
            <w:r w:rsidRPr="00995F3E">
              <w:rPr>
                <w:rFonts w:cs="Arial"/>
                <w:bCs/>
                <w:i/>
                <w:iCs/>
                <w:sz w:val="14"/>
                <w:szCs w:val="14"/>
              </w:rPr>
              <w:t>flexibility</w:t>
            </w:r>
            <w:r w:rsidRPr="00995F3E">
              <w:rPr>
                <w:rFonts w:cs="Arial"/>
                <w:bCs/>
                <w:iCs/>
                <w:sz w:val="14"/>
                <w:szCs w:val="14"/>
              </w:rPr>
              <w:t>, under different scenarios, and other criteria may be used (e.g. impacts, uncertainty, desire to keep options) (</w:t>
            </w:r>
            <w:proofErr w:type="spellStart"/>
            <w:r w:rsidRPr="00995F3E">
              <w:rPr>
                <w:rFonts w:cs="Arial"/>
                <w:bCs/>
                <w:iCs/>
                <w:color w:val="7F7F7F" w:themeColor="text1" w:themeTint="80"/>
                <w:sz w:val="14"/>
                <w:szCs w:val="14"/>
              </w:rPr>
              <w:t>Gersonius</w:t>
            </w:r>
            <w:proofErr w:type="spellEnd"/>
            <w:r w:rsidRPr="00995F3E">
              <w:rPr>
                <w:rFonts w:cs="Arial"/>
                <w:bCs/>
                <w:iCs/>
                <w:color w:val="7F7F7F" w:themeColor="text1" w:themeTint="80"/>
                <w:sz w:val="14"/>
                <w:szCs w:val="14"/>
              </w:rPr>
              <w:t xml:space="preserve"> et al. 2016, p.204-206; Zandvoort et al. 2018, p.189; </w:t>
            </w:r>
            <w:proofErr w:type="spellStart"/>
            <w:r w:rsidR="005C558F" w:rsidRPr="00E74925">
              <w:rPr>
                <w:rFonts w:cs="Arial"/>
                <w:bCs/>
                <w:iCs/>
                <w:color w:val="7F7F7F" w:themeColor="text1" w:themeTint="80"/>
                <w:sz w:val="14"/>
                <w:szCs w:val="14"/>
              </w:rPr>
              <w:t>Deltares</w:t>
            </w:r>
            <w:proofErr w:type="spellEnd"/>
            <w:r w:rsidR="005C558F" w:rsidRPr="00E74925">
              <w:rPr>
                <w:rFonts w:cs="Arial"/>
                <w:bCs/>
                <w:iCs/>
                <w:color w:val="7F7F7F" w:themeColor="text1" w:themeTint="80"/>
                <w:sz w:val="14"/>
                <w:szCs w:val="14"/>
              </w:rPr>
              <w:t xml:space="preserve"> 2018</w:t>
            </w:r>
            <w:r w:rsidRPr="00995F3E">
              <w:rPr>
                <w:rFonts w:cs="Arial"/>
                <w:bCs/>
                <w:iCs/>
                <w:color w:val="7F7F7F" w:themeColor="text1" w:themeTint="80"/>
                <w:sz w:val="14"/>
                <w:szCs w:val="14"/>
              </w:rPr>
              <w:t>, p.2-3</w:t>
            </w:r>
            <w:r w:rsidRPr="00995F3E">
              <w:rPr>
                <w:rFonts w:cs="Arial"/>
                <w:bCs/>
                <w:iCs/>
                <w:sz w:val="14"/>
                <w:szCs w:val="14"/>
              </w:rPr>
              <w:t>). The results of this assessment will help to select a subset of promising pathways. It is important to include inputs from different actors and seize opportunities to link different investment agendas (</w:t>
            </w:r>
            <w:proofErr w:type="spellStart"/>
            <w:r w:rsidRPr="00995F3E">
              <w:rPr>
                <w:rFonts w:cs="Arial"/>
                <w:bCs/>
                <w:iCs/>
                <w:color w:val="7F7F7F" w:themeColor="text1" w:themeTint="80"/>
                <w:sz w:val="14"/>
                <w:szCs w:val="14"/>
              </w:rPr>
              <w:t>Gersonius</w:t>
            </w:r>
            <w:proofErr w:type="spellEnd"/>
            <w:r w:rsidRPr="00995F3E">
              <w:rPr>
                <w:rFonts w:cs="Arial"/>
                <w:bCs/>
                <w:iCs/>
                <w:color w:val="7F7F7F" w:themeColor="text1" w:themeTint="80"/>
                <w:sz w:val="14"/>
                <w:szCs w:val="14"/>
              </w:rPr>
              <w:t xml:space="preserve"> et al. 2016, p.204-206</w:t>
            </w:r>
            <w:r w:rsidRPr="00995F3E">
              <w:rPr>
                <w:rFonts w:cs="Arial"/>
                <w:bCs/>
                <w:iCs/>
                <w:sz w:val="14"/>
                <w:szCs w:val="14"/>
              </w:rPr>
              <w:t>). The APs’ map provides insight into potential lock-ins and options that should be kept open (scanning options to keep open) (</w:t>
            </w:r>
            <w:proofErr w:type="spellStart"/>
            <w:r w:rsidRPr="00995F3E">
              <w:rPr>
                <w:rFonts w:cs="Arial"/>
                <w:bCs/>
                <w:iCs/>
                <w:color w:val="7F7F7F" w:themeColor="text1" w:themeTint="80"/>
                <w:sz w:val="14"/>
                <w:szCs w:val="14"/>
              </w:rPr>
              <w:t>Gersonius</w:t>
            </w:r>
            <w:proofErr w:type="spellEnd"/>
            <w:r w:rsidRPr="00995F3E">
              <w:rPr>
                <w:rFonts w:cs="Arial"/>
                <w:bCs/>
                <w:iCs/>
                <w:color w:val="7F7F7F" w:themeColor="text1" w:themeTint="80"/>
                <w:sz w:val="14"/>
                <w:szCs w:val="14"/>
              </w:rPr>
              <w:t xml:space="preserve"> et al. 2016, p.204-206; Zandvoort et al. 2018, p.189</w:t>
            </w:r>
            <w:r w:rsidRPr="00995F3E">
              <w:rPr>
                <w:rFonts w:cs="Arial"/>
                <w:bCs/>
                <w:iCs/>
                <w:sz w:val="14"/>
                <w:szCs w:val="14"/>
              </w:rPr>
              <w:t>).</w:t>
            </w:r>
          </w:p>
          <w:p w14:paraId="2348B562" w14:textId="77777777" w:rsidR="00995F3E" w:rsidRPr="00995F3E" w:rsidRDefault="00995F3E" w:rsidP="00E74925">
            <w:pPr>
              <w:spacing w:after="60"/>
              <w:jc w:val="left"/>
              <w:rPr>
                <w:rFonts w:cs="Arial"/>
                <w:bCs/>
                <w:iCs/>
                <w:sz w:val="14"/>
                <w:szCs w:val="14"/>
              </w:rPr>
            </w:pPr>
          </w:p>
          <w:p w14:paraId="376346FF" w14:textId="65842E5E" w:rsidR="00995F3E" w:rsidRPr="00995F3E" w:rsidRDefault="00995F3E" w:rsidP="00E74925">
            <w:pPr>
              <w:spacing w:after="60"/>
              <w:jc w:val="left"/>
              <w:rPr>
                <w:rFonts w:cs="Arial"/>
                <w:bCs/>
                <w:sz w:val="14"/>
                <w:szCs w:val="14"/>
              </w:rPr>
            </w:pPr>
            <w:r w:rsidRPr="00995F3E">
              <w:rPr>
                <w:rFonts w:cs="Arial"/>
                <w:bCs/>
                <w:sz w:val="14"/>
                <w:szCs w:val="14"/>
              </w:rPr>
              <w:lastRenderedPageBreak/>
              <w:t>The pathways are generated (assembled), and</w:t>
            </w:r>
            <w:r w:rsidRPr="00995F3E">
              <w:rPr>
                <w:rFonts w:cs="Arial"/>
                <w:bCs/>
                <w:color w:val="C00000"/>
                <w:sz w:val="14"/>
                <w:szCs w:val="14"/>
              </w:rPr>
              <w:t xml:space="preserve"> </w:t>
            </w:r>
            <w:r w:rsidRPr="00995F3E">
              <w:rPr>
                <w:rFonts w:cs="Arial"/>
                <w:bCs/>
                <w:sz w:val="14"/>
                <w:szCs w:val="14"/>
              </w:rPr>
              <w:t>then assessed, which may lead back to Step 2 in an iterative way.</w:t>
            </w:r>
            <w:r w:rsidRPr="00995F3E">
              <w:rPr>
                <w:rFonts w:cs="Arial"/>
                <w:bCs/>
                <w:color w:val="C00000"/>
                <w:sz w:val="14"/>
                <w:szCs w:val="14"/>
              </w:rPr>
              <w:t xml:space="preserve"> </w:t>
            </w:r>
            <w:r w:rsidRPr="00995F3E">
              <w:rPr>
                <w:rFonts w:cs="Arial"/>
                <w:bCs/>
                <w:sz w:val="14"/>
                <w:szCs w:val="14"/>
              </w:rPr>
              <w:t xml:space="preserve">Pathways are assessed on their effectiveness, costs, and benefits, and it is also necessary to consider each pathway’s </w:t>
            </w:r>
            <w:r w:rsidRPr="00995F3E">
              <w:rPr>
                <w:rFonts w:cs="Arial"/>
                <w:bCs/>
                <w:i/>
                <w:sz w:val="14"/>
                <w:szCs w:val="14"/>
              </w:rPr>
              <w:t>robustness</w:t>
            </w:r>
            <w:r w:rsidRPr="00995F3E">
              <w:rPr>
                <w:rFonts w:cs="Arial"/>
                <w:bCs/>
                <w:sz w:val="14"/>
                <w:szCs w:val="14"/>
              </w:rPr>
              <w:t xml:space="preserve"> and </w:t>
            </w:r>
            <w:r w:rsidRPr="00995F3E">
              <w:rPr>
                <w:rFonts w:cs="Arial"/>
                <w:bCs/>
                <w:i/>
                <w:sz w:val="14"/>
                <w:szCs w:val="14"/>
              </w:rPr>
              <w:t>flexibility</w:t>
            </w:r>
            <w:r w:rsidRPr="00995F3E">
              <w:rPr>
                <w:rFonts w:cs="Arial"/>
                <w:bCs/>
                <w:sz w:val="14"/>
                <w:szCs w:val="14"/>
                <w:vertAlign w:val="superscript"/>
              </w:rPr>
              <w:footnoteReference w:id="42"/>
            </w:r>
            <w:r w:rsidRPr="00995F3E">
              <w:rPr>
                <w:rFonts w:cs="Arial"/>
                <w:bCs/>
                <w:sz w:val="14"/>
                <w:szCs w:val="14"/>
              </w:rPr>
              <w:t xml:space="preserve"> as the goal is to elaborate </w:t>
            </w:r>
            <w:r w:rsidRPr="00995F3E">
              <w:rPr>
                <w:rFonts w:cs="Arial"/>
                <w:bCs/>
                <w:i/>
                <w:sz w:val="14"/>
                <w:szCs w:val="14"/>
              </w:rPr>
              <w:t>robust flexible strategies</w:t>
            </w:r>
            <w:r w:rsidRPr="00995F3E">
              <w:rPr>
                <w:rFonts w:cs="Arial"/>
                <w:bCs/>
                <w:sz w:val="14"/>
                <w:szCs w:val="14"/>
              </w:rPr>
              <w:t xml:space="preserve"> (a </w:t>
            </w:r>
            <w:r w:rsidRPr="00995F3E">
              <w:rPr>
                <w:rFonts w:cs="Arial"/>
                <w:bCs/>
                <w:i/>
                <w:sz w:val="14"/>
                <w:szCs w:val="14"/>
              </w:rPr>
              <w:t>robust strategy</w:t>
            </w:r>
            <w:r w:rsidRPr="00995F3E">
              <w:rPr>
                <w:rFonts w:cs="Arial"/>
                <w:bCs/>
                <w:sz w:val="14"/>
                <w:szCs w:val="14"/>
              </w:rPr>
              <w:t xml:space="preserve"> is one that achieves the desired objectives under diverse future scenarios, whereas flexibility is related to the possibility to adapt strategies as necessary over time – e.g. adjusting measures or implementing new measures – and still meet the objectives). The APs’ map shows </w:t>
            </w:r>
            <w:r w:rsidRPr="00995F3E">
              <w:rPr>
                <w:rFonts w:cs="Arial"/>
                <w:bCs/>
                <w:i/>
                <w:sz w:val="14"/>
                <w:szCs w:val="14"/>
              </w:rPr>
              <w:t>transition-points</w:t>
            </w:r>
            <w:r w:rsidRPr="00995F3E">
              <w:rPr>
                <w:rFonts w:cs="Arial"/>
                <w:bCs/>
                <w:sz w:val="14"/>
                <w:szCs w:val="14"/>
              </w:rPr>
              <w:t xml:space="preserve"> (under which it is necessary to switch from a measure to another (or their timing </w:t>
            </w:r>
            <w:proofErr w:type="gramStart"/>
            <w:r w:rsidRPr="00995F3E">
              <w:rPr>
                <w:rFonts w:cs="Arial"/>
                <w:bCs/>
                <w:sz w:val="14"/>
                <w:szCs w:val="14"/>
              </w:rPr>
              <w:t>in a given</w:t>
            </w:r>
            <w:proofErr w:type="gramEnd"/>
            <w:r w:rsidRPr="00995F3E">
              <w:rPr>
                <w:rFonts w:cs="Arial"/>
                <w:bCs/>
                <w:sz w:val="14"/>
                <w:szCs w:val="14"/>
              </w:rPr>
              <w:t xml:space="preserve"> scenario)</w:t>
            </w:r>
            <w:r w:rsidRPr="00995F3E">
              <w:rPr>
                <w:rFonts w:cs="Arial"/>
                <w:bCs/>
                <w:color w:val="00B050"/>
                <w:sz w:val="14"/>
                <w:szCs w:val="14"/>
              </w:rPr>
              <w:t xml:space="preserve"> </w:t>
            </w:r>
            <w:r w:rsidRPr="00995F3E">
              <w:rPr>
                <w:rFonts w:cs="Arial"/>
                <w:bCs/>
                <w:sz w:val="14"/>
                <w:szCs w:val="14"/>
              </w:rPr>
              <w:t>(</w:t>
            </w:r>
            <w:r w:rsidR="005C558F" w:rsidRPr="00E74925">
              <w:rPr>
                <w:rFonts w:cs="Arial"/>
                <w:bCs/>
                <w:color w:val="7F7F7F" w:themeColor="text1" w:themeTint="80"/>
                <w:sz w:val="14"/>
                <w:szCs w:val="14"/>
              </w:rPr>
              <w:t>Brugge and Bruggeman 2019</w:t>
            </w:r>
            <w:r w:rsidRPr="00995F3E">
              <w:rPr>
                <w:rFonts w:cs="Arial"/>
                <w:bCs/>
                <w:color w:val="7F7F7F" w:themeColor="text1" w:themeTint="80"/>
                <w:sz w:val="14"/>
                <w:szCs w:val="14"/>
              </w:rPr>
              <w:t xml:space="preserve">, p.4-5; </w:t>
            </w:r>
            <w:proofErr w:type="spellStart"/>
            <w:r w:rsidR="005C558F" w:rsidRPr="00E74925">
              <w:rPr>
                <w:rFonts w:cs="Arial"/>
                <w:bCs/>
                <w:color w:val="7F7F7F" w:themeColor="text1" w:themeTint="80"/>
                <w:sz w:val="14"/>
                <w:szCs w:val="14"/>
              </w:rPr>
              <w:t>Deltares</w:t>
            </w:r>
            <w:proofErr w:type="spellEnd"/>
            <w:r w:rsidR="005C558F" w:rsidRPr="00E74925">
              <w:rPr>
                <w:rFonts w:cs="Arial"/>
                <w:bCs/>
                <w:color w:val="7F7F7F" w:themeColor="text1" w:themeTint="80"/>
                <w:sz w:val="14"/>
                <w:szCs w:val="14"/>
              </w:rPr>
              <w:t xml:space="preserve"> 2018</w:t>
            </w:r>
            <w:r w:rsidRPr="00995F3E">
              <w:rPr>
                <w:rFonts w:cs="Arial"/>
                <w:bCs/>
                <w:color w:val="7F7F7F" w:themeColor="text1" w:themeTint="80"/>
                <w:sz w:val="14"/>
                <w:szCs w:val="14"/>
              </w:rPr>
              <w:t>, p.2-3</w:t>
            </w:r>
            <w:r w:rsidRPr="00995F3E">
              <w:rPr>
                <w:rFonts w:cs="Arial"/>
                <w:bCs/>
                <w:sz w:val="14"/>
                <w:szCs w:val="14"/>
              </w:rPr>
              <w:t>). Several methods can be used to assess measures and pathways, e.g.</w:t>
            </w:r>
            <w:r w:rsidRPr="00995F3E">
              <w:rPr>
                <w:rFonts w:cs="Arial"/>
                <w:bCs/>
                <w:color w:val="C00000"/>
                <w:sz w:val="14"/>
                <w:szCs w:val="14"/>
              </w:rPr>
              <w:t xml:space="preserve"> </w:t>
            </w:r>
            <w:r w:rsidRPr="00995F3E">
              <w:rPr>
                <w:rFonts w:cs="Arial"/>
                <w:bCs/>
                <w:sz w:val="14"/>
                <w:szCs w:val="14"/>
              </w:rPr>
              <w:t>cost-benefit, cost-effectiveness, and multi-criteria analyses;</w:t>
            </w:r>
            <w:r w:rsidRPr="00995F3E">
              <w:rPr>
                <w:rFonts w:cs="Arial"/>
                <w:bCs/>
                <w:color w:val="C00000"/>
                <w:sz w:val="14"/>
                <w:szCs w:val="14"/>
              </w:rPr>
              <w:t xml:space="preserve"> r</w:t>
            </w:r>
            <w:r w:rsidRPr="00995F3E">
              <w:rPr>
                <w:rFonts w:cs="Arial"/>
                <w:bCs/>
                <w:sz w:val="14"/>
                <w:szCs w:val="14"/>
              </w:rPr>
              <w:t>obustness analysis (focused on measures’ performance under diverse scenarios); feasibility analysis (focused on barriers and facilitators) (</w:t>
            </w:r>
            <w:proofErr w:type="spellStart"/>
            <w:r w:rsidR="005C558F" w:rsidRPr="00E74925">
              <w:rPr>
                <w:rFonts w:cs="Arial"/>
                <w:bCs/>
                <w:color w:val="7F7F7F" w:themeColor="text1" w:themeTint="80"/>
                <w:sz w:val="14"/>
                <w:szCs w:val="14"/>
              </w:rPr>
              <w:t>Deltares</w:t>
            </w:r>
            <w:proofErr w:type="spellEnd"/>
            <w:r w:rsidR="005C558F" w:rsidRPr="00E74925">
              <w:rPr>
                <w:rFonts w:cs="Arial"/>
                <w:bCs/>
                <w:color w:val="7F7F7F" w:themeColor="text1" w:themeTint="80"/>
                <w:sz w:val="14"/>
                <w:szCs w:val="14"/>
              </w:rPr>
              <w:t xml:space="preserve"> 2018</w:t>
            </w:r>
            <w:r w:rsidRPr="00995F3E">
              <w:rPr>
                <w:rFonts w:cs="Arial"/>
                <w:bCs/>
                <w:sz w:val="14"/>
                <w:szCs w:val="14"/>
              </w:rPr>
              <w:t>).</w:t>
            </w:r>
          </w:p>
          <w:p w14:paraId="76A768AB" w14:textId="77777777" w:rsidR="00995F3E" w:rsidRPr="00995F3E" w:rsidRDefault="00995F3E" w:rsidP="00E74925">
            <w:pPr>
              <w:spacing w:after="60"/>
              <w:jc w:val="left"/>
              <w:rPr>
                <w:rFonts w:cs="Arial"/>
                <w:bCs/>
                <w:iCs/>
                <w:sz w:val="14"/>
                <w:szCs w:val="14"/>
              </w:rPr>
            </w:pPr>
            <w:r w:rsidRPr="00995F3E">
              <w:rPr>
                <w:rFonts w:cs="Arial"/>
                <w:bCs/>
                <w:iCs/>
                <w:sz w:val="14"/>
                <w:szCs w:val="14"/>
              </w:rPr>
              <w:t>The costs and benefits of each pathway can be presented in a scorecard (</w:t>
            </w:r>
            <w:proofErr w:type="spellStart"/>
            <w:r w:rsidRPr="00995F3E">
              <w:rPr>
                <w:rFonts w:cs="Arial"/>
                <w:bCs/>
                <w:iCs/>
                <w:color w:val="7F7F7F" w:themeColor="text1" w:themeTint="80"/>
                <w:sz w:val="14"/>
                <w:szCs w:val="14"/>
              </w:rPr>
              <w:t>Haasnoot</w:t>
            </w:r>
            <w:proofErr w:type="spellEnd"/>
            <w:r w:rsidRPr="00995F3E">
              <w:rPr>
                <w:rFonts w:cs="Arial"/>
                <w:bCs/>
                <w:iCs/>
                <w:color w:val="7F7F7F" w:themeColor="text1" w:themeTint="80"/>
                <w:sz w:val="14"/>
                <w:szCs w:val="14"/>
              </w:rPr>
              <w:t xml:space="preserve"> and </w:t>
            </w:r>
            <w:proofErr w:type="spellStart"/>
            <w:r w:rsidRPr="00995F3E">
              <w:rPr>
                <w:rFonts w:cs="Arial"/>
                <w:bCs/>
                <w:iCs/>
                <w:color w:val="7F7F7F" w:themeColor="text1" w:themeTint="80"/>
                <w:sz w:val="14"/>
                <w:szCs w:val="14"/>
              </w:rPr>
              <w:t>Jeuken</w:t>
            </w:r>
            <w:proofErr w:type="spellEnd"/>
            <w:r w:rsidRPr="00995F3E">
              <w:rPr>
                <w:rFonts w:cs="Arial"/>
                <w:bCs/>
                <w:iCs/>
                <w:sz w:val="14"/>
                <w:szCs w:val="14"/>
              </w:rPr>
              <w:t>).</w:t>
            </w:r>
          </w:p>
          <w:p w14:paraId="0F6765A1" w14:textId="77777777" w:rsidR="00995F3E" w:rsidRPr="00995F3E" w:rsidRDefault="00995F3E" w:rsidP="00E74925">
            <w:pPr>
              <w:spacing w:after="60"/>
              <w:jc w:val="left"/>
              <w:rPr>
                <w:rFonts w:cs="Arial"/>
                <w:bCs/>
                <w:sz w:val="14"/>
                <w:szCs w:val="14"/>
              </w:rPr>
            </w:pPr>
          </w:p>
        </w:tc>
        <w:tc>
          <w:tcPr>
            <w:tcW w:w="4819" w:type="dxa"/>
            <w:shd w:val="clear" w:color="auto" w:fill="auto"/>
          </w:tcPr>
          <w:p w14:paraId="0CB28E8F" w14:textId="6A505D02" w:rsidR="00995F3E" w:rsidRPr="00995F3E" w:rsidRDefault="00995F3E" w:rsidP="00E74925">
            <w:pPr>
              <w:spacing w:after="60"/>
              <w:jc w:val="left"/>
              <w:rPr>
                <w:rFonts w:eastAsia="RijksoverheidSansText-Regular" w:cs="Arial"/>
                <w:bCs/>
                <w:sz w:val="14"/>
                <w:szCs w:val="14"/>
              </w:rPr>
            </w:pPr>
            <w:bookmarkStart w:id="58" w:name="_Toc44341279"/>
            <w:r w:rsidRPr="00995F3E">
              <w:rPr>
                <w:rFonts w:eastAsia="RijksoverheidSansText-Regular" w:cs="Arial"/>
                <w:bCs/>
                <w:sz w:val="14"/>
                <w:szCs w:val="14"/>
              </w:rPr>
              <w:lastRenderedPageBreak/>
              <w:t xml:space="preserve">Step 3 (developing the Strategies, with their map of </w:t>
            </w:r>
            <w:r w:rsidRPr="00995F3E">
              <w:rPr>
                <w:rFonts w:eastAsia="RijksoverheidSansText-Regular" w:cs="Arial"/>
                <w:bCs/>
                <w:i/>
                <w:iCs/>
                <w:sz w:val="14"/>
                <w:szCs w:val="14"/>
              </w:rPr>
              <w:t>adaptation paths</w:t>
            </w:r>
            <w:r w:rsidRPr="00995F3E">
              <w:rPr>
                <w:rFonts w:eastAsia="RijksoverheidSansText-Regular" w:cs="Arial"/>
                <w:bCs/>
                <w:sz w:val="14"/>
                <w:szCs w:val="14"/>
              </w:rPr>
              <w:t>)</w:t>
            </w:r>
            <w:bookmarkEnd w:id="58"/>
            <w:r w:rsidRPr="00995F3E">
              <w:rPr>
                <w:rFonts w:eastAsia="RijksoverheidSansText-Regular" w:cs="Arial"/>
                <w:bCs/>
                <w:sz w:val="14"/>
                <w:szCs w:val="14"/>
              </w:rPr>
              <w:t xml:space="preserve"> </w:t>
            </w:r>
          </w:p>
          <w:p w14:paraId="3913B8D9" w14:textId="7FD3F530" w:rsidR="00995F3E" w:rsidRPr="00995F3E" w:rsidRDefault="00995F3E" w:rsidP="00E74925">
            <w:pPr>
              <w:spacing w:after="60"/>
              <w:jc w:val="left"/>
              <w:rPr>
                <w:rFonts w:cs="Arial"/>
                <w:bCs/>
                <w:sz w:val="14"/>
                <w:szCs w:val="14"/>
              </w:rPr>
            </w:pPr>
            <w:r w:rsidRPr="00995F3E">
              <w:rPr>
                <w:rFonts w:cs="Arial"/>
                <w:bCs/>
                <w:sz w:val="14"/>
                <w:szCs w:val="14"/>
              </w:rPr>
              <w:t xml:space="preserve">In this step, each Subprogramme developed a </w:t>
            </w:r>
            <w:r w:rsidRPr="00995F3E">
              <w:rPr>
                <w:rFonts w:cs="Arial"/>
                <w:bCs/>
                <w:i/>
                <w:iCs/>
                <w:sz w:val="14"/>
                <w:szCs w:val="14"/>
              </w:rPr>
              <w:t xml:space="preserve">Strategy </w:t>
            </w:r>
            <w:r w:rsidRPr="00995F3E">
              <w:rPr>
                <w:rFonts w:cs="Arial"/>
                <w:bCs/>
                <w:sz w:val="14"/>
                <w:szCs w:val="14"/>
              </w:rPr>
              <w:t xml:space="preserve">for FRM for its region. The </w:t>
            </w:r>
            <w:r w:rsidRPr="00995F3E">
              <w:rPr>
                <w:rFonts w:cs="Arial"/>
                <w:bCs/>
                <w:i/>
                <w:iCs/>
                <w:sz w:val="14"/>
                <w:szCs w:val="14"/>
              </w:rPr>
              <w:t>Preferential Strategies</w:t>
            </w:r>
            <w:r w:rsidRPr="00995F3E">
              <w:rPr>
                <w:rFonts w:cs="Arial"/>
                <w:bCs/>
                <w:sz w:val="14"/>
                <w:szCs w:val="14"/>
              </w:rPr>
              <w:t xml:space="preserve"> correspond to the preferred strategies for each region. Each of the regional </w:t>
            </w:r>
            <w:r w:rsidRPr="00995F3E">
              <w:rPr>
                <w:rFonts w:cs="Arial"/>
                <w:bCs/>
                <w:i/>
                <w:iCs/>
                <w:sz w:val="14"/>
                <w:szCs w:val="14"/>
              </w:rPr>
              <w:t>Strategies</w:t>
            </w:r>
            <w:r w:rsidRPr="00995F3E">
              <w:rPr>
                <w:rFonts w:cs="Arial"/>
                <w:bCs/>
                <w:sz w:val="14"/>
                <w:szCs w:val="14"/>
              </w:rPr>
              <w:t xml:space="preserve"> contains</w:t>
            </w:r>
            <w:r w:rsidRPr="00995F3E">
              <w:rPr>
                <w:rFonts w:cs="Arial"/>
                <w:bCs/>
                <w:iCs/>
                <w:sz w:val="14"/>
                <w:szCs w:val="14"/>
              </w:rPr>
              <w:t xml:space="preserve"> </w:t>
            </w:r>
            <w:r w:rsidRPr="00995F3E">
              <w:rPr>
                <w:rFonts w:cs="Arial"/>
                <w:bCs/>
                <w:sz w:val="14"/>
                <w:szCs w:val="14"/>
              </w:rPr>
              <w:t xml:space="preserve">a map of adaptation pathways, called </w:t>
            </w:r>
            <w:r w:rsidRPr="00995F3E">
              <w:rPr>
                <w:rFonts w:cs="Arial"/>
                <w:bCs/>
                <w:i/>
                <w:iCs/>
                <w:sz w:val="14"/>
                <w:szCs w:val="14"/>
              </w:rPr>
              <w:t xml:space="preserve">‘adaptation </w:t>
            </w:r>
            <w:proofErr w:type="gramStart"/>
            <w:r w:rsidRPr="00995F3E">
              <w:rPr>
                <w:rFonts w:cs="Arial"/>
                <w:bCs/>
                <w:i/>
                <w:iCs/>
                <w:sz w:val="14"/>
                <w:szCs w:val="14"/>
              </w:rPr>
              <w:t>paths’</w:t>
            </w:r>
            <w:proofErr w:type="gramEnd"/>
            <w:r w:rsidRPr="00995F3E">
              <w:rPr>
                <w:rFonts w:cs="Arial"/>
                <w:bCs/>
                <w:i/>
                <w:iCs/>
                <w:sz w:val="14"/>
                <w:szCs w:val="14"/>
              </w:rPr>
              <w:t xml:space="preserve">. </w:t>
            </w:r>
            <w:r w:rsidRPr="00995F3E">
              <w:rPr>
                <w:rFonts w:cs="Arial"/>
                <w:bCs/>
                <w:sz w:val="14"/>
                <w:szCs w:val="14"/>
              </w:rPr>
              <w:t>(</w:t>
            </w:r>
            <w:r w:rsidRPr="00995F3E">
              <w:rPr>
                <w:rFonts w:cs="Arial"/>
                <w:bCs/>
                <w:color w:val="7F7F7F" w:themeColor="text1" w:themeTint="80"/>
                <w:sz w:val="14"/>
                <w:szCs w:val="14"/>
              </w:rPr>
              <w:t>Buuren et al. 2016</w:t>
            </w:r>
            <w:r w:rsidRPr="00995F3E">
              <w:rPr>
                <w:rFonts w:cs="Arial"/>
                <w:bCs/>
                <w:sz w:val="14"/>
                <w:szCs w:val="14"/>
              </w:rPr>
              <w:t xml:space="preserve">). </w:t>
            </w:r>
          </w:p>
          <w:p w14:paraId="44A73FD0"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To develop the </w:t>
            </w:r>
            <w:r w:rsidRPr="00995F3E">
              <w:rPr>
                <w:rFonts w:cs="Arial"/>
                <w:bCs/>
                <w:i/>
                <w:iCs/>
                <w:sz w:val="14"/>
                <w:szCs w:val="14"/>
              </w:rPr>
              <w:t>adaptation paths</w:t>
            </w:r>
            <w:r w:rsidRPr="00995F3E">
              <w:rPr>
                <w:rFonts w:cs="Arial"/>
                <w:bCs/>
                <w:sz w:val="14"/>
                <w:szCs w:val="14"/>
              </w:rPr>
              <w:t>, the Subprogrammes used the APs’ and ATPs’ methods. Each Team devised various possible adaptation pathways (trajectories to achieve the objectives). This required assessing the effectiveness, costs, and benefits of the various measures under different scenarios, and analysing when new measures will be needed to achieve the objectives (</w:t>
            </w:r>
            <w:r w:rsidRPr="00995F3E">
              <w:rPr>
                <w:rFonts w:cs="Arial"/>
                <w:bCs/>
                <w:color w:val="7F7F7F" w:themeColor="text1" w:themeTint="80"/>
                <w:sz w:val="14"/>
                <w:szCs w:val="14"/>
              </w:rPr>
              <w:t>Zandvoort et al.2018</w:t>
            </w:r>
            <w:r w:rsidRPr="00995F3E">
              <w:rPr>
                <w:rFonts w:cs="Arial"/>
                <w:bCs/>
                <w:sz w:val="14"/>
                <w:szCs w:val="14"/>
              </w:rPr>
              <w:t>). Thus, the design of the ‘adaptation paths’ implied the identification of tipping-points (</w:t>
            </w:r>
            <w:r w:rsidRPr="00995F3E">
              <w:rPr>
                <w:rFonts w:cs="Arial"/>
                <w:bCs/>
                <w:color w:val="7F7F7F" w:themeColor="text1" w:themeTint="80"/>
                <w:sz w:val="14"/>
                <w:szCs w:val="14"/>
              </w:rPr>
              <w:t>Buuren et al. 2016</w:t>
            </w:r>
            <w:r w:rsidRPr="00995F3E">
              <w:rPr>
                <w:rFonts w:cs="Arial"/>
                <w:bCs/>
                <w:sz w:val="14"/>
                <w:szCs w:val="14"/>
              </w:rPr>
              <w:t xml:space="preserve">). It was also necessary to </w:t>
            </w:r>
            <w:r w:rsidRPr="00995F3E">
              <w:rPr>
                <w:rFonts w:cs="Arial"/>
                <w:bCs/>
                <w:i/>
                <w:iCs/>
                <w:sz w:val="14"/>
                <w:szCs w:val="14"/>
              </w:rPr>
              <w:t>keep options open</w:t>
            </w:r>
            <w:r w:rsidRPr="00995F3E">
              <w:rPr>
                <w:rFonts w:cs="Arial"/>
                <w:bCs/>
                <w:sz w:val="14"/>
                <w:szCs w:val="14"/>
              </w:rPr>
              <w:t xml:space="preserve"> (possibilities to alter the course) (</w:t>
            </w:r>
            <w:r w:rsidRPr="00995F3E">
              <w:rPr>
                <w:rFonts w:cs="Arial"/>
                <w:bCs/>
                <w:color w:val="7F7F7F" w:themeColor="text1" w:themeTint="80"/>
                <w:sz w:val="14"/>
                <w:szCs w:val="14"/>
              </w:rPr>
              <w:t>Zandvoort et al.2018, p.191</w:t>
            </w:r>
            <w:r w:rsidRPr="00995F3E">
              <w:rPr>
                <w:rFonts w:cs="Arial"/>
                <w:bCs/>
                <w:sz w:val="14"/>
                <w:szCs w:val="14"/>
              </w:rPr>
              <w:t>).</w:t>
            </w:r>
          </w:p>
          <w:p w14:paraId="5F47E660" w14:textId="77777777" w:rsidR="00995F3E" w:rsidRPr="00995F3E" w:rsidRDefault="00995F3E" w:rsidP="00E74925">
            <w:pPr>
              <w:spacing w:after="60"/>
              <w:jc w:val="left"/>
              <w:rPr>
                <w:rFonts w:cs="Arial"/>
                <w:bCs/>
                <w:sz w:val="14"/>
                <w:szCs w:val="14"/>
              </w:rPr>
            </w:pPr>
            <w:r w:rsidRPr="00995F3E">
              <w:rPr>
                <w:rFonts w:cs="Arial"/>
                <w:bCs/>
                <w:sz w:val="14"/>
                <w:szCs w:val="14"/>
              </w:rPr>
              <w:t>……….</w:t>
            </w:r>
          </w:p>
          <w:p w14:paraId="645DEC94" w14:textId="6A330575" w:rsidR="00995F3E" w:rsidRPr="00995F3E" w:rsidRDefault="00995F3E" w:rsidP="00E74925">
            <w:pPr>
              <w:spacing w:after="60"/>
              <w:rPr>
                <w:rFonts w:eastAsia="RijksoverheidSansText-Regular" w:cs="Arial"/>
                <w:bCs/>
                <w:sz w:val="14"/>
                <w:szCs w:val="14"/>
              </w:rPr>
            </w:pPr>
            <w:r w:rsidRPr="00995F3E">
              <w:rPr>
                <w:rFonts w:eastAsia="RijksoverheidSansText-Regular" w:cs="Arial"/>
                <w:bCs/>
                <w:sz w:val="14"/>
                <w:szCs w:val="14"/>
              </w:rPr>
              <w:t>Developing the ‘</w:t>
            </w:r>
            <w:r w:rsidRPr="00995F3E">
              <w:rPr>
                <w:rFonts w:eastAsia="RijksoverheidSansText-Regular" w:cs="Arial"/>
                <w:bCs/>
                <w:i/>
                <w:iCs/>
                <w:sz w:val="14"/>
                <w:szCs w:val="14"/>
              </w:rPr>
              <w:t>Promising Strategies</w:t>
            </w:r>
            <w:r w:rsidRPr="00995F3E">
              <w:rPr>
                <w:rFonts w:eastAsia="RijksoverheidSansText-Regular" w:cs="Arial"/>
                <w:bCs/>
                <w:sz w:val="14"/>
                <w:szCs w:val="14"/>
              </w:rPr>
              <w:t>’</w:t>
            </w:r>
          </w:p>
          <w:p w14:paraId="0249E5B3" w14:textId="77777777" w:rsidR="00995F3E" w:rsidRPr="00995F3E" w:rsidRDefault="00995F3E" w:rsidP="00E74925">
            <w:pPr>
              <w:spacing w:after="60"/>
              <w:jc w:val="left"/>
              <w:rPr>
                <w:rFonts w:cs="Arial"/>
                <w:bCs/>
                <w:iCs/>
                <w:sz w:val="14"/>
                <w:szCs w:val="14"/>
              </w:rPr>
            </w:pPr>
            <w:r w:rsidRPr="00995F3E">
              <w:rPr>
                <w:rFonts w:cs="Arial"/>
                <w:bCs/>
                <w:iCs/>
                <w:sz w:val="14"/>
                <w:szCs w:val="14"/>
              </w:rPr>
              <w:t xml:space="preserve">In 2012/2013, the </w:t>
            </w:r>
            <w:r w:rsidRPr="00995F3E">
              <w:rPr>
                <w:rFonts w:cs="Arial"/>
                <w:bCs/>
                <w:i/>
                <w:iCs/>
                <w:sz w:val="14"/>
                <w:szCs w:val="14"/>
              </w:rPr>
              <w:t>Possible Strategies</w:t>
            </w:r>
            <w:r w:rsidRPr="00995F3E">
              <w:rPr>
                <w:rFonts w:cs="Arial"/>
                <w:bCs/>
                <w:iCs/>
                <w:sz w:val="14"/>
                <w:szCs w:val="14"/>
              </w:rPr>
              <w:t xml:space="preserve"> were further developed into</w:t>
            </w:r>
            <w:r w:rsidRPr="00995F3E">
              <w:rPr>
                <w:rFonts w:cs="Arial"/>
                <w:bCs/>
                <w:i/>
                <w:iCs/>
                <w:sz w:val="14"/>
                <w:szCs w:val="14"/>
              </w:rPr>
              <w:t xml:space="preserve"> Promising Strategies </w:t>
            </w:r>
            <w:r w:rsidRPr="00995F3E">
              <w:rPr>
                <w:rFonts w:cs="Arial"/>
                <w:bCs/>
                <w:iCs/>
                <w:sz w:val="14"/>
                <w:szCs w:val="14"/>
              </w:rPr>
              <w:t>(presented in the DP2013) (</w:t>
            </w:r>
            <w:r w:rsidRPr="00995F3E">
              <w:rPr>
                <w:rFonts w:cs="Arial"/>
                <w:bCs/>
                <w:iCs/>
                <w:color w:val="7F7F7F" w:themeColor="text1" w:themeTint="80"/>
                <w:sz w:val="14"/>
                <w:szCs w:val="14"/>
              </w:rPr>
              <w:t>DP 2013, p.56, 78</w:t>
            </w:r>
            <w:r w:rsidRPr="00995F3E">
              <w:rPr>
                <w:rFonts w:cs="Arial"/>
                <w:bCs/>
                <w:iCs/>
                <w:sz w:val="14"/>
                <w:szCs w:val="14"/>
              </w:rPr>
              <w:t>).</w:t>
            </w:r>
          </w:p>
          <w:p w14:paraId="67FDC823" w14:textId="77777777" w:rsidR="00995F3E" w:rsidRPr="00995F3E" w:rsidRDefault="00995F3E" w:rsidP="00E74925">
            <w:pPr>
              <w:spacing w:after="60"/>
              <w:jc w:val="left"/>
              <w:rPr>
                <w:rFonts w:cs="Arial"/>
                <w:bCs/>
                <w:iCs/>
                <w:sz w:val="14"/>
                <w:szCs w:val="14"/>
              </w:rPr>
            </w:pPr>
            <w:r w:rsidRPr="00995F3E">
              <w:rPr>
                <w:rFonts w:cs="Arial"/>
                <w:bCs/>
                <w:iCs/>
                <w:sz w:val="14"/>
                <w:szCs w:val="14"/>
              </w:rPr>
              <w:t>……</w:t>
            </w:r>
          </w:p>
          <w:p w14:paraId="0DF3C4D5" w14:textId="77777777" w:rsidR="00995F3E" w:rsidRPr="00995F3E" w:rsidRDefault="00995F3E" w:rsidP="00E74925">
            <w:pPr>
              <w:spacing w:after="60"/>
              <w:jc w:val="left"/>
              <w:rPr>
                <w:rFonts w:cs="Arial"/>
                <w:bCs/>
                <w:sz w:val="14"/>
                <w:szCs w:val="14"/>
              </w:rPr>
            </w:pPr>
            <w:r w:rsidRPr="00995F3E">
              <w:rPr>
                <w:rFonts w:cs="Arial"/>
                <w:bCs/>
                <w:sz w:val="14"/>
                <w:szCs w:val="14"/>
              </w:rPr>
              <w:t>In 2012/2013, the Subprogrammes narrowed down the range of ‘</w:t>
            </w:r>
            <w:r w:rsidRPr="00995F3E">
              <w:rPr>
                <w:rFonts w:cs="Arial"/>
                <w:bCs/>
                <w:i/>
                <w:iCs/>
                <w:sz w:val="14"/>
                <w:szCs w:val="14"/>
              </w:rPr>
              <w:t>Possible Strategies</w:t>
            </w:r>
            <w:r w:rsidRPr="00995F3E">
              <w:rPr>
                <w:rFonts w:cs="Arial"/>
                <w:bCs/>
                <w:sz w:val="14"/>
                <w:szCs w:val="14"/>
              </w:rPr>
              <w:t>’ and further developed them into the ‘</w:t>
            </w:r>
            <w:r w:rsidRPr="00995F3E">
              <w:rPr>
                <w:rFonts w:cs="Arial"/>
                <w:bCs/>
                <w:i/>
                <w:iCs/>
                <w:sz w:val="14"/>
                <w:szCs w:val="14"/>
              </w:rPr>
              <w:t>Promising Strategies</w:t>
            </w:r>
            <w:r w:rsidRPr="00995F3E">
              <w:rPr>
                <w:rFonts w:cs="Arial"/>
                <w:bCs/>
                <w:sz w:val="14"/>
                <w:szCs w:val="14"/>
              </w:rPr>
              <w:t>’ (presented in the DP 2013) (</w:t>
            </w:r>
            <w:r w:rsidRPr="00995F3E">
              <w:rPr>
                <w:rFonts w:cs="Arial"/>
                <w:bCs/>
                <w:color w:val="7F7F7F" w:themeColor="text1" w:themeTint="80"/>
                <w:sz w:val="14"/>
                <w:szCs w:val="14"/>
              </w:rPr>
              <w:t>DP 2013, p.56; 2014, p.132</w:t>
            </w:r>
            <w:r w:rsidRPr="00995F3E">
              <w:rPr>
                <w:rFonts w:cs="Arial"/>
                <w:bCs/>
                <w:sz w:val="14"/>
                <w:szCs w:val="14"/>
              </w:rPr>
              <w:t xml:space="preserve">). During this year, the Subprogrammes refined and detailed further the </w:t>
            </w:r>
            <w:r w:rsidRPr="00995F3E">
              <w:rPr>
                <w:rFonts w:cs="Arial"/>
                <w:bCs/>
                <w:i/>
                <w:iCs/>
                <w:sz w:val="14"/>
                <w:szCs w:val="14"/>
              </w:rPr>
              <w:t>Possible Strategies</w:t>
            </w:r>
            <w:r w:rsidRPr="00995F3E">
              <w:rPr>
                <w:rFonts w:cs="Arial"/>
                <w:bCs/>
                <w:sz w:val="14"/>
                <w:szCs w:val="14"/>
              </w:rPr>
              <w:t xml:space="preserve">, which resulted in the </w:t>
            </w:r>
            <w:r w:rsidRPr="00995F3E">
              <w:rPr>
                <w:rFonts w:cs="Arial"/>
                <w:bCs/>
                <w:i/>
                <w:iCs/>
                <w:sz w:val="14"/>
                <w:szCs w:val="14"/>
              </w:rPr>
              <w:t>Promising Strategies</w:t>
            </w:r>
            <w:r w:rsidRPr="00995F3E">
              <w:rPr>
                <w:rFonts w:cs="Arial"/>
                <w:bCs/>
                <w:sz w:val="14"/>
                <w:szCs w:val="14"/>
              </w:rPr>
              <w:t xml:space="preserve"> (with their </w:t>
            </w:r>
            <w:r w:rsidRPr="00995F3E">
              <w:rPr>
                <w:rFonts w:cs="Arial"/>
                <w:bCs/>
                <w:i/>
                <w:iCs/>
                <w:sz w:val="14"/>
                <w:szCs w:val="14"/>
              </w:rPr>
              <w:t>adaptation paths</w:t>
            </w:r>
            <w:r w:rsidRPr="00995F3E">
              <w:rPr>
                <w:rFonts w:cs="Arial"/>
                <w:bCs/>
                <w:sz w:val="14"/>
                <w:szCs w:val="14"/>
              </w:rPr>
              <w:t>) (</w:t>
            </w:r>
            <w:r w:rsidRPr="00995F3E">
              <w:rPr>
                <w:rFonts w:cs="Arial"/>
                <w:bCs/>
                <w:color w:val="7F7F7F" w:themeColor="text1" w:themeTint="80"/>
                <w:sz w:val="14"/>
                <w:szCs w:val="14"/>
              </w:rPr>
              <w:t xml:space="preserve">DP 2013, p.56; </w:t>
            </w:r>
            <w:r w:rsidRPr="00995F3E">
              <w:rPr>
                <w:rFonts w:eastAsia="RijksoverheidSansText-Regular" w:cs="Arial"/>
                <w:bCs/>
                <w:color w:val="7F7F7F" w:themeColor="text1" w:themeTint="80"/>
                <w:sz w:val="14"/>
                <w:szCs w:val="14"/>
              </w:rPr>
              <w:t xml:space="preserve">2012, p.80; </w:t>
            </w:r>
            <w:r w:rsidRPr="00995F3E">
              <w:rPr>
                <w:rFonts w:cs="Arial"/>
                <w:bCs/>
                <w:color w:val="7F7F7F" w:themeColor="text1" w:themeTint="80"/>
                <w:sz w:val="14"/>
                <w:szCs w:val="14"/>
              </w:rPr>
              <w:t>2011, p.14</w:t>
            </w:r>
            <w:r w:rsidRPr="00995F3E">
              <w:rPr>
                <w:rFonts w:cs="Arial"/>
                <w:bCs/>
                <w:sz w:val="14"/>
                <w:szCs w:val="14"/>
              </w:rPr>
              <w:t xml:space="preserve">) (i.e. </w:t>
            </w:r>
            <w:r w:rsidRPr="00995F3E">
              <w:rPr>
                <w:rFonts w:eastAsia="RijksoverheidSansText-Regular" w:cs="Arial"/>
                <w:bCs/>
                <w:color w:val="000000"/>
                <w:sz w:val="14"/>
                <w:szCs w:val="14"/>
              </w:rPr>
              <w:t>t</w:t>
            </w:r>
            <w:r w:rsidRPr="00995F3E">
              <w:rPr>
                <w:rFonts w:cs="Arial"/>
                <w:bCs/>
                <w:sz w:val="14"/>
                <w:szCs w:val="14"/>
              </w:rPr>
              <w:t xml:space="preserve">he </w:t>
            </w:r>
            <w:r w:rsidRPr="00995F3E">
              <w:rPr>
                <w:rFonts w:eastAsia="RijksoverheidSansText-Regular" w:cs="Arial"/>
                <w:bCs/>
                <w:i/>
                <w:iCs/>
                <w:sz w:val="14"/>
                <w:szCs w:val="14"/>
              </w:rPr>
              <w:t>Promising Strategies</w:t>
            </w:r>
            <w:r w:rsidRPr="00995F3E">
              <w:rPr>
                <w:rFonts w:eastAsia="RijksoverheidSansText-Regular" w:cs="Arial"/>
                <w:bCs/>
                <w:sz w:val="14"/>
                <w:szCs w:val="14"/>
              </w:rPr>
              <w:t xml:space="preserve"> were elaborated through a filtration and refinement of the </w:t>
            </w:r>
            <w:r w:rsidRPr="00995F3E">
              <w:rPr>
                <w:rFonts w:eastAsia="RijksoverheidSansText-Regular" w:cs="Arial"/>
                <w:bCs/>
                <w:i/>
                <w:iCs/>
                <w:sz w:val="14"/>
                <w:szCs w:val="14"/>
              </w:rPr>
              <w:t>Possible Strategies</w:t>
            </w:r>
            <w:r w:rsidRPr="00995F3E">
              <w:rPr>
                <w:rFonts w:eastAsia="RijksoverheidSansText-Regular" w:cs="Arial"/>
                <w:bCs/>
                <w:sz w:val="14"/>
                <w:szCs w:val="14"/>
              </w:rPr>
              <w:t xml:space="preserve">, </w:t>
            </w:r>
            <w:r w:rsidRPr="00995F3E">
              <w:rPr>
                <w:rFonts w:cs="Arial"/>
                <w:bCs/>
                <w:sz w:val="14"/>
                <w:szCs w:val="14"/>
              </w:rPr>
              <w:t>as less cost-effective solutions were abandoned) (</w:t>
            </w:r>
            <w:r w:rsidRPr="00995F3E">
              <w:rPr>
                <w:rFonts w:eastAsia="RijksoverheidSansText-Regular" w:cs="Arial"/>
                <w:bCs/>
                <w:color w:val="7F7F7F" w:themeColor="text1" w:themeTint="80"/>
                <w:sz w:val="14"/>
                <w:szCs w:val="14"/>
              </w:rPr>
              <w:t>DP 2012, p.80;</w:t>
            </w:r>
            <w:r w:rsidRPr="00995F3E">
              <w:rPr>
                <w:rFonts w:cs="Arial"/>
                <w:bCs/>
                <w:color w:val="7F7F7F" w:themeColor="text1" w:themeTint="80"/>
                <w:sz w:val="14"/>
                <w:szCs w:val="14"/>
              </w:rPr>
              <w:t xml:space="preserve"> 2014, p.132</w:t>
            </w:r>
            <w:r w:rsidRPr="00995F3E">
              <w:rPr>
                <w:rFonts w:cs="Arial"/>
                <w:bCs/>
                <w:sz w:val="14"/>
                <w:szCs w:val="14"/>
              </w:rPr>
              <w:t xml:space="preserve">). </w:t>
            </w:r>
          </w:p>
          <w:p w14:paraId="5BD2C8E3"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Moreover, in 2012/2013, the DP Team developed five </w:t>
            </w:r>
            <w:r w:rsidRPr="00995F3E">
              <w:rPr>
                <w:rFonts w:cs="Arial"/>
                <w:bCs/>
                <w:i/>
                <w:iCs/>
                <w:sz w:val="14"/>
                <w:szCs w:val="14"/>
              </w:rPr>
              <w:t>draft Delta Decisions</w:t>
            </w:r>
            <w:r w:rsidRPr="00995F3E">
              <w:rPr>
                <w:rFonts w:cs="Arial"/>
                <w:bCs/>
                <w:sz w:val="14"/>
                <w:szCs w:val="14"/>
              </w:rPr>
              <w:t xml:space="preserve"> (issued in the DP 2013) (</w:t>
            </w:r>
            <w:r w:rsidRPr="00995F3E">
              <w:rPr>
                <w:rFonts w:cs="Arial"/>
                <w:bCs/>
                <w:color w:val="7F7F7F" w:themeColor="text1" w:themeTint="80"/>
                <w:sz w:val="14"/>
                <w:szCs w:val="14"/>
              </w:rPr>
              <w:t>DP 2014, p.132</w:t>
            </w:r>
            <w:r w:rsidRPr="00995F3E">
              <w:rPr>
                <w:rFonts w:cs="Arial"/>
                <w:bCs/>
                <w:sz w:val="14"/>
                <w:szCs w:val="14"/>
              </w:rPr>
              <w:t>).</w:t>
            </w:r>
          </w:p>
          <w:p w14:paraId="40719E6E" w14:textId="77777777" w:rsidR="00995F3E" w:rsidRPr="00995F3E" w:rsidRDefault="00995F3E" w:rsidP="00E74925">
            <w:pPr>
              <w:spacing w:after="60"/>
              <w:jc w:val="left"/>
              <w:rPr>
                <w:rFonts w:cs="Arial"/>
                <w:bCs/>
                <w:sz w:val="14"/>
                <w:szCs w:val="14"/>
              </w:rPr>
            </w:pPr>
            <w:r w:rsidRPr="00995F3E">
              <w:rPr>
                <w:rFonts w:cs="Arial"/>
                <w:bCs/>
                <w:sz w:val="14"/>
                <w:szCs w:val="14"/>
              </w:rPr>
              <w:t>Then, the</w:t>
            </w:r>
            <w:r w:rsidRPr="00995F3E">
              <w:rPr>
                <w:rFonts w:eastAsia="RijksoverheidSansText-Regular" w:cs="Arial"/>
                <w:bCs/>
                <w:sz w:val="14"/>
                <w:szCs w:val="14"/>
              </w:rPr>
              <w:t xml:space="preserve"> </w:t>
            </w:r>
            <w:r w:rsidRPr="00995F3E">
              <w:rPr>
                <w:rFonts w:eastAsia="RijksoverheidSansText-Regular" w:cs="Arial"/>
                <w:bCs/>
                <w:i/>
                <w:iCs/>
                <w:sz w:val="14"/>
                <w:szCs w:val="14"/>
              </w:rPr>
              <w:t>Promising Strategies</w:t>
            </w:r>
            <w:r w:rsidRPr="00995F3E">
              <w:rPr>
                <w:rFonts w:eastAsia="RijksoverheidSansText-Regular" w:cs="Arial"/>
                <w:bCs/>
                <w:sz w:val="14"/>
                <w:szCs w:val="14"/>
              </w:rPr>
              <w:t xml:space="preserve"> (and their measures) were assessed on their cost-benefit </w:t>
            </w:r>
            <w:r w:rsidRPr="00995F3E">
              <w:rPr>
                <w:rFonts w:eastAsia="RijksoverheidSansText-Regular" w:cs="Arial"/>
                <w:bCs/>
                <w:color w:val="000000"/>
                <w:sz w:val="14"/>
                <w:szCs w:val="14"/>
              </w:rPr>
              <w:t>(</w:t>
            </w:r>
            <w:r w:rsidRPr="00995F3E">
              <w:rPr>
                <w:rFonts w:eastAsia="RijksoverheidSansText-Regular" w:cs="Arial"/>
                <w:bCs/>
                <w:color w:val="7F7F7F" w:themeColor="text1" w:themeTint="80"/>
                <w:sz w:val="14"/>
                <w:szCs w:val="14"/>
              </w:rPr>
              <w:t>DP 2012, p.80</w:t>
            </w:r>
            <w:r w:rsidRPr="00995F3E">
              <w:rPr>
                <w:rFonts w:eastAsia="RijksoverheidSansText-Regular" w:cs="Arial"/>
                <w:bCs/>
                <w:color w:val="000000"/>
                <w:sz w:val="14"/>
                <w:szCs w:val="14"/>
              </w:rPr>
              <w:t xml:space="preserve">). </w:t>
            </w:r>
            <w:r w:rsidRPr="00995F3E">
              <w:rPr>
                <w:rFonts w:cs="Arial"/>
                <w:bCs/>
                <w:sz w:val="14"/>
                <w:szCs w:val="14"/>
              </w:rPr>
              <w:t xml:space="preserve">The </w:t>
            </w:r>
            <w:r w:rsidRPr="00995F3E">
              <w:rPr>
                <w:rFonts w:cs="Arial"/>
                <w:bCs/>
                <w:i/>
                <w:iCs/>
                <w:sz w:val="14"/>
                <w:szCs w:val="14"/>
              </w:rPr>
              <w:t>Promising Strategies</w:t>
            </w:r>
            <w:r w:rsidRPr="00995F3E">
              <w:rPr>
                <w:rFonts w:cs="Arial"/>
                <w:bCs/>
                <w:sz w:val="14"/>
                <w:szCs w:val="14"/>
              </w:rPr>
              <w:t xml:space="preserve"> consist of promising sets of measures (‘</w:t>
            </w:r>
            <w:r w:rsidRPr="00995F3E">
              <w:rPr>
                <w:rFonts w:cs="Arial"/>
                <w:bCs/>
                <w:i/>
                <w:iCs/>
                <w:sz w:val="14"/>
                <w:szCs w:val="14"/>
              </w:rPr>
              <w:t>promising</w:t>
            </w:r>
            <w:r w:rsidRPr="00995F3E">
              <w:rPr>
                <w:rFonts w:cs="Arial"/>
                <w:bCs/>
                <w:sz w:val="14"/>
                <w:szCs w:val="14"/>
              </w:rPr>
              <w:t>’ means that objectives are achieved cost-effectively, with the maximum benefits possible) (</w:t>
            </w:r>
            <w:r w:rsidRPr="00995F3E">
              <w:rPr>
                <w:rFonts w:cs="Arial"/>
                <w:bCs/>
                <w:color w:val="7F7F7F" w:themeColor="text1" w:themeTint="80"/>
                <w:sz w:val="14"/>
                <w:szCs w:val="14"/>
              </w:rPr>
              <w:t xml:space="preserve">DP 2013, p.56; 94; </w:t>
            </w:r>
            <w:r w:rsidRPr="00995F3E">
              <w:rPr>
                <w:rFonts w:eastAsia="RijksoverheidSansText-Regular" w:cs="Arial"/>
                <w:bCs/>
                <w:color w:val="7F7F7F" w:themeColor="text1" w:themeTint="80"/>
                <w:sz w:val="14"/>
                <w:szCs w:val="14"/>
              </w:rPr>
              <w:t>2012, p.80</w:t>
            </w:r>
            <w:r w:rsidRPr="00995F3E">
              <w:rPr>
                <w:rFonts w:cs="Arial"/>
                <w:bCs/>
                <w:sz w:val="14"/>
                <w:szCs w:val="14"/>
              </w:rPr>
              <w:t>).</w:t>
            </w:r>
          </w:p>
          <w:p w14:paraId="61D7C65D"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Each Subprogramme developed its </w:t>
            </w:r>
            <w:r w:rsidRPr="00995F3E">
              <w:rPr>
                <w:rFonts w:cs="Arial"/>
                <w:bCs/>
                <w:i/>
                <w:iCs/>
                <w:sz w:val="14"/>
                <w:szCs w:val="14"/>
              </w:rPr>
              <w:t>Promising Strategies</w:t>
            </w:r>
            <w:r w:rsidRPr="00995F3E">
              <w:rPr>
                <w:rFonts w:cs="Arial"/>
                <w:bCs/>
                <w:sz w:val="14"/>
                <w:szCs w:val="14"/>
              </w:rPr>
              <w:t xml:space="preserve"> (for its region) in coordination with the other Subprogrammes. The </w:t>
            </w:r>
            <w:r w:rsidRPr="00995F3E">
              <w:rPr>
                <w:rFonts w:cs="Arial"/>
                <w:bCs/>
                <w:i/>
                <w:iCs/>
                <w:sz w:val="14"/>
                <w:szCs w:val="14"/>
              </w:rPr>
              <w:t>Promising Strategies</w:t>
            </w:r>
            <w:r w:rsidRPr="00995F3E">
              <w:rPr>
                <w:rFonts w:cs="Arial"/>
                <w:bCs/>
                <w:sz w:val="14"/>
                <w:szCs w:val="14"/>
              </w:rPr>
              <w:t xml:space="preserve"> were based on the </w:t>
            </w:r>
            <w:r w:rsidRPr="00995F3E">
              <w:rPr>
                <w:rFonts w:cs="Arial"/>
                <w:bCs/>
                <w:i/>
                <w:iCs/>
                <w:sz w:val="14"/>
                <w:szCs w:val="14"/>
              </w:rPr>
              <w:t>draft Delta Decisions</w:t>
            </w:r>
            <w:r w:rsidRPr="00995F3E">
              <w:rPr>
                <w:rFonts w:cs="Arial"/>
                <w:bCs/>
                <w:sz w:val="14"/>
                <w:szCs w:val="14"/>
              </w:rPr>
              <w:t>, but also provided input for them (</w:t>
            </w:r>
            <w:r w:rsidRPr="00995F3E">
              <w:rPr>
                <w:rFonts w:cs="Arial"/>
                <w:bCs/>
                <w:color w:val="7F7F7F" w:themeColor="text1" w:themeTint="80"/>
                <w:sz w:val="14"/>
                <w:szCs w:val="14"/>
              </w:rPr>
              <w:t>DP 2013, p.56</w:t>
            </w:r>
            <w:r w:rsidRPr="00995F3E">
              <w:rPr>
                <w:rFonts w:cs="Arial"/>
                <w:bCs/>
                <w:sz w:val="14"/>
                <w:szCs w:val="14"/>
              </w:rPr>
              <w:t xml:space="preserve">). </w:t>
            </w:r>
          </w:p>
          <w:p w14:paraId="2DE1C6E9" w14:textId="183D30E6" w:rsidR="00995F3E" w:rsidRPr="00995F3E" w:rsidRDefault="00995F3E" w:rsidP="00E74925">
            <w:pPr>
              <w:spacing w:after="60"/>
              <w:jc w:val="left"/>
              <w:rPr>
                <w:rFonts w:cs="Arial"/>
                <w:bCs/>
                <w:sz w:val="14"/>
                <w:szCs w:val="14"/>
              </w:rPr>
            </w:pPr>
            <w:r w:rsidRPr="00995F3E">
              <w:rPr>
                <w:rFonts w:cs="Arial"/>
                <w:bCs/>
                <w:sz w:val="14"/>
                <w:szCs w:val="14"/>
              </w:rPr>
              <w:t xml:space="preserve">In each of the </w:t>
            </w:r>
            <w:r w:rsidRPr="00995F3E">
              <w:rPr>
                <w:rFonts w:cs="Arial"/>
                <w:bCs/>
                <w:i/>
                <w:iCs/>
                <w:sz w:val="14"/>
                <w:szCs w:val="14"/>
              </w:rPr>
              <w:t>Promising Strategies</w:t>
            </w:r>
            <w:r w:rsidRPr="00995F3E">
              <w:rPr>
                <w:rFonts w:cs="Arial"/>
                <w:bCs/>
                <w:sz w:val="14"/>
                <w:szCs w:val="14"/>
              </w:rPr>
              <w:t xml:space="preserve">, the Subprogramme Team sought to design </w:t>
            </w:r>
            <w:r w:rsidRPr="00995F3E">
              <w:rPr>
                <w:rFonts w:cs="Arial"/>
                <w:bCs/>
                <w:i/>
                <w:iCs/>
                <w:sz w:val="14"/>
                <w:szCs w:val="14"/>
              </w:rPr>
              <w:t>development paths</w:t>
            </w:r>
            <w:r w:rsidRPr="00995F3E">
              <w:rPr>
                <w:rFonts w:cs="Arial"/>
                <w:bCs/>
                <w:sz w:val="14"/>
                <w:szCs w:val="14"/>
              </w:rPr>
              <w:t xml:space="preserve"> (later called </w:t>
            </w:r>
            <w:r w:rsidRPr="00995F3E">
              <w:rPr>
                <w:rFonts w:cs="Arial"/>
                <w:bCs/>
                <w:i/>
                <w:iCs/>
                <w:sz w:val="14"/>
                <w:szCs w:val="14"/>
              </w:rPr>
              <w:t>adaptation paths</w:t>
            </w:r>
            <w:r w:rsidRPr="00995F3E">
              <w:rPr>
                <w:rFonts w:cs="Arial"/>
                <w:bCs/>
                <w:sz w:val="14"/>
                <w:szCs w:val="14"/>
              </w:rPr>
              <w:t xml:space="preserve">, i.e. pathways), which implied analysing conditions under which it is advisable to move from a measure to another </w:t>
            </w:r>
            <w:r w:rsidRPr="00995F3E">
              <w:rPr>
                <w:rFonts w:cs="Arial"/>
                <w:bCs/>
                <w:strike/>
                <w:sz w:val="14"/>
                <w:szCs w:val="14"/>
              </w:rPr>
              <w:t>(ATPs)</w:t>
            </w:r>
            <w:r w:rsidRPr="00995F3E">
              <w:rPr>
                <w:rFonts w:cs="Arial"/>
                <w:bCs/>
                <w:sz w:val="14"/>
                <w:szCs w:val="14"/>
              </w:rPr>
              <w:t xml:space="preserve"> and how options could be kept open to allow future transitions </w:t>
            </w:r>
            <w:r w:rsidRPr="00995F3E">
              <w:rPr>
                <w:rFonts w:eastAsia="RijksoverheidSansText-Regular" w:cs="Arial"/>
                <w:bCs/>
                <w:color w:val="000000"/>
                <w:sz w:val="14"/>
                <w:szCs w:val="14"/>
              </w:rPr>
              <w:t>(</w:t>
            </w:r>
            <w:r w:rsidRPr="00995F3E">
              <w:rPr>
                <w:rFonts w:eastAsia="RijksoverheidSansText-Regular" w:cs="Arial"/>
                <w:bCs/>
                <w:color w:val="7F7F7F" w:themeColor="text1" w:themeTint="80"/>
                <w:sz w:val="14"/>
                <w:szCs w:val="14"/>
              </w:rPr>
              <w:t>DP 2012, p.81</w:t>
            </w:r>
            <w:r w:rsidRPr="00995F3E">
              <w:rPr>
                <w:rFonts w:eastAsia="RijksoverheidSansText-Regular" w:cs="Arial"/>
                <w:bCs/>
                <w:color w:val="000000"/>
                <w:sz w:val="14"/>
                <w:szCs w:val="14"/>
              </w:rPr>
              <w:t>).</w:t>
            </w:r>
            <w:r w:rsidRPr="00995F3E">
              <w:rPr>
                <w:rFonts w:cs="Arial"/>
                <w:bCs/>
                <w:sz w:val="14"/>
                <w:szCs w:val="14"/>
              </w:rPr>
              <w:t xml:space="preserve"> The development of </w:t>
            </w:r>
            <w:r w:rsidRPr="00995F3E">
              <w:rPr>
                <w:rFonts w:cs="Arial"/>
                <w:bCs/>
                <w:i/>
                <w:iCs/>
                <w:sz w:val="14"/>
                <w:szCs w:val="14"/>
              </w:rPr>
              <w:t>adaptation paths</w:t>
            </w:r>
            <w:r w:rsidRPr="00995F3E">
              <w:rPr>
                <w:rFonts w:cs="Arial"/>
                <w:bCs/>
                <w:sz w:val="14"/>
                <w:szCs w:val="14"/>
              </w:rPr>
              <w:t xml:space="preserve"> required: plotting concrete measures on a timeline, visualizing multiple options, and exploring when it will be necessary to shift from an option to another (</w:t>
            </w:r>
            <w:r w:rsidRPr="00995F3E">
              <w:rPr>
                <w:rFonts w:cs="Arial"/>
                <w:bCs/>
                <w:color w:val="7F7F7F" w:themeColor="text1" w:themeTint="80"/>
                <w:sz w:val="14"/>
                <w:szCs w:val="14"/>
              </w:rPr>
              <w:t>DP 2013, p.56</w:t>
            </w:r>
            <w:r w:rsidRPr="00995F3E">
              <w:rPr>
                <w:rFonts w:cs="Arial"/>
                <w:bCs/>
                <w:sz w:val="14"/>
                <w:szCs w:val="14"/>
              </w:rPr>
              <w:t xml:space="preserve">). </w:t>
            </w:r>
            <w:r w:rsidRPr="00995F3E">
              <w:rPr>
                <w:rFonts w:eastAsia="RijksoverheidSansText-Regular" w:cs="Arial"/>
                <w:bCs/>
                <w:color w:val="000000"/>
                <w:sz w:val="14"/>
                <w:szCs w:val="14"/>
              </w:rPr>
              <w:t xml:space="preserve">A </w:t>
            </w:r>
            <w:r w:rsidRPr="00995F3E">
              <w:rPr>
                <w:rFonts w:eastAsia="RijksoverheidSansText-Regular" w:cs="Arial"/>
                <w:bCs/>
                <w:i/>
                <w:iCs/>
                <w:color w:val="000000"/>
                <w:sz w:val="14"/>
                <w:szCs w:val="14"/>
              </w:rPr>
              <w:t>Promising Strategy</w:t>
            </w:r>
            <w:r w:rsidRPr="00995F3E">
              <w:rPr>
                <w:rFonts w:eastAsia="RijksoverheidSansText-Regular" w:cs="Arial"/>
                <w:bCs/>
                <w:color w:val="000000"/>
                <w:sz w:val="14"/>
                <w:szCs w:val="14"/>
              </w:rPr>
              <w:t xml:space="preserve"> identifies the objectives and describes concrete measures for the short-term and indicative measures for the long-term (including </w:t>
            </w:r>
            <w:r w:rsidRPr="00995F3E">
              <w:rPr>
                <w:rFonts w:eastAsia="RijksoverheidSansText-Regular" w:cs="Arial"/>
                <w:bCs/>
                <w:i/>
                <w:iCs/>
                <w:color w:val="000000"/>
                <w:sz w:val="14"/>
                <w:szCs w:val="14"/>
              </w:rPr>
              <w:t>options that need to be kept open</w:t>
            </w:r>
            <w:r w:rsidRPr="00995F3E">
              <w:rPr>
                <w:rFonts w:eastAsia="RijksoverheidSansText-Regular" w:cs="Arial"/>
                <w:bCs/>
                <w:color w:val="000000"/>
                <w:sz w:val="14"/>
                <w:szCs w:val="14"/>
              </w:rPr>
              <w:t xml:space="preserve">), and the resultant </w:t>
            </w:r>
            <w:r w:rsidRPr="00995F3E">
              <w:rPr>
                <w:rFonts w:eastAsia="RijksoverheidSansText-Regular" w:cs="Arial"/>
                <w:bCs/>
                <w:i/>
                <w:iCs/>
                <w:color w:val="000000"/>
                <w:sz w:val="14"/>
                <w:szCs w:val="14"/>
              </w:rPr>
              <w:t>development path</w:t>
            </w:r>
            <w:r w:rsidRPr="00995F3E">
              <w:rPr>
                <w:rFonts w:eastAsia="RijksoverheidSansText-Regular" w:cs="Arial"/>
                <w:bCs/>
                <w:color w:val="000000"/>
                <w:sz w:val="14"/>
                <w:szCs w:val="14"/>
              </w:rPr>
              <w:t xml:space="preserve"> in a schematic schedule (</w:t>
            </w:r>
            <w:r w:rsidRPr="00995F3E">
              <w:rPr>
                <w:rFonts w:eastAsia="RijksoverheidSansText-Regular" w:cs="Arial"/>
                <w:bCs/>
                <w:color w:val="7F7F7F" w:themeColor="text1" w:themeTint="80"/>
                <w:sz w:val="14"/>
                <w:szCs w:val="14"/>
              </w:rPr>
              <w:t>DP 2012, p.81</w:t>
            </w:r>
            <w:r w:rsidRPr="00995F3E">
              <w:rPr>
                <w:rFonts w:eastAsia="RijksoverheidSansText-Regular" w:cs="Arial"/>
                <w:bCs/>
                <w:color w:val="000000"/>
                <w:sz w:val="14"/>
                <w:szCs w:val="14"/>
              </w:rPr>
              <w:t xml:space="preserve">). </w:t>
            </w:r>
          </w:p>
          <w:p w14:paraId="4998AC6A" w14:textId="1C064409" w:rsidR="00995F3E" w:rsidRPr="00995F3E" w:rsidRDefault="00995F3E" w:rsidP="00E74925">
            <w:pPr>
              <w:spacing w:after="60"/>
              <w:jc w:val="left"/>
              <w:rPr>
                <w:rFonts w:cs="Arial"/>
                <w:bCs/>
                <w:sz w:val="14"/>
                <w:szCs w:val="14"/>
              </w:rPr>
            </w:pPr>
            <w:r w:rsidRPr="00995F3E">
              <w:rPr>
                <w:rFonts w:cs="Arial"/>
                <w:bCs/>
                <w:sz w:val="14"/>
                <w:szCs w:val="14"/>
              </w:rPr>
              <w:t>In specific, the year 2012/2013 consisted mainly of: 1) detailing and assessing measures and options (the Subprogrammes analysed which measures were promising to meet the objectives); 2) developing strategies, i.e. designing ‘</w:t>
            </w:r>
            <w:r w:rsidRPr="00995F3E">
              <w:rPr>
                <w:rFonts w:cs="Arial"/>
                <w:bCs/>
                <w:i/>
                <w:iCs/>
                <w:sz w:val="14"/>
                <w:szCs w:val="14"/>
              </w:rPr>
              <w:t>adaptation paths</w:t>
            </w:r>
            <w:r w:rsidRPr="00995F3E">
              <w:rPr>
                <w:rFonts w:cs="Arial"/>
                <w:bCs/>
                <w:sz w:val="14"/>
                <w:szCs w:val="14"/>
              </w:rPr>
              <w:t>’, and 3) appraising them (</w:t>
            </w:r>
            <w:r w:rsidRPr="00995F3E">
              <w:rPr>
                <w:rFonts w:cs="Arial"/>
                <w:bCs/>
                <w:color w:val="7F7F7F" w:themeColor="text1" w:themeTint="80"/>
                <w:sz w:val="14"/>
                <w:szCs w:val="14"/>
              </w:rPr>
              <w:t>Werners et al. 2016</w:t>
            </w:r>
            <w:r w:rsidRPr="00995F3E">
              <w:rPr>
                <w:rFonts w:cs="Arial"/>
                <w:bCs/>
                <w:sz w:val="14"/>
                <w:szCs w:val="14"/>
              </w:rPr>
              <w:t>). FRM measures were aggregated (</w:t>
            </w:r>
            <w:r w:rsidRPr="00995F3E">
              <w:rPr>
                <w:rFonts w:cs="Arial"/>
                <w:bCs/>
                <w:i/>
                <w:sz w:val="14"/>
                <w:szCs w:val="14"/>
              </w:rPr>
              <w:t>clustered</w:t>
            </w:r>
            <w:r w:rsidRPr="00995F3E">
              <w:rPr>
                <w:rFonts w:cs="Arial"/>
                <w:bCs/>
                <w:sz w:val="14"/>
                <w:szCs w:val="14"/>
              </w:rPr>
              <w:t>) and sequenced,</w:t>
            </w:r>
            <w:r w:rsidRPr="00995F3E">
              <w:rPr>
                <w:rFonts w:cs="Arial"/>
                <w:bCs/>
                <w:color w:val="C00000"/>
                <w:sz w:val="14"/>
                <w:szCs w:val="14"/>
              </w:rPr>
              <w:t xml:space="preserve"> </w:t>
            </w:r>
            <w:r w:rsidRPr="00995F3E">
              <w:rPr>
                <w:rFonts w:cs="Arial"/>
                <w:bCs/>
                <w:sz w:val="14"/>
                <w:szCs w:val="14"/>
              </w:rPr>
              <w:t xml:space="preserve">to produce several </w:t>
            </w:r>
            <w:r w:rsidRPr="00995F3E">
              <w:rPr>
                <w:rFonts w:cs="Arial"/>
                <w:bCs/>
                <w:i/>
                <w:iCs/>
                <w:sz w:val="14"/>
                <w:szCs w:val="14"/>
              </w:rPr>
              <w:t>adaptation paths</w:t>
            </w:r>
            <w:r w:rsidRPr="00995F3E">
              <w:rPr>
                <w:rFonts w:cs="Arial"/>
                <w:bCs/>
                <w:sz w:val="14"/>
                <w:szCs w:val="14"/>
              </w:rPr>
              <w:t xml:space="preserve">, as alternative strategies that may be progressively implemented according to the speed of CC effects, namely of SLR. For each </w:t>
            </w:r>
            <w:r w:rsidRPr="00995F3E">
              <w:rPr>
                <w:rFonts w:cs="Arial"/>
                <w:bCs/>
                <w:i/>
                <w:iCs/>
                <w:sz w:val="14"/>
                <w:szCs w:val="14"/>
              </w:rPr>
              <w:t>Strategy</w:t>
            </w:r>
            <w:r w:rsidRPr="00995F3E">
              <w:rPr>
                <w:rFonts w:cs="Arial"/>
                <w:bCs/>
                <w:sz w:val="14"/>
                <w:szCs w:val="14"/>
              </w:rPr>
              <w:t>, diverse FRM measures were studied in detail.</w:t>
            </w:r>
            <w:r w:rsidRPr="00995F3E">
              <w:rPr>
                <w:rFonts w:cs="Arial"/>
                <w:bCs/>
                <w:color w:val="C00000"/>
                <w:sz w:val="14"/>
                <w:szCs w:val="14"/>
              </w:rPr>
              <w:t xml:space="preserve"> </w:t>
            </w:r>
            <w:r w:rsidRPr="00995F3E">
              <w:rPr>
                <w:rFonts w:cs="Arial"/>
                <w:bCs/>
                <w:sz w:val="14"/>
                <w:szCs w:val="14"/>
              </w:rPr>
              <w:t xml:space="preserve">To assess the </w:t>
            </w:r>
            <w:r w:rsidRPr="00995F3E">
              <w:rPr>
                <w:rFonts w:cs="Arial"/>
                <w:bCs/>
                <w:i/>
                <w:iCs/>
                <w:sz w:val="14"/>
                <w:szCs w:val="14"/>
              </w:rPr>
              <w:t>paths</w:t>
            </w:r>
            <w:r w:rsidRPr="00995F3E">
              <w:rPr>
                <w:rFonts w:cs="Arial"/>
                <w:bCs/>
                <w:sz w:val="14"/>
                <w:szCs w:val="14"/>
              </w:rPr>
              <w:t xml:space="preserve"> (and their respective measures) several criteria (set by DP staff) were used (e.g. flood risk reduction, cost, opportunity for other functions, feasibility, trade-offs, etc.). The possible measures were assessed on these criteria, resulting in a subset of promising measures, with which the </w:t>
            </w:r>
            <w:r w:rsidRPr="00995F3E">
              <w:rPr>
                <w:rFonts w:cs="Arial"/>
                <w:bCs/>
                <w:i/>
                <w:iCs/>
                <w:sz w:val="14"/>
                <w:szCs w:val="14"/>
              </w:rPr>
              <w:t>Promising Strategy</w:t>
            </w:r>
            <w:r w:rsidRPr="00995F3E">
              <w:rPr>
                <w:rFonts w:cs="Arial"/>
                <w:bCs/>
                <w:sz w:val="14"/>
                <w:szCs w:val="14"/>
              </w:rPr>
              <w:t xml:space="preserve"> was built. Moreover, studies on possible site-specific measures (their qualitative effects), and quantitative modelling studies on measures’ performance and spatial effects, were conducted, whose results were essential to the cost-benefit and multi-criteria analyses. </w:t>
            </w:r>
          </w:p>
          <w:p w14:paraId="011B3B33" w14:textId="77777777" w:rsidR="00995F3E" w:rsidRPr="00995F3E" w:rsidRDefault="00995F3E" w:rsidP="00E74925">
            <w:pPr>
              <w:spacing w:after="60"/>
              <w:jc w:val="left"/>
              <w:rPr>
                <w:rFonts w:cs="Arial"/>
                <w:bCs/>
                <w:sz w:val="14"/>
                <w:szCs w:val="14"/>
              </w:rPr>
            </w:pPr>
            <w:r w:rsidRPr="00995F3E">
              <w:rPr>
                <w:rFonts w:cs="Arial"/>
                <w:bCs/>
                <w:sz w:val="14"/>
                <w:szCs w:val="14"/>
              </w:rPr>
              <w:t>Besides this, in 2012/2013, each Subprogramme continued to conduct research (which focussed on further exploring risks, adaptation and monitoring needs), and refine its research agenda (underlining the need to investigate adaptation options) (</w:t>
            </w:r>
            <w:r w:rsidRPr="00995F3E">
              <w:rPr>
                <w:rFonts w:cs="Arial"/>
                <w:bCs/>
                <w:color w:val="7F7F7F" w:themeColor="text1" w:themeTint="80"/>
                <w:sz w:val="14"/>
                <w:szCs w:val="14"/>
              </w:rPr>
              <w:t>Werners et al. 2016</w:t>
            </w:r>
            <w:r w:rsidRPr="00995F3E">
              <w:rPr>
                <w:rFonts w:cs="Arial"/>
                <w:bCs/>
                <w:sz w:val="14"/>
                <w:szCs w:val="14"/>
              </w:rPr>
              <w:t>).</w:t>
            </w:r>
          </w:p>
          <w:p w14:paraId="0CBABB18" w14:textId="77777777" w:rsidR="00995F3E" w:rsidRPr="00995F3E" w:rsidRDefault="00995F3E" w:rsidP="00E74925">
            <w:pPr>
              <w:spacing w:after="60"/>
              <w:jc w:val="left"/>
              <w:rPr>
                <w:rFonts w:cs="Arial"/>
                <w:bCs/>
                <w:sz w:val="14"/>
                <w:szCs w:val="14"/>
              </w:rPr>
            </w:pPr>
            <w:r w:rsidRPr="00995F3E">
              <w:rPr>
                <w:rFonts w:cs="Arial"/>
                <w:bCs/>
                <w:sz w:val="14"/>
                <w:szCs w:val="14"/>
              </w:rPr>
              <w:t>……….</w:t>
            </w:r>
          </w:p>
          <w:p w14:paraId="72A83799" w14:textId="376CC012" w:rsidR="00995F3E" w:rsidRPr="00995F3E" w:rsidRDefault="00995F3E" w:rsidP="00E74925">
            <w:pPr>
              <w:spacing w:after="60"/>
              <w:jc w:val="left"/>
              <w:rPr>
                <w:rFonts w:eastAsia="RijksoverheidSansText-Regular" w:cs="Arial"/>
                <w:bCs/>
                <w:color w:val="C00000"/>
                <w:sz w:val="14"/>
                <w:szCs w:val="14"/>
              </w:rPr>
            </w:pPr>
            <w:r w:rsidRPr="00995F3E">
              <w:rPr>
                <w:rFonts w:cs="Arial"/>
                <w:bCs/>
                <w:sz w:val="14"/>
                <w:szCs w:val="14"/>
              </w:rPr>
              <w:t xml:space="preserve">In line with ADM, various </w:t>
            </w:r>
            <w:r w:rsidRPr="00995F3E">
              <w:rPr>
                <w:rFonts w:cs="Arial"/>
                <w:bCs/>
                <w:i/>
                <w:iCs/>
                <w:sz w:val="14"/>
                <w:szCs w:val="14"/>
              </w:rPr>
              <w:t>adaptation paths</w:t>
            </w:r>
            <w:r w:rsidRPr="00995F3E">
              <w:rPr>
                <w:rFonts w:cs="Arial"/>
                <w:bCs/>
                <w:sz w:val="14"/>
                <w:szCs w:val="14"/>
              </w:rPr>
              <w:t xml:space="preserve"> were designed in each of the </w:t>
            </w:r>
            <w:r w:rsidRPr="00995F3E">
              <w:rPr>
                <w:rFonts w:cs="Arial"/>
                <w:bCs/>
                <w:i/>
                <w:iCs/>
                <w:sz w:val="14"/>
                <w:szCs w:val="14"/>
              </w:rPr>
              <w:t>Strategies</w:t>
            </w:r>
            <w:r w:rsidRPr="00995F3E">
              <w:rPr>
                <w:rFonts w:cs="Arial"/>
                <w:bCs/>
                <w:sz w:val="14"/>
                <w:szCs w:val="14"/>
              </w:rPr>
              <w:t xml:space="preserve"> elaborated (</w:t>
            </w:r>
            <w:r w:rsidRPr="00995F3E">
              <w:rPr>
                <w:rFonts w:cs="Arial"/>
                <w:bCs/>
                <w:color w:val="7F7F7F" w:themeColor="text1" w:themeTint="80"/>
                <w:sz w:val="14"/>
                <w:szCs w:val="14"/>
              </w:rPr>
              <w:t>DP 2012, p.81</w:t>
            </w:r>
            <w:r w:rsidRPr="00995F3E">
              <w:rPr>
                <w:rFonts w:cs="Arial"/>
                <w:bCs/>
                <w:sz w:val="14"/>
                <w:szCs w:val="14"/>
              </w:rPr>
              <w:t>).</w:t>
            </w:r>
            <w:r w:rsidRPr="00995F3E">
              <w:rPr>
                <w:rFonts w:cs="Arial"/>
                <w:bCs/>
                <w:color w:val="231F20"/>
                <w:sz w:val="14"/>
                <w:szCs w:val="14"/>
              </w:rPr>
              <w:t xml:space="preserve"> </w:t>
            </w:r>
            <w:r w:rsidRPr="00995F3E">
              <w:rPr>
                <w:rFonts w:cs="Arial"/>
                <w:bCs/>
                <w:sz w:val="14"/>
                <w:szCs w:val="14"/>
              </w:rPr>
              <w:t xml:space="preserve">Each </w:t>
            </w:r>
            <w:r w:rsidRPr="00995F3E">
              <w:rPr>
                <w:rFonts w:cs="Arial"/>
                <w:bCs/>
                <w:i/>
                <w:iCs/>
                <w:sz w:val="14"/>
                <w:szCs w:val="14"/>
              </w:rPr>
              <w:t>Preferential Strategy</w:t>
            </w:r>
            <w:r w:rsidRPr="00995F3E">
              <w:rPr>
                <w:rFonts w:cs="Arial"/>
                <w:bCs/>
                <w:sz w:val="14"/>
                <w:szCs w:val="14"/>
              </w:rPr>
              <w:t xml:space="preserve"> presents a map of ‘</w:t>
            </w:r>
            <w:r w:rsidRPr="00995F3E">
              <w:rPr>
                <w:rFonts w:cs="Arial"/>
                <w:bCs/>
                <w:i/>
                <w:iCs/>
                <w:sz w:val="14"/>
                <w:szCs w:val="14"/>
              </w:rPr>
              <w:t>adaptation path(s)</w:t>
            </w:r>
            <w:r w:rsidRPr="00995F3E">
              <w:rPr>
                <w:rFonts w:cs="Arial"/>
                <w:bCs/>
                <w:sz w:val="14"/>
                <w:szCs w:val="14"/>
              </w:rPr>
              <w:t>’</w:t>
            </w:r>
            <w:r w:rsidRPr="00995F3E">
              <w:rPr>
                <w:rFonts w:eastAsia="RijksoverheidSansText-Regular" w:cs="Arial"/>
                <w:bCs/>
                <w:sz w:val="14"/>
                <w:szCs w:val="14"/>
              </w:rPr>
              <w:t>, which provides a schematic overview</w:t>
            </w:r>
            <w:r w:rsidRPr="00995F3E">
              <w:rPr>
                <w:rFonts w:eastAsia="RijksoverheidSansText-Regular" w:cs="Arial"/>
                <w:bCs/>
                <w:i/>
                <w:iCs/>
                <w:sz w:val="14"/>
                <w:szCs w:val="14"/>
              </w:rPr>
              <w:t xml:space="preserve"> </w:t>
            </w:r>
            <w:r w:rsidRPr="00995F3E">
              <w:rPr>
                <w:rFonts w:eastAsia="RijksoverheidSansText-Regular" w:cs="Arial"/>
                <w:bCs/>
                <w:sz w:val="14"/>
                <w:szCs w:val="14"/>
              </w:rPr>
              <w:t>of the measures needed in a region</w:t>
            </w:r>
            <w:r w:rsidRPr="00995F3E">
              <w:rPr>
                <w:rFonts w:eastAsia="RijksoverheidSansText-Regular" w:cs="Arial"/>
                <w:bCs/>
                <w:color w:val="000000"/>
                <w:sz w:val="14"/>
                <w:szCs w:val="14"/>
              </w:rPr>
              <w:t xml:space="preserve">. </w:t>
            </w:r>
            <w:r w:rsidRPr="00995F3E">
              <w:rPr>
                <w:rFonts w:eastAsia="RijksoverheidSansText-Regular" w:cs="Arial"/>
                <w:bCs/>
                <w:sz w:val="14"/>
                <w:szCs w:val="14"/>
              </w:rPr>
              <w:t xml:space="preserve">The map shows, from the </w:t>
            </w:r>
            <w:r w:rsidRPr="00995F3E">
              <w:rPr>
                <w:rFonts w:eastAsia="RijksoverheidSansText-Regular" w:cs="Arial"/>
                <w:bCs/>
                <w:sz w:val="14"/>
                <w:szCs w:val="14"/>
              </w:rPr>
              <w:lastRenderedPageBreak/>
              <w:t>current situation and moving ahead into the future, the various measures available for the short-term and possible options for the mid- and long-term (e.g. possible adjustments / adaptations that may be necessary in strategies), and indicates the conditions under which it is advisable to shift from a strategy (or measure) to another (</w:t>
            </w:r>
            <w:r w:rsidRPr="00995F3E">
              <w:rPr>
                <w:rFonts w:eastAsia="RijksoverheidSansText-Regular" w:cs="Arial"/>
                <w:bCs/>
                <w:color w:val="7F7F7F" w:themeColor="text1" w:themeTint="80"/>
                <w:sz w:val="14"/>
                <w:szCs w:val="14"/>
              </w:rPr>
              <w:t xml:space="preserve">DP 2011, p.48;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al.2016, p.205</w:t>
            </w:r>
            <w:r w:rsidRPr="00995F3E">
              <w:rPr>
                <w:rFonts w:eastAsia="RijksoverheidSansText-Regular" w:cs="Arial"/>
                <w:bCs/>
                <w:sz w:val="14"/>
                <w:szCs w:val="14"/>
              </w:rPr>
              <w:t xml:space="preserve">). </w:t>
            </w:r>
          </w:p>
          <w:p w14:paraId="3A69D08C" w14:textId="7F57A106" w:rsidR="00995F3E" w:rsidRPr="00995F3E" w:rsidRDefault="00995F3E" w:rsidP="00E74925">
            <w:pPr>
              <w:spacing w:after="60"/>
              <w:jc w:val="left"/>
              <w:rPr>
                <w:rFonts w:cs="Arial"/>
                <w:bCs/>
                <w:i/>
                <w:iCs/>
                <w:sz w:val="14"/>
                <w:szCs w:val="14"/>
              </w:rPr>
            </w:pPr>
            <w:r w:rsidRPr="00995F3E">
              <w:rPr>
                <w:rFonts w:cs="Arial"/>
                <w:bCs/>
                <w:sz w:val="14"/>
                <w:szCs w:val="14"/>
              </w:rPr>
              <w:t xml:space="preserve">A key feature of the </w:t>
            </w:r>
            <w:r w:rsidRPr="00995F3E">
              <w:rPr>
                <w:rFonts w:cs="Arial"/>
                <w:bCs/>
                <w:i/>
                <w:iCs/>
                <w:sz w:val="14"/>
                <w:szCs w:val="14"/>
              </w:rPr>
              <w:t>Preferential Strategies</w:t>
            </w:r>
            <w:r w:rsidRPr="00995F3E">
              <w:rPr>
                <w:rFonts w:cs="Arial"/>
                <w:bCs/>
                <w:sz w:val="14"/>
                <w:szCs w:val="14"/>
              </w:rPr>
              <w:t xml:space="preserve"> (and </w:t>
            </w:r>
            <w:r w:rsidRPr="00995F3E">
              <w:rPr>
                <w:rFonts w:cs="Arial"/>
                <w:bCs/>
                <w:i/>
                <w:iCs/>
                <w:sz w:val="14"/>
                <w:szCs w:val="14"/>
              </w:rPr>
              <w:t>Delta Decisions</w:t>
            </w:r>
            <w:r w:rsidRPr="00995F3E">
              <w:rPr>
                <w:rFonts w:cs="Arial"/>
                <w:bCs/>
                <w:sz w:val="14"/>
                <w:szCs w:val="14"/>
              </w:rPr>
              <w:t>) is that ‘</w:t>
            </w:r>
            <w:r w:rsidRPr="00995F3E">
              <w:rPr>
                <w:rFonts w:cs="Arial"/>
                <w:bCs/>
                <w:i/>
                <w:iCs/>
                <w:sz w:val="14"/>
                <w:szCs w:val="14"/>
              </w:rPr>
              <w:t>it should be possible to take additional measures in the long term (after 2050) to address the challenges following from climatological and socioeconomic developments</w:t>
            </w:r>
            <w:r w:rsidRPr="00995F3E">
              <w:rPr>
                <w:rFonts w:cs="Arial"/>
                <w:bCs/>
                <w:sz w:val="14"/>
                <w:szCs w:val="14"/>
              </w:rPr>
              <w:t xml:space="preserve">’, and </w:t>
            </w:r>
            <w:r w:rsidRPr="00995F3E">
              <w:rPr>
                <w:rFonts w:cs="Arial"/>
                <w:bCs/>
                <w:i/>
                <w:iCs/>
                <w:sz w:val="14"/>
                <w:szCs w:val="14"/>
              </w:rPr>
              <w:t>‘the options for these</w:t>
            </w:r>
            <w:r w:rsidRPr="00995F3E">
              <w:rPr>
                <w:rFonts w:cs="Arial"/>
                <w:bCs/>
                <w:sz w:val="14"/>
                <w:szCs w:val="14"/>
              </w:rPr>
              <w:t>’</w:t>
            </w:r>
            <w:r w:rsidRPr="00995F3E">
              <w:rPr>
                <w:rFonts w:cs="Arial"/>
                <w:bCs/>
                <w:i/>
                <w:iCs/>
                <w:sz w:val="14"/>
                <w:szCs w:val="14"/>
              </w:rPr>
              <w:t xml:space="preserve"> </w:t>
            </w:r>
            <w:r w:rsidRPr="00995F3E">
              <w:rPr>
                <w:rFonts w:cs="Arial"/>
                <w:bCs/>
                <w:sz w:val="14"/>
                <w:szCs w:val="14"/>
              </w:rPr>
              <w:t>should be ready and</w:t>
            </w:r>
            <w:r w:rsidRPr="00995F3E">
              <w:rPr>
                <w:rFonts w:cs="Arial"/>
                <w:bCs/>
                <w:i/>
                <w:iCs/>
                <w:sz w:val="14"/>
                <w:szCs w:val="14"/>
              </w:rPr>
              <w:t xml:space="preserve"> ‘included in the adaptation paths of the Preferential Strategies</w:t>
            </w:r>
            <w:r w:rsidRPr="00995F3E">
              <w:rPr>
                <w:rFonts w:cs="Arial"/>
                <w:bCs/>
                <w:sz w:val="14"/>
                <w:szCs w:val="14"/>
              </w:rPr>
              <w:t>’ (</w:t>
            </w:r>
            <w:r w:rsidRPr="00995F3E">
              <w:rPr>
                <w:rFonts w:cs="Arial"/>
                <w:bCs/>
                <w:color w:val="7F7F7F" w:themeColor="text1" w:themeTint="80"/>
                <w:sz w:val="14"/>
                <w:szCs w:val="14"/>
              </w:rPr>
              <w:t>DP 2014, p.148</w:t>
            </w:r>
            <w:r w:rsidRPr="00995F3E">
              <w:rPr>
                <w:rFonts w:cs="Arial"/>
                <w:bCs/>
                <w:sz w:val="14"/>
                <w:szCs w:val="14"/>
              </w:rPr>
              <w:t>).</w:t>
            </w:r>
            <w:r w:rsidRPr="00995F3E">
              <w:rPr>
                <w:rFonts w:cs="Arial"/>
                <w:bCs/>
                <w:i/>
                <w:iCs/>
                <w:sz w:val="14"/>
                <w:szCs w:val="14"/>
              </w:rPr>
              <w:t xml:space="preserve"> </w:t>
            </w:r>
            <w:r w:rsidRPr="00995F3E">
              <w:rPr>
                <w:rFonts w:cs="Arial"/>
                <w:bCs/>
                <w:sz w:val="14"/>
                <w:szCs w:val="14"/>
              </w:rPr>
              <w:t>Depending on future developments, it may be necessary to reconsider the options for long-term. To be able to take other measures after 2050, these must be considered in spatial policy, which implied the designation of ‘</w:t>
            </w:r>
            <w:r w:rsidRPr="00995F3E">
              <w:rPr>
                <w:rFonts w:cs="Arial"/>
                <w:bCs/>
                <w:i/>
                <w:iCs/>
                <w:sz w:val="14"/>
                <w:szCs w:val="14"/>
              </w:rPr>
              <w:t>spatial and policy-based reservations</w:t>
            </w:r>
            <w:r w:rsidRPr="00995F3E">
              <w:rPr>
                <w:rFonts w:cs="Arial"/>
                <w:bCs/>
                <w:sz w:val="14"/>
                <w:szCs w:val="14"/>
              </w:rPr>
              <w:t>’ for long-term options (</w:t>
            </w:r>
            <w:r w:rsidRPr="00995F3E">
              <w:rPr>
                <w:rFonts w:cs="Arial"/>
                <w:bCs/>
                <w:color w:val="7F7F7F" w:themeColor="text1" w:themeTint="80"/>
                <w:sz w:val="14"/>
                <w:szCs w:val="14"/>
              </w:rPr>
              <w:t>DP 2014, p.148-149</w:t>
            </w:r>
            <w:r w:rsidRPr="00995F3E">
              <w:rPr>
                <w:rFonts w:cs="Arial"/>
                <w:bCs/>
                <w:sz w:val="14"/>
                <w:szCs w:val="14"/>
              </w:rPr>
              <w:t xml:space="preserve">). </w:t>
            </w:r>
          </w:p>
          <w:p w14:paraId="08725292" w14:textId="5FC96840" w:rsidR="00995F3E" w:rsidRPr="00995F3E" w:rsidRDefault="00995F3E" w:rsidP="00E74925">
            <w:pPr>
              <w:spacing w:after="60"/>
              <w:jc w:val="left"/>
              <w:rPr>
                <w:rFonts w:cs="Arial"/>
                <w:bCs/>
                <w:sz w:val="14"/>
                <w:szCs w:val="14"/>
              </w:rPr>
            </w:pPr>
            <w:r w:rsidRPr="00995F3E">
              <w:rPr>
                <w:rFonts w:cs="Arial"/>
                <w:bCs/>
                <w:sz w:val="14"/>
                <w:szCs w:val="14"/>
              </w:rPr>
              <w:t>The Teams sought to maintain the possibility of taking new measures in the long-term, presenting them in the ‘</w:t>
            </w:r>
            <w:r w:rsidRPr="00995F3E">
              <w:rPr>
                <w:rFonts w:cs="Arial"/>
                <w:bCs/>
                <w:i/>
                <w:iCs/>
                <w:sz w:val="14"/>
                <w:szCs w:val="14"/>
              </w:rPr>
              <w:t xml:space="preserve">adaptation path’ </w:t>
            </w:r>
            <w:r w:rsidRPr="00995F3E">
              <w:rPr>
                <w:rFonts w:cs="Arial"/>
                <w:bCs/>
                <w:sz w:val="14"/>
                <w:szCs w:val="14"/>
              </w:rPr>
              <w:t xml:space="preserve">of each </w:t>
            </w:r>
            <w:r w:rsidRPr="00995F3E">
              <w:rPr>
                <w:rFonts w:cs="Arial"/>
                <w:bCs/>
                <w:i/>
                <w:iCs/>
                <w:sz w:val="14"/>
                <w:szCs w:val="14"/>
              </w:rPr>
              <w:t>Preferential Strategy</w:t>
            </w:r>
            <w:r w:rsidRPr="00995F3E">
              <w:rPr>
                <w:rFonts w:cs="Arial"/>
                <w:bCs/>
                <w:sz w:val="14"/>
                <w:szCs w:val="14"/>
              </w:rPr>
              <w:t xml:space="preserve">. Each </w:t>
            </w:r>
            <w:r w:rsidRPr="00995F3E">
              <w:rPr>
                <w:rFonts w:cs="Arial"/>
                <w:bCs/>
                <w:i/>
                <w:iCs/>
                <w:sz w:val="14"/>
                <w:szCs w:val="14"/>
              </w:rPr>
              <w:t>path</w:t>
            </w:r>
            <w:r w:rsidRPr="00995F3E">
              <w:rPr>
                <w:rFonts w:cs="Arial"/>
                <w:bCs/>
                <w:sz w:val="14"/>
                <w:szCs w:val="14"/>
              </w:rPr>
              <w:t xml:space="preserve"> contains options for the long-term that are intentionally kept open due to uncertain future climatic and socioeconomic conditions. These options, and the possibility of keeping them open, will be subjected to scheduled reassessments over time (</w:t>
            </w:r>
            <w:r w:rsidRPr="00995F3E">
              <w:rPr>
                <w:rFonts w:cs="Arial"/>
                <w:bCs/>
                <w:color w:val="7F7F7F" w:themeColor="text1" w:themeTint="80"/>
                <w:sz w:val="14"/>
                <w:szCs w:val="14"/>
              </w:rPr>
              <w:t>Petersen and Bloemen 2015</w:t>
            </w:r>
            <w:r w:rsidRPr="00995F3E">
              <w:rPr>
                <w:rFonts w:cs="Arial"/>
                <w:bCs/>
                <w:sz w:val="14"/>
                <w:szCs w:val="14"/>
              </w:rPr>
              <w:t>).</w:t>
            </w:r>
          </w:p>
          <w:p w14:paraId="4DFAAAE0" w14:textId="2FEC9FCF" w:rsidR="00995F3E" w:rsidRPr="00995F3E" w:rsidRDefault="00995F3E" w:rsidP="00E74925">
            <w:pPr>
              <w:spacing w:after="60"/>
              <w:jc w:val="left"/>
              <w:rPr>
                <w:rFonts w:eastAsia="RijksoverheidSansText-Regular" w:cs="Arial"/>
                <w:bCs/>
                <w:color w:val="C00000"/>
                <w:sz w:val="14"/>
                <w:szCs w:val="14"/>
              </w:rPr>
            </w:pPr>
            <w:r w:rsidRPr="00995F3E">
              <w:rPr>
                <w:rFonts w:cs="Arial"/>
                <w:bCs/>
                <w:sz w:val="14"/>
                <w:szCs w:val="14"/>
              </w:rPr>
              <w:t>The DP also envisioned (short-term) measures to enable / prepare options for the long-term, e.g. ‘reserving space now’ (e.g. for dyke realignments, bypasses, or water retention), and large-scale interventions should not occur until they are inevitable (</w:t>
            </w:r>
            <w:r w:rsidRPr="00995F3E">
              <w:rPr>
                <w:rFonts w:cs="Arial"/>
                <w:bCs/>
                <w:color w:val="7F7F7F" w:themeColor="text1" w:themeTint="80"/>
                <w:sz w:val="14"/>
                <w:szCs w:val="14"/>
              </w:rPr>
              <w:t>DP 2014, p.136</w:t>
            </w:r>
            <w:r w:rsidRPr="00995F3E">
              <w:rPr>
                <w:rFonts w:cs="Arial"/>
                <w:bCs/>
                <w:sz w:val="14"/>
                <w:szCs w:val="14"/>
              </w:rPr>
              <w:t xml:space="preserve">). </w:t>
            </w:r>
          </w:p>
          <w:p w14:paraId="247A3A07" w14:textId="62E719B1" w:rsidR="00995F3E" w:rsidRPr="00995F3E" w:rsidRDefault="00995F3E" w:rsidP="00E74925">
            <w:pPr>
              <w:spacing w:after="60"/>
              <w:jc w:val="left"/>
              <w:rPr>
                <w:rFonts w:cs="Arial"/>
                <w:bCs/>
                <w:sz w:val="14"/>
                <w:szCs w:val="14"/>
              </w:rPr>
            </w:pPr>
            <w:r w:rsidRPr="00995F3E">
              <w:rPr>
                <w:rFonts w:cs="Arial"/>
                <w:bCs/>
                <w:sz w:val="14"/>
                <w:szCs w:val="14"/>
              </w:rPr>
              <w:t xml:space="preserve">The </w:t>
            </w:r>
            <w:r w:rsidRPr="00995F3E">
              <w:rPr>
                <w:rFonts w:cs="Arial"/>
                <w:bCs/>
                <w:i/>
                <w:iCs/>
                <w:sz w:val="14"/>
                <w:szCs w:val="14"/>
              </w:rPr>
              <w:t>adaptation paths</w:t>
            </w:r>
            <w:r w:rsidRPr="00995F3E">
              <w:rPr>
                <w:rFonts w:cs="Arial"/>
                <w:bCs/>
                <w:sz w:val="14"/>
                <w:szCs w:val="14"/>
              </w:rPr>
              <w:t xml:space="preserve"> designed were assessed under different scenarios. </w:t>
            </w:r>
            <w:r w:rsidRPr="00995F3E">
              <w:rPr>
                <w:rFonts w:cs="Arial"/>
                <w:bCs/>
                <w:i/>
                <w:iCs/>
                <w:sz w:val="14"/>
                <w:szCs w:val="14"/>
              </w:rPr>
              <w:t>Strategies</w:t>
            </w:r>
            <w:r w:rsidRPr="00995F3E">
              <w:rPr>
                <w:rFonts w:cs="Arial"/>
                <w:bCs/>
                <w:color w:val="C00000"/>
                <w:sz w:val="14"/>
                <w:szCs w:val="14"/>
              </w:rPr>
              <w:t xml:space="preserve"> </w:t>
            </w:r>
            <w:r w:rsidRPr="00995F3E">
              <w:rPr>
                <w:rFonts w:cs="Arial"/>
                <w:bCs/>
                <w:sz w:val="14"/>
                <w:szCs w:val="14"/>
              </w:rPr>
              <w:t xml:space="preserve">had to be flexible in terms </w:t>
            </w:r>
            <w:proofErr w:type="gramStart"/>
            <w:r w:rsidRPr="00995F3E">
              <w:rPr>
                <w:rFonts w:cs="Arial"/>
                <w:bCs/>
                <w:sz w:val="14"/>
                <w:szCs w:val="14"/>
              </w:rPr>
              <w:t>of:</w:t>
            </w:r>
            <w:proofErr w:type="gramEnd"/>
            <w:r w:rsidRPr="00995F3E">
              <w:rPr>
                <w:rFonts w:cs="Arial"/>
                <w:bCs/>
                <w:sz w:val="14"/>
                <w:szCs w:val="14"/>
              </w:rPr>
              <w:t xml:space="preserve"> timing (possibility of postponing or advancing measures in time), possibility of choosing another measure or strategy, and avoidance of lock-ins. The </w:t>
            </w:r>
            <w:r w:rsidRPr="00995F3E">
              <w:rPr>
                <w:rFonts w:cs="Arial"/>
                <w:bCs/>
                <w:i/>
                <w:iCs/>
                <w:sz w:val="14"/>
                <w:szCs w:val="14"/>
              </w:rPr>
              <w:t>path</w:t>
            </w:r>
            <w:r w:rsidRPr="00995F3E">
              <w:rPr>
                <w:rFonts w:cs="Arial"/>
                <w:bCs/>
                <w:sz w:val="14"/>
                <w:szCs w:val="14"/>
              </w:rPr>
              <w:t>s were also assessed on their adequacy to context (physical, socioeconomic, and institutional) (</w:t>
            </w:r>
            <w:r w:rsidRPr="00995F3E">
              <w:rPr>
                <w:rFonts w:cs="Arial"/>
                <w:bCs/>
                <w:color w:val="7F7F7F" w:themeColor="text1" w:themeTint="80"/>
                <w:sz w:val="14"/>
                <w:szCs w:val="14"/>
              </w:rPr>
              <w:t>Zandvoort et al. 2018, p.191</w:t>
            </w:r>
            <w:r w:rsidRPr="00995F3E">
              <w:rPr>
                <w:rFonts w:cs="Arial"/>
                <w:bCs/>
                <w:sz w:val="14"/>
                <w:szCs w:val="14"/>
              </w:rPr>
              <w:t>).</w:t>
            </w:r>
          </w:p>
          <w:p w14:paraId="2535635D" w14:textId="56D18EB0" w:rsidR="00995F3E" w:rsidRPr="00995F3E" w:rsidRDefault="00995F3E" w:rsidP="00E74925">
            <w:pPr>
              <w:spacing w:after="60"/>
              <w:jc w:val="left"/>
              <w:rPr>
                <w:rFonts w:eastAsia="RijksoverheidSansText-Regular" w:cs="Arial"/>
                <w:bCs/>
                <w:sz w:val="14"/>
                <w:szCs w:val="14"/>
              </w:rPr>
            </w:pPr>
            <w:r w:rsidRPr="00995F3E">
              <w:rPr>
                <w:rFonts w:cs="Arial"/>
                <w:bCs/>
                <w:sz w:val="14"/>
                <w:szCs w:val="14"/>
              </w:rPr>
              <w:t xml:space="preserve">The </w:t>
            </w:r>
            <w:r w:rsidRPr="00995F3E">
              <w:rPr>
                <w:rFonts w:cs="Arial"/>
                <w:bCs/>
                <w:i/>
                <w:iCs/>
                <w:sz w:val="14"/>
                <w:szCs w:val="14"/>
              </w:rPr>
              <w:t>Preferential Strategies</w:t>
            </w:r>
            <w:r w:rsidRPr="00995F3E">
              <w:rPr>
                <w:rFonts w:cs="Arial"/>
                <w:bCs/>
                <w:sz w:val="14"/>
                <w:szCs w:val="14"/>
              </w:rPr>
              <w:t xml:space="preserve"> needed to </w:t>
            </w:r>
            <w:proofErr w:type="gramStart"/>
            <w:r w:rsidRPr="00995F3E">
              <w:rPr>
                <w:rFonts w:cs="Arial"/>
                <w:bCs/>
                <w:sz w:val="14"/>
                <w:szCs w:val="14"/>
              </w:rPr>
              <w:t>be:</w:t>
            </w:r>
            <w:proofErr w:type="gramEnd"/>
            <w:r w:rsidRPr="00995F3E">
              <w:rPr>
                <w:rFonts w:cs="Arial"/>
                <w:bCs/>
                <w:sz w:val="14"/>
                <w:szCs w:val="14"/>
              </w:rPr>
              <w:t xml:space="preserve"> </w:t>
            </w:r>
            <w:r w:rsidRPr="00995F3E">
              <w:rPr>
                <w:rFonts w:cs="Arial"/>
                <w:bCs/>
                <w:i/>
                <w:iCs/>
                <w:sz w:val="14"/>
                <w:szCs w:val="14"/>
              </w:rPr>
              <w:t>robust</w:t>
            </w:r>
            <w:r w:rsidRPr="00995F3E">
              <w:rPr>
                <w:rFonts w:cs="Arial"/>
                <w:bCs/>
                <w:sz w:val="14"/>
                <w:szCs w:val="14"/>
              </w:rPr>
              <w:t xml:space="preserve"> (i.e. objectives should be achieved with the </w:t>
            </w:r>
            <w:r w:rsidRPr="00995F3E">
              <w:rPr>
                <w:rFonts w:cs="Arial"/>
                <w:bCs/>
                <w:i/>
                <w:iCs/>
                <w:sz w:val="14"/>
                <w:szCs w:val="14"/>
              </w:rPr>
              <w:t>Strategy</w:t>
            </w:r>
            <w:r w:rsidRPr="00995F3E">
              <w:rPr>
                <w:rFonts w:cs="Arial"/>
                <w:bCs/>
                <w:sz w:val="14"/>
                <w:szCs w:val="14"/>
              </w:rPr>
              <w:t xml:space="preserve"> under all </w:t>
            </w:r>
            <w:r w:rsidRPr="00995F3E">
              <w:rPr>
                <w:rFonts w:cs="Arial"/>
                <w:bCs/>
                <w:i/>
                <w:iCs/>
                <w:sz w:val="14"/>
                <w:szCs w:val="14"/>
              </w:rPr>
              <w:t>Delta Scenarios</w:t>
            </w:r>
            <w:r w:rsidRPr="00995F3E">
              <w:rPr>
                <w:rFonts w:cs="Arial"/>
                <w:bCs/>
                <w:sz w:val="14"/>
                <w:szCs w:val="14"/>
              </w:rPr>
              <w:t xml:space="preserve">) and </w:t>
            </w:r>
            <w:r w:rsidRPr="00995F3E">
              <w:rPr>
                <w:rFonts w:cs="Arial"/>
                <w:bCs/>
                <w:i/>
                <w:iCs/>
                <w:sz w:val="14"/>
                <w:szCs w:val="14"/>
              </w:rPr>
              <w:t>flexible</w:t>
            </w:r>
            <w:r w:rsidRPr="00995F3E">
              <w:rPr>
                <w:rFonts w:cs="Arial"/>
                <w:bCs/>
                <w:sz w:val="14"/>
                <w:szCs w:val="14"/>
              </w:rPr>
              <w:t xml:space="preserve"> (i.e. the Strategy, or its measures, could be sped up or slowed down and it should be possible to change to a different strategy / measure, if necessary) (</w:t>
            </w:r>
            <w:r w:rsidRPr="00995F3E">
              <w:rPr>
                <w:rFonts w:cs="Arial"/>
                <w:bCs/>
                <w:color w:val="7F7F7F" w:themeColor="text1" w:themeTint="80"/>
                <w:sz w:val="14"/>
                <w:szCs w:val="14"/>
              </w:rPr>
              <w:t>DP 2013, p.94</w:t>
            </w:r>
            <w:r w:rsidRPr="00995F3E">
              <w:rPr>
                <w:rFonts w:cs="Arial"/>
                <w:bCs/>
                <w:sz w:val="14"/>
                <w:szCs w:val="14"/>
              </w:rPr>
              <w:t>). Flexibility is, thus, provided</w:t>
            </w:r>
            <w:r w:rsidRPr="00995F3E">
              <w:rPr>
                <w:rFonts w:cs="Arial"/>
                <w:bCs/>
                <w:i/>
                <w:iCs/>
                <w:sz w:val="14"/>
                <w:szCs w:val="14"/>
              </w:rPr>
              <w:t xml:space="preserve"> ‘through the types of measures selected, by leaving options for adjustment or switching to other measures open for the future; in this way, measures can be adjusted to new insights and circumstances</w:t>
            </w:r>
            <w:r w:rsidRPr="00995F3E">
              <w:rPr>
                <w:rFonts w:cs="Arial"/>
                <w:bCs/>
                <w:sz w:val="14"/>
                <w:szCs w:val="14"/>
              </w:rPr>
              <w:t>’ (</w:t>
            </w:r>
            <w:r w:rsidRPr="00995F3E">
              <w:rPr>
                <w:rFonts w:cs="Arial"/>
                <w:bCs/>
                <w:color w:val="7F7F7F" w:themeColor="text1" w:themeTint="80"/>
                <w:sz w:val="14"/>
                <w:szCs w:val="14"/>
              </w:rPr>
              <w:t>DP 2014, p.169</w:t>
            </w:r>
            <w:r w:rsidRPr="00995F3E">
              <w:rPr>
                <w:rFonts w:cs="Arial"/>
                <w:bCs/>
                <w:sz w:val="14"/>
                <w:szCs w:val="14"/>
              </w:rPr>
              <w:t xml:space="preserve">). </w:t>
            </w:r>
          </w:p>
          <w:p w14:paraId="0C31A85A"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The </w:t>
            </w:r>
            <w:r w:rsidRPr="00995F3E">
              <w:rPr>
                <w:rFonts w:cs="Arial"/>
                <w:bCs/>
                <w:i/>
                <w:iCs/>
                <w:sz w:val="14"/>
                <w:szCs w:val="14"/>
              </w:rPr>
              <w:t>Preferential Strategies</w:t>
            </w:r>
            <w:r w:rsidRPr="00995F3E">
              <w:rPr>
                <w:rFonts w:cs="Arial"/>
                <w:bCs/>
                <w:sz w:val="14"/>
                <w:szCs w:val="14"/>
              </w:rPr>
              <w:t xml:space="preserve"> were developed </w:t>
            </w:r>
            <w:proofErr w:type="gramStart"/>
            <w:r w:rsidRPr="00995F3E">
              <w:rPr>
                <w:rFonts w:cs="Arial"/>
                <w:bCs/>
                <w:sz w:val="14"/>
                <w:szCs w:val="14"/>
              </w:rPr>
              <w:t>on the basis of</w:t>
            </w:r>
            <w:proofErr w:type="gramEnd"/>
            <w:r w:rsidRPr="00995F3E">
              <w:rPr>
                <w:rFonts w:cs="Arial"/>
                <w:bCs/>
                <w:sz w:val="14"/>
                <w:szCs w:val="14"/>
              </w:rPr>
              <w:t xml:space="preserve"> the four </w:t>
            </w:r>
            <w:r w:rsidRPr="00995F3E">
              <w:rPr>
                <w:rFonts w:cs="Arial"/>
                <w:bCs/>
                <w:i/>
                <w:iCs/>
                <w:sz w:val="14"/>
                <w:szCs w:val="14"/>
              </w:rPr>
              <w:t>Delta Scenarios</w:t>
            </w:r>
            <w:r w:rsidRPr="00995F3E">
              <w:rPr>
                <w:rFonts w:cs="Arial"/>
                <w:bCs/>
                <w:sz w:val="14"/>
                <w:szCs w:val="14"/>
              </w:rPr>
              <w:t xml:space="preserve">, but are, by nature, </w:t>
            </w:r>
            <w:r w:rsidRPr="00995F3E">
              <w:rPr>
                <w:rFonts w:cs="Arial"/>
                <w:bCs/>
                <w:i/>
                <w:iCs/>
                <w:sz w:val="14"/>
                <w:szCs w:val="14"/>
              </w:rPr>
              <w:t>adaptive</w:t>
            </w:r>
            <w:r w:rsidRPr="00995F3E">
              <w:rPr>
                <w:rFonts w:cs="Arial"/>
                <w:bCs/>
                <w:sz w:val="14"/>
                <w:szCs w:val="14"/>
              </w:rPr>
              <w:t>: they can be adapted</w:t>
            </w:r>
            <w:r w:rsidRPr="00995F3E">
              <w:rPr>
                <w:rFonts w:cs="Arial"/>
                <w:bCs/>
                <w:i/>
                <w:iCs/>
                <w:sz w:val="14"/>
                <w:szCs w:val="14"/>
              </w:rPr>
              <w:t xml:space="preserve"> to</w:t>
            </w:r>
            <w:r w:rsidRPr="00995F3E">
              <w:rPr>
                <w:rFonts w:cs="Arial"/>
                <w:bCs/>
                <w:sz w:val="14"/>
                <w:szCs w:val="14"/>
              </w:rPr>
              <w:t xml:space="preserve"> </w:t>
            </w:r>
            <w:r w:rsidRPr="00995F3E">
              <w:rPr>
                <w:rFonts w:cs="Arial"/>
                <w:bCs/>
                <w:i/>
                <w:iCs/>
                <w:sz w:val="14"/>
                <w:szCs w:val="14"/>
              </w:rPr>
              <w:t>slower and faster CC</w:t>
            </w:r>
            <w:r w:rsidRPr="00995F3E">
              <w:rPr>
                <w:rFonts w:cs="Arial"/>
                <w:bCs/>
                <w:sz w:val="14"/>
                <w:szCs w:val="14"/>
              </w:rPr>
              <w:t xml:space="preserve"> than expected in the </w:t>
            </w:r>
            <w:r w:rsidRPr="00995F3E">
              <w:rPr>
                <w:rFonts w:cs="Arial"/>
                <w:bCs/>
                <w:i/>
                <w:iCs/>
                <w:sz w:val="14"/>
                <w:szCs w:val="14"/>
              </w:rPr>
              <w:t>Delta Scenarios</w:t>
            </w:r>
            <w:r w:rsidRPr="00995F3E">
              <w:rPr>
                <w:rFonts w:cs="Arial"/>
                <w:bCs/>
                <w:sz w:val="14"/>
                <w:szCs w:val="14"/>
              </w:rPr>
              <w:t>. The ‘</w:t>
            </w:r>
            <w:r w:rsidRPr="00995F3E">
              <w:rPr>
                <w:rFonts w:cs="Arial"/>
                <w:bCs/>
                <w:i/>
                <w:iCs/>
                <w:sz w:val="14"/>
                <w:szCs w:val="14"/>
              </w:rPr>
              <w:t xml:space="preserve">adaptive nature of the strategies’ </w:t>
            </w:r>
            <w:r w:rsidRPr="00995F3E">
              <w:rPr>
                <w:rFonts w:cs="Arial"/>
                <w:bCs/>
                <w:sz w:val="14"/>
                <w:szCs w:val="14"/>
              </w:rPr>
              <w:t>makes it possible to act according to evolving conditions and changes, for example,</w:t>
            </w:r>
            <w:r w:rsidRPr="00995F3E">
              <w:rPr>
                <w:rFonts w:cs="Arial"/>
                <w:bCs/>
                <w:i/>
                <w:iCs/>
                <w:sz w:val="14"/>
                <w:szCs w:val="14"/>
              </w:rPr>
              <w:t xml:space="preserve"> ‘by accelerating or slowing down the implementation of measures</w:t>
            </w:r>
            <w:r w:rsidRPr="00995F3E">
              <w:rPr>
                <w:rFonts w:cs="Arial"/>
                <w:bCs/>
                <w:sz w:val="14"/>
                <w:szCs w:val="14"/>
              </w:rPr>
              <w:t xml:space="preserve">’ – e.g. the number and amount of sand replenishments per year along the coast can be adjusted to the measured SLR. </w:t>
            </w:r>
            <w:bookmarkStart w:id="59" w:name="_Hlk70013112"/>
            <w:r w:rsidRPr="00995F3E">
              <w:rPr>
                <w:rFonts w:cs="Arial"/>
                <w:bCs/>
                <w:sz w:val="14"/>
                <w:szCs w:val="14"/>
              </w:rPr>
              <w:t>Based on new knowledge and monitoring, the strategies, and / or measures within them, may be advanced or postponed, and adjusted in terms of scope and design (</w:t>
            </w:r>
            <w:r w:rsidRPr="00995F3E">
              <w:rPr>
                <w:rFonts w:cs="Arial"/>
                <w:bCs/>
                <w:color w:val="7F7F7F" w:themeColor="text1" w:themeTint="80"/>
                <w:sz w:val="14"/>
                <w:szCs w:val="14"/>
              </w:rPr>
              <w:t>DP 2014, p.136</w:t>
            </w:r>
            <w:r w:rsidRPr="00995F3E">
              <w:rPr>
                <w:rFonts w:cs="Arial"/>
                <w:bCs/>
                <w:sz w:val="14"/>
                <w:szCs w:val="14"/>
              </w:rPr>
              <w:t>).</w:t>
            </w:r>
            <w:bookmarkEnd w:id="59"/>
          </w:p>
          <w:p w14:paraId="68144355" w14:textId="77777777" w:rsidR="00995F3E" w:rsidRPr="00995F3E" w:rsidRDefault="00995F3E" w:rsidP="00E74925">
            <w:pPr>
              <w:spacing w:after="60"/>
              <w:jc w:val="left"/>
              <w:rPr>
                <w:rFonts w:eastAsia="RijksoverheidSansText-Regular" w:cs="Arial"/>
                <w:bCs/>
                <w:sz w:val="14"/>
                <w:szCs w:val="14"/>
              </w:rPr>
            </w:pPr>
            <w:r w:rsidRPr="00995F3E">
              <w:rPr>
                <w:rFonts w:cs="Arial"/>
                <w:bCs/>
                <w:sz w:val="14"/>
                <w:szCs w:val="14"/>
              </w:rPr>
              <w:t xml:space="preserve">In sum, to create ‘strategies’, the ADM process builds on the construction of pathways, and this implies scanning options to keep open, and assessing the flexibility of pathways. These aspects were patent in the development of the </w:t>
            </w:r>
            <w:r w:rsidRPr="00995F3E">
              <w:rPr>
                <w:rFonts w:cs="Arial"/>
                <w:bCs/>
                <w:i/>
                <w:iCs/>
                <w:sz w:val="14"/>
                <w:szCs w:val="14"/>
              </w:rPr>
              <w:t>Strategies</w:t>
            </w:r>
            <w:r w:rsidRPr="00995F3E">
              <w:rPr>
                <w:rFonts w:cs="Arial"/>
                <w:bCs/>
                <w:sz w:val="14"/>
                <w:szCs w:val="14"/>
              </w:rPr>
              <w:t xml:space="preserve"> for FRM and FS of the DP (</w:t>
            </w:r>
            <w:r w:rsidRPr="00995F3E">
              <w:rPr>
                <w:rFonts w:cs="Arial"/>
                <w:bCs/>
                <w:color w:val="7F7F7F" w:themeColor="text1" w:themeTint="80"/>
                <w:sz w:val="14"/>
                <w:szCs w:val="14"/>
              </w:rPr>
              <w:t>Zandvoort et al. 2018, p.189, 191</w:t>
            </w:r>
            <w:r w:rsidRPr="00995F3E">
              <w:rPr>
                <w:rFonts w:cs="Arial"/>
                <w:bCs/>
                <w:sz w:val="14"/>
                <w:szCs w:val="14"/>
              </w:rPr>
              <w:t xml:space="preserve">). </w:t>
            </w:r>
            <w:r w:rsidRPr="00995F3E">
              <w:rPr>
                <w:rFonts w:eastAsia="RijksoverheidSansText-Regular" w:cs="Arial"/>
                <w:bCs/>
                <w:sz w:val="14"/>
                <w:szCs w:val="14"/>
              </w:rPr>
              <w:t xml:space="preserve">Based on the map of </w:t>
            </w:r>
            <w:r w:rsidRPr="00995F3E">
              <w:rPr>
                <w:rFonts w:eastAsia="RijksoverheidSansText-Regular" w:cs="Arial"/>
                <w:bCs/>
                <w:i/>
                <w:iCs/>
                <w:sz w:val="14"/>
                <w:szCs w:val="14"/>
              </w:rPr>
              <w:t>adaptation paths</w:t>
            </w:r>
            <w:r w:rsidRPr="00995F3E">
              <w:rPr>
                <w:rFonts w:eastAsia="RijksoverheidSansText-Regular" w:cs="Arial"/>
                <w:bCs/>
                <w:sz w:val="14"/>
                <w:szCs w:val="14"/>
              </w:rPr>
              <w:t xml:space="preserve">, the Subprogrammes looked for possibilities to link the implementation of the </w:t>
            </w:r>
            <w:r w:rsidRPr="00995F3E">
              <w:rPr>
                <w:rFonts w:eastAsia="RijksoverheidSansText-Regular" w:cs="Arial"/>
                <w:bCs/>
                <w:i/>
                <w:iCs/>
                <w:sz w:val="14"/>
                <w:szCs w:val="14"/>
              </w:rPr>
              <w:t xml:space="preserve">Strategies </w:t>
            </w:r>
            <w:r w:rsidRPr="00995F3E">
              <w:rPr>
                <w:rFonts w:eastAsia="RijksoverheidSansText-Regular" w:cs="Arial"/>
                <w:bCs/>
                <w:sz w:val="14"/>
                <w:szCs w:val="14"/>
              </w:rPr>
              <w:t>with other investment agendas of other fields (</w:t>
            </w:r>
            <w:r w:rsidRPr="00995F3E">
              <w:rPr>
                <w:rFonts w:cs="Arial"/>
                <w:bCs/>
                <w:sz w:val="14"/>
                <w:szCs w:val="14"/>
              </w:rPr>
              <w:t>integration of FRM measures with other investments</w:t>
            </w:r>
            <w:r w:rsidRPr="00995F3E">
              <w:rPr>
                <w:rFonts w:eastAsia="RijksoverheidSansText-Regular" w:cs="Arial"/>
                <w:bCs/>
                <w:sz w:val="14"/>
                <w:szCs w:val="14"/>
              </w:rPr>
              <w:t>), in line with the 4</w:t>
            </w:r>
            <w:r w:rsidRPr="00995F3E">
              <w:rPr>
                <w:rFonts w:eastAsia="RijksoverheidSansText-Regular" w:cs="Arial"/>
                <w:bCs/>
                <w:sz w:val="14"/>
                <w:szCs w:val="14"/>
                <w:vertAlign w:val="superscript"/>
              </w:rPr>
              <w:t>th</w:t>
            </w:r>
            <w:r w:rsidRPr="00995F3E">
              <w:rPr>
                <w:rFonts w:eastAsia="RijksoverheidSansText-Regular" w:cs="Arial"/>
                <w:bCs/>
                <w:sz w:val="14"/>
                <w:szCs w:val="14"/>
              </w:rPr>
              <w:t xml:space="preserve"> principle of ADM (</w:t>
            </w:r>
            <w:r w:rsidRPr="00995F3E">
              <w:rPr>
                <w:rFonts w:eastAsia="RijksoverheidSansText-Regular" w:cs="Arial"/>
                <w:bCs/>
                <w:color w:val="7F7F7F" w:themeColor="text1" w:themeTint="80"/>
                <w:sz w:val="14"/>
                <w:szCs w:val="14"/>
              </w:rPr>
              <w:t xml:space="preserve">DP 2011, p.48;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al.2016, p.205</w:t>
            </w:r>
            <w:r w:rsidRPr="00995F3E">
              <w:rPr>
                <w:rFonts w:eastAsia="RijksoverheidSansText-Regular" w:cs="Arial"/>
                <w:bCs/>
                <w:sz w:val="14"/>
                <w:szCs w:val="14"/>
              </w:rPr>
              <w:t>).</w:t>
            </w:r>
          </w:p>
          <w:p w14:paraId="6EFCC521" w14:textId="77777777" w:rsidR="00995F3E" w:rsidRPr="00995F3E" w:rsidRDefault="00995F3E" w:rsidP="00E74925">
            <w:pPr>
              <w:spacing w:after="60"/>
              <w:jc w:val="left"/>
              <w:rPr>
                <w:rFonts w:eastAsia="RijksoverheidSansText-Regular" w:cs="Arial"/>
                <w:bCs/>
                <w:sz w:val="14"/>
                <w:szCs w:val="14"/>
              </w:rPr>
            </w:pPr>
            <w:r w:rsidRPr="00995F3E">
              <w:rPr>
                <w:rFonts w:eastAsia="RijksoverheidSansText-Regular" w:cs="Arial"/>
                <w:bCs/>
                <w:sz w:val="14"/>
                <w:szCs w:val="14"/>
              </w:rPr>
              <w:t>Defining the ‘</w:t>
            </w:r>
            <w:r w:rsidRPr="00995F3E">
              <w:rPr>
                <w:rFonts w:eastAsia="RijksoverheidSansText-Regular" w:cs="Arial"/>
                <w:bCs/>
                <w:i/>
                <w:iCs/>
                <w:sz w:val="14"/>
                <w:szCs w:val="14"/>
              </w:rPr>
              <w:t>final Delta Decisions</w:t>
            </w:r>
            <w:r w:rsidRPr="00995F3E">
              <w:rPr>
                <w:rFonts w:eastAsia="RijksoverheidSansText-Regular" w:cs="Arial"/>
                <w:bCs/>
                <w:sz w:val="14"/>
                <w:szCs w:val="14"/>
              </w:rPr>
              <w:t>’ and ‘</w:t>
            </w:r>
            <w:r w:rsidRPr="00995F3E">
              <w:rPr>
                <w:rFonts w:eastAsia="RijksoverheidSansText-Regular" w:cs="Arial"/>
                <w:bCs/>
                <w:i/>
                <w:iCs/>
                <w:sz w:val="14"/>
                <w:szCs w:val="14"/>
              </w:rPr>
              <w:t>Preferential Strategies</w:t>
            </w:r>
            <w:r w:rsidRPr="00995F3E">
              <w:rPr>
                <w:rFonts w:eastAsia="RijksoverheidSansText-Regular" w:cs="Arial"/>
                <w:bCs/>
                <w:sz w:val="14"/>
                <w:szCs w:val="14"/>
              </w:rPr>
              <w:t>’</w:t>
            </w:r>
          </w:p>
          <w:p w14:paraId="722362D2" w14:textId="26C52061" w:rsidR="00995F3E" w:rsidRPr="00995F3E" w:rsidRDefault="00995F3E" w:rsidP="00E74925">
            <w:pPr>
              <w:spacing w:after="60"/>
              <w:jc w:val="left"/>
              <w:rPr>
                <w:rFonts w:cs="Arial"/>
                <w:bCs/>
                <w:sz w:val="14"/>
                <w:szCs w:val="14"/>
              </w:rPr>
            </w:pPr>
            <w:r w:rsidRPr="00995F3E">
              <w:rPr>
                <w:rFonts w:cs="Arial"/>
                <w:bCs/>
                <w:sz w:val="14"/>
                <w:szCs w:val="14"/>
              </w:rPr>
              <w:t xml:space="preserve">In 2013/2014, the </w:t>
            </w:r>
            <w:r w:rsidRPr="00995F3E">
              <w:rPr>
                <w:rFonts w:cs="Arial"/>
                <w:bCs/>
                <w:i/>
                <w:iCs/>
                <w:sz w:val="14"/>
                <w:szCs w:val="14"/>
              </w:rPr>
              <w:t>Promising Strategies</w:t>
            </w:r>
            <w:r w:rsidRPr="00995F3E">
              <w:rPr>
                <w:rFonts w:cs="Arial"/>
                <w:bCs/>
                <w:sz w:val="14"/>
                <w:szCs w:val="14"/>
              </w:rPr>
              <w:t xml:space="preserve"> were further developed into </w:t>
            </w:r>
            <w:r w:rsidRPr="00995F3E">
              <w:rPr>
                <w:rFonts w:cs="Arial"/>
                <w:bCs/>
                <w:i/>
                <w:iCs/>
                <w:sz w:val="14"/>
                <w:szCs w:val="14"/>
              </w:rPr>
              <w:t>Preferential Strategies</w:t>
            </w:r>
            <w:r w:rsidRPr="00995F3E">
              <w:rPr>
                <w:rFonts w:cs="Arial"/>
                <w:bCs/>
                <w:sz w:val="14"/>
                <w:szCs w:val="14"/>
              </w:rPr>
              <w:t xml:space="preserve"> (presented in the DP2014, these are final strategies which were adopted in 2015) (</w:t>
            </w:r>
            <w:r w:rsidRPr="00995F3E">
              <w:rPr>
                <w:rFonts w:cs="Arial"/>
                <w:bCs/>
                <w:color w:val="7F7F7F" w:themeColor="text1" w:themeTint="80"/>
                <w:sz w:val="14"/>
                <w:szCs w:val="14"/>
              </w:rPr>
              <w:t>DP 2013, p.56, 78</w:t>
            </w:r>
            <w:r w:rsidRPr="00995F3E">
              <w:rPr>
                <w:rFonts w:cs="Arial"/>
                <w:bCs/>
                <w:sz w:val="14"/>
                <w:szCs w:val="14"/>
              </w:rPr>
              <w:t>).</w:t>
            </w:r>
          </w:p>
          <w:p w14:paraId="6B50EA86"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In 2013/2014, the DP staff developed the </w:t>
            </w:r>
            <w:r w:rsidRPr="00995F3E">
              <w:rPr>
                <w:rFonts w:cs="Arial"/>
                <w:bCs/>
                <w:i/>
                <w:iCs/>
                <w:sz w:val="14"/>
                <w:szCs w:val="14"/>
              </w:rPr>
              <w:t>final Delta Decisions</w:t>
            </w:r>
            <w:r w:rsidRPr="00995F3E">
              <w:rPr>
                <w:rFonts w:cs="Arial"/>
                <w:bCs/>
                <w:sz w:val="14"/>
                <w:szCs w:val="14"/>
              </w:rPr>
              <w:t xml:space="preserve">, and the regional Subprogrammes developed the </w:t>
            </w:r>
            <w:r w:rsidRPr="00995F3E">
              <w:rPr>
                <w:rFonts w:cs="Arial"/>
                <w:bCs/>
                <w:i/>
                <w:iCs/>
                <w:sz w:val="14"/>
                <w:szCs w:val="14"/>
              </w:rPr>
              <w:t>Preferential Strategies</w:t>
            </w:r>
            <w:r w:rsidRPr="00995F3E">
              <w:rPr>
                <w:rFonts w:cs="Arial"/>
                <w:bCs/>
                <w:sz w:val="14"/>
                <w:szCs w:val="14"/>
              </w:rPr>
              <w:t xml:space="preserve">. During this period, the DP Team further elaborated the previous </w:t>
            </w:r>
            <w:r w:rsidRPr="00995F3E">
              <w:rPr>
                <w:rFonts w:cs="Arial"/>
                <w:bCs/>
                <w:i/>
                <w:iCs/>
                <w:sz w:val="14"/>
                <w:szCs w:val="14"/>
              </w:rPr>
              <w:t>draft Delta Decisions</w:t>
            </w:r>
            <w:r w:rsidRPr="00995F3E">
              <w:rPr>
                <w:rFonts w:cs="Arial"/>
                <w:bCs/>
                <w:sz w:val="14"/>
                <w:szCs w:val="14"/>
              </w:rPr>
              <w:t xml:space="preserve"> into the final </w:t>
            </w:r>
            <w:r w:rsidRPr="00995F3E">
              <w:rPr>
                <w:rFonts w:cs="Arial"/>
                <w:bCs/>
                <w:i/>
                <w:iCs/>
                <w:sz w:val="14"/>
                <w:szCs w:val="14"/>
              </w:rPr>
              <w:t>Delta Decisions</w:t>
            </w:r>
            <w:r w:rsidRPr="00995F3E">
              <w:rPr>
                <w:rFonts w:cs="Arial"/>
                <w:bCs/>
                <w:sz w:val="14"/>
                <w:szCs w:val="14"/>
              </w:rPr>
              <w:t xml:space="preserve"> (presented in the DP 2014); and the Subprogrammes further developed and narrowed down the </w:t>
            </w:r>
            <w:r w:rsidRPr="00995F3E">
              <w:rPr>
                <w:rFonts w:cs="Arial"/>
                <w:bCs/>
                <w:i/>
                <w:iCs/>
                <w:sz w:val="14"/>
                <w:szCs w:val="14"/>
              </w:rPr>
              <w:t>Promisi</w:t>
            </w:r>
            <w:r w:rsidRPr="00995F3E">
              <w:rPr>
                <w:rFonts w:cs="Arial"/>
                <w:bCs/>
                <w:noProof/>
                <w:sz w:val="14"/>
                <w:szCs w:val="14"/>
              </w:rPr>
              <w:t xml:space="preserve"> </w:t>
            </w:r>
            <w:r w:rsidRPr="00995F3E">
              <w:rPr>
                <w:rFonts w:cs="Arial"/>
                <w:bCs/>
                <w:i/>
                <w:iCs/>
                <w:sz w:val="14"/>
                <w:szCs w:val="14"/>
              </w:rPr>
              <w:t>ng Strategies</w:t>
            </w:r>
            <w:r w:rsidRPr="00995F3E">
              <w:rPr>
                <w:rFonts w:cs="Arial"/>
                <w:bCs/>
                <w:sz w:val="14"/>
                <w:szCs w:val="14"/>
              </w:rPr>
              <w:t xml:space="preserve"> into </w:t>
            </w:r>
            <w:r w:rsidRPr="00995F3E">
              <w:rPr>
                <w:rFonts w:cs="Arial"/>
                <w:bCs/>
                <w:i/>
                <w:iCs/>
                <w:sz w:val="14"/>
                <w:szCs w:val="14"/>
              </w:rPr>
              <w:t>Preferential Strategies</w:t>
            </w:r>
            <w:r w:rsidRPr="00995F3E">
              <w:rPr>
                <w:rFonts w:cs="Arial"/>
                <w:bCs/>
                <w:sz w:val="14"/>
                <w:szCs w:val="14"/>
              </w:rPr>
              <w:t xml:space="preserve"> (also presented in DP2014) (</w:t>
            </w:r>
            <w:r w:rsidRPr="00995F3E">
              <w:rPr>
                <w:rFonts w:cs="Arial"/>
                <w:bCs/>
                <w:color w:val="7F7F7F" w:themeColor="text1" w:themeTint="80"/>
                <w:sz w:val="14"/>
                <w:szCs w:val="14"/>
              </w:rPr>
              <w:t xml:space="preserve">DP </w:t>
            </w:r>
            <w:r w:rsidRPr="00995F3E">
              <w:rPr>
                <w:rFonts w:cs="Arial"/>
                <w:bCs/>
                <w:color w:val="7F7F7F" w:themeColor="text1" w:themeTint="80"/>
                <w:sz w:val="14"/>
                <w:szCs w:val="14"/>
              </w:rPr>
              <w:lastRenderedPageBreak/>
              <w:t>2014, p.132, 8; 2013, p.94, 97</w:t>
            </w:r>
            <w:r w:rsidRPr="00995F3E">
              <w:rPr>
                <w:rFonts w:cs="Arial"/>
                <w:bCs/>
                <w:sz w:val="14"/>
                <w:szCs w:val="14"/>
              </w:rPr>
              <w:t xml:space="preserve">). Each Subprogramme has made up a </w:t>
            </w:r>
            <w:r w:rsidRPr="00995F3E">
              <w:rPr>
                <w:rFonts w:cs="Arial"/>
                <w:bCs/>
                <w:i/>
                <w:iCs/>
                <w:sz w:val="14"/>
                <w:szCs w:val="14"/>
              </w:rPr>
              <w:t>Preferential Strategy</w:t>
            </w:r>
            <w:r w:rsidRPr="00995F3E">
              <w:rPr>
                <w:rFonts w:cs="Arial"/>
                <w:bCs/>
                <w:sz w:val="14"/>
                <w:szCs w:val="14"/>
              </w:rPr>
              <w:t xml:space="preserve"> for FRM for its region. </w:t>
            </w:r>
          </w:p>
          <w:p w14:paraId="1A4205BA" w14:textId="77777777" w:rsidR="00995F3E" w:rsidRPr="00995F3E" w:rsidRDefault="00995F3E" w:rsidP="00E74925">
            <w:pPr>
              <w:spacing w:after="60"/>
              <w:jc w:val="left"/>
              <w:rPr>
                <w:rFonts w:cs="Arial"/>
                <w:bCs/>
                <w:sz w:val="14"/>
                <w:szCs w:val="14"/>
              </w:rPr>
            </w:pPr>
            <w:r w:rsidRPr="00995F3E">
              <w:rPr>
                <w:rFonts w:eastAsia="RijksoverheidSansText-Regular" w:cs="Arial"/>
                <w:bCs/>
                <w:color w:val="000000"/>
                <w:sz w:val="14"/>
                <w:szCs w:val="14"/>
              </w:rPr>
              <w:t xml:space="preserve">Most of the </w:t>
            </w:r>
            <w:r w:rsidRPr="00995F3E">
              <w:rPr>
                <w:rFonts w:cs="Arial"/>
                <w:bCs/>
                <w:i/>
                <w:iCs/>
                <w:sz w:val="14"/>
                <w:szCs w:val="14"/>
              </w:rPr>
              <w:t>Delta Decisions</w:t>
            </w:r>
            <w:r w:rsidRPr="00995F3E">
              <w:rPr>
                <w:rFonts w:cs="Arial"/>
                <w:bCs/>
                <w:sz w:val="14"/>
                <w:szCs w:val="14"/>
              </w:rPr>
              <w:t xml:space="preserve">, and all the </w:t>
            </w:r>
            <w:r w:rsidRPr="00995F3E">
              <w:rPr>
                <w:rFonts w:cs="Arial"/>
                <w:bCs/>
                <w:i/>
                <w:iCs/>
                <w:sz w:val="14"/>
                <w:szCs w:val="14"/>
              </w:rPr>
              <w:t>Preferential Strategies</w:t>
            </w:r>
            <w:r w:rsidRPr="00995F3E">
              <w:rPr>
                <w:rFonts w:cs="Arial"/>
                <w:bCs/>
                <w:sz w:val="14"/>
                <w:szCs w:val="14"/>
              </w:rPr>
              <w:t>, include ‘adaptation path(s)’ (</w:t>
            </w:r>
            <w:r w:rsidRPr="00995F3E">
              <w:rPr>
                <w:rFonts w:cs="Arial"/>
                <w:bCs/>
                <w:color w:val="7F7F7F" w:themeColor="text1" w:themeTint="80"/>
                <w:sz w:val="14"/>
                <w:szCs w:val="14"/>
              </w:rPr>
              <w:t>DP 2014, p.8, 46</w:t>
            </w:r>
            <w:r w:rsidRPr="00995F3E">
              <w:rPr>
                <w:rFonts w:cs="Arial"/>
                <w:bCs/>
                <w:sz w:val="14"/>
                <w:szCs w:val="14"/>
              </w:rPr>
              <w:t>).</w:t>
            </w:r>
          </w:p>
          <w:p w14:paraId="71E26B89"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The Subprogrammes elaborated </w:t>
            </w:r>
            <w:r w:rsidRPr="00995F3E">
              <w:rPr>
                <w:rFonts w:cs="Arial"/>
                <w:bCs/>
                <w:i/>
                <w:iCs/>
                <w:sz w:val="14"/>
                <w:szCs w:val="14"/>
              </w:rPr>
              <w:t xml:space="preserve">adaptation paths </w:t>
            </w:r>
            <w:r w:rsidRPr="00995F3E">
              <w:rPr>
                <w:rFonts w:cs="Arial"/>
                <w:bCs/>
                <w:sz w:val="14"/>
                <w:szCs w:val="14"/>
              </w:rPr>
              <w:t xml:space="preserve">for each </w:t>
            </w:r>
            <w:r w:rsidRPr="00995F3E">
              <w:rPr>
                <w:rFonts w:cs="Arial"/>
                <w:bCs/>
                <w:i/>
                <w:iCs/>
                <w:sz w:val="14"/>
                <w:szCs w:val="14"/>
              </w:rPr>
              <w:t>Preferential Strategy</w:t>
            </w:r>
            <w:r w:rsidRPr="00995F3E">
              <w:rPr>
                <w:rFonts w:cs="Arial"/>
                <w:bCs/>
                <w:sz w:val="14"/>
                <w:szCs w:val="14"/>
              </w:rPr>
              <w:t>, which implied defining the conditions under which changing measures is necessary (</w:t>
            </w:r>
            <w:r w:rsidRPr="00995F3E">
              <w:rPr>
                <w:rFonts w:cs="Arial"/>
                <w:bCs/>
                <w:color w:val="7F7F7F" w:themeColor="text1" w:themeTint="80"/>
                <w:sz w:val="14"/>
                <w:szCs w:val="14"/>
              </w:rPr>
              <w:t>DP 2013, p.95</w:t>
            </w:r>
            <w:r w:rsidRPr="00995F3E">
              <w:rPr>
                <w:rFonts w:cs="Arial"/>
                <w:bCs/>
                <w:sz w:val="14"/>
                <w:szCs w:val="14"/>
              </w:rPr>
              <w:t xml:space="preserve">). Each </w:t>
            </w:r>
            <w:r w:rsidRPr="00995F3E">
              <w:rPr>
                <w:rFonts w:cs="Arial"/>
                <w:bCs/>
                <w:i/>
                <w:iCs/>
                <w:sz w:val="14"/>
                <w:szCs w:val="14"/>
              </w:rPr>
              <w:t>Preferential Strategy</w:t>
            </w:r>
            <w:r w:rsidRPr="00995F3E">
              <w:rPr>
                <w:rFonts w:cs="Arial"/>
                <w:bCs/>
                <w:sz w:val="14"/>
                <w:szCs w:val="14"/>
              </w:rPr>
              <w:t xml:space="preserve"> contains measures for the short-term and options for the long-term. Short-term measures are often linked with other planned investments or objectives of other policy fields or regions. In the development of </w:t>
            </w:r>
            <w:r w:rsidRPr="00995F3E">
              <w:rPr>
                <w:rFonts w:cs="Arial"/>
                <w:bCs/>
                <w:i/>
                <w:iCs/>
                <w:sz w:val="14"/>
                <w:szCs w:val="14"/>
              </w:rPr>
              <w:t>adaptation paths</w:t>
            </w:r>
            <w:r w:rsidRPr="00995F3E">
              <w:rPr>
                <w:rFonts w:cs="Arial"/>
                <w:bCs/>
                <w:sz w:val="14"/>
                <w:szCs w:val="14"/>
              </w:rPr>
              <w:t>, it was important to keep open options for long-term, i.e. possibilities to switch to other measures if future climatic or socioeconomic changes, or new knowledge, require so.</w:t>
            </w:r>
            <w:r w:rsidRPr="00995F3E">
              <w:rPr>
                <w:rFonts w:cs="Arial"/>
                <w:bCs/>
                <w:sz w:val="14"/>
                <w:szCs w:val="14"/>
                <w:vertAlign w:val="superscript"/>
              </w:rPr>
              <w:footnoteReference w:id="43"/>
            </w:r>
            <w:r w:rsidRPr="00995F3E">
              <w:rPr>
                <w:rFonts w:cs="Arial"/>
                <w:bCs/>
                <w:sz w:val="14"/>
                <w:szCs w:val="14"/>
              </w:rPr>
              <w:t xml:space="preserve"> The Teams also identified short-term measures needed to be able to change strategies later and analysed if it was necessary to make changes in laws or institutional practices (</w:t>
            </w:r>
            <w:r w:rsidRPr="00995F3E">
              <w:rPr>
                <w:rFonts w:cs="Arial"/>
                <w:bCs/>
                <w:color w:val="7F7F7F" w:themeColor="text1" w:themeTint="80"/>
                <w:sz w:val="14"/>
                <w:szCs w:val="14"/>
              </w:rPr>
              <w:t>DP 2013, p.95</w:t>
            </w:r>
            <w:r w:rsidRPr="00995F3E">
              <w:rPr>
                <w:rFonts w:cs="Arial"/>
                <w:bCs/>
                <w:sz w:val="14"/>
                <w:szCs w:val="14"/>
              </w:rPr>
              <w:t xml:space="preserve">). </w:t>
            </w:r>
          </w:p>
          <w:p w14:paraId="1644651A" w14:textId="77777777" w:rsidR="00995F3E" w:rsidRPr="00995F3E" w:rsidRDefault="00995F3E" w:rsidP="00E74925">
            <w:pPr>
              <w:spacing w:after="60"/>
              <w:jc w:val="left"/>
              <w:rPr>
                <w:rFonts w:cs="Arial"/>
                <w:bCs/>
                <w:sz w:val="14"/>
                <w:szCs w:val="14"/>
              </w:rPr>
            </w:pPr>
            <w:r w:rsidRPr="00995F3E">
              <w:rPr>
                <w:rFonts w:cs="Arial"/>
                <w:bCs/>
                <w:sz w:val="14"/>
                <w:szCs w:val="14"/>
              </w:rPr>
              <w:t>In line with the 1</w:t>
            </w:r>
            <w:r w:rsidRPr="00995F3E">
              <w:rPr>
                <w:rFonts w:cs="Arial"/>
                <w:bCs/>
                <w:sz w:val="14"/>
                <w:szCs w:val="14"/>
                <w:vertAlign w:val="superscript"/>
              </w:rPr>
              <w:t>st</w:t>
            </w:r>
            <w:r w:rsidRPr="00995F3E">
              <w:rPr>
                <w:rFonts w:cs="Arial"/>
                <w:bCs/>
                <w:sz w:val="14"/>
                <w:szCs w:val="14"/>
              </w:rPr>
              <w:t xml:space="preserve"> principle of ADM, the DP sought to identify measures for the short- and mid-term that </w:t>
            </w:r>
            <w:r w:rsidRPr="00995F3E">
              <w:rPr>
                <w:rFonts w:cs="Arial"/>
                <w:bCs/>
                <w:i/>
                <w:iCs/>
                <w:sz w:val="14"/>
                <w:szCs w:val="14"/>
              </w:rPr>
              <w:t>agree with</w:t>
            </w:r>
            <w:r w:rsidRPr="00995F3E">
              <w:rPr>
                <w:rFonts w:cs="Arial"/>
                <w:bCs/>
                <w:sz w:val="14"/>
                <w:szCs w:val="14"/>
              </w:rPr>
              <w:t xml:space="preserve"> the long-term tasks (</w:t>
            </w:r>
            <w:r w:rsidRPr="00995F3E">
              <w:rPr>
                <w:rFonts w:cs="Arial"/>
                <w:bCs/>
                <w:color w:val="7F7F7F" w:themeColor="text1" w:themeTint="80"/>
                <w:sz w:val="14"/>
                <w:szCs w:val="14"/>
              </w:rPr>
              <w:t>DP 2013, p.102</w:t>
            </w:r>
            <w:r w:rsidRPr="00995F3E">
              <w:rPr>
                <w:rFonts w:cs="Arial"/>
                <w:bCs/>
                <w:sz w:val="14"/>
                <w:szCs w:val="14"/>
              </w:rPr>
              <w:t>).</w:t>
            </w:r>
            <w:r w:rsidRPr="00995F3E">
              <w:rPr>
                <w:rFonts w:cs="Arial"/>
                <w:bCs/>
                <w:sz w:val="14"/>
                <w:szCs w:val="14"/>
                <w:vertAlign w:val="superscript"/>
              </w:rPr>
              <w:footnoteReference w:id="44"/>
            </w:r>
            <w:r w:rsidRPr="00995F3E">
              <w:rPr>
                <w:rFonts w:cs="Arial"/>
                <w:bCs/>
                <w:sz w:val="14"/>
                <w:szCs w:val="14"/>
              </w:rPr>
              <w:t xml:space="preserve"> Decisions planned for the short-term are linked to long-term tasks (</w:t>
            </w:r>
            <w:r w:rsidRPr="00995F3E">
              <w:rPr>
                <w:rFonts w:cs="Arial"/>
                <w:bCs/>
                <w:color w:val="7F7F7F" w:themeColor="text1" w:themeTint="80"/>
                <w:sz w:val="14"/>
                <w:szCs w:val="14"/>
              </w:rPr>
              <w:t>DP 2017, p.22</w:t>
            </w:r>
            <w:r w:rsidRPr="00995F3E">
              <w:rPr>
                <w:rFonts w:cs="Arial"/>
                <w:bCs/>
                <w:sz w:val="14"/>
                <w:szCs w:val="14"/>
              </w:rPr>
              <w:t xml:space="preserve">). Each </w:t>
            </w:r>
            <w:r w:rsidRPr="00995F3E">
              <w:rPr>
                <w:rFonts w:cs="Arial"/>
                <w:bCs/>
                <w:i/>
                <w:iCs/>
                <w:sz w:val="14"/>
                <w:szCs w:val="14"/>
              </w:rPr>
              <w:t>Preferential Strategy</w:t>
            </w:r>
            <w:r w:rsidRPr="00995F3E">
              <w:rPr>
                <w:rFonts w:cs="Arial"/>
                <w:bCs/>
                <w:sz w:val="14"/>
                <w:szCs w:val="14"/>
              </w:rPr>
              <w:t xml:space="preserve"> contains short-term measures linked to options for the mid- (2050) and long-term (2100). </w:t>
            </w:r>
          </w:p>
          <w:p w14:paraId="58E75383" w14:textId="77777777" w:rsidR="00995F3E" w:rsidRPr="00995F3E" w:rsidRDefault="00995F3E" w:rsidP="00E74925">
            <w:pPr>
              <w:spacing w:after="60"/>
              <w:jc w:val="left"/>
              <w:rPr>
                <w:rFonts w:cs="Arial"/>
                <w:bCs/>
                <w:sz w:val="14"/>
                <w:szCs w:val="14"/>
              </w:rPr>
            </w:pPr>
            <w:r w:rsidRPr="00995F3E">
              <w:rPr>
                <w:rFonts w:cs="Arial"/>
                <w:bCs/>
                <w:sz w:val="14"/>
                <w:szCs w:val="14"/>
              </w:rPr>
              <w:t>The</w:t>
            </w:r>
            <w:r w:rsidRPr="00995F3E">
              <w:rPr>
                <w:rFonts w:cs="Arial"/>
                <w:bCs/>
                <w:i/>
                <w:iCs/>
                <w:sz w:val="14"/>
                <w:szCs w:val="14"/>
              </w:rPr>
              <w:t xml:space="preserve"> Delta Decisions </w:t>
            </w:r>
            <w:r w:rsidRPr="00995F3E">
              <w:rPr>
                <w:rFonts w:cs="Arial"/>
                <w:bCs/>
                <w:sz w:val="14"/>
                <w:szCs w:val="14"/>
              </w:rPr>
              <w:t xml:space="preserve">and </w:t>
            </w:r>
            <w:r w:rsidRPr="00995F3E">
              <w:rPr>
                <w:rFonts w:cs="Arial"/>
                <w:bCs/>
                <w:i/>
                <w:iCs/>
                <w:sz w:val="14"/>
                <w:szCs w:val="14"/>
              </w:rPr>
              <w:t>Preferential Strategies</w:t>
            </w:r>
            <w:r w:rsidRPr="00995F3E">
              <w:rPr>
                <w:rFonts w:cs="Arial"/>
                <w:bCs/>
                <w:sz w:val="14"/>
                <w:szCs w:val="14"/>
              </w:rPr>
              <w:t xml:space="preserve"> were developed based on the four </w:t>
            </w:r>
            <w:r w:rsidRPr="00995F3E">
              <w:rPr>
                <w:rFonts w:cs="Arial"/>
                <w:bCs/>
                <w:i/>
                <w:iCs/>
                <w:sz w:val="14"/>
                <w:szCs w:val="14"/>
              </w:rPr>
              <w:t>Delta Scenarios</w:t>
            </w:r>
            <w:r w:rsidRPr="00995F3E">
              <w:rPr>
                <w:rFonts w:cs="Arial"/>
                <w:bCs/>
                <w:sz w:val="14"/>
                <w:szCs w:val="14"/>
              </w:rPr>
              <w:t xml:space="preserve"> (</w:t>
            </w:r>
            <w:r w:rsidRPr="00995F3E">
              <w:rPr>
                <w:rFonts w:cs="Arial"/>
                <w:bCs/>
                <w:color w:val="7F7F7F" w:themeColor="text1" w:themeTint="80"/>
                <w:sz w:val="14"/>
                <w:szCs w:val="14"/>
              </w:rPr>
              <w:t>DP2014, p.136</w:t>
            </w:r>
            <w:r w:rsidRPr="00995F3E">
              <w:rPr>
                <w:rFonts w:cs="Arial"/>
                <w:bCs/>
                <w:sz w:val="14"/>
                <w:szCs w:val="14"/>
              </w:rPr>
              <w:t>), and with 2100 as their time-horizon.</w:t>
            </w:r>
          </w:p>
          <w:p w14:paraId="3D7BA3DA"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Each </w:t>
            </w:r>
            <w:r w:rsidRPr="00995F3E">
              <w:rPr>
                <w:rFonts w:cs="Arial"/>
                <w:bCs/>
                <w:i/>
                <w:iCs/>
                <w:sz w:val="14"/>
                <w:szCs w:val="14"/>
              </w:rPr>
              <w:t>Preferential Strategy</w:t>
            </w:r>
            <w:r w:rsidRPr="00995F3E">
              <w:rPr>
                <w:rFonts w:cs="Arial"/>
                <w:bCs/>
                <w:sz w:val="14"/>
                <w:szCs w:val="14"/>
              </w:rPr>
              <w:t xml:space="preserve">, and its measures, was analysed under the </w:t>
            </w:r>
            <w:r w:rsidRPr="00995F3E">
              <w:rPr>
                <w:rFonts w:cs="Arial"/>
                <w:bCs/>
                <w:i/>
                <w:iCs/>
                <w:sz w:val="14"/>
                <w:szCs w:val="14"/>
              </w:rPr>
              <w:t>Delta Scenarios</w:t>
            </w:r>
            <w:r w:rsidRPr="00995F3E">
              <w:rPr>
                <w:rFonts w:cs="Arial"/>
                <w:bCs/>
                <w:sz w:val="14"/>
                <w:szCs w:val="14"/>
              </w:rPr>
              <w:t xml:space="preserve"> (</w:t>
            </w:r>
            <w:r w:rsidRPr="00995F3E">
              <w:rPr>
                <w:rFonts w:cs="Arial"/>
                <w:bCs/>
                <w:color w:val="7F7F7F" w:themeColor="text1" w:themeTint="80"/>
                <w:sz w:val="14"/>
                <w:szCs w:val="14"/>
              </w:rPr>
              <w:t>DP 2016, p.6</w:t>
            </w:r>
            <w:r w:rsidRPr="00995F3E">
              <w:rPr>
                <w:rFonts w:cs="Arial"/>
                <w:bCs/>
                <w:sz w:val="14"/>
                <w:szCs w:val="14"/>
              </w:rPr>
              <w:t>). The diverse</w:t>
            </w:r>
            <w:r w:rsidRPr="00995F3E">
              <w:rPr>
                <w:rFonts w:cs="Arial"/>
                <w:bCs/>
                <w:i/>
                <w:iCs/>
                <w:sz w:val="14"/>
                <w:szCs w:val="14"/>
              </w:rPr>
              <w:t xml:space="preserve"> Strategies</w:t>
            </w:r>
            <w:r w:rsidRPr="00995F3E">
              <w:rPr>
                <w:rFonts w:cs="Arial"/>
                <w:bCs/>
                <w:sz w:val="14"/>
                <w:szCs w:val="14"/>
              </w:rPr>
              <w:t xml:space="preserve"> devised were subjected to a ‘robustness test’ to see which were effective under the different scenarios; the ‘</w:t>
            </w:r>
            <w:r w:rsidRPr="00995F3E">
              <w:rPr>
                <w:rFonts w:cs="Arial"/>
                <w:bCs/>
                <w:i/>
                <w:iCs/>
                <w:sz w:val="14"/>
                <w:szCs w:val="14"/>
              </w:rPr>
              <w:t>Preferential</w:t>
            </w:r>
            <w:r w:rsidRPr="00995F3E">
              <w:rPr>
                <w:rFonts w:cs="Arial"/>
                <w:bCs/>
                <w:sz w:val="14"/>
                <w:szCs w:val="14"/>
              </w:rPr>
              <w:t xml:space="preserve">’ </w:t>
            </w:r>
            <w:r w:rsidRPr="00995F3E">
              <w:rPr>
                <w:rFonts w:cs="Arial"/>
                <w:bCs/>
                <w:i/>
                <w:iCs/>
                <w:sz w:val="14"/>
                <w:szCs w:val="14"/>
              </w:rPr>
              <w:t>Strategies</w:t>
            </w:r>
            <w:r w:rsidRPr="00995F3E">
              <w:rPr>
                <w:rFonts w:cs="Arial"/>
                <w:bCs/>
                <w:sz w:val="14"/>
                <w:szCs w:val="14"/>
              </w:rPr>
              <w:t xml:space="preserve"> are those that perform well even in more drastic climatic scenarios (</w:t>
            </w:r>
            <w:r w:rsidRPr="00995F3E">
              <w:rPr>
                <w:rFonts w:cs="Arial"/>
                <w:bCs/>
                <w:color w:val="7F7F7F" w:themeColor="text1" w:themeTint="80"/>
                <w:sz w:val="14"/>
                <w:szCs w:val="14"/>
              </w:rPr>
              <w:t>DP 2014, p.8</w:t>
            </w:r>
            <w:r w:rsidRPr="00995F3E">
              <w:rPr>
                <w:rFonts w:cs="Arial"/>
                <w:bCs/>
                <w:sz w:val="14"/>
                <w:szCs w:val="14"/>
              </w:rPr>
              <w:t xml:space="preserve">). Moreover, the costs of the </w:t>
            </w:r>
            <w:r w:rsidRPr="00995F3E">
              <w:rPr>
                <w:rFonts w:cs="Arial"/>
                <w:bCs/>
                <w:i/>
                <w:iCs/>
                <w:sz w:val="14"/>
                <w:szCs w:val="14"/>
              </w:rPr>
              <w:t>Preferential Strategies</w:t>
            </w:r>
            <w:r w:rsidRPr="00995F3E">
              <w:rPr>
                <w:rFonts w:cs="Arial"/>
                <w:bCs/>
                <w:sz w:val="14"/>
                <w:szCs w:val="14"/>
              </w:rPr>
              <w:t xml:space="preserve"> were estimated, especially of the measures until 2050 (</w:t>
            </w:r>
            <w:r w:rsidRPr="00995F3E">
              <w:rPr>
                <w:rFonts w:cs="Arial"/>
                <w:bCs/>
                <w:color w:val="7F7F7F" w:themeColor="text1" w:themeTint="80"/>
                <w:sz w:val="14"/>
                <w:szCs w:val="14"/>
              </w:rPr>
              <w:t>DP 2014, p.47</w:t>
            </w:r>
            <w:r w:rsidRPr="00995F3E">
              <w:rPr>
                <w:rFonts w:cs="Arial"/>
                <w:bCs/>
                <w:sz w:val="14"/>
                <w:szCs w:val="14"/>
              </w:rPr>
              <w:t>).</w:t>
            </w:r>
          </w:p>
        </w:tc>
        <w:tc>
          <w:tcPr>
            <w:tcW w:w="1843" w:type="dxa"/>
            <w:shd w:val="clear" w:color="auto" w:fill="auto"/>
          </w:tcPr>
          <w:p w14:paraId="4B49C52D" w14:textId="77777777" w:rsidR="00995F3E" w:rsidRPr="00995F3E" w:rsidRDefault="00995F3E" w:rsidP="00E74925">
            <w:pPr>
              <w:spacing w:after="60"/>
              <w:jc w:val="left"/>
              <w:rPr>
                <w:rFonts w:cs="Arial"/>
                <w:bCs/>
                <w:noProof/>
                <w:sz w:val="14"/>
                <w:szCs w:val="14"/>
              </w:rPr>
            </w:pPr>
            <w:r w:rsidRPr="00995F3E">
              <w:rPr>
                <w:rFonts w:cs="Arial"/>
                <w:bCs/>
                <w:iCs/>
                <w:sz w:val="14"/>
                <w:szCs w:val="14"/>
              </w:rPr>
              <w:lastRenderedPageBreak/>
              <w:t xml:space="preserve">Year 3 (2012/2013): Identification of ‘Promising Strategies’ (strategies that link with other agendas). It resulted in the DP 2013 </w:t>
            </w:r>
            <w:r w:rsidRPr="00995F3E">
              <w:rPr>
                <w:rFonts w:cs="Arial"/>
                <w:bCs/>
                <w:iCs/>
                <w:sz w:val="14"/>
                <w:szCs w:val="14"/>
              </w:rPr>
              <w:t xml:space="preserve">(for 2014). </w:t>
            </w:r>
            <w:r w:rsidRPr="00995F3E">
              <w:rPr>
                <w:rFonts w:cs="Arial"/>
                <w:bCs/>
                <w:noProof/>
                <w:sz w:val="14"/>
                <w:szCs w:val="14"/>
              </w:rPr>
              <w:t>This year involved: studying opportunities to link with other agendas and windows of opportunity and synergy; searching for / identifying the optimal sequence for measures / decisions, specifying risks and indicators, analysing existing strategies, identifying no-regrets measures and opportunities for coupling in the near-future, and anticipating measures for the short-term. This year, the DP report presented the ‘</w:t>
            </w:r>
            <w:r w:rsidRPr="00995F3E">
              <w:rPr>
                <w:rFonts w:cs="Arial"/>
                <w:bCs/>
                <w:i/>
                <w:noProof/>
                <w:sz w:val="14"/>
                <w:szCs w:val="14"/>
              </w:rPr>
              <w:t>draft Delta Decisions</w:t>
            </w:r>
            <w:r w:rsidRPr="00995F3E">
              <w:rPr>
                <w:rFonts w:cs="Arial"/>
                <w:bCs/>
                <w:noProof/>
                <w:sz w:val="14"/>
                <w:szCs w:val="14"/>
              </w:rPr>
              <w:t>’ and ‘</w:t>
            </w:r>
            <w:r w:rsidRPr="00995F3E">
              <w:rPr>
                <w:rFonts w:cs="Arial"/>
                <w:bCs/>
                <w:i/>
                <w:noProof/>
                <w:sz w:val="14"/>
                <w:szCs w:val="14"/>
              </w:rPr>
              <w:t>Promising Strategies</w:t>
            </w:r>
            <w:r w:rsidRPr="00995F3E">
              <w:rPr>
                <w:rFonts w:cs="Arial"/>
                <w:bCs/>
                <w:noProof/>
                <w:sz w:val="14"/>
                <w:szCs w:val="14"/>
              </w:rPr>
              <w:t xml:space="preserve">’ </w:t>
            </w:r>
            <w:r w:rsidRPr="00995F3E">
              <w:rPr>
                <w:rFonts w:cs="Arial"/>
                <w:bCs/>
                <w:sz w:val="14"/>
                <w:szCs w:val="14"/>
              </w:rPr>
              <w:t>(</w:t>
            </w:r>
            <w:r w:rsidRPr="00995F3E">
              <w:rPr>
                <w:rFonts w:cs="Arial"/>
                <w:bCs/>
                <w:color w:val="7F7F7F" w:themeColor="text1" w:themeTint="80"/>
                <w:sz w:val="14"/>
                <w:szCs w:val="14"/>
              </w:rPr>
              <w:t>Rhee 2012, p.9; Werners et al. 2016</w:t>
            </w:r>
            <w:r w:rsidRPr="00995F3E">
              <w:rPr>
                <w:rFonts w:cs="Arial"/>
                <w:bCs/>
                <w:sz w:val="14"/>
                <w:szCs w:val="14"/>
              </w:rPr>
              <w:t xml:space="preserve">). </w:t>
            </w:r>
            <w:r w:rsidRPr="00995F3E">
              <w:rPr>
                <w:rFonts w:cs="Arial"/>
                <w:bCs/>
                <w:noProof/>
                <w:sz w:val="14"/>
                <w:szCs w:val="14"/>
              </w:rPr>
              <w:t xml:space="preserve"> </w:t>
            </w:r>
          </w:p>
          <w:p w14:paraId="681E2729" w14:textId="77777777" w:rsidR="00995F3E" w:rsidRPr="00995F3E" w:rsidRDefault="00995F3E" w:rsidP="00E74925">
            <w:pPr>
              <w:spacing w:after="60"/>
              <w:jc w:val="left"/>
              <w:rPr>
                <w:rFonts w:cs="Arial"/>
                <w:bCs/>
                <w:iCs/>
                <w:sz w:val="14"/>
                <w:szCs w:val="14"/>
              </w:rPr>
            </w:pPr>
            <w:r w:rsidRPr="00995F3E">
              <w:rPr>
                <w:rFonts w:cs="Arial"/>
                <w:bCs/>
                <w:iCs/>
                <w:sz w:val="14"/>
                <w:szCs w:val="14"/>
              </w:rPr>
              <w:t>…………….</w:t>
            </w:r>
          </w:p>
          <w:p w14:paraId="67D14B99" w14:textId="4ABFC502" w:rsidR="00995F3E" w:rsidRPr="00995F3E" w:rsidRDefault="00995F3E" w:rsidP="00E74925">
            <w:pPr>
              <w:spacing w:after="60"/>
              <w:jc w:val="left"/>
              <w:rPr>
                <w:rFonts w:cs="Arial"/>
                <w:bCs/>
                <w:sz w:val="14"/>
                <w:szCs w:val="14"/>
              </w:rPr>
            </w:pPr>
            <w:r w:rsidRPr="00995F3E">
              <w:rPr>
                <w:rFonts w:cs="Arial"/>
                <w:bCs/>
                <w:sz w:val="14"/>
                <w:szCs w:val="14"/>
              </w:rPr>
              <w:t>Using the measures pre-identified, the RE-D Subprogramme developed its ‘</w:t>
            </w:r>
            <w:r w:rsidRPr="00995F3E">
              <w:rPr>
                <w:rFonts w:cs="Arial"/>
                <w:bCs/>
                <w:i/>
                <w:iCs/>
                <w:sz w:val="14"/>
                <w:szCs w:val="14"/>
              </w:rPr>
              <w:t>adaptation paths</w:t>
            </w:r>
            <w:r w:rsidRPr="00995F3E">
              <w:rPr>
                <w:rFonts w:cs="Arial"/>
                <w:bCs/>
                <w:sz w:val="14"/>
                <w:szCs w:val="14"/>
              </w:rPr>
              <w:t xml:space="preserve">’ (pathways) for FRM for the region. This implied designing sequences of interrelated measures over time, and testing them under the </w:t>
            </w:r>
            <w:r w:rsidRPr="00995F3E">
              <w:rPr>
                <w:rFonts w:cs="Arial"/>
                <w:bCs/>
                <w:i/>
                <w:iCs/>
                <w:sz w:val="14"/>
                <w:szCs w:val="14"/>
              </w:rPr>
              <w:t>Delta Scenarios</w:t>
            </w:r>
            <w:r w:rsidRPr="00995F3E">
              <w:rPr>
                <w:rFonts w:cs="Arial"/>
                <w:bCs/>
                <w:sz w:val="14"/>
                <w:szCs w:val="14"/>
              </w:rPr>
              <w:t>, to see assess if future problems or ATPs arise, and identify solutions to tackle them (</w:t>
            </w:r>
            <w:r w:rsidR="005C558F" w:rsidRPr="00E74925">
              <w:rPr>
                <w:rFonts w:cs="Arial"/>
                <w:bCs/>
                <w:color w:val="7F7F7F" w:themeColor="text1" w:themeTint="80"/>
                <w:sz w:val="14"/>
                <w:szCs w:val="14"/>
              </w:rPr>
              <w:t>Brugge and Bruggeman 2019</w:t>
            </w:r>
            <w:r w:rsidRPr="00995F3E">
              <w:rPr>
                <w:rFonts w:cs="Arial"/>
                <w:bCs/>
                <w:color w:val="7F7F7F" w:themeColor="text1" w:themeTint="80"/>
                <w:sz w:val="14"/>
                <w:szCs w:val="14"/>
              </w:rPr>
              <w:t>, p.6</w:t>
            </w:r>
            <w:r w:rsidRPr="00995F3E">
              <w:rPr>
                <w:rFonts w:cs="Arial"/>
                <w:bCs/>
                <w:sz w:val="14"/>
                <w:szCs w:val="14"/>
              </w:rPr>
              <w:t>).</w:t>
            </w:r>
          </w:p>
          <w:p w14:paraId="634E2883" w14:textId="77777777" w:rsidR="00995F3E" w:rsidRPr="00995F3E" w:rsidRDefault="00995F3E" w:rsidP="00E74925">
            <w:pPr>
              <w:spacing w:after="60"/>
              <w:jc w:val="left"/>
              <w:rPr>
                <w:rFonts w:cs="Arial"/>
                <w:bCs/>
                <w:iCs/>
                <w:sz w:val="14"/>
                <w:szCs w:val="14"/>
              </w:rPr>
            </w:pPr>
          </w:p>
          <w:p w14:paraId="48751410" w14:textId="77777777" w:rsidR="00995F3E" w:rsidRPr="00995F3E" w:rsidRDefault="00995F3E" w:rsidP="00E74925">
            <w:pPr>
              <w:spacing w:after="60"/>
              <w:jc w:val="left"/>
              <w:rPr>
                <w:rFonts w:cs="Arial"/>
                <w:bCs/>
                <w:sz w:val="14"/>
                <w:szCs w:val="14"/>
              </w:rPr>
            </w:pPr>
            <w:r w:rsidRPr="00995F3E">
              <w:rPr>
                <w:rFonts w:cs="Arial"/>
                <w:bCs/>
                <w:sz w:val="14"/>
                <w:szCs w:val="14"/>
              </w:rPr>
              <w:t>In the case of Dordrecht, the measures identified were assessed on their efficiency, cost-effectiveness, legitimacy, and social feasibility; and measures that may be regretted later were avoided as much as possible, and alternatives to ‘dyke strengthening’ were explored, e.g. green adaptation measures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 p.212</w:t>
            </w:r>
            <w:r w:rsidRPr="00995F3E">
              <w:rPr>
                <w:rFonts w:cs="Arial"/>
                <w:bCs/>
                <w:sz w:val="14"/>
                <w:szCs w:val="14"/>
              </w:rPr>
              <w:t xml:space="preserve">). </w:t>
            </w:r>
          </w:p>
          <w:p w14:paraId="4E8F87EC"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The APs’ map shows which measures need to be taken and </w:t>
            </w:r>
            <w:proofErr w:type="gramStart"/>
            <w:r w:rsidRPr="00995F3E">
              <w:rPr>
                <w:rFonts w:cs="Arial"/>
                <w:bCs/>
                <w:sz w:val="14"/>
                <w:szCs w:val="14"/>
              </w:rPr>
              <w:t>when, and</w:t>
            </w:r>
            <w:proofErr w:type="gramEnd"/>
            <w:r w:rsidRPr="00995F3E">
              <w:rPr>
                <w:rFonts w:cs="Arial"/>
                <w:bCs/>
                <w:sz w:val="14"/>
                <w:szCs w:val="14"/>
              </w:rPr>
              <w:t xml:space="preserve"> shows how the tasks for the long-term may influence short-term decisions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 p. 211</w:t>
            </w:r>
            <w:r w:rsidRPr="00995F3E">
              <w:rPr>
                <w:rFonts w:cs="Arial"/>
                <w:bCs/>
                <w:sz w:val="14"/>
                <w:szCs w:val="14"/>
              </w:rPr>
              <w:t xml:space="preserve">). The scheme of ‘adaptation paths’ shows the measures available for the short-term (2030) and mid-term (2050), and possible options to keep open for the long-term (up to 2100); it also includes anticipatory or preparatory) measures required to keep open </w:t>
            </w:r>
            <w:r w:rsidRPr="00995F3E">
              <w:rPr>
                <w:rFonts w:cs="Arial"/>
                <w:bCs/>
                <w:sz w:val="14"/>
                <w:szCs w:val="14"/>
              </w:rPr>
              <w:lastRenderedPageBreak/>
              <w:t>options for the long-term (e.g. research studies on a particular option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 p. 211</w:t>
            </w:r>
            <w:r w:rsidRPr="00995F3E">
              <w:rPr>
                <w:rFonts w:cs="Arial"/>
                <w:bCs/>
                <w:sz w:val="14"/>
                <w:szCs w:val="14"/>
              </w:rPr>
              <w:t>).</w:t>
            </w:r>
          </w:p>
          <w:p w14:paraId="735E47F7" w14:textId="77777777" w:rsidR="00995F3E" w:rsidRPr="00995F3E" w:rsidRDefault="00995F3E" w:rsidP="00E74925">
            <w:pPr>
              <w:spacing w:after="60"/>
              <w:jc w:val="left"/>
              <w:rPr>
                <w:rFonts w:cs="Arial"/>
                <w:bCs/>
                <w:sz w:val="14"/>
                <w:szCs w:val="14"/>
              </w:rPr>
            </w:pPr>
            <w:r w:rsidRPr="00995F3E">
              <w:rPr>
                <w:rFonts w:cs="Arial"/>
                <w:bCs/>
                <w:sz w:val="14"/>
                <w:szCs w:val="14"/>
              </w:rPr>
              <w:t>The pathways deliver ‘flexibility’ in several ways: the strategies can be accelerated, slowed down, or adjusted, by using other options that are kept open (i.e. by shifting from one measure to another available)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 p.212-213</w:t>
            </w:r>
            <w:r w:rsidRPr="00995F3E">
              <w:rPr>
                <w:rFonts w:cs="Arial"/>
                <w:bCs/>
                <w:sz w:val="14"/>
                <w:szCs w:val="14"/>
              </w:rPr>
              <w:t xml:space="preserve">). </w:t>
            </w:r>
          </w:p>
          <w:p w14:paraId="02FBC9C4" w14:textId="77777777" w:rsidR="00995F3E" w:rsidRPr="00995F3E" w:rsidRDefault="00995F3E" w:rsidP="00E74925">
            <w:pPr>
              <w:spacing w:after="60"/>
              <w:jc w:val="left"/>
              <w:rPr>
                <w:rFonts w:cs="Arial"/>
                <w:bCs/>
                <w:sz w:val="14"/>
                <w:szCs w:val="14"/>
              </w:rPr>
            </w:pPr>
          </w:p>
          <w:p w14:paraId="10782193"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Though the Subprogramme worked with the four </w:t>
            </w:r>
            <w:r w:rsidRPr="00995F3E">
              <w:rPr>
                <w:rFonts w:cs="Arial"/>
                <w:bCs/>
                <w:i/>
                <w:iCs/>
                <w:sz w:val="14"/>
                <w:szCs w:val="14"/>
              </w:rPr>
              <w:t>Delta Scenarios</w:t>
            </w:r>
            <w:r w:rsidRPr="00995F3E">
              <w:rPr>
                <w:rFonts w:cs="Arial"/>
                <w:bCs/>
                <w:sz w:val="14"/>
                <w:szCs w:val="14"/>
              </w:rPr>
              <w:t xml:space="preserve"> (translated to the regional context), the effectiveness of the strategies was only assessed in the </w:t>
            </w:r>
            <w:r w:rsidRPr="00995F3E">
              <w:rPr>
                <w:rFonts w:cs="Arial"/>
                <w:bCs/>
                <w:i/>
                <w:iCs/>
                <w:sz w:val="14"/>
                <w:szCs w:val="14"/>
              </w:rPr>
              <w:t xml:space="preserve">Steam </w:t>
            </w:r>
            <w:r w:rsidRPr="00995F3E">
              <w:rPr>
                <w:rFonts w:cs="Arial"/>
                <w:bCs/>
                <w:sz w:val="14"/>
                <w:szCs w:val="14"/>
              </w:rPr>
              <w:t xml:space="preserve">and </w:t>
            </w:r>
            <w:r w:rsidRPr="00995F3E">
              <w:rPr>
                <w:rFonts w:cs="Arial"/>
                <w:bCs/>
                <w:i/>
                <w:iCs/>
                <w:sz w:val="14"/>
                <w:szCs w:val="14"/>
              </w:rPr>
              <w:t>Rest</w:t>
            </w:r>
            <w:r w:rsidRPr="00995F3E">
              <w:rPr>
                <w:rFonts w:cs="Arial"/>
                <w:bCs/>
                <w:sz w:val="14"/>
                <w:szCs w:val="14"/>
              </w:rPr>
              <w:t>. The question of ‘which scenario should be used’ did not matter too much, because whatever scenario happens, the existing flood defence system (with its dykes and storm surge barriers) could cope with it, and it would require some improvements but not radical modifications (</w:t>
            </w:r>
            <w:proofErr w:type="spellStart"/>
            <w:r w:rsidRPr="00995F3E">
              <w:rPr>
                <w:rFonts w:cs="Arial"/>
                <w:bCs/>
                <w:color w:val="7F7F7F" w:themeColor="text1" w:themeTint="80"/>
                <w:sz w:val="14"/>
                <w:szCs w:val="14"/>
              </w:rPr>
              <w:t>Restemeyer</w:t>
            </w:r>
            <w:proofErr w:type="spellEnd"/>
            <w:r w:rsidRPr="00995F3E">
              <w:rPr>
                <w:rFonts w:cs="Arial"/>
                <w:bCs/>
                <w:color w:val="7F7F7F" w:themeColor="text1" w:themeTint="80"/>
                <w:sz w:val="14"/>
                <w:szCs w:val="14"/>
              </w:rPr>
              <w:t xml:space="preserve"> et al. 2017, p.931</w:t>
            </w:r>
            <w:r w:rsidRPr="00995F3E">
              <w:rPr>
                <w:rFonts w:cs="Arial"/>
                <w:bCs/>
                <w:sz w:val="14"/>
                <w:szCs w:val="14"/>
              </w:rPr>
              <w:t xml:space="preserve">). </w:t>
            </w:r>
          </w:p>
          <w:p w14:paraId="6BACAED0" w14:textId="77777777" w:rsidR="00995F3E" w:rsidRPr="00995F3E" w:rsidRDefault="00995F3E" w:rsidP="00E74925">
            <w:pPr>
              <w:spacing w:after="60"/>
              <w:jc w:val="left"/>
              <w:rPr>
                <w:rFonts w:cs="Arial"/>
                <w:bCs/>
                <w:sz w:val="14"/>
                <w:szCs w:val="14"/>
              </w:rPr>
            </w:pPr>
          </w:p>
          <w:p w14:paraId="5ABB4B0F" w14:textId="77777777" w:rsidR="00995F3E" w:rsidRPr="00995F3E" w:rsidRDefault="00995F3E" w:rsidP="00E74925">
            <w:pPr>
              <w:spacing w:after="60"/>
              <w:jc w:val="left"/>
              <w:rPr>
                <w:rFonts w:cs="Arial"/>
                <w:bCs/>
                <w:sz w:val="14"/>
                <w:szCs w:val="14"/>
              </w:rPr>
            </w:pPr>
            <w:r w:rsidRPr="00995F3E">
              <w:rPr>
                <w:rFonts w:cs="Arial"/>
                <w:bCs/>
                <w:sz w:val="14"/>
                <w:szCs w:val="14"/>
              </w:rPr>
              <w:t>In the Dordrecht case, the ADM approach</w:t>
            </w:r>
            <w:proofErr w:type="gramStart"/>
            <w:r w:rsidRPr="00995F3E">
              <w:rPr>
                <w:rFonts w:cs="Arial"/>
                <w:bCs/>
                <w:sz w:val="14"/>
                <w:szCs w:val="14"/>
              </w:rPr>
              <w:t>, and, in particular,</w:t>
            </w:r>
            <w:proofErr w:type="gramEnd"/>
            <w:r w:rsidRPr="00995F3E">
              <w:rPr>
                <w:rFonts w:cs="Arial"/>
                <w:bCs/>
                <w:sz w:val="14"/>
                <w:szCs w:val="14"/>
              </w:rPr>
              <w:t xml:space="preserve"> the APs method, served to develop a ‘</w:t>
            </w:r>
            <w:r w:rsidRPr="00995F3E">
              <w:rPr>
                <w:rFonts w:cs="Arial"/>
                <w:bCs/>
                <w:i/>
                <w:iCs/>
                <w:sz w:val="14"/>
                <w:szCs w:val="14"/>
              </w:rPr>
              <w:t>robust flexible strategy</w:t>
            </w:r>
            <w:r w:rsidRPr="00995F3E">
              <w:rPr>
                <w:rFonts w:cs="Arial"/>
                <w:bCs/>
                <w:sz w:val="14"/>
                <w:szCs w:val="14"/>
              </w:rPr>
              <w:t>’ for FRM. The APs ensures flexibility, since the pathways can be accelerated, slowed down, or adjusted (through shifts from a measure to other), and options to keep open are shown. ADM was also crucial for tailoring the Strategy to the local context, its spatial and economic characteristics. The Team collected perspectives of various stakeholders and examined how measures could be linked with investments and urban projects in the area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 p.12, 213, 209</w:t>
            </w:r>
            <w:r w:rsidRPr="00995F3E">
              <w:rPr>
                <w:rFonts w:cs="Arial"/>
                <w:bCs/>
                <w:sz w:val="14"/>
                <w:szCs w:val="14"/>
              </w:rPr>
              <w:t>).</w:t>
            </w:r>
          </w:p>
          <w:p w14:paraId="5E3B750F" w14:textId="77777777" w:rsidR="00995F3E" w:rsidRPr="00995F3E" w:rsidRDefault="00995F3E" w:rsidP="00E74925">
            <w:pPr>
              <w:spacing w:after="60"/>
              <w:jc w:val="left"/>
              <w:rPr>
                <w:rFonts w:cs="Arial"/>
                <w:bCs/>
                <w:sz w:val="14"/>
                <w:szCs w:val="14"/>
              </w:rPr>
            </w:pPr>
            <w:r w:rsidRPr="00995F3E">
              <w:rPr>
                <w:rFonts w:cs="Arial"/>
                <w:bCs/>
                <w:sz w:val="14"/>
                <w:szCs w:val="14"/>
              </w:rPr>
              <w:t>……………..</w:t>
            </w:r>
          </w:p>
          <w:p w14:paraId="2A06AEE5"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The RE-D Subprogramme developed its ‘adaptation path’ for FRM, which indicates diverse measures and at what </w:t>
            </w:r>
            <w:r w:rsidRPr="00995F3E">
              <w:rPr>
                <w:rFonts w:cs="Arial"/>
                <w:bCs/>
                <w:sz w:val="14"/>
                <w:szCs w:val="14"/>
              </w:rPr>
              <w:lastRenderedPageBreak/>
              <w:t>times these will be required (</w:t>
            </w:r>
            <w:r w:rsidRPr="00995F3E">
              <w:rPr>
                <w:rFonts w:cs="Arial"/>
                <w:bCs/>
                <w:color w:val="7F7F7F" w:themeColor="text1" w:themeTint="80"/>
                <w:sz w:val="14"/>
                <w:szCs w:val="14"/>
              </w:rPr>
              <w:t>DP 2012, p.90</w:t>
            </w:r>
            <w:r w:rsidRPr="00995F3E">
              <w:rPr>
                <w:rFonts w:cs="Arial"/>
                <w:bCs/>
                <w:sz w:val="14"/>
                <w:szCs w:val="14"/>
              </w:rPr>
              <w:t>).</w:t>
            </w:r>
          </w:p>
          <w:p w14:paraId="5D7056FD" w14:textId="77777777" w:rsidR="00995F3E" w:rsidRPr="00995F3E" w:rsidRDefault="00995F3E" w:rsidP="00E74925">
            <w:pPr>
              <w:spacing w:after="60"/>
              <w:jc w:val="left"/>
              <w:rPr>
                <w:rFonts w:cs="Arial"/>
                <w:bCs/>
                <w:iCs/>
                <w:sz w:val="14"/>
                <w:szCs w:val="14"/>
              </w:rPr>
            </w:pPr>
          </w:p>
          <w:p w14:paraId="39C612E9" w14:textId="77777777" w:rsidR="00995F3E" w:rsidRPr="00995F3E" w:rsidRDefault="00995F3E" w:rsidP="00E74925">
            <w:pPr>
              <w:spacing w:after="60"/>
              <w:jc w:val="left"/>
              <w:rPr>
                <w:rFonts w:cs="Arial"/>
                <w:bCs/>
                <w:sz w:val="14"/>
                <w:szCs w:val="14"/>
              </w:rPr>
            </w:pPr>
          </w:p>
        </w:tc>
      </w:tr>
      <w:tr w:rsidR="00995F3E" w:rsidRPr="00995F3E" w14:paraId="3C936C0E" w14:textId="77777777" w:rsidTr="00E74925">
        <w:tc>
          <w:tcPr>
            <w:tcW w:w="704" w:type="dxa"/>
            <w:vMerge/>
            <w:shd w:val="clear" w:color="auto" w:fill="auto"/>
          </w:tcPr>
          <w:p w14:paraId="14D36597" w14:textId="77777777" w:rsidR="00995F3E" w:rsidRPr="00995F3E" w:rsidRDefault="00995F3E" w:rsidP="00E74925">
            <w:pPr>
              <w:spacing w:after="60"/>
              <w:jc w:val="left"/>
              <w:rPr>
                <w:rFonts w:cs="Arial"/>
                <w:bCs/>
                <w:i/>
                <w:sz w:val="14"/>
                <w:szCs w:val="14"/>
              </w:rPr>
            </w:pPr>
          </w:p>
        </w:tc>
        <w:tc>
          <w:tcPr>
            <w:tcW w:w="2552" w:type="dxa"/>
            <w:shd w:val="clear" w:color="auto" w:fill="auto"/>
          </w:tcPr>
          <w:p w14:paraId="0CED02F0" w14:textId="77777777" w:rsidR="00995F3E" w:rsidRPr="00995F3E" w:rsidRDefault="00995F3E" w:rsidP="00E74925">
            <w:pPr>
              <w:spacing w:after="60"/>
              <w:jc w:val="left"/>
              <w:rPr>
                <w:rFonts w:cs="Arial"/>
                <w:bCs/>
                <w:sz w:val="14"/>
                <w:szCs w:val="14"/>
              </w:rPr>
            </w:pPr>
          </w:p>
        </w:tc>
        <w:tc>
          <w:tcPr>
            <w:tcW w:w="4819" w:type="dxa"/>
            <w:shd w:val="clear" w:color="auto" w:fill="auto"/>
          </w:tcPr>
          <w:p w14:paraId="7B9663B0" w14:textId="77777777" w:rsidR="00995F3E" w:rsidRPr="00995F3E" w:rsidRDefault="00995F3E" w:rsidP="00E74925">
            <w:pPr>
              <w:spacing w:after="60"/>
              <w:rPr>
                <w:rFonts w:cs="Arial"/>
                <w:bCs/>
                <w:sz w:val="14"/>
                <w:szCs w:val="14"/>
              </w:rPr>
            </w:pPr>
            <w:proofErr w:type="spellStart"/>
            <w:r w:rsidRPr="00995F3E">
              <w:rPr>
                <w:rFonts w:cs="Arial"/>
                <w:bCs/>
                <w:sz w:val="14"/>
                <w:szCs w:val="14"/>
              </w:rPr>
              <w:t>Substep</w:t>
            </w:r>
            <w:proofErr w:type="spellEnd"/>
            <w:r w:rsidRPr="00995F3E">
              <w:rPr>
                <w:rFonts w:cs="Arial"/>
                <w:bCs/>
                <w:sz w:val="14"/>
                <w:szCs w:val="14"/>
              </w:rPr>
              <w:t xml:space="preserve"> 3b (assessing the </w:t>
            </w:r>
            <w:r w:rsidRPr="00995F3E">
              <w:rPr>
                <w:rFonts w:cs="Arial"/>
                <w:bCs/>
                <w:i/>
                <w:iCs/>
                <w:sz w:val="14"/>
                <w:szCs w:val="14"/>
              </w:rPr>
              <w:t>Strategies</w:t>
            </w:r>
            <w:r w:rsidRPr="00995F3E">
              <w:rPr>
                <w:rFonts w:cs="Arial"/>
                <w:bCs/>
                <w:sz w:val="14"/>
                <w:szCs w:val="14"/>
              </w:rPr>
              <w:t xml:space="preserve"> and their ‘</w:t>
            </w:r>
            <w:r w:rsidRPr="00995F3E">
              <w:rPr>
                <w:rFonts w:cs="Arial"/>
                <w:bCs/>
                <w:i/>
                <w:iCs/>
                <w:sz w:val="14"/>
                <w:szCs w:val="14"/>
              </w:rPr>
              <w:t>adaptation paths</w:t>
            </w:r>
            <w:r w:rsidRPr="00995F3E">
              <w:rPr>
                <w:rFonts w:cs="Arial"/>
                <w:bCs/>
                <w:sz w:val="14"/>
                <w:szCs w:val="14"/>
              </w:rPr>
              <w:t>’)</w:t>
            </w:r>
          </w:p>
          <w:p w14:paraId="537B411C"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The Subprogrammes followed a screening process from </w:t>
            </w:r>
            <w:r w:rsidRPr="00995F3E">
              <w:rPr>
                <w:rFonts w:cs="Arial"/>
                <w:bCs/>
                <w:i/>
                <w:iCs/>
                <w:sz w:val="14"/>
                <w:szCs w:val="14"/>
              </w:rPr>
              <w:t>Possible Strategies</w:t>
            </w:r>
            <w:r w:rsidRPr="00995F3E">
              <w:rPr>
                <w:rFonts w:cs="Arial"/>
                <w:bCs/>
                <w:sz w:val="14"/>
                <w:szCs w:val="14"/>
              </w:rPr>
              <w:t xml:space="preserve"> to </w:t>
            </w:r>
            <w:r w:rsidRPr="00995F3E">
              <w:rPr>
                <w:rFonts w:cs="Arial"/>
                <w:bCs/>
                <w:i/>
                <w:iCs/>
                <w:sz w:val="14"/>
                <w:szCs w:val="14"/>
              </w:rPr>
              <w:t>Promising Strategies</w:t>
            </w:r>
            <w:r w:rsidRPr="00995F3E">
              <w:rPr>
                <w:rFonts w:cs="Arial"/>
                <w:bCs/>
                <w:sz w:val="14"/>
                <w:szCs w:val="14"/>
              </w:rPr>
              <w:t xml:space="preserve">, and then to </w:t>
            </w:r>
            <w:r w:rsidRPr="00995F3E">
              <w:rPr>
                <w:rFonts w:cs="Arial"/>
                <w:bCs/>
                <w:i/>
                <w:iCs/>
                <w:sz w:val="14"/>
                <w:szCs w:val="14"/>
              </w:rPr>
              <w:t>Preferential Strategies</w:t>
            </w:r>
            <w:r w:rsidRPr="00995F3E">
              <w:rPr>
                <w:rFonts w:cs="Arial"/>
                <w:bCs/>
                <w:sz w:val="14"/>
                <w:szCs w:val="14"/>
              </w:rPr>
              <w:t xml:space="preserve"> (preferred pathways); in this process</w:t>
            </w:r>
            <w:r w:rsidRPr="00995F3E">
              <w:rPr>
                <w:rFonts w:cs="Arial"/>
                <w:bCs/>
                <w:color w:val="0070C0"/>
                <w:sz w:val="14"/>
                <w:szCs w:val="14"/>
              </w:rPr>
              <w:t xml:space="preserve">, </w:t>
            </w:r>
            <w:r w:rsidRPr="00995F3E">
              <w:rPr>
                <w:rFonts w:cs="Arial"/>
                <w:bCs/>
                <w:sz w:val="14"/>
                <w:szCs w:val="14"/>
              </w:rPr>
              <w:t>the</w:t>
            </w:r>
            <w:r w:rsidRPr="00995F3E">
              <w:rPr>
                <w:rFonts w:cs="Arial"/>
                <w:bCs/>
                <w:i/>
                <w:iCs/>
                <w:sz w:val="14"/>
                <w:szCs w:val="14"/>
              </w:rPr>
              <w:t xml:space="preserve"> Strategies</w:t>
            </w:r>
            <w:r w:rsidRPr="00995F3E">
              <w:rPr>
                <w:rFonts w:cs="Arial"/>
                <w:bCs/>
                <w:sz w:val="14"/>
                <w:szCs w:val="14"/>
              </w:rPr>
              <w:t xml:space="preserve"> were </w:t>
            </w:r>
            <w:r w:rsidRPr="00505570">
              <w:rPr>
                <w:rFonts w:cs="Arial"/>
                <w:bCs/>
                <w:sz w:val="14"/>
                <w:szCs w:val="14"/>
              </w:rPr>
              <w:t xml:space="preserve">iteratively </w:t>
            </w:r>
            <w:r w:rsidRPr="00995F3E">
              <w:rPr>
                <w:rFonts w:cs="Arial"/>
                <w:bCs/>
                <w:sz w:val="14"/>
                <w:szCs w:val="14"/>
              </w:rPr>
              <w:t>assessed on their cost-benefit, effectiveness in meeting the objectives, and secondary effects (on nature, shipping, etc.) (</w:t>
            </w:r>
            <w:proofErr w:type="spellStart"/>
            <w:r w:rsidRPr="00995F3E">
              <w:rPr>
                <w:rFonts w:cs="Arial"/>
                <w:bCs/>
                <w:color w:val="7F7F7F" w:themeColor="text1" w:themeTint="80"/>
                <w:sz w:val="14"/>
                <w:szCs w:val="14"/>
              </w:rPr>
              <w:t>Restemeyer</w:t>
            </w:r>
            <w:proofErr w:type="spellEnd"/>
            <w:r w:rsidRPr="00995F3E">
              <w:rPr>
                <w:rFonts w:cs="Arial"/>
                <w:bCs/>
                <w:color w:val="7F7F7F" w:themeColor="text1" w:themeTint="80"/>
                <w:sz w:val="14"/>
                <w:szCs w:val="14"/>
              </w:rPr>
              <w:t xml:space="preserve"> et al. 2017, p.933</w:t>
            </w:r>
            <w:r w:rsidRPr="00995F3E">
              <w:rPr>
                <w:rFonts w:cs="Arial"/>
                <w:bCs/>
                <w:sz w:val="14"/>
                <w:szCs w:val="14"/>
              </w:rPr>
              <w:t xml:space="preserve">). </w:t>
            </w:r>
          </w:p>
          <w:p w14:paraId="3A7DB7D9" w14:textId="4D1B7A72" w:rsidR="00995F3E" w:rsidRPr="00995F3E" w:rsidRDefault="00995F3E" w:rsidP="00E74925">
            <w:pPr>
              <w:spacing w:after="60"/>
              <w:jc w:val="left"/>
              <w:rPr>
                <w:rFonts w:cs="Arial"/>
                <w:bCs/>
                <w:sz w:val="14"/>
                <w:szCs w:val="14"/>
              </w:rPr>
            </w:pPr>
            <w:r w:rsidRPr="00995F3E">
              <w:rPr>
                <w:rFonts w:cs="Arial"/>
                <w:bCs/>
                <w:sz w:val="14"/>
                <w:szCs w:val="14"/>
              </w:rPr>
              <w:t xml:space="preserve">To assess the measures and </w:t>
            </w:r>
            <w:r w:rsidRPr="00995F3E">
              <w:rPr>
                <w:rFonts w:cs="Arial"/>
                <w:bCs/>
                <w:i/>
                <w:iCs/>
                <w:sz w:val="14"/>
                <w:szCs w:val="14"/>
              </w:rPr>
              <w:t>paths</w:t>
            </w:r>
            <w:r w:rsidRPr="00995F3E">
              <w:rPr>
                <w:rFonts w:cs="Arial"/>
                <w:bCs/>
                <w:sz w:val="14"/>
                <w:szCs w:val="14"/>
              </w:rPr>
              <w:t xml:space="preserve">, and, in this way, substantiate the </w:t>
            </w:r>
            <w:r w:rsidRPr="00995F3E">
              <w:rPr>
                <w:rFonts w:cs="Arial"/>
                <w:bCs/>
                <w:i/>
                <w:iCs/>
                <w:sz w:val="14"/>
                <w:szCs w:val="14"/>
              </w:rPr>
              <w:t xml:space="preserve">Preferential Strategies </w:t>
            </w:r>
            <w:r w:rsidRPr="00995F3E">
              <w:rPr>
                <w:rFonts w:cs="Arial"/>
                <w:bCs/>
                <w:sz w:val="14"/>
                <w:szCs w:val="14"/>
              </w:rPr>
              <w:t>(and</w:t>
            </w:r>
            <w:r w:rsidRPr="00995F3E">
              <w:rPr>
                <w:rFonts w:cs="Arial"/>
                <w:bCs/>
                <w:i/>
                <w:iCs/>
                <w:sz w:val="14"/>
                <w:szCs w:val="14"/>
              </w:rPr>
              <w:t xml:space="preserve"> Delta Decisions</w:t>
            </w:r>
            <w:r w:rsidRPr="00995F3E">
              <w:rPr>
                <w:rFonts w:cs="Arial"/>
                <w:bCs/>
                <w:sz w:val="14"/>
                <w:szCs w:val="14"/>
              </w:rPr>
              <w:t>), the Subprogrammes used several economic assessment tools, namely cost-effectiveness analysis, cost-benefit analysis, and social cost-benefit analysis</w:t>
            </w:r>
            <w:r w:rsidRPr="00995F3E">
              <w:rPr>
                <w:rFonts w:cs="Arial"/>
                <w:bCs/>
                <w:sz w:val="14"/>
                <w:szCs w:val="14"/>
                <w:vertAlign w:val="superscript"/>
              </w:rPr>
              <w:footnoteReference w:id="45"/>
            </w:r>
            <w:r w:rsidRPr="00995F3E">
              <w:rPr>
                <w:rFonts w:cs="Arial"/>
                <w:bCs/>
                <w:sz w:val="14"/>
                <w:szCs w:val="14"/>
              </w:rPr>
              <w:t xml:space="preserve">, all tools provided within a set of </w:t>
            </w:r>
            <w:r w:rsidRPr="00995F3E">
              <w:rPr>
                <w:rFonts w:cs="Arial"/>
                <w:bCs/>
                <w:i/>
                <w:iCs/>
                <w:sz w:val="14"/>
                <w:szCs w:val="14"/>
              </w:rPr>
              <w:t>Delta Tools</w:t>
            </w:r>
            <w:r w:rsidRPr="00995F3E">
              <w:rPr>
                <w:rFonts w:cs="Arial"/>
                <w:bCs/>
                <w:sz w:val="14"/>
                <w:szCs w:val="14"/>
              </w:rPr>
              <w:t xml:space="preserve"> – i.e. methods and instruments that Subprogrammes could use to substantiate their strategies, including a </w:t>
            </w:r>
            <w:r w:rsidRPr="00995F3E">
              <w:rPr>
                <w:rFonts w:cs="Arial"/>
                <w:bCs/>
                <w:i/>
                <w:iCs/>
                <w:sz w:val="14"/>
                <w:szCs w:val="14"/>
              </w:rPr>
              <w:t>Delta Model</w:t>
            </w:r>
            <w:r w:rsidRPr="00995F3E">
              <w:rPr>
                <w:rFonts w:cs="Arial"/>
                <w:bCs/>
                <w:sz w:val="14"/>
                <w:szCs w:val="14"/>
              </w:rPr>
              <w:t xml:space="preserve"> (one- and two-dimensional models) and the </w:t>
            </w:r>
            <w:r w:rsidRPr="00995F3E">
              <w:rPr>
                <w:rFonts w:cs="Arial"/>
                <w:bCs/>
                <w:i/>
                <w:iCs/>
                <w:sz w:val="14"/>
                <w:szCs w:val="14"/>
              </w:rPr>
              <w:t>VGS Evaluation System</w:t>
            </w:r>
            <w:r w:rsidRPr="00995F3E">
              <w:rPr>
                <w:rFonts w:cs="Arial"/>
                <w:bCs/>
                <w:sz w:val="14"/>
                <w:szCs w:val="14"/>
              </w:rPr>
              <w:t xml:space="preserve"> (which served to assess Strategies on five criteria – effectiveness on FRM targets, effectiveness on water safety targets, secondary effects and opportunities, practicability, and financing) (</w:t>
            </w:r>
            <w:r w:rsidRPr="00995F3E">
              <w:rPr>
                <w:rFonts w:cs="Arial"/>
                <w:bCs/>
                <w:color w:val="7F7F7F" w:themeColor="text1" w:themeTint="80"/>
                <w:sz w:val="14"/>
                <w:szCs w:val="14"/>
              </w:rPr>
              <w:t>DP 2013, p.105, 101, 90, 84; 2014, p.137, 135; 2012, p.87</w:t>
            </w:r>
            <w:r w:rsidRPr="00995F3E">
              <w:rPr>
                <w:rFonts w:cs="Arial"/>
                <w:bCs/>
                <w:sz w:val="14"/>
                <w:szCs w:val="14"/>
              </w:rPr>
              <w:t xml:space="preserve">). With these tools, the DP conducted a sound analysis of the </w:t>
            </w:r>
            <w:r w:rsidRPr="00995F3E">
              <w:rPr>
                <w:rFonts w:cs="Arial"/>
                <w:bCs/>
                <w:i/>
                <w:iCs/>
                <w:sz w:val="14"/>
                <w:szCs w:val="14"/>
              </w:rPr>
              <w:t>Preferential Strategies</w:t>
            </w:r>
            <w:r w:rsidRPr="00995F3E">
              <w:rPr>
                <w:rFonts w:cs="Arial"/>
                <w:bCs/>
                <w:sz w:val="14"/>
                <w:szCs w:val="14"/>
              </w:rPr>
              <w:t xml:space="preserve"> (and </w:t>
            </w:r>
            <w:r w:rsidRPr="00995F3E">
              <w:rPr>
                <w:rFonts w:cs="Arial"/>
                <w:bCs/>
                <w:i/>
                <w:iCs/>
                <w:sz w:val="14"/>
                <w:szCs w:val="14"/>
              </w:rPr>
              <w:t>Delta Decisions</w:t>
            </w:r>
            <w:r w:rsidRPr="00995F3E">
              <w:rPr>
                <w:rFonts w:cs="Arial"/>
                <w:bCs/>
                <w:sz w:val="14"/>
                <w:szCs w:val="14"/>
              </w:rPr>
              <w:t xml:space="preserve">). The costs of each </w:t>
            </w:r>
            <w:r w:rsidRPr="00995F3E">
              <w:rPr>
                <w:rFonts w:cs="Arial"/>
                <w:bCs/>
                <w:i/>
                <w:iCs/>
                <w:sz w:val="14"/>
                <w:szCs w:val="14"/>
              </w:rPr>
              <w:t>Preferential Strategy</w:t>
            </w:r>
            <w:r w:rsidRPr="00995F3E">
              <w:rPr>
                <w:rFonts w:cs="Arial"/>
                <w:bCs/>
                <w:sz w:val="14"/>
                <w:szCs w:val="14"/>
              </w:rPr>
              <w:t xml:space="preserve"> were estimated, especially of measures until 2050 (</w:t>
            </w:r>
            <w:r w:rsidRPr="00995F3E">
              <w:rPr>
                <w:rFonts w:cs="Arial"/>
                <w:bCs/>
                <w:color w:val="7F7F7F" w:themeColor="text1" w:themeTint="80"/>
                <w:sz w:val="14"/>
                <w:szCs w:val="14"/>
              </w:rPr>
              <w:t>DP 2014, p.47</w:t>
            </w:r>
            <w:r w:rsidRPr="00995F3E">
              <w:rPr>
                <w:rFonts w:cs="Arial"/>
                <w:bCs/>
                <w:sz w:val="14"/>
                <w:szCs w:val="14"/>
              </w:rPr>
              <w:t xml:space="preserve">). </w:t>
            </w:r>
          </w:p>
          <w:p w14:paraId="0402D029" w14:textId="77777777" w:rsidR="00995F3E" w:rsidRPr="00995F3E" w:rsidRDefault="00995F3E" w:rsidP="00E74925">
            <w:pPr>
              <w:spacing w:after="60"/>
              <w:jc w:val="left"/>
              <w:rPr>
                <w:rFonts w:cs="Arial"/>
                <w:bCs/>
                <w:sz w:val="14"/>
                <w:szCs w:val="14"/>
              </w:rPr>
            </w:pPr>
            <w:bookmarkStart w:id="60" w:name="_Hlk40726911"/>
            <w:r w:rsidRPr="00995F3E">
              <w:rPr>
                <w:rFonts w:cs="Arial"/>
                <w:bCs/>
                <w:sz w:val="14"/>
                <w:szCs w:val="14"/>
              </w:rPr>
              <w:t>It was important to assess the robustness and flexibility of the proposed strategies (pathways and their measures) against several scenarios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 p.4</w:t>
            </w:r>
            <w:r w:rsidRPr="00995F3E">
              <w:rPr>
                <w:rFonts w:cs="Arial"/>
                <w:bCs/>
                <w:sz w:val="14"/>
                <w:szCs w:val="14"/>
              </w:rPr>
              <w:t xml:space="preserve">). The Teams assessed the flexibility of the measures in a simplified way, </w:t>
            </w:r>
            <w:proofErr w:type="spellStart"/>
            <w:proofErr w:type="gramStart"/>
            <w:r w:rsidRPr="00995F3E">
              <w:rPr>
                <w:rFonts w:cs="Arial"/>
                <w:bCs/>
                <w:sz w:val="14"/>
                <w:szCs w:val="14"/>
              </w:rPr>
              <w:t>e,g</w:t>
            </w:r>
            <w:proofErr w:type="spellEnd"/>
            <w:r w:rsidRPr="00995F3E">
              <w:rPr>
                <w:rFonts w:cs="Arial"/>
                <w:bCs/>
                <w:sz w:val="14"/>
                <w:szCs w:val="14"/>
              </w:rPr>
              <w:t>.</w:t>
            </w:r>
            <w:proofErr w:type="gramEnd"/>
            <w:r w:rsidRPr="00995F3E">
              <w:rPr>
                <w:rFonts w:cs="Arial"/>
                <w:bCs/>
                <w:sz w:val="14"/>
                <w:szCs w:val="14"/>
              </w:rPr>
              <w:t xml:space="preserve"> examining if it was easy to realize measures step-by-step or adjust them to changes as these occur </w:t>
            </w:r>
            <w:r w:rsidRPr="00995F3E">
              <w:rPr>
                <w:rFonts w:eastAsia="RijksoverheidSansText-Regular" w:cs="Arial"/>
                <w:bCs/>
                <w:color w:val="000000"/>
                <w:sz w:val="14"/>
                <w:szCs w:val="14"/>
              </w:rPr>
              <w:t>(</w:t>
            </w:r>
            <w:r w:rsidRPr="00995F3E">
              <w:rPr>
                <w:rFonts w:eastAsia="RijksoverheidSansText-Regular" w:cs="Arial"/>
                <w:bCs/>
                <w:color w:val="7F7F7F" w:themeColor="text1" w:themeTint="80"/>
                <w:sz w:val="14"/>
                <w:szCs w:val="14"/>
              </w:rPr>
              <w:t>DP 2012, p.88</w:t>
            </w:r>
            <w:r w:rsidRPr="00995F3E">
              <w:rPr>
                <w:rFonts w:eastAsia="RijksoverheidSansText-Regular" w:cs="Arial"/>
                <w:bCs/>
                <w:color w:val="000000"/>
                <w:sz w:val="14"/>
                <w:szCs w:val="14"/>
              </w:rPr>
              <w:t>).</w:t>
            </w:r>
            <w:r w:rsidRPr="00995F3E">
              <w:rPr>
                <w:rFonts w:cs="Arial"/>
                <w:bCs/>
                <w:color w:val="C00000"/>
                <w:sz w:val="14"/>
                <w:szCs w:val="14"/>
              </w:rPr>
              <w:t xml:space="preserve"> </w:t>
            </w:r>
            <w:r w:rsidRPr="00995F3E">
              <w:rPr>
                <w:rFonts w:cs="Arial"/>
                <w:bCs/>
                <w:sz w:val="14"/>
                <w:szCs w:val="14"/>
              </w:rPr>
              <w:t xml:space="preserve">The flexibility of strategies could be assessed using the </w:t>
            </w:r>
            <w:r w:rsidRPr="00995F3E">
              <w:rPr>
                <w:rFonts w:cs="Arial"/>
                <w:bCs/>
                <w:i/>
                <w:iCs/>
                <w:sz w:val="14"/>
                <w:szCs w:val="14"/>
              </w:rPr>
              <w:t>VGS Evaluation System</w:t>
            </w:r>
            <w:r w:rsidRPr="00995F3E">
              <w:rPr>
                <w:rFonts w:cs="Arial"/>
                <w:bCs/>
                <w:sz w:val="14"/>
                <w:szCs w:val="14"/>
              </w:rPr>
              <w:t>; the VGS considers the flexibility of the strategy itself and of its measures, the possibility to link agendas, the added value of the latter in terms cost reduction, practicability, and effects</w:t>
            </w:r>
            <w:r w:rsidRPr="00995F3E">
              <w:rPr>
                <w:rFonts w:eastAsia="RijksoverheidSansText-Regular" w:cs="Arial"/>
                <w:bCs/>
                <w:color w:val="000000"/>
                <w:sz w:val="14"/>
                <w:szCs w:val="14"/>
              </w:rPr>
              <w:t>.</w:t>
            </w:r>
            <w:r w:rsidRPr="00995F3E">
              <w:rPr>
                <w:rFonts w:cs="Arial"/>
                <w:bCs/>
                <w:color w:val="C00000"/>
                <w:sz w:val="14"/>
                <w:szCs w:val="14"/>
              </w:rPr>
              <w:t xml:space="preserve"> </w:t>
            </w:r>
            <w:r w:rsidRPr="00995F3E">
              <w:rPr>
                <w:rFonts w:cs="Arial"/>
                <w:bCs/>
                <w:sz w:val="14"/>
                <w:szCs w:val="14"/>
              </w:rPr>
              <w:t>Thus, the added value of flexibility was quantified in a simple way: it was incorporated in economic analyses.</w:t>
            </w:r>
            <w:r w:rsidRPr="00995F3E">
              <w:rPr>
                <w:rFonts w:cs="Arial"/>
                <w:bCs/>
                <w:color w:val="00B050"/>
                <w:sz w:val="14"/>
                <w:szCs w:val="14"/>
              </w:rPr>
              <w:t xml:space="preserve"> </w:t>
            </w:r>
            <w:r w:rsidRPr="00995F3E">
              <w:rPr>
                <w:rFonts w:eastAsia="RijksoverheidSansText-Regular" w:cs="Arial"/>
                <w:bCs/>
                <w:color w:val="000000"/>
                <w:sz w:val="14"/>
                <w:szCs w:val="14"/>
              </w:rPr>
              <w:t>(</w:t>
            </w:r>
            <w:r w:rsidRPr="00995F3E">
              <w:rPr>
                <w:rFonts w:eastAsia="RijksoverheidSansText-Regular" w:cs="Arial"/>
                <w:bCs/>
                <w:color w:val="7F7F7F" w:themeColor="text1" w:themeTint="80"/>
                <w:sz w:val="14"/>
                <w:szCs w:val="14"/>
              </w:rPr>
              <w:t>DP 2012, p.90</w:t>
            </w:r>
            <w:r w:rsidRPr="00995F3E">
              <w:rPr>
                <w:rFonts w:cs="Arial"/>
                <w:bCs/>
                <w:sz w:val="14"/>
                <w:szCs w:val="14"/>
              </w:rPr>
              <w:t>).</w:t>
            </w:r>
            <w:r w:rsidRPr="00995F3E">
              <w:rPr>
                <w:rFonts w:cs="Arial"/>
                <w:bCs/>
                <w:sz w:val="14"/>
                <w:szCs w:val="14"/>
                <w:vertAlign w:val="superscript"/>
              </w:rPr>
              <w:footnoteReference w:id="46"/>
            </w:r>
          </w:p>
          <w:p w14:paraId="7AF85D94" w14:textId="77777777" w:rsidR="00995F3E" w:rsidRPr="00995F3E" w:rsidRDefault="00995F3E" w:rsidP="00E74925">
            <w:pPr>
              <w:spacing w:after="60"/>
              <w:jc w:val="left"/>
              <w:rPr>
                <w:rFonts w:cs="Arial"/>
                <w:bCs/>
                <w:sz w:val="14"/>
                <w:szCs w:val="14"/>
              </w:rPr>
            </w:pPr>
            <w:r w:rsidRPr="00995F3E">
              <w:rPr>
                <w:rFonts w:cs="Arial"/>
                <w:bCs/>
                <w:sz w:val="14"/>
                <w:szCs w:val="14"/>
              </w:rPr>
              <w:lastRenderedPageBreak/>
              <w:t>Each Subprogramme should assess if its Strategy was robust, flexible, feasible, efficient (cost-effective), integrated, among other aspects, using the evaluation system (</w:t>
            </w:r>
            <w:r w:rsidRPr="00995F3E">
              <w:rPr>
                <w:rFonts w:cs="Arial"/>
                <w:bCs/>
                <w:color w:val="7F7F7F" w:themeColor="text1" w:themeTint="80"/>
                <w:sz w:val="14"/>
                <w:szCs w:val="14"/>
              </w:rPr>
              <w:t>DP 2013, p.95</w:t>
            </w:r>
            <w:r w:rsidRPr="00995F3E">
              <w:rPr>
                <w:rFonts w:cs="Arial"/>
                <w:bCs/>
                <w:sz w:val="14"/>
                <w:szCs w:val="14"/>
              </w:rPr>
              <w:t xml:space="preserve">). The </w:t>
            </w:r>
            <w:r w:rsidRPr="00995F3E">
              <w:rPr>
                <w:rFonts w:cs="Arial"/>
                <w:bCs/>
                <w:i/>
                <w:iCs/>
                <w:sz w:val="14"/>
                <w:szCs w:val="14"/>
              </w:rPr>
              <w:t xml:space="preserve">Preferential Strategies </w:t>
            </w:r>
            <w:r w:rsidRPr="00995F3E">
              <w:rPr>
                <w:rFonts w:cs="Arial"/>
                <w:bCs/>
                <w:sz w:val="14"/>
                <w:szCs w:val="14"/>
              </w:rPr>
              <w:t xml:space="preserve">were subjected to a </w:t>
            </w:r>
            <w:r w:rsidRPr="00995F3E">
              <w:rPr>
                <w:rFonts w:cs="Arial"/>
                <w:bCs/>
                <w:i/>
                <w:iCs/>
                <w:sz w:val="14"/>
                <w:szCs w:val="14"/>
              </w:rPr>
              <w:t>robustness assessment</w:t>
            </w:r>
            <w:r w:rsidRPr="00995F3E">
              <w:rPr>
                <w:rFonts w:cs="Arial"/>
                <w:bCs/>
                <w:sz w:val="14"/>
                <w:szCs w:val="14"/>
              </w:rPr>
              <w:t xml:space="preserve"> under worst-case events beyond the scope of the </w:t>
            </w:r>
            <w:r w:rsidRPr="00995F3E">
              <w:rPr>
                <w:rFonts w:cs="Arial"/>
                <w:bCs/>
                <w:i/>
                <w:iCs/>
                <w:sz w:val="14"/>
                <w:szCs w:val="14"/>
              </w:rPr>
              <w:t>Delta Scenarios</w:t>
            </w:r>
            <w:r w:rsidRPr="00995F3E">
              <w:rPr>
                <w:rFonts w:cs="Arial"/>
                <w:bCs/>
                <w:sz w:val="14"/>
                <w:szCs w:val="14"/>
              </w:rPr>
              <w:t xml:space="preserve"> (e.g. a SLR greater than 85cm in 2100), which showed that the </w:t>
            </w:r>
            <w:r w:rsidRPr="00995F3E">
              <w:rPr>
                <w:rFonts w:cs="Arial"/>
                <w:bCs/>
                <w:i/>
                <w:iCs/>
                <w:sz w:val="14"/>
                <w:szCs w:val="14"/>
              </w:rPr>
              <w:t>Delta Decision on the Rhine-Meuse Delta</w:t>
            </w:r>
            <w:r w:rsidRPr="00995F3E">
              <w:rPr>
                <w:rFonts w:cs="Arial"/>
                <w:bCs/>
                <w:sz w:val="14"/>
                <w:szCs w:val="14"/>
              </w:rPr>
              <w:t xml:space="preserve">, the </w:t>
            </w:r>
            <w:r w:rsidRPr="00995F3E">
              <w:rPr>
                <w:rFonts w:cs="Arial"/>
                <w:bCs/>
                <w:i/>
                <w:iCs/>
                <w:sz w:val="14"/>
                <w:szCs w:val="14"/>
              </w:rPr>
              <w:t>Decision on Sand</w:t>
            </w:r>
            <w:r w:rsidRPr="00995F3E">
              <w:rPr>
                <w:rFonts w:cs="Arial"/>
                <w:bCs/>
                <w:sz w:val="14"/>
                <w:szCs w:val="14"/>
              </w:rPr>
              <w:t xml:space="preserve">, and all </w:t>
            </w:r>
            <w:r w:rsidRPr="00995F3E">
              <w:rPr>
                <w:rFonts w:cs="Arial"/>
                <w:bCs/>
                <w:i/>
                <w:iCs/>
                <w:sz w:val="14"/>
                <w:szCs w:val="14"/>
              </w:rPr>
              <w:t>Preferential Strategies</w:t>
            </w:r>
            <w:r w:rsidRPr="00995F3E">
              <w:rPr>
                <w:rFonts w:cs="Arial"/>
                <w:bCs/>
                <w:sz w:val="14"/>
                <w:szCs w:val="14"/>
              </w:rPr>
              <w:t>, were satisfactory even in worst-case events (</w:t>
            </w:r>
            <w:r w:rsidRPr="00995F3E">
              <w:rPr>
                <w:rFonts w:cs="Arial"/>
                <w:bCs/>
                <w:color w:val="7F7F7F" w:themeColor="text1" w:themeTint="80"/>
                <w:sz w:val="14"/>
                <w:szCs w:val="14"/>
              </w:rPr>
              <w:t>DP 2014, p.135, 8</w:t>
            </w:r>
            <w:r w:rsidRPr="00995F3E">
              <w:rPr>
                <w:rFonts w:cs="Arial"/>
                <w:bCs/>
                <w:sz w:val="14"/>
                <w:szCs w:val="14"/>
              </w:rPr>
              <w:t>).</w:t>
            </w:r>
            <w:bookmarkEnd w:id="60"/>
          </w:p>
          <w:p w14:paraId="252AE8CF"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Moreover, in 2013/2014, the </w:t>
            </w:r>
            <w:r w:rsidRPr="00995F3E">
              <w:rPr>
                <w:rFonts w:cs="Arial"/>
                <w:bCs/>
                <w:i/>
                <w:iCs/>
                <w:sz w:val="14"/>
                <w:szCs w:val="14"/>
              </w:rPr>
              <w:t>Delta Decisions</w:t>
            </w:r>
            <w:r w:rsidRPr="00995F3E">
              <w:rPr>
                <w:rFonts w:cs="Arial"/>
                <w:bCs/>
                <w:sz w:val="14"/>
                <w:szCs w:val="14"/>
              </w:rPr>
              <w:t xml:space="preserve"> and </w:t>
            </w:r>
            <w:r w:rsidRPr="00995F3E">
              <w:rPr>
                <w:rFonts w:cs="Arial"/>
                <w:bCs/>
                <w:i/>
                <w:iCs/>
                <w:sz w:val="14"/>
                <w:szCs w:val="14"/>
              </w:rPr>
              <w:t>Preferential Strategies</w:t>
            </w:r>
            <w:r w:rsidRPr="00995F3E">
              <w:rPr>
                <w:rFonts w:cs="Arial"/>
                <w:bCs/>
                <w:sz w:val="14"/>
                <w:szCs w:val="14"/>
              </w:rPr>
              <w:t xml:space="preserve"> were</w:t>
            </w:r>
            <w:r w:rsidRPr="00995F3E">
              <w:rPr>
                <w:rFonts w:cs="Arial"/>
                <w:bCs/>
                <w:color w:val="C00000"/>
                <w:sz w:val="14"/>
                <w:szCs w:val="14"/>
              </w:rPr>
              <w:t xml:space="preserve"> </w:t>
            </w:r>
            <w:r w:rsidRPr="00995F3E">
              <w:rPr>
                <w:rFonts w:cs="Arial"/>
                <w:bCs/>
                <w:sz w:val="14"/>
                <w:szCs w:val="14"/>
              </w:rPr>
              <w:t xml:space="preserve">assessed in an </w:t>
            </w:r>
            <w:r w:rsidRPr="00995F3E">
              <w:rPr>
                <w:rFonts w:cs="Arial"/>
                <w:bCs/>
                <w:i/>
                <w:iCs/>
                <w:sz w:val="14"/>
                <w:szCs w:val="14"/>
              </w:rPr>
              <w:t>Environmental Impact Assessment</w:t>
            </w:r>
            <w:r w:rsidRPr="00995F3E">
              <w:rPr>
                <w:rFonts w:cs="Arial"/>
                <w:bCs/>
                <w:sz w:val="14"/>
                <w:szCs w:val="14"/>
              </w:rPr>
              <w:t xml:space="preserve">, whose results were also used to decide on the </w:t>
            </w:r>
            <w:r w:rsidRPr="00995F3E">
              <w:rPr>
                <w:rFonts w:cs="Arial"/>
                <w:bCs/>
                <w:i/>
                <w:iCs/>
                <w:sz w:val="14"/>
                <w:szCs w:val="14"/>
              </w:rPr>
              <w:t>Preferential Strategies</w:t>
            </w:r>
            <w:r w:rsidRPr="00995F3E">
              <w:rPr>
                <w:rFonts w:cs="Arial"/>
                <w:bCs/>
                <w:sz w:val="14"/>
                <w:szCs w:val="14"/>
              </w:rPr>
              <w:t xml:space="preserve"> (based on their environmental, natural, and cultural-historical effects) (</w:t>
            </w:r>
            <w:r w:rsidRPr="00995F3E">
              <w:rPr>
                <w:rFonts w:cs="Arial"/>
                <w:bCs/>
                <w:color w:val="7F7F7F" w:themeColor="text1" w:themeTint="80"/>
                <w:sz w:val="14"/>
                <w:szCs w:val="14"/>
              </w:rPr>
              <w:t>DP 2013, p.100</w:t>
            </w:r>
            <w:r w:rsidRPr="00995F3E">
              <w:rPr>
                <w:rFonts w:cs="Arial"/>
                <w:bCs/>
                <w:sz w:val="14"/>
                <w:szCs w:val="14"/>
              </w:rPr>
              <w:t xml:space="preserve">). </w:t>
            </w:r>
          </w:p>
        </w:tc>
        <w:tc>
          <w:tcPr>
            <w:tcW w:w="1843" w:type="dxa"/>
            <w:shd w:val="clear" w:color="auto" w:fill="auto"/>
          </w:tcPr>
          <w:p w14:paraId="7A32125B" w14:textId="77777777" w:rsidR="00995F3E" w:rsidRPr="00995F3E" w:rsidRDefault="00995F3E" w:rsidP="00E74925">
            <w:pPr>
              <w:spacing w:after="60"/>
              <w:jc w:val="left"/>
              <w:rPr>
                <w:rFonts w:cs="Arial"/>
                <w:bCs/>
                <w:iCs/>
                <w:sz w:val="14"/>
                <w:szCs w:val="14"/>
              </w:rPr>
            </w:pPr>
            <w:r w:rsidRPr="00995F3E">
              <w:rPr>
                <w:rFonts w:cs="Arial"/>
                <w:bCs/>
                <w:sz w:val="14"/>
                <w:szCs w:val="14"/>
              </w:rPr>
              <w:lastRenderedPageBreak/>
              <w:t xml:space="preserve">Year 4 (2013/2014): </w:t>
            </w:r>
            <w:r w:rsidRPr="00995F3E">
              <w:rPr>
                <w:rFonts w:cs="Arial"/>
                <w:bCs/>
                <w:iCs/>
                <w:sz w:val="14"/>
                <w:szCs w:val="14"/>
              </w:rPr>
              <w:t xml:space="preserve">Selection of ‘Preferential Strategies’ (pathways). It resulted in the DP 2014 (for 2015). </w:t>
            </w:r>
            <w:r w:rsidRPr="00995F3E">
              <w:rPr>
                <w:rFonts w:cs="Arial"/>
                <w:bCs/>
                <w:sz w:val="14"/>
                <w:szCs w:val="14"/>
              </w:rPr>
              <w:t>This year involved: the design of the latest ‘</w:t>
            </w:r>
            <w:r w:rsidRPr="00995F3E">
              <w:rPr>
                <w:rFonts w:cs="Arial"/>
                <w:bCs/>
                <w:i/>
                <w:iCs/>
                <w:sz w:val="14"/>
                <w:szCs w:val="14"/>
              </w:rPr>
              <w:t>adaptation paths</w:t>
            </w:r>
            <w:r w:rsidRPr="00995F3E">
              <w:rPr>
                <w:rFonts w:cs="Arial"/>
                <w:bCs/>
                <w:sz w:val="14"/>
                <w:szCs w:val="14"/>
              </w:rPr>
              <w:t>’ (also called ‘</w:t>
            </w:r>
            <w:r w:rsidRPr="00995F3E">
              <w:rPr>
                <w:rFonts w:cs="Arial"/>
                <w:bCs/>
                <w:i/>
                <w:iCs/>
                <w:sz w:val="14"/>
                <w:szCs w:val="14"/>
              </w:rPr>
              <w:t>development paths</w:t>
            </w:r>
            <w:r w:rsidRPr="00995F3E">
              <w:rPr>
                <w:rFonts w:cs="Arial"/>
                <w:bCs/>
                <w:sz w:val="14"/>
                <w:szCs w:val="14"/>
              </w:rPr>
              <w:t xml:space="preserve">’), and their appraisal using CBA and CEA; the evaluation of the possible options (paths) on their </w:t>
            </w:r>
            <w:r w:rsidRPr="00995F3E">
              <w:rPr>
                <w:rFonts w:cs="Arial"/>
                <w:bCs/>
                <w:i/>
                <w:iCs/>
                <w:sz w:val="14"/>
                <w:szCs w:val="14"/>
              </w:rPr>
              <w:t xml:space="preserve">robustness </w:t>
            </w:r>
            <w:r w:rsidRPr="00995F3E">
              <w:rPr>
                <w:rFonts w:cs="Arial"/>
                <w:bCs/>
                <w:sz w:val="14"/>
                <w:szCs w:val="14"/>
              </w:rPr>
              <w:t xml:space="preserve">and </w:t>
            </w:r>
            <w:r w:rsidRPr="00995F3E">
              <w:rPr>
                <w:rFonts w:cs="Arial"/>
                <w:bCs/>
                <w:i/>
                <w:iCs/>
                <w:sz w:val="14"/>
                <w:szCs w:val="14"/>
              </w:rPr>
              <w:t>flexibility</w:t>
            </w:r>
            <w:r w:rsidRPr="00995F3E">
              <w:rPr>
                <w:rFonts w:cs="Arial"/>
                <w:bCs/>
                <w:sz w:val="14"/>
                <w:szCs w:val="14"/>
              </w:rPr>
              <w:t xml:space="preserve">, </w:t>
            </w:r>
            <w:proofErr w:type="gramStart"/>
            <w:r w:rsidRPr="00995F3E">
              <w:rPr>
                <w:rFonts w:cs="Arial"/>
                <w:bCs/>
                <w:sz w:val="14"/>
                <w:szCs w:val="14"/>
              </w:rPr>
              <w:t>and also</w:t>
            </w:r>
            <w:proofErr w:type="gramEnd"/>
            <w:r w:rsidRPr="00995F3E">
              <w:rPr>
                <w:rFonts w:cs="Arial"/>
                <w:bCs/>
                <w:sz w:val="14"/>
                <w:szCs w:val="14"/>
              </w:rPr>
              <w:t xml:space="preserve"> the comparative assessment of options (paths) with a comparison system. </w:t>
            </w:r>
            <w:r w:rsidRPr="00995F3E">
              <w:rPr>
                <w:rFonts w:cs="Arial"/>
                <w:bCs/>
                <w:iCs/>
                <w:sz w:val="14"/>
                <w:szCs w:val="14"/>
              </w:rPr>
              <w:t>The DP 2014 Report presents the ‘</w:t>
            </w:r>
            <w:r w:rsidRPr="00995F3E">
              <w:rPr>
                <w:rFonts w:cs="Arial"/>
                <w:bCs/>
                <w:i/>
                <w:sz w:val="14"/>
                <w:szCs w:val="14"/>
              </w:rPr>
              <w:t>final Delta Decisions</w:t>
            </w:r>
            <w:r w:rsidRPr="00995F3E">
              <w:rPr>
                <w:rFonts w:cs="Arial"/>
                <w:bCs/>
                <w:iCs/>
                <w:sz w:val="14"/>
                <w:szCs w:val="14"/>
              </w:rPr>
              <w:t>’ and ‘</w:t>
            </w:r>
            <w:r w:rsidRPr="00995F3E">
              <w:rPr>
                <w:rFonts w:cs="Arial"/>
                <w:bCs/>
                <w:i/>
                <w:sz w:val="14"/>
                <w:szCs w:val="14"/>
              </w:rPr>
              <w:t>Preferential Strategies</w:t>
            </w:r>
            <w:r w:rsidRPr="00995F3E">
              <w:rPr>
                <w:rFonts w:cs="Arial"/>
                <w:bCs/>
                <w:iCs/>
                <w:sz w:val="14"/>
                <w:szCs w:val="14"/>
              </w:rPr>
              <w:t>’ (</w:t>
            </w:r>
            <w:r w:rsidRPr="00995F3E">
              <w:rPr>
                <w:rFonts w:cs="Arial"/>
                <w:bCs/>
                <w:iCs/>
                <w:color w:val="7F7F7F" w:themeColor="text1" w:themeTint="80"/>
                <w:sz w:val="14"/>
                <w:szCs w:val="14"/>
              </w:rPr>
              <w:t>Rhee 2012, p.9; Werners et al. 2016</w:t>
            </w:r>
            <w:r w:rsidRPr="00995F3E">
              <w:rPr>
                <w:rFonts w:cs="Arial"/>
                <w:bCs/>
                <w:iCs/>
                <w:sz w:val="14"/>
                <w:szCs w:val="14"/>
              </w:rPr>
              <w:t xml:space="preserve">).  </w:t>
            </w:r>
          </w:p>
          <w:p w14:paraId="6DF71FFF" w14:textId="77777777" w:rsidR="00995F3E" w:rsidRPr="00995F3E" w:rsidRDefault="00995F3E" w:rsidP="00E74925">
            <w:pPr>
              <w:spacing w:after="60"/>
              <w:jc w:val="left"/>
              <w:rPr>
                <w:rFonts w:cs="Arial"/>
                <w:bCs/>
                <w:sz w:val="14"/>
                <w:szCs w:val="14"/>
              </w:rPr>
            </w:pPr>
          </w:p>
        </w:tc>
      </w:tr>
      <w:tr w:rsidR="00995F3E" w:rsidRPr="00995F3E" w14:paraId="43312A0B" w14:textId="77777777" w:rsidTr="00E74925">
        <w:tc>
          <w:tcPr>
            <w:tcW w:w="704" w:type="dxa"/>
            <w:shd w:val="clear" w:color="auto" w:fill="auto"/>
          </w:tcPr>
          <w:p w14:paraId="7EA516A5" w14:textId="77777777" w:rsidR="00995F3E" w:rsidRPr="00995F3E" w:rsidRDefault="00995F3E" w:rsidP="00E74925">
            <w:pPr>
              <w:spacing w:after="60"/>
              <w:jc w:val="left"/>
              <w:rPr>
                <w:rFonts w:cs="Arial"/>
                <w:bCs/>
                <w:i/>
                <w:sz w:val="14"/>
                <w:szCs w:val="14"/>
              </w:rPr>
            </w:pPr>
            <w:r w:rsidRPr="00995F3E">
              <w:rPr>
                <w:rFonts w:cs="Arial"/>
                <w:bCs/>
                <w:i/>
                <w:sz w:val="14"/>
                <w:szCs w:val="14"/>
              </w:rPr>
              <w:t>Step 4. Design an adaptive plan, and define triggers</w:t>
            </w:r>
          </w:p>
        </w:tc>
        <w:tc>
          <w:tcPr>
            <w:tcW w:w="2552" w:type="dxa"/>
            <w:shd w:val="clear" w:color="auto" w:fill="auto"/>
          </w:tcPr>
          <w:p w14:paraId="1E62B5AC" w14:textId="70009552" w:rsidR="00995F3E" w:rsidRPr="00995F3E" w:rsidRDefault="00995F3E" w:rsidP="00E74925">
            <w:pPr>
              <w:spacing w:after="60"/>
              <w:jc w:val="left"/>
              <w:rPr>
                <w:rFonts w:cs="Arial"/>
                <w:bCs/>
                <w:sz w:val="14"/>
                <w:szCs w:val="14"/>
              </w:rPr>
            </w:pPr>
            <w:r w:rsidRPr="00995F3E">
              <w:rPr>
                <w:rFonts w:cs="Arial"/>
                <w:bCs/>
                <w:sz w:val="14"/>
                <w:szCs w:val="14"/>
              </w:rPr>
              <w:t xml:space="preserve">This step consists of: a) formulating an </w:t>
            </w:r>
            <w:r w:rsidRPr="00995F3E">
              <w:rPr>
                <w:rFonts w:cs="Arial"/>
                <w:bCs/>
                <w:i/>
                <w:iCs/>
                <w:sz w:val="14"/>
                <w:szCs w:val="14"/>
              </w:rPr>
              <w:t>adaptive plan</w:t>
            </w:r>
            <w:r w:rsidRPr="00995F3E">
              <w:rPr>
                <w:rFonts w:cs="Arial"/>
                <w:bCs/>
                <w:sz w:val="14"/>
                <w:szCs w:val="14"/>
              </w:rPr>
              <w:t xml:space="preserve"> (an ‘action plan’), which requires selecting one or more preferred pathways as input for a </w:t>
            </w:r>
            <w:r w:rsidRPr="00995F3E">
              <w:rPr>
                <w:rFonts w:cs="Arial"/>
                <w:bCs/>
                <w:i/>
                <w:iCs/>
                <w:sz w:val="14"/>
                <w:szCs w:val="14"/>
              </w:rPr>
              <w:t>dynamic adaptive plan</w:t>
            </w:r>
            <w:r w:rsidRPr="00995F3E">
              <w:rPr>
                <w:rFonts w:cs="Arial"/>
                <w:bCs/>
                <w:sz w:val="14"/>
                <w:szCs w:val="14"/>
              </w:rPr>
              <w:t xml:space="preserve"> (an ‘action plan’) (based on / following the evaluation of the various pathways regarding their social and economic feasibility, governance, </w:t>
            </w:r>
            <w:r w:rsidRPr="00995F3E">
              <w:rPr>
                <w:rFonts w:cs="Arial"/>
                <w:bCs/>
                <w:i/>
                <w:iCs/>
                <w:sz w:val="14"/>
                <w:szCs w:val="14"/>
              </w:rPr>
              <w:t>robustness</w:t>
            </w:r>
            <w:r w:rsidRPr="00995F3E">
              <w:rPr>
                <w:rFonts w:cs="Arial"/>
                <w:bCs/>
                <w:sz w:val="14"/>
                <w:szCs w:val="14"/>
              </w:rPr>
              <w:t xml:space="preserve">, </w:t>
            </w:r>
            <w:r w:rsidRPr="00995F3E">
              <w:rPr>
                <w:rFonts w:cs="Arial"/>
                <w:bCs/>
                <w:i/>
                <w:iCs/>
                <w:sz w:val="14"/>
                <w:szCs w:val="14"/>
              </w:rPr>
              <w:t>flexibility</w:t>
            </w:r>
            <w:r w:rsidRPr="00995F3E">
              <w:rPr>
                <w:rFonts w:cs="Arial"/>
                <w:bCs/>
                <w:sz w:val="14"/>
                <w:szCs w:val="14"/>
              </w:rPr>
              <w:t>); and b) specifying indicators (signposts) and triggers (triggers act as early warning signals for the implementation of actions or for reassessment of the plan</w:t>
            </w:r>
            <w:r w:rsidRPr="00995F3E">
              <w:rPr>
                <w:rFonts w:cs="Arial"/>
                <w:bCs/>
                <w:sz w:val="14"/>
                <w:szCs w:val="14"/>
                <w:vertAlign w:val="superscript"/>
              </w:rPr>
              <w:footnoteReference w:id="47"/>
            </w:r>
            <w:r w:rsidRPr="00995F3E">
              <w:rPr>
                <w:rFonts w:cs="Arial"/>
                <w:bCs/>
                <w:sz w:val="14"/>
                <w:szCs w:val="14"/>
              </w:rPr>
              <w:t>, they are</w:t>
            </w:r>
            <w:r w:rsidRPr="00995F3E">
              <w:rPr>
                <w:rFonts w:cs="Arial"/>
                <w:bCs/>
                <w:color w:val="C00000"/>
                <w:sz w:val="14"/>
                <w:szCs w:val="14"/>
              </w:rPr>
              <w:t xml:space="preserve"> </w:t>
            </w:r>
            <w:r w:rsidRPr="00995F3E">
              <w:rPr>
                <w:rFonts w:cs="Arial"/>
                <w:bCs/>
                <w:sz w:val="14"/>
                <w:szCs w:val="14"/>
              </w:rPr>
              <w:t xml:space="preserve">critical values at which / that indicate that it is necessary to activate </w:t>
            </w:r>
            <w:r w:rsidRPr="00995F3E">
              <w:rPr>
                <w:rFonts w:cs="Arial"/>
                <w:bCs/>
                <w:i/>
                <w:iCs/>
                <w:sz w:val="14"/>
                <w:szCs w:val="14"/>
              </w:rPr>
              <w:t>contingency actions</w:t>
            </w:r>
            <w:r w:rsidRPr="00995F3E">
              <w:rPr>
                <w:rFonts w:cs="Arial"/>
                <w:bCs/>
                <w:sz w:val="14"/>
                <w:szCs w:val="14"/>
              </w:rPr>
              <w:t>; triggers are critical values beyond which it is necessary to make adjustments in the strategy (e.g. by shifting to another measure or pathway, i</w:t>
            </w:r>
            <w:r w:rsidRPr="00995F3E">
              <w:rPr>
                <w:rFonts w:cs="Arial"/>
                <w:bCs/>
                <w:strike/>
                <w:sz w:val="14"/>
                <w:szCs w:val="14"/>
              </w:rPr>
              <w:t>.e. f</w:t>
            </w:r>
            <w:r w:rsidRPr="00995F3E">
              <w:rPr>
                <w:rFonts w:cs="Arial"/>
                <w:bCs/>
                <w:sz w:val="14"/>
                <w:szCs w:val="14"/>
              </w:rPr>
              <w:t>or modifying the strategies or measures) which must be monitored (</w:t>
            </w:r>
            <w:proofErr w:type="spellStart"/>
            <w:r w:rsidRPr="00995F3E">
              <w:rPr>
                <w:rFonts w:cs="Arial"/>
                <w:bCs/>
                <w:color w:val="7F7F7F" w:themeColor="text1" w:themeTint="80"/>
                <w:sz w:val="14"/>
                <w:szCs w:val="14"/>
              </w:rPr>
              <w:t>Haasnoot</w:t>
            </w:r>
            <w:proofErr w:type="spellEnd"/>
            <w:r w:rsidRPr="00995F3E">
              <w:rPr>
                <w:rFonts w:cs="Arial"/>
                <w:bCs/>
                <w:color w:val="7F7F7F" w:themeColor="text1" w:themeTint="80"/>
                <w:sz w:val="14"/>
                <w:szCs w:val="14"/>
              </w:rPr>
              <w:t xml:space="preserve"> and </w:t>
            </w:r>
            <w:proofErr w:type="spellStart"/>
            <w:r w:rsidRPr="00995F3E">
              <w:rPr>
                <w:rFonts w:cs="Arial"/>
                <w:bCs/>
                <w:color w:val="7F7F7F" w:themeColor="text1" w:themeTint="80"/>
                <w:sz w:val="14"/>
                <w:szCs w:val="14"/>
              </w:rPr>
              <w:t>Jeuken</w:t>
            </w:r>
            <w:proofErr w:type="spellEnd"/>
            <w:r w:rsidRPr="00995F3E">
              <w:rPr>
                <w:rFonts w:cs="Arial"/>
                <w:bCs/>
                <w:color w:val="7F7F7F" w:themeColor="text1" w:themeTint="80"/>
                <w:sz w:val="14"/>
                <w:szCs w:val="14"/>
              </w:rPr>
              <w:t xml:space="preserve">; </w:t>
            </w:r>
            <w:proofErr w:type="spellStart"/>
            <w:r w:rsidR="005C558F" w:rsidRPr="00E74925">
              <w:rPr>
                <w:rFonts w:cs="Arial"/>
                <w:bCs/>
                <w:color w:val="7F7F7F" w:themeColor="text1" w:themeTint="80"/>
                <w:sz w:val="14"/>
                <w:szCs w:val="14"/>
              </w:rPr>
              <w:t>Deltares</w:t>
            </w:r>
            <w:proofErr w:type="spellEnd"/>
            <w:r w:rsidR="005C558F" w:rsidRPr="00E74925">
              <w:rPr>
                <w:rFonts w:cs="Arial"/>
                <w:bCs/>
                <w:color w:val="7F7F7F" w:themeColor="text1" w:themeTint="80"/>
                <w:sz w:val="14"/>
                <w:szCs w:val="14"/>
              </w:rPr>
              <w:t xml:space="preserve"> 2018</w:t>
            </w:r>
            <w:r w:rsidRPr="00995F3E">
              <w:rPr>
                <w:rFonts w:cs="Arial"/>
                <w:bCs/>
                <w:color w:val="7F7F7F" w:themeColor="text1" w:themeTint="80"/>
                <w:sz w:val="14"/>
                <w:szCs w:val="14"/>
              </w:rPr>
              <w:t xml:space="preserve">, p.2-3;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 p.204-206; </w:t>
            </w:r>
            <w:r w:rsidR="005C558F" w:rsidRPr="00E74925">
              <w:rPr>
                <w:rFonts w:cs="Arial"/>
                <w:bCs/>
                <w:color w:val="7F7F7F" w:themeColor="text1" w:themeTint="80"/>
                <w:sz w:val="14"/>
                <w:szCs w:val="14"/>
              </w:rPr>
              <w:t>Brugge and Bruggeman 2019</w:t>
            </w:r>
            <w:r w:rsidRPr="00995F3E">
              <w:rPr>
                <w:rFonts w:cs="Arial"/>
                <w:bCs/>
                <w:color w:val="7F7F7F" w:themeColor="text1" w:themeTint="80"/>
                <w:sz w:val="14"/>
                <w:szCs w:val="14"/>
              </w:rPr>
              <w:t xml:space="preserve">, p.4-5; </w:t>
            </w:r>
            <w:proofErr w:type="spellStart"/>
            <w:r w:rsidRPr="00995F3E">
              <w:rPr>
                <w:rFonts w:cs="Arial"/>
                <w:bCs/>
                <w:color w:val="7F7F7F" w:themeColor="text1" w:themeTint="80"/>
                <w:sz w:val="14"/>
                <w:szCs w:val="14"/>
              </w:rPr>
              <w:t>Jeuken</w:t>
            </w:r>
            <w:proofErr w:type="spellEnd"/>
            <w:r w:rsidRPr="00995F3E">
              <w:rPr>
                <w:rFonts w:cs="Arial"/>
                <w:bCs/>
                <w:color w:val="7F7F7F" w:themeColor="text1" w:themeTint="80"/>
                <w:sz w:val="14"/>
                <w:szCs w:val="14"/>
              </w:rPr>
              <w:t xml:space="preserve"> et al. 2014, p.4-5; Marchand and Ludwig 2014</w:t>
            </w:r>
            <w:r w:rsidRPr="00995F3E">
              <w:rPr>
                <w:rFonts w:cs="Arial"/>
                <w:bCs/>
                <w:sz w:val="14"/>
                <w:szCs w:val="14"/>
              </w:rPr>
              <w:t>). Thus, Step 4 implies the definition of a monitoring system that defines, and collects information on, indicators and triggers (</w:t>
            </w:r>
            <w:proofErr w:type="spellStart"/>
            <w:r w:rsidRPr="00995F3E">
              <w:rPr>
                <w:rFonts w:cs="Arial"/>
                <w:bCs/>
                <w:color w:val="7F7F7F" w:themeColor="text1" w:themeTint="80"/>
                <w:sz w:val="14"/>
                <w:szCs w:val="14"/>
              </w:rPr>
              <w:t>Haasnoot</w:t>
            </w:r>
            <w:proofErr w:type="spellEnd"/>
            <w:r w:rsidRPr="00995F3E">
              <w:rPr>
                <w:rFonts w:cs="Arial"/>
                <w:bCs/>
                <w:color w:val="7F7F7F" w:themeColor="text1" w:themeTint="80"/>
                <w:sz w:val="14"/>
                <w:szCs w:val="14"/>
              </w:rPr>
              <w:t xml:space="preserve"> and </w:t>
            </w:r>
            <w:proofErr w:type="spellStart"/>
            <w:r w:rsidRPr="00995F3E">
              <w:rPr>
                <w:rFonts w:cs="Arial"/>
                <w:bCs/>
                <w:color w:val="7F7F7F" w:themeColor="text1" w:themeTint="80"/>
                <w:sz w:val="14"/>
                <w:szCs w:val="14"/>
              </w:rPr>
              <w:t>Jeuken</w:t>
            </w:r>
            <w:proofErr w:type="spellEnd"/>
            <w:r w:rsidRPr="00995F3E">
              <w:rPr>
                <w:rFonts w:cs="Arial"/>
                <w:bCs/>
                <w:sz w:val="14"/>
                <w:szCs w:val="14"/>
              </w:rPr>
              <w:t>), and mechanisms to adjust the plan (its strategies) if necessary (e.g. preparatory actions such as adjustments in legislation, spatial reservations, etc.) (</w:t>
            </w:r>
            <w:proofErr w:type="spellStart"/>
            <w:r w:rsidR="005C558F" w:rsidRPr="00E74925">
              <w:rPr>
                <w:rFonts w:cs="Arial"/>
                <w:bCs/>
                <w:color w:val="7F7F7F" w:themeColor="text1" w:themeTint="80"/>
                <w:sz w:val="14"/>
                <w:szCs w:val="14"/>
              </w:rPr>
              <w:t>Deltares</w:t>
            </w:r>
            <w:proofErr w:type="spellEnd"/>
            <w:r w:rsidR="005C558F" w:rsidRPr="00E74925">
              <w:rPr>
                <w:rFonts w:cs="Arial"/>
                <w:bCs/>
                <w:color w:val="7F7F7F" w:themeColor="text1" w:themeTint="80"/>
                <w:sz w:val="14"/>
                <w:szCs w:val="14"/>
              </w:rPr>
              <w:t xml:space="preserve"> 2018</w:t>
            </w:r>
            <w:r w:rsidRPr="00995F3E">
              <w:rPr>
                <w:rFonts w:cs="Arial"/>
                <w:bCs/>
                <w:color w:val="7F7F7F" w:themeColor="text1" w:themeTint="80"/>
                <w:sz w:val="14"/>
                <w:szCs w:val="14"/>
              </w:rPr>
              <w:t xml:space="preserve">, p.2-3; </w:t>
            </w:r>
            <w:proofErr w:type="spellStart"/>
            <w:r w:rsidRPr="00995F3E">
              <w:rPr>
                <w:rFonts w:cs="Arial"/>
                <w:bCs/>
                <w:color w:val="7F7F7F" w:themeColor="text1" w:themeTint="80"/>
                <w:sz w:val="14"/>
                <w:szCs w:val="14"/>
              </w:rPr>
              <w:t>Gersonius</w:t>
            </w:r>
            <w:proofErr w:type="spellEnd"/>
            <w:r w:rsidRPr="00995F3E">
              <w:rPr>
                <w:rFonts w:cs="Arial"/>
                <w:bCs/>
                <w:color w:val="7F7F7F" w:themeColor="text1" w:themeTint="80"/>
                <w:sz w:val="14"/>
                <w:szCs w:val="14"/>
              </w:rPr>
              <w:t xml:space="preserve"> et al. 2016, p.204-206</w:t>
            </w:r>
            <w:r w:rsidRPr="00995F3E">
              <w:rPr>
                <w:rFonts w:cs="Arial"/>
                <w:bCs/>
                <w:sz w:val="14"/>
                <w:szCs w:val="14"/>
              </w:rPr>
              <w:t xml:space="preserve">). </w:t>
            </w:r>
          </w:p>
          <w:p w14:paraId="4BE05988" w14:textId="77777777" w:rsidR="00995F3E" w:rsidRPr="00995F3E" w:rsidRDefault="00995F3E" w:rsidP="00E74925">
            <w:pPr>
              <w:spacing w:after="60"/>
              <w:rPr>
                <w:rFonts w:cs="Arial"/>
                <w:bCs/>
                <w:sz w:val="14"/>
                <w:szCs w:val="14"/>
              </w:rPr>
            </w:pPr>
            <w:r w:rsidRPr="00995F3E">
              <w:rPr>
                <w:rFonts w:cs="Arial"/>
                <w:bCs/>
                <w:sz w:val="14"/>
                <w:szCs w:val="14"/>
              </w:rPr>
              <w:t>………..</w:t>
            </w:r>
          </w:p>
          <w:p w14:paraId="78D78C45" w14:textId="77777777" w:rsidR="00995F3E" w:rsidRPr="00995F3E" w:rsidRDefault="00995F3E" w:rsidP="00E74925">
            <w:pPr>
              <w:spacing w:after="60"/>
              <w:jc w:val="left"/>
              <w:rPr>
                <w:rFonts w:cs="Arial"/>
                <w:bCs/>
                <w:iCs/>
                <w:sz w:val="14"/>
                <w:szCs w:val="14"/>
              </w:rPr>
            </w:pPr>
            <w:r w:rsidRPr="00995F3E">
              <w:rPr>
                <w:rFonts w:cs="Arial"/>
                <w:bCs/>
                <w:iCs/>
                <w:sz w:val="14"/>
                <w:szCs w:val="14"/>
              </w:rPr>
              <w:t>Step 3 usually results in a map showing a subset of ‘promising pathways’ (including the possibilities for transferring from a pathway to another), and Step 4a implies the translation of such APs’ map into a ‘</w:t>
            </w:r>
            <w:r w:rsidRPr="00995F3E">
              <w:rPr>
                <w:rFonts w:cs="Arial"/>
                <w:bCs/>
                <w:i/>
                <w:sz w:val="14"/>
                <w:szCs w:val="14"/>
              </w:rPr>
              <w:t>plan of action</w:t>
            </w:r>
            <w:r w:rsidRPr="00995F3E">
              <w:rPr>
                <w:rFonts w:cs="Arial"/>
                <w:bCs/>
                <w:iCs/>
                <w:sz w:val="14"/>
                <w:szCs w:val="14"/>
              </w:rPr>
              <w:t>’, which requires deciding which pathways should be followed and kept open and analysing their implications for short-term actions (</w:t>
            </w:r>
            <w:proofErr w:type="spellStart"/>
            <w:r w:rsidRPr="00995F3E">
              <w:rPr>
                <w:rFonts w:cs="Arial"/>
                <w:bCs/>
                <w:iCs/>
                <w:color w:val="7F7F7F" w:themeColor="text1" w:themeTint="80"/>
                <w:sz w:val="14"/>
                <w:szCs w:val="14"/>
              </w:rPr>
              <w:t>Gersonius</w:t>
            </w:r>
            <w:proofErr w:type="spellEnd"/>
            <w:r w:rsidRPr="00995F3E">
              <w:rPr>
                <w:rFonts w:cs="Arial"/>
                <w:bCs/>
                <w:iCs/>
                <w:color w:val="7F7F7F" w:themeColor="text1" w:themeTint="80"/>
                <w:sz w:val="14"/>
                <w:szCs w:val="14"/>
              </w:rPr>
              <w:t xml:space="preserve"> et al. 2016, p.204-206</w:t>
            </w:r>
            <w:r w:rsidRPr="00995F3E">
              <w:rPr>
                <w:rFonts w:cs="Arial"/>
                <w:bCs/>
                <w:iCs/>
                <w:sz w:val="14"/>
                <w:szCs w:val="14"/>
              </w:rPr>
              <w:t>).</w:t>
            </w:r>
          </w:p>
        </w:tc>
        <w:tc>
          <w:tcPr>
            <w:tcW w:w="6662" w:type="dxa"/>
            <w:gridSpan w:val="2"/>
            <w:shd w:val="clear" w:color="auto" w:fill="auto"/>
          </w:tcPr>
          <w:p w14:paraId="002D396B" w14:textId="77777777" w:rsidR="00995F3E" w:rsidRPr="00995F3E" w:rsidRDefault="00995F3E" w:rsidP="00E74925">
            <w:pPr>
              <w:spacing w:after="60"/>
              <w:jc w:val="left"/>
              <w:rPr>
                <w:rFonts w:cs="Arial"/>
                <w:bCs/>
                <w:sz w:val="14"/>
                <w:szCs w:val="14"/>
              </w:rPr>
            </w:pPr>
            <w:proofErr w:type="spellStart"/>
            <w:r w:rsidRPr="00995F3E">
              <w:rPr>
                <w:rFonts w:cs="Arial"/>
                <w:bCs/>
                <w:sz w:val="14"/>
                <w:szCs w:val="14"/>
              </w:rPr>
              <w:t>Substep</w:t>
            </w:r>
            <w:proofErr w:type="spellEnd"/>
            <w:r w:rsidRPr="00995F3E">
              <w:rPr>
                <w:rFonts w:cs="Arial"/>
                <w:bCs/>
                <w:sz w:val="14"/>
                <w:szCs w:val="14"/>
              </w:rPr>
              <w:t xml:space="preserve"> 4a (selecting the preferred pathways as input for an adaptive plan – an </w:t>
            </w:r>
            <w:r w:rsidRPr="00995F3E">
              <w:rPr>
                <w:rFonts w:cs="Arial"/>
                <w:bCs/>
                <w:i/>
                <w:iCs/>
                <w:sz w:val="14"/>
                <w:szCs w:val="14"/>
              </w:rPr>
              <w:t>action plan</w:t>
            </w:r>
            <w:r w:rsidRPr="00995F3E">
              <w:rPr>
                <w:rFonts w:cs="Arial"/>
                <w:bCs/>
                <w:sz w:val="14"/>
                <w:szCs w:val="14"/>
              </w:rPr>
              <w:t>)</w:t>
            </w:r>
          </w:p>
          <w:p w14:paraId="62006535" w14:textId="77777777" w:rsidR="00995F3E" w:rsidRPr="00995F3E" w:rsidRDefault="00995F3E" w:rsidP="00E74925">
            <w:pPr>
              <w:spacing w:after="60"/>
              <w:jc w:val="left"/>
              <w:rPr>
                <w:rFonts w:cs="Arial"/>
                <w:bCs/>
                <w:sz w:val="14"/>
                <w:szCs w:val="14"/>
              </w:rPr>
            </w:pPr>
            <w:r w:rsidRPr="00995F3E">
              <w:rPr>
                <w:rFonts w:cs="Arial"/>
                <w:bCs/>
                <w:sz w:val="14"/>
                <w:szCs w:val="14"/>
              </w:rPr>
              <w:t>The main outcome of ADM is a pathway, or a set of pathways, with which planners can schedule measures in the face of uncertain future changes, i.e. ADM ‘</w:t>
            </w:r>
            <w:r w:rsidRPr="00995F3E">
              <w:rPr>
                <w:rFonts w:cs="Arial"/>
                <w:bCs/>
                <w:i/>
                <w:sz w:val="14"/>
                <w:szCs w:val="14"/>
              </w:rPr>
              <w:t>leads to a composite strategy, or a set of alternative strategies with intermediate possibilities for revisions</w:t>
            </w:r>
            <w:r w:rsidRPr="00995F3E">
              <w:rPr>
                <w:rFonts w:cs="Arial"/>
                <w:bCs/>
                <w:sz w:val="14"/>
                <w:szCs w:val="14"/>
              </w:rPr>
              <w:t>’ (</w:t>
            </w:r>
            <w:r w:rsidRPr="00995F3E">
              <w:rPr>
                <w:rFonts w:cs="Arial"/>
                <w:bCs/>
                <w:color w:val="7F7F7F" w:themeColor="text1" w:themeTint="80"/>
                <w:sz w:val="14"/>
                <w:szCs w:val="14"/>
              </w:rPr>
              <w:t xml:space="preserve">Rhee 2012, p.14, </w:t>
            </w:r>
            <w:r w:rsidRPr="00995F3E">
              <w:rPr>
                <w:rFonts w:cs="Arial"/>
                <w:bCs/>
                <w:i/>
                <w:iCs/>
                <w:color w:val="7F7F7F" w:themeColor="text1" w:themeTint="80"/>
                <w:sz w:val="14"/>
                <w:szCs w:val="14"/>
              </w:rPr>
              <w:t xml:space="preserve">in </w:t>
            </w:r>
            <w:r w:rsidRPr="00995F3E">
              <w:rPr>
                <w:rFonts w:cs="Arial"/>
                <w:bCs/>
                <w:color w:val="7F7F7F" w:themeColor="text1" w:themeTint="80"/>
                <w:sz w:val="14"/>
                <w:szCs w:val="14"/>
              </w:rPr>
              <w:t>Zandvoort et al. 2018, p.191</w:t>
            </w:r>
            <w:r w:rsidRPr="00995F3E">
              <w:rPr>
                <w:rFonts w:cs="Arial"/>
                <w:bCs/>
                <w:sz w:val="14"/>
                <w:szCs w:val="14"/>
              </w:rPr>
              <w:t xml:space="preserve">). Within a Strategy, there may be: </w:t>
            </w:r>
            <w:proofErr w:type="spellStart"/>
            <w:r w:rsidRPr="00995F3E">
              <w:rPr>
                <w:rFonts w:cs="Arial"/>
                <w:bCs/>
                <w:sz w:val="14"/>
                <w:szCs w:val="14"/>
              </w:rPr>
              <w:t>i</w:t>
            </w:r>
            <w:proofErr w:type="spellEnd"/>
            <w:r w:rsidRPr="00995F3E">
              <w:rPr>
                <w:rFonts w:cs="Arial"/>
                <w:bCs/>
                <w:sz w:val="14"/>
                <w:szCs w:val="14"/>
              </w:rPr>
              <w:t>) measures that are still part of the current strategy, ii) measures that are part of an improved strategy, iii) measures beneficial through coupling with other agendas and whose timing is optimized, and iv) measures to keep options open for a future choice (allowing different strategic directions) (</w:t>
            </w:r>
            <w:r w:rsidRPr="00995F3E">
              <w:rPr>
                <w:rFonts w:cs="Arial"/>
                <w:bCs/>
                <w:color w:val="7F7F7F" w:themeColor="text1" w:themeTint="80"/>
                <w:sz w:val="14"/>
                <w:szCs w:val="14"/>
              </w:rPr>
              <w:t>Zandvoort et al. 2018, p.191</w:t>
            </w:r>
            <w:r w:rsidRPr="00995F3E">
              <w:rPr>
                <w:rFonts w:cs="Arial"/>
                <w:bCs/>
                <w:sz w:val="14"/>
                <w:szCs w:val="14"/>
              </w:rPr>
              <w:t>).</w:t>
            </w:r>
          </w:p>
          <w:p w14:paraId="443789F5"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The </w:t>
            </w:r>
            <w:r w:rsidRPr="00995F3E">
              <w:rPr>
                <w:rFonts w:cs="Arial"/>
                <w:bCs/>
                <w:i/>
                <w:iCs/>
                <w:sz w:val="14"/>
                <w:szCs w:val="14"/>
              </w:rPr>
              <w:t>Preferential Strategies</w:t>
            </w:r>
            <w:r w:rsidRPr="00995F3E">
              <w:rPr>
                <w:rFonts w:cs="Arial"/>
                <w:bCs/>
                <w:sz w:val="14"/>
                <w:szCs w:val="14"/>
              </w:rPr>
              <w:t xml:space="preserve"> constituted guides for programming the measures to be implemented (</w:t>
            </w:r>
            <w:r w:rsidRPr="00995F3E">
              <w:rPr>
                <w:rFonts w:cs="Arial"/>
                <w:bCs/>
                <w:color w:val="7F7F7F" w:themeColor="text1" w:themeTint="80"/>
                <w:sz w:val="14"/>
                <w:szCs w:val="14"/>
              </w:rPr>
              <w:t>DP 2013, p.56</w:t>
            </w:r>
            <w:r w:rsidRPr="00995F3E">
              <w:rPr>
                <w:rFonts w:cs="Arial"/>
                <w:bCs/>
                <w:sz w:val="14"/>
                <w:szCs w:val="14"/>
              </w:rPr>
              <w:t>).</w:t>
            </w:r>
            <w:r w:rsidRPr="00995F3E">
              <w:rPr>
                <w:rFonts w:cs="Arial"/>
                <w:bCs/>
                <w:sz w:val="14"/>
                <w:szCs w:val="14"/>
                <w:vertAlign w:val="superscript"/>
              </w:rPr>
              <w:t xml:space="preserve"> </w:t>
            </w:r>
            <w:r w:rsidRPr="00995F3E">
              <w:rPr>
                <w:rFonts w:cs="Arial"/>
                <w:bCs/>
                <w:sz w:val="14"/>
                <w:szCs w:val="14"/>
              </w:rPr>
              <w:t xml:space="preserve">The measures planned in each of the </w:t>
            </w:r>
            <w:r w:rsidRPr="00995F3E">
              <w:rPr>
                <w:rFonts w:cs="Arial"/>
                <w:bCs/>
                <w:i/>
                <w:iCs/>
                <w:sz w:val="14"/>
                <w:szCs w:val="14"/>
              </w:rPr>
              <w:t>Preferential Strategies</w:t>
            </w:r>
            <w:r w:rsidRPr="00995F3E">
              <w:rPr>
                <w:rFonts w:cs="Arial"/>
                <w:bCs/>
                <w:sz w:val="14"/>
                <w:szCs w:val="14"/>
              </w:rPr>
              <w:t xml:space="preserve"> for the next decades are programmed – as ‘</w:t>
            </w:r>
            <w:r w:rsidRPr="00995F3E">
              <w:rPr>
                <w:rFonts w:cs="Arial"/>
                <w:bCs/>
                <w:i/>
                <w:iCs/>
                <w:sz w:val="14"/>
                <w:szCs w:val="14"/>
              </w:rPr>
              <w:t>projects</w:t>
            </w:r>
            <w:r w:rsidRPr="00995F3E">
              <w:rPr>
                <w:rFonts w:cs="Arial"/>
                <w:bCs/>
                <w:sz w:val="14"/>
                <w:szCs w:val="14"/>
              </w:rPr>
              <w:t>’ or ‘</w:t>
            </w:r>
            <w:r w:rsidRPr="00995F3E">
              <w:rPr>
                <w:rFonts w:cs="Arial"/>
                <w:bCs/>
                <w:i/>
                <w:iCs/>
                <w:sz w:val="14"/>
                <w:szCs w:val="14"/>
              </w:rPr>
              <w:t>implementation programmes</w:t>
            </w:r>
            <w:r w:rsidRPr="00995F3E">
              <w:rPr>
                <w:rFonts w:cs="Arial"/>
                <w:bCs/>
                <w:sz w:val="14"/>
                <w:szCs w:val="14"/>
              </w:rPr>
              <w:t xml:space="preserve">’ – in the </w:t>
            </w:r>
            <w:r w:rsidRPr="00995F3E">
              <w:rPr>
                <w:rFonts w:cs="Arial"/>
                <w:bCs/>
                <w:i/>
                <w:iCs/>
                <w:sz w:val="14"/>
                <w:szCs w:val="14"/>
              </w:rPr>
              <w:t>Delta Plan on FRM</w:t>
            </w:r>
            <w:r w:rsidRPr="00995F3E">
              <w:rPr>
                <w:rFonts w:cs="Arial"/>
                <w:bCs/>
                <w:sz w:val="14"/>
                <w:szCs w:val="14"/>
              </w:rPr>
              <w:t xml:space="preserve">, in the </w:t>
            </w:r>
            <w:r w:rsidRPr="00995F3E">
              <w:rPr>
                <w:rFonts w:cs="Arial"/>
                <w:bCs/>
                <w:i/>
                <w:iCs/>
                <w:sz w:val="14"/>
                <w:szCs w:val="14"/>
              </w:rPr>
              <w:t>Delta Plan on FS</w:t>
            </w:r>
            <w:r w:rsidRPr="00995F3E">
              <w:rPr>
                <w:rFonts w:cs="Arial"/>
                <w:bCs/>
                <w:sz w:val="14"/>
                <w:szCs w:val="14"/>
              </w:rPr>
              <w:t xml:space="preserve">, and in the </w:t>
            </w:r>
            <w:r w:rsidRPr="00995F3E">
              <w:rPr>
                <w:rFonts w:cs="Arial"/>
                <w:bCs/>
                <w:i/>
                <w:iCs/>
                <w:sz w:val="14"/>
                <w:szCs w:val="14"/>
              </w:rPr>
              <w:t>Delta Plan on Spatial Adaptation</w:t>
            </w:r>
            <w:r w:rsidRPr="00995F3E">
              <w:rPr>
                <w:rFonts w:cs="Arial"/>
                <w:bCs/>
                <w:sz w:val="14"/>
                <w:szCs w:val="14"/>
              </w:rPr>
              <w:t xml:space="preserve"> (</w:t>
            </w:r>
            <w:r w:rsidRPr="00995F3E">
              <w:rPr>
                <w:rFonts w:cs="Arial"/>
                <w:bCs/>
                <w:color w:val="7F7F7F" w:themeColor="text1" w:themeTint="80"/>
                <w:sz w:val="14"/>
                <w:szCs w:val="14"/>
              </w:rPr>
              <w:t>DP 2014, p.46, 19, 56</w:t>
            </w:r>
            <w:r w:rsidRPr="00995F3E">
              <w:rPr>
                <w:rFonts w:cs="Arial"/>
                <w:bCs/>
                <w:sz w:val="14"/>
                <w:szCs w:val="14"/>
              </w:rPr>
              <w:t xml:space="preserve">). Since 2014, the annual DP report describes all </w:t>
            </w:r>
            <w:r w:rsidRPr="00995F3E">
              <w:rPr>
                <w:rFonts w:cs="Arial"/>
                <w:bCs/>
                <w:i/>
                <w:iCs/>
                <w:sz w:val="14"/>
                <w:szCs w:val="14"/>
              </w:rPr>
              <w:t>programmed measures</w:t>
            </w:r>
            <w:r w:rsidRPr="00995F3E">
              <w:rPr>
                <w:rFonts w:cs="Arial"/>
                <w:bCs/>
                <w:sz w:val="14"/>
                <w:szCs w:val="14"/>
              </w:rPr>
              <w:t xml:space="preserve"> in such </w:t>
            </w:r>
            <w:r w:rsidRPr="00995F3E">
              <w:rPr>
                <w:rFonts w:cs="Arial"/>
                <w:bCs/>
                <w:i/>
                <w:iCs/>
                <w:sz w:val="14"/>
                <w:szCs w:val="14"/>
              </w:rPr>
              <w:t>Delta Plans</w:t>
            </w:r>
            <w:r w:rsidRPr="00995F3E">
              <w:rPr>
                <w:rFonts w:cs="Arial"/>
                <w:bCs/>
                <w:sz w:val="14"/>
                <w:szCs w:val="14"/>
              </w:rPr>
              <w:t xml:space="preserve"> (</w:t>
            </w:r>
            <w:r w:rsidRPr="00995F3E">
              <w:rPr>
                <w:rFonts w:cs="Arial"/>
                <w:bCs/>
                <w:color w:val="7F7F7F" w:themeColor="text1" w:themeTint="80"/>
                <w:sz w:val="14"/>
                <w:szCs w:val="14"/>
              </w:rPr>
              <w:t>DP 2014, p.8, 86</w:t>
            </w:r>
            <w:r w:rsidRPr="00995F3E">
              <w:rPr>
                <w:rFonts w:cs="Arial"/>
                <w:bCs/>
                <w:sz w:val="14"/>
                <w:szCs w:val="14"/>
              </w:rPr>
              <w:t>).</w:t>
            </w:r>
            <w:r w:rsidRPr="00995F3E">
              <w:rPr>
                <w:rFonts w:cs="Arial"/>
                <w:bCs/>
                <w:sz w:val="14"/>
                <w:szCs w:val="14"/>
                <w:vertAlign w:val="superscript"/>
              </w:rPr>
              <w:footnoteReference w:id="48"/>
            </w:r>
            <w:r w:rsidRPr="00995F3E">
              <w:rPr>
                <w:rFonts w:cs="Arial"/>
                <w:bCs/>
                <w:sz w:val="14"/>
                <w:szCs w:val="14"/>
              </w:rPr>
              <w:t xml:space="preserve"> The Delta Plans are like ‘</w:t>
            </w:r>
            <w:r w:rsidRPr="00995F3E">
              <w:rPr>
                <w:rFonts w:cs="Arial"/>
                <w:bCs/>
                <w:i/>
                <w:iCs/>
                <w:sz w:val="14"/>
                <w:szCs w:val="14"/>
              </w:rPr>
              <w:t>action plans</w:t>
            </w:r>
            <w:r w:rsidRPr="00995F3E">
              <w:rPr>
                <w:rFonts w:cs="Arial"/>
                <w:bCs/>
                <w:sz w:val="14"/>
                <w:szCs w:val="14"/>
              </w:rPr>
              <w:t>’ to guide the implementation of planned measures and their incorporation in regional or local spatial planning (</w:t>
            </w:r>
            <w:r w:rsidRPr="00995F3E">
              <w:rPr>
                <w:rFonts w:cs="Arial"/>
                <w:bCs/>
                <w:color w:val="7F7F7F" w:themeColor="text1" w:themeTint="80"/>
                <w:sz w:val="14"/>
                <w:szCs w:val="14"/>
              </w:rPr>
              <w:t>Marchand and Ludwig 2014, p.27</w:t>
            </w:r>
            <w:r w:rsidRPr="00995F3E">
              <w:rPr>
                <w:rFonts w:cs="Arial"/>
                <w:bCs/>
                <w:sz w:val="14"/>
                <w:szCs w:val="14"/>
              </w:rPr>
              <w:t>).</w:t>
            </w:r>
          </w:p>
          <w:p w14:paraId="21B44CDB" w14:textId="77777777" w:rsidR="00995F3E" w:rsidRPr="00995F3E" w:rsidRDefault="00995F3E" w:rsidP="00E74925">
            <w:pPr>
              <w:spacing w:after="60"/>
              <w:jc w:val="left"/>
              <w:rPr>
                <w:rFonts w:cs="Arial"/>
                <w:bCs/>
                <w:sz w:val="14"/>
                <w:szCs w:val="14"/>
              </w:rPr>
            </w:pPr>
            <w:r w:rsidRPr="00995F3E">
              <w:rPr>
                <w:rFonts w:cs="Arial"/>
                <w:bCs/>
                <w:sz w:val="14"/>
                <w:szCs w:val="14"/>
              </w:rPr>
              <w:t>In this step, the Teams identified decisions and measures to be taken in the short-term (including measures necessary to ensure that enough options are available in the future). The DP sought that the first measures taken were ‘no-regret measures</w:t>
            </w:r>
            <w:r w:rsidRPr="00995F3E">
              <w:rPr>
                <w:rFonts w:eastAsia="RijksoverheidSansText-Regular" w:cs="Arial"/>
                <w:bCs/>
                <w:color w:val="000000"/>
                <w:sz w:val="14"/>
                <w:szCs w:val="14"/>
              </w:rPr>
              <w:t>’ (</w:t>
            </w:r>
            <w:r w:rsidRPr="00995F3E">
              <w:rPr>
                <w:rFonts w:cs="Arial"/>
                <w:bCs/>
                <w:sz w:val="14"/>
                <w:szCs w:val="14"/>
              </w:rPr>
              <w:t>worthwhile in any scenario)</w:t>
            </w:r>
            <w:r w:rsidRPr="00995F3E">
              <w:rPr>
                <w:rFonts w:eastAsia="RijksoverheidSansText-Regular" w:cs="Arial"/>
                <w:bCs/>
                <w:color w:val="000000"/>
                <w:sz w:val="14"/>
                <w:szCs w:val="14"/>
              </w:rPr>
              <w:t xml:space="preserve"> (</w:t>
            </w:r>
            <w:r w:rsidRPr="00995F3E">
              <w:rPr>
                <w:rFonts w:eastAsia="RijksoverheidSansText-Regular" w:cs="Arial"/>
                <w:bCs/>
                <w:color w:val="7F7F7F" w:themeColor="text1" w:themeTint="80"/>
                <w:sz w:val="14"/>
                <w:szCs w:val="14"/>
              </w:rPr>
              <w:t>DP 2012, p.88</w:t>
            </w:r>
            <w:r w:rsidRPr="00995F3E">
              <w:rPr>
                <w:rFonts w:eastAsia="RijksoverheidSansText-Regular" w:cs="Arial"/>
                <w:bCs/>
                <w:color w:val="000000"/>
                <w:sz w:val="14"/>
                <w:szCs w:val="14"/>
              </w:rPr>
              <w:t>).</w:t>
            </w:r>
            <w:r w:rsidRPr="00995F3E">
              <w:rPr>
                <w:rFonts w:cs="Arial"/>
                <w:bCs/>
                <w:sz w:val="14"/>
                <w:szCs w:val="14"/>
              </w:rPr>
              <w:t xml:space="preserve"> </w:t>
            </w:r>
          </w:p>
          <w:p w14:paraId="1CF520AA"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In 2014, the </w:t>
            </w:r>
            <w:r w:rsidRPr="00995F3E">
              <w:rPr>
                <w:rFonts w:cs="Arial"/>
                <w:bCs/>
                <w:i/>
                <w:iCs/>
                <w:sz w:val="14"/>
                <w:szCs w:val="14"/>
              </w:rPr>
              <w:t>Delta Decisions</w:t>
            </w:r>
            <w:r w:rsidRPr="00995F3E">
              <w:rPr>
                <w:rFonts w:cs="Arial"/>
                <w:bCs/>
                <w:sz w:val="14"/>
                <w:szCs w:val="14"/>
              </w:rPr>
              <w:t xml:space="preserve"> and </w:t>
            </w:r>
            <w:r w:rsidRPr="00995F3E">
              <w:rPr>
                <w:rFonts w:cs="Arial"/>
                <w:bCs/>
                <w:i/>
                <w:iCs/>
                <w:sz w:val="14"/>
                <w:szCs w:val="14"/>
              </w:rPr>
              <w:t>Preferential Strategies</w:t>
            </w:r>
            <w:r w:rsidRPr="00995F3E">
              <w:rPr>
                <w:rFonts w:cs="Arial"/>
                <w:bCs/>
                <w:sz w:val="14"/>
                <w:szCs w:val="14"/>
              </w:rPr>
              <w:t xml:space="preserve"> were approved by the national government (</w:t>
            </w:r>
            <w:r w:rsidRPr="00995F3E">
              <w:rPr>
                <w:rFonts w:cs="Arial"/>
                <w:bCs/>
                <w:color w:val="7F7F7F" w:themeColor="text1" w:themeTint="80"/>
                <w:sz w:val="14"/>
                <w:szCs w:val="14"/>
              </w:rPr>
              <w:t>Buuren et al. 2016</w:t>
            </w:r>
            <w:r w:rsidRPr="00995F3E">
              <w:rPr>
                <w:rFonts w:cs="Arial"/>
                <w:bCs/>
                <w:sz w:val="14"/>
                <w:szCs w:val="14"/>
              </w:rPr>
              <w:t xml:space="preserve">). By the end of 2014, the government set down the </w:t>
            </w:r>
            <w:r w:rsidRPr="00995F3E">
              <w:rPr>
                <w:rFonts w:cs="Arial"/>
                <w:bCs/>
                <w:i/>
                <w:iCs/>
                <w:sz w:val="14"/>
                <w:szCs w:val="14"/>
              </w:rPr>
              <w:t>Delta Decisions</w:t>
            </w:r>
            <w:r w:rsidRPr="00995F3E">
              <w:rPr>
                <w:rFonts w:cs="Arial"/>
                <w:bCs/>
                <w:sz w:val="14"/>
                <w:szCs w:val="14"/>
              </w:rPr>
              <w:t xml:space="preserve"> and </w:t>
            </w:r>
            <w:r w:rsidRPr="00995F3E">
              <w:rPr>
                <w:rFonts w:cs="Arial"/>
                <w:bCs/>
                <w:i/>
                <w:iCs/>
                <w:sz w:val="14"/>
                <w:szCs w:val="14"/>
              </w:rPr>
              <w:t>Preferential Strategies</w:t>
            </w:r>
            <w:r w:rsidRPr="00995F3E">
              <w:rPr>
                <w:rFonts w:cs="Arial"/>
                <w:bCs/>
                <w:sz w:val="14"/>
                <w:szCs w:val="14"/>
              </w:rPr>
              <w:t xml:space="preserve"> as policy in the ‘</w:t>
            </w:r>
            <w:r w:rsidRPr="00995F3E">
              <w:rPr>
                <w:rFonts w:cs="Arial"/>
                <w:bCs/>
                <w:i/>
                <w:iCs/>
                <w:sz w:val="14"/>
                <w:szCs w:val="14"/>
              </w:rPr>
              <w:t>National Water Plan</w:t>
            </w:r>
            <w:r w:rsidRPr="00995F3E">
              <w:rPr>
                <w:rFonts w:cs="Arial"/>
                <w:bCs/>
                <w:sz w:val="14"/>
                <w:szCs w:val="14"/>
              </w:rPr>
              <w:t>’ (</w:t>
            </w:r>
            <w:r w:rsidRPr="00995F3E">
              <w:rPr>
                <w:rFonts w:cs="Arial"/>
                <w:bCs/>
                <w:color w:val="7F7F7F" w:themeColor="text1" w:themeTint="80"/>
                <w:sz w:val="14"/>
                <w:szCs w:val="14"/>
              </w:rPr>
              <w:t>DP 2017, p.7</w:t>
            </w:r>
            <w:r w:rsidRPr="00995F3E">
              <w:rPr>
                <w:rFonts w:cs="Arial"/>
                <w:bCs/>
                <w:sz w:val="14"/>
                <w:szCs w:val="14"/>
              </w:rPr>
              <w:t xml:space="preserve">). The </w:t>
            </w:r>
            <w:r w:rsidRPr="00995F3E">
              <w:rPr>
                <w:rFonts w:cs="Arial"/>
                <w:bCs/>
                <w:i/>
                <w:iCs/>
                <w:sz w:val="14"/>
                <w:szCs w:val="14"/>
              </w:rPr>
              <w:t>Delta Decisions</w:t>
            </w:r>
            <w:r w:rsidRPr="00995F3E">
              <w:rPr>
                <w:rFonts w:cs="Arial"/>
                <w:bCs/>
                <w:sz w:val="14"/>
                <w:szCs w:val="14"/>
              </w:rPr>
              <w:t xml:space="preserve"> and </w:t>
            </w:r>
            <w:r w:rsidRPr="00995F3E">
              <w:rPr>
                <w:rFonts w:cs="Arial"/>
                <w:bCs/>
                <w:i/>
                <w:iCs/>
                <w:sz w:val="14"/>
                <w:szCs w:val="14"/>
              </w:rPr>
              <w:t>Preferential Strategies</w:t>
            </w:r>
            <w:r w:rsidRPr="00995F3E">
              <w:rPr>
                <w:rFonts w:cs="Arial"/>
                <w:bCs/>
                <w:sz w:val="14"/>
                <w:szCs w:val="14"/>
              </w:rPr>
              <w:t xml:space="preserve"> form the main content of the DP </w:t>
            </w:r>
            <w:r w:rsidRPr="00995F3E">
              <w:rPr>
                <w:rFonts w:cs="Arial"/>
                <w:bCs/>
                <w:iCs/>
                <w:sz w:val="14"/>
                <w:szCs w:val="14"/>
              </w:rPr>
              <w:t>from 2015</w:t>
            </w:r>
            <w:r w:rsidRPr="00995F3E">
              <w:rPr>
                <w:rFonts w:cs="Arial"/>
                <w:bCs/>
                <w:sz w:val="14"/>
                <w:szCs w:val="14"/>
              </w:rPr>
              <w:t xml:space="preserve"> onwards.</w:t>
            </w:r>
          </w:p>
          <w:p w14:paraId="02F2C898" w14:textId="77777777" w:rsidR="00995F3E" w:rsidRPr="00995F3E" w:rsidRDefault="00995F3E" w:rsidP="00E74925">
            <w:pPr>
              <w:spacing w:after="60"/>
              <w:jc w:val="left"/>
              <w:rPr>
                <w:rFonts w:cs="Arial"/>
                <w:bCs/>
                <w:sz w:val="14"/>
                <w:szCs w:val="14"/>
              </w:rPr>
            </w:pPr>
          </w:p>
          <w:p w14:paraId="3706107D" w14:textId="77777777" w:rsidR="00995F3E" w:rsidRPr="00995F3E" w:rsidRDefault="00995F3E" w:rsidP="00E74925">
            <w:pPr>
              <w:spacing w:after="60"/>
              <w:rPr>
                <w:rFonts w:eastAsia="RijksoverheidSansText-Regular" w:cs="Arial"/>
                <w:bCs/>
                <w:sz w:val="14"/>
                <w:szCs w:val="14"/>
              </w:rPr>
            </w:pPr>
            <w:proofErr w:type="spellStart"/>
            <w:r w:rsidRPr="00995F3E">
              <w:rPr>
                <w:rFonts w:eastAsia="RijksoverheidSansText-Regular" w:cs="Arial"/>
                <w:bCs/>
                <w:sz w:val="14"/>
                <w:szCs w:val="14"/>
              </w:rPr>
              <w:t>Substep</w:t>
            </w:r>
            <w:proofErr w:type="spellEnd"/>
            <w:r w:rsidRPr="00995F3E">
              <w:rPr>
                <w:rFonts w:eastAsia="RijksoverheidSansText-Regular" w:cs="Arial"/>
                <w:bCs/>
                <w:sz w:val="14"/>
                <w:szCs w:val="14"/>
              </w:rPr>
              <w:t xml:space="preserve"> 4b (developing the monitoring and evaluation system)</w:t>
            </w:r>
          </w:p>
          <w:p w14:paraId="7EB357C3" w14:textId="77777777" w:rsidR="00995F3E" w:rsidRPr="00995F3E" w:rsidRDefault="00995F3E" w:rsidP="00E74925">
            <w:pPr>
              <w:spacing w:after="60"/>
              <w:jc w:val="left"/>
              <w:rPr>
                <w:rFonts w:cs="Arial"/>
                <w:bCs/>
                <w:sz w:val="14"/>
                <w:szCs w:val="14"/>
              </w:rPr>
            </w:pPr>
            <w:r w:rsidRPr="00995F3E">
              <w:rPr>
                <w:rFonts w:cs="Arial"/>
                <w:bCs/>
                <w:sz w:val="14"/>
                <w:szCs w:val="14"/>
              </w:rPr>
              <w:t>ADM implies an adequate monitoring of changes and developments (namely climatic and socioeconomic developments), of new knowledge and insights, and of implemented measures (i.e. of ‘</w:t>
            </w:r>
            <w:r w:rsidRPr="00995F3E">
              <w:rPr>
                <w:rFonts w:cs="Arial"/>
                <w:bCs/>
                <w:i/>
                <w:iCs/>
                <w:sz w:val="14"/>
                <w:szCs w:val="14"/>
              </w:rPr>
              <w:t>what is being done and with what effects</w:t>
            </w:r>
            <w:r w:rsidRPr="00995F3E">
              <w:rPr>
                <w:rFonts w:cs="Arial"/>
                <w:bCs/>
                <w:sz w:val="14"/>
                <w:szCs w:val="14"/>
              </w:rPr>
              <w:t>’), and, based on the monitoring results, regular evaluations of the strategies followed (implemented and planned) (</w:t>
            </w:r>
            <w:r w:rsidRPr="00995F3E">
              <w:rPr>
                <w:rFonts w:cs="Arial"/>
                <w:bCs/>
                <w:color w:val="7F7F7F" w:themeColor="text1" w:themeTint="80"/>
                <w:sz w:val="14"/>
                <w:szCs w:val="14"/>
              </w:rPr>
              <w:t>DP 2014, p.149; 2016, p.6</w:t>
            </w:r>
            <w:r w:rsidRPr="00995F3E">
              <w:rPr>
                <w:rFonts w:cs="Arial"/>
                <w:bCs/>
                <w:sz w:val="14"/>
                <w:szCs w:val="14"/>
              </w:rPr>
              <w:t>). Thus, the ADM process presupposes the existence of a ‘monitoring and evaluation system’, which is necessary to: observe how climatic, physical, and socioeconomic conditions are changing, and ensure that ‘</w:t>
            </w:r>
            <w:r w:rsidRPr="00995F3E">
              <w:rPr>
                <w:rFonts w:cs="Arial"/>
                <w:bCs/>
                <w:i/>
                <w:iCs/>
                <w:sz w:val="14"/>
                <w:szCs w:val="14"/>
              </w:rPr>
              <w:t>response to these changes is an adaptive one’</w:t>
            </w:r>
            <w:r w:rsidRPr="00995F3E">
              <w:rPr>
                <w:rFonts w:cs="Arial"/>
                <w:bCs/>
                <w:sz w:val="14"/>
                <w:szCs w:val="14"/>
              </w:rPr>
              <w:t xml:space="preserve"> (</w:t>
            </w:r>
            <w:r w:rsidRPr="00995F3E">
              <w:rPr>
                <w:rFonts w:cs="Arial"/>
                <w:bCs/>
                <w:color w:val="7F7F7F" w:themeColor="text1" w:themeTint="80"/>
                <w:sz w:val="14"/>
                <w:szCs w:val="14"/>
              </w:rPr>
              <w:t>DP 2014, p.9</w:t>
            </w:r>
            <w:r w:rsidRPr="00995F3E">
              <w:rPr>
                <w:rFonts w:cs="Arial"/>
                <w:bCs/>
                <w:sz w:val="14"/>
                <w:szCs w:val="14"/>
              </w:rPr>
              <w:t>); to allow ‘systematic learning’ and the adaptation</w:t>
            </w:r>
            <w:r w:rsidRPr="00995F3E">
              <w:rPr>
                <w:rFonts w:cs="Arial"/>
                <w:bCs/>
                <w:i/>
                <w:iCs/>
                <w:sz w:val="14"/>
                <w:szCs w:val="14"/>
              </w:rPr>
              <w:t xml:space="preserve"> </w:t>
            </w:r>
            <w:r w:rsidRPr="00995F3E">
              <w:rPr>
                <w:rFonts w:cs="Arial"/>
                <w:bCs/>
                <w:sz w:val="14"/>
                <w:szCs w:val="14"/>
              </w:rPr>
              <w:t>/ adjustment</w:t>
            </w:r>
            <w:r w:rsidRPr="00995F3E">
              <w:rPr>
                <w:rFonts w:cs="Arial"/>
                <w:bCs/>
                <w:i/>
                <w:iCs/>
                <w:sz w:val="14"/>
                <w:szCs w:val="14"/>
              </w:rPr>
              <w:t xml:space="preserve"> </w:t>
            </w:r>
            <w:r w:rsidRPr="00995F3E">
              <w:rPr>
                <w:rFonts w:cs="Arial"/>
                <w:bCs/>
                <w:sz w:val="14"/>
                <w:szCs w:val="14"/>
              </w:rPr>
              <w:t>of strategies, if this is prompted by changes or new insights (</w:t>
            </w:r>
            <w:r w:rsidRPr="00995F3E">
              <w:rPr>
                <w:rFonts w:cs="Arial"/>
                <w:bCs/>
                <w:color w:val="7F7F7F" w:themeColor="text1" w:themeTint="80"/>
                <w:sz w:val="14"/>
                <w:szCs w:val="14"/>
              </w:rPr>
              <w:t>DP 2016, p. 6,11</w:t>
            </w:r>
            <w:r w:rsidRPr="00995F3E">
              <w:rPr>
                <w:rFonts w:cs="Arial"/>
                <w:bCs/>
                <w:sz w:val="14"/>
                <w:szCs w:val="14"/>
              </w:rPr>
              <w:t>), namely to ‘</w:t>
            </w:r>
            <w:r w:rsidRPr="00995F3E">
              <w:rPr>
                <w:rFonts w:cs="Arial"/>
                <w:bCs/>
                <w:i/>
                <w:iCs/>
                <w:sz w:val="14"/>
                <w:szCs w:val="14"/>
              </w:rPr>
              <w:t>know in good time when the strategy has to change and when other measures that have already been prepared should be put into effect</w:t>
            </w:r>
            <w:r w:rsidRPr="00995F3E">
              <w:rPr>
                <w:rFonts w:cs="Arial"/>
                <w:bCs/>
                <w:sz w:val="14"/>
                <w:szCs w:val="14"/>
              </w:rPr>
              <w:t>’ (</w:t>
            </w:r>
            <w:r w:rsidRPr="00995F3E">
              <w:rPr>
                <w:rFonts w:cs="Arial"/>
                <w:bCs/>
                <w:color w:val="7F7F7F" w:themeColor="text1" w:themeTint="80"/>
                <w:sz w:val="14"/>
                <w:szCs w:val="14"/>
              </w:rPr>
              <w:t>DP 2014, p.13</w:t>
            </w:r>
            <w:r w:rsidRPr="00995F3E">
              <w:rPr>
                <w:rFonts w:cs="Arial"/>
                <w:bCs/>
                <w:sz w:val="14"/>
                <w:szCs w:val="14"/>
              </w:rPr>
              <w:t>).</w:t>
            </w:r>
          </w:p>
          <w:p w14:paraId="413AC834" w14:textId="77777777" w:rsidR="00995F3E" w:rsidRPr="00995F3E" w:rsidRDefault="00995F3E" w:rsidP="00E74925">
            <w:pPr>
              <w:spacing w:after="60"/>
              <w:jc w:val="left"/>
              <w:rPr>
                <w:rFonts w:cs="Arial"/>
                <w:bCs/>
                <w:sz w:val="14"/>
                <w:szCs w:val="14"/>
              </w:rPr>
            </w:pPr>
            <w:r w:rsidRPr="00995F3E">
              <w:rPr>
                <w:rFonts w:cs="Arial"/>
                <w:bCs/>
                <w:sz w:val="14"/>
                <w:szCs w:val="14"/>
              </w:rPr>
              <w:t>After 2014, the DP started to develop its own monitoring and evaluation system, the ‘</w:t>
            </w:r>
            <w:r w:rsidRPr="00995F3E">
              <w:rPr>
                <w:rFonts w:cs="Arial"/>
                <w:bCs/>
                <w:i/>
                <w:iCs/>
                <w:sz w:val="14"/>
                <w:szCs w:val="14"/>
              </w:rPr>
              <w:t xml:space="preserve">Monitoring, Analysing, </w:t>
            </w:r>
            <w:proofErr w:type="gramStart"/>
            <w:r w:rsidRPr="00995F3E">
              <w:rPr>
                <w:rFonts w:cs="Arial"/>
                <w:bCs/>
                <w:i/>
                <w:iCs/>
                <w:sz w:val="14"/>
                <w:szCs w:val="14"/>
              </w:rPr>
              <w:t>Acting</w:t>
            </w:r>
            <w:proofErr w:type="gramEnd"/>
            <w:r w:rsidRPr="00995F3E">
              <w:rPr>
                <w:rFonts w:cs="Arial"/>
                <w:bCs/>
                <w:i/>
                <w:iCs/>
                <w:sz w:val="14"/>
                <w:szCs w:val="14"/>
              </w:rPr>
              <w:t xml:space="preserve"> </w:t>
            </w:r>
            <w:r w:rsidRPr="00995F3E">
              <w:rPr>
                <w:rFonts w:cs="Arial"/>
                <w:bCs/>
                <w:sz w:val="14"/>
                <w:szCs w:val="14"/>
              </w:rPr>
              <w:t xml:space="preserve">(MAA) system’, which is deemed the </w:t>
            </w:r>
            <w:r w:rsidRPr="00995F3E">
              <w:rPr>
                <w:rFonts w:cs="Arial"/>
                <w:bCs/>
                <w:i/>
                <w:iCs/>
                <w:sz w:val="14"/>
                <w:szCs w:val="14"/>
              </w:rPr>
              <w:t xml:space="preserve">engine </w:t>
            </w:r>
            <w:r w:rsidRPr="00995F3E">
              <w:rPr>
                <w:rFonts w:cs="Arial"/>
                <w:bCs/>
                <w:sz w:val="14"/>
                <w:szCs w:val="14"/>
              </w:rPr>
              <w:t>of ADM (</w:t>
            </w:r>
            <w:r w:rsidRPr="00995F3E">
              <w:rPr>
                <w:rFonts w:cs="Arial"/>
                <w:bCs/>
                <w:color w:val="7F7F7F" w:themeColor="text1" w:themeTint="80"/>
                <w:sz w:val="14"/>
                <w:szCs w:val="14"/>
              </w:rPr>
              <w:t>DP 2016, p.6, 59; 2014, p.149</w:t>
            </w:r>
            <w:r w:rsidRPr="00995F3E">
              <w:rPr>
                <w:rFonts w:cs="Arial"/>
                <w:bCs/>
                <w:sz w:val="14"/>
                <w:szCs w:val="14"/>
              </w:rPr>
              <w:t>). The MAA should serve to:</w:t>
            </w:r>
          </w:p>
          <w:p w14:paraId="071F502E" w14:textId="77777777" w:rsidR="00995F3E" w:rsidRPr="00995F3E" w:rsidRDefault="00995F3E" w:rsidP="00E74925">
            <w:pPr>
              <w:numPr>
                <w:ilvl w:val="0"/>
                <w:numId w:val="66"/>
              </w:numPr>
              <w:spacing w:after="60"/>
              <w:ind w:left="284" w:hanging="284"/>
              <w:jc w:val="left"/>
              <w:rPr>
                <w:rFonts w:cs="Arial"/>
                <w:bCs/>
                <w:sz w:val="14"/>
                <w:szCs w:val="14"/>
              </w:rPr>
            </w:pPr>
            <w:r w:rsidRPr="00995F3E">
              <w:rPr>
                <w:rFonts w:cs="Arial"/>
                <w:bCs/>
                <w:sz w:val="14"/>
                <w:szCs w:val="14"/>
              </w:rPr>
              <w:t xml:space="preserve">monitor changes and developments (internal and external), new insights and knowledge that may emerge, and measures’ effects, and, in accordance, properly act on this information; </w:t>
            </w:r>
            <w:proofErr w:type="gramStart"/>
            <w:r w:rsidRPr="00995F3E">
              <w:rPr>
                <w:rFonts w:cs="Arial"/>
                <w:bCs/>
                <w:sz w:val="14"/>
                <w:szCs w:val="14"/>
              </w:rPr>
              <w:t>and,</w:t>
            </w:r>
            <w:proofErr w:type="gramEnd"/>
            <w:r w:rsidRPr="00995F3E">
              <w:rPr>
                <w:rFonts w:cs="Arial"/>
                <w:bCs/>
                <w:sz w:val="14"/>
                <w:szCs w:val="14"/>
              </w:rPr>
              <w:t xml:space="preserve"> regularly </w:t>
            </w:r>
            <w:proofErr w:type="spellStart"/>
            <w:r w:rsidRPr="00995F3E">
              <w:rPr>
                <w:rFonts w:cs="Arial"/>
                <w:bCs/>
                <w:sz w:val="14"/>
                <w:szCs w:val="14"/>
              </w:rPr>
              <w:t>revaluate</w:t>
            </w:r>
            <w:proofErr w:type="spellEnd"/>
            <w:r w:rsidRPr="00995F3E">
              <w:rPr>
                <w:rFonts w:cs="Arial"/>
                <w:bCs/>
                <w:sz w:val="14"/>
                <w:szCs w:val="14"/>
              </w:rPr>
              <w:t xml:space="preserve"> the Strategies and measures implemented and planned (</w:t>
            </w:r>
            <w:r w:rsidRPr="00995F3E">
              <w:rPr>
                <w:rFonts w:cs="Arial"/>
                <w:bCs/>
                <w:color w:val="7F7F7F" w:themeColor="text1" w:themeTint="80"/>
                <w:sz w:val="14"/>
                <w:szCs w:val="14"/>
              </w:rPr>
              <w:t>DP 2016, p.6, 9</w:t>
            </w:r>
            <w:r w:rsidRPr="00995F3E">
              <w:rPr>
                <w:rFonts w:cs="Arial"/>
                <w:bCs/>
                <w:sz w:val="14"/>
                <w:szCs w:val="14"/>
              </w:rPr>
              <w:t xml:space="preserve">). </w:t>
            </w:r>
          </w:p>
          <w:p w14:paraId="5753ADA8" w14:textId="32354DEB" w:rsidR="00995F3E" w:rsidRPr="00995F3E" w:rsidRDefault="00995F3E" w:rsidP="00E74925">
            <w:pPr>
              <w:numPr>
                <w:ilvl w:val="0"/>
                <w:numId w:val="66"/>
              </w:numPr>
              <w:spacing w:after="60"/>
              <w:ind w:left="284" w:hanging="284"/>
              <w:jc w:val="left"/>
              <w:rPr>
                <w:rFonts w:cs="Arial"/>
                <w:bCs/>
                <w:sz w:val="14"/>
                <w:szCs w:val="14"/>
              </w:rPr>
            </w:pPr>
            <w:r w:rsidRPr="00995F3E">
              <w:rPr>
                <w:rFonts w:cs="Arial"/>
                <w:bCs/>
                <w:sz w:val="14"/>
                <w:szCs w:val="14"/>
              </w:rPr>
              <w:t xml:space="preserve">collect information necessary to examine if and how the </w:t>
            </w:r>
            <w:r w:rsidRPr="00995F3E">
              <w:rPr>
                <w:rFonts w:cs="Arial"/>
                <w:bCs/>
                <w:i/>
                <w:iCs/>
                <w:sz w:val="14"/>
                <w:szCs w:val="14"/>
              </w:rPr>
              <w:t>Preferential Strategies</w:t>
            </w:r>
            <w:r w:rsidRPr="00995F3E">
              <w:rPr>
                <w:rFonts w:cs="Arial"/>
                <w:bCs/>
                <w:sz w:val="14"/>
                <w:szCs w:val="14"/>
              </w:rPr>
              <w:t xml:space="preserve"> need to be adjusted, and to operate an adaptive approach. The MAA generates insights into the progress made and into changes or developments that may constitute a reason for adjustment (</w:t>
            </w:r>
            <w:r w:rsidRPr="00995F3E">
              <w:rPr>
                <w:rFonts w:cs="Arial"/>
                <w:bCs/>
                <w:color w:val="7F7F7F" w:themeColor="text1" w:themeTint="80"/>
                <w:sz w:val="14"/>
                <w:szCs w:val="14"/>
              </w:rPr>
              <w:t>DP 2016, p.6, 9, 11</w:t>
            </w:r>
            <w:r w:rsidRPr="00995F3E">
              <w:rPr>
                <w:rFonts w:cs="Arial"/>
                <w:bCs/>
                <w:sz w:val="14"/>
                <w:szCs w:val="14"/>
              </w:rPr>
              <w:t>). The system should keep track of developments, to allow a timely adjustment of Strategies (a change of course or measure), being indispensable to ensure an adaptive approach (</w:t>
            </w:r>
            <w:r w:rsidRPr="00995F3E">
              <w:rPr>
                <w:rFonts w:cs="Arial"/>
                <w:bCs/>
                <w:color w:val="7F7F7F" w:themeColor="text1" w:themeTint="80"/>
                <w:sz w:val="14"/>
                <w:szCs w:val="14"/>
              </w:rPr>
              <w:t>DP 2016, p.59; 2017, p.13</w:t>
            </w:r>
            <w:r w:rsidRPr="00995F3E">
              <w:rPr>
                <w:rFonts w:cs="Arial"/>
                <w:bCs/>
                <w:sz w:val="14"/>
                <w:szCs w:val="14"/>
              </w:rPr>
              <w:t xml:space="preserve">). With the MAA, the DP aims to evaluate, every year, whether any new developments demand the adjustment or fine-tuning of the </w:t>
            </w:r>
            <w:r w:rsidRPr="00995F3E">
              <w:rPr>
                <w:rFonts w:cs="Arial"/>
                <w:bCs/>
                <w:i/>
                <w:iCs/>
                <w:sz w:val="14"/>
                <w:szCs w:val="14"/>
              </w:rPr>
              <w:t>Preferential Strategies</w:t>
            </w:r>
            <w:r w:rsidRPr="00995F3E">
              <w:rPr>
                <w:rFonts w:cs="Arial"/>
                <w:bCs/>
                <w:sz w:val="14"/>
                <w:szCs w:val="14"/>
              </w:rPr>
              <w:t xml:space="preserve"> and </w:t>
            </w:r>
            <w:r w:rsidRPr="00995F3E">
              <w:rPr>
                <w:rFonts w:cs="Arial"/>
                <w:bCs/>
                <w:i/>
                <w:iCs/>
                <w:sz w:val="14"/>
                <w:szCs w:val="14"/>
              </w:rPr>
              <w:t>Delta Plans</w:t>
            </w:r>
            <w:r w:rsidRPr="00995F3E">
              <w:rPr>
                <w:rFonts w:cs="Arial"/>
                <w:bCs/>
                <w:sz w:val="14"/>
                <w:szCs w:val="14"/>
              </w:rPr>
              <w:t>; and keep track of any new conditions or changes that may impact the goals and measures, and if necessary, adjust them (</w:t>
            </w:r>
            <w:r w:rsidRPr="00995F3E">
              <w:rPr>
                <w:rFonts w:cs="Arial"/>
                <w:bCs/>
                <w:color w:val="7F7F7F" w:themeColor="text1" w:themeTint="80"/>
                <w:sz w:val="14"/>
                <w:szCs w:val="14"/>
              </w:rPr>
              <w:t>DP 2016, p.6-7</w:t>
            </w:r>
            <w:r w:rsidRPr="00995F3E">
              <w:rPr>
                <w:rFonts w:cs="Arial"/>
                <w:bCs/>
                <w:sz w:val="14"/>
                <w:szCs w:val="14"/>
              </w:rPr>
              <w:t>).</w:t>
            </w:r>
          </w:p>
          <w:p w14:paraId="4039E1AB" w14:textId="77777777" w:rsidR="00995F3E" w:rsidRPr="00995F3E" w:rsidRDefault="00995F3E" w:rsidP="00E74925">
            <w:pPr>
              <w:numPr>
                <w:ilvl w:val="0"/>
                <w:numId w:val="66"/>
              </w:numPr>
              <w:spacing w:after="60"/>
              <w:ind w:left="284" w:hanging="284"/>
              <w:jc w:val="left"/>
              <w:rPr>
                <w:rFonts w:cs="Arial"/>
                <w:bCs/>
                <w:sz w:val="14"/>
                <w:szCs w:val="14"/>
              </w:rPr>
            </w:pPr>
            <w:r w:rsidRPr="00995F3E">
              <w:rPr>
                <w:rFonts w:cs="Arial"/>
                <w:bCs/>
                <w:sz w:val="14"/>
                <w:szCs w:val="14"/>
              </w:rPr>
              <w:t>monitor ‘linkage opportunities’ available (</w:t>
            </w:r>
            <w:r w:rsidRPr="00995F3E">
              <w:rPr>
                <w:rFonts w:cs="Arial"/>
                <w:bCs/>
                <w:color w:val="7F7F7F" w:themeColor="text1" w:themeTint="80"/>
                <w:sz w:val="14"/>
                <w:szCs w:val="14"/>
              </w:rPr>
              <w:t>DP 2014, p.149</w:t>
            </w:r>
            <w:r w:rsidRPr="00995F3E">
              <w:rPr>
                <w:rFonts w:cs="Arial"/>
                <w:bCs/>
                <w:sz w:val="14"/>
                <w:szCs w:val="14"/>
              </w:rPr>
              <w:t>).</w:t>
            </w:r>
          </w:p>
          <w:p w14:paraId="07933C95" w14:textId="77777777" w:rsidR="00995F3E" w:rsidRPr="00995F3E" w:rsidRDefault="00995F3E" w:rsidP="00E74925">
            <w:pPr>
              <w:numPr>
                <w:ilvl w:val="0"/>
                <w:numId w:val="66"/>
              </w:numPr>
              <w:spacing w:after="60"/>
              <w:ind w:left="284" w:hanging="284"/>
              <w:jc w:val="left"/>
              <w:rPr>
                <w:rFonts w:cs="Arial"/>
                <w:bCs/>
                <w:sz w:val="14"/>
                <w:szCs w:val="14"/>
              </w:rPr>
            </w:pPr>
            <w:r w:rsidRPr="00995F3E">
              <w:rPr>
                <w:rFonts w:cs="Arial"/>
                <w:bCs/>
                <w:sz w:val="14"/>
                <w:szCs w:val="14"/>
              </w:rPr>
              <w:t>foster a co-learning process in which results, lessons and successes were shared, and progresses reported (in the DP Report), the spent resources justified. MAA results should underpin the DP report (</w:t>
            </w:r>
            <w:r w:rsidRPr="00995F3E">
              <w:rPr>
                <w:rFonts w:cs="Arial"/>
                <w:bCs/>
                <w:color w:val="7F7F7F" w:themeColor="text1" w:themeTint="80"/>
                <w:sz w:val="14"/>
                <w:szCs w:val="14"/>
              </w:rPr>
              <w:t>DP 2016, p.59, 11; 2017, p.13</w:t>
            </w:r>
            <w:r w:rsidRPr="00995F3E">
              <w:rPr>
                <w:rFonts w:cs="Arial"/>
                <w:bCs/>
                <w:sz w:val="14"/>
                <w:szCs w:val="14"/>
              </w:rPr>
              <w:t>).</w:t>
            </w:r>
          </w:p>
          <w:p w14:paraId="3687E357"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The MAA gives inputs to, and receives inputs from, the </w:t>
            </w:r>
            <w:r w:rsidRPr="00995F3E">
              <w:rPr>
                <w:rFonts w:cs="Arial"/>
                <w:bCs/>
                <w:i/>
                <w:iCs/>
                <w:sz w:val="14"/>
                <w:szCs w:val="14"/>
              </w:rPr>
              <w:t>Delta Decisions</w:t>
            </w:r>
            <w:r w:rsidRPr="00995F3E">
              <w:rPr>
                <w:rFonts w:cs="Arial"/>
                <w:bCs/>
                <w:sz w:val="14"/>
                <w:szCs w:val="14"/>
              </w:rPr>
              <w:t xml:space="preserve"> and </w:t>
            </w:r>
            <w:r w:rsidRPr="00995F3E">
              <w:rPr>
                <w:rFonts w:cs="Arial"/>
                <w:bCs/>
                <w:i/>
                <w:iCs/>
                <w:sz w:val="14"/>
                <w:szCs w:val="14"/>
              </w:rPr>
              <w:t>Preferential Strategies</w:t>
            </w:r>
            <w:r w:rsidRPr="00995F3E">
              <w:rPr>
                <w:rFonts w:cs="Arial"/>
                <w:bCs/>
                <w:sz w:val="14"/>
                <w:szCs w:val="14"/>
              </w:rPr>
              <w:t>. MAA results must be used to update the DP on observed and forecasted effects</w:t>
            </w:r>
            <w:r w:rsidRPr="00995F3E">
              <w:rPr>
                <w:rFonts w:eastAsia="RijksoverheidSerif-Regular" w:cs="Arial"/>
                <w:bCs/>
                <w:sz w:val="14"/>
                <w:szCs w:val="14"/>
              </w:rPr>
              <w:t xml:space="preserve"> and must be </w:t>
            </w:r>
            <w:r w:rsidRPr="00995F3E">
              <w:rPr>
                <w:rFonts w:eastAsia="RijksoverheidSerif-Regular" w:cs="Arial"/>
                <w:bCs/>
                <w:sz w:val="14"/>
                <w:szCs w:val="14"/>
              </w:rPr>
              <w:lastRenderedPageBreak/>
              <w:t>considered in any revision of programmed measures (</w:t>
            </w:r>
            <w:r w:rsidRPr="00995F3E">
              <w:rPr>
                <w:rFonts w:eastAsia="RijksoverheidSerif-Regular" w:cs="Arial"/>
                <w:bCs/>
                <w:i/>
                <w:iCs/>
                <w:sz w:val="14"/>
                <w:szCs w:val="14"/>
              </w:rPr>
              <w:t>projects</w:t>
            </w:r>
            <w:r w:rsidRPr="00995F3E">
              <w:rPr>
                <w:rFonts w:eastAsia="RijksoverheidSerif-Regular" w:cs="Arial"/>
                <w:bCs/>
                <w:sz w:val="14"/>
                <w:szCs w:val="14"/>
              </w:rPr>
              <w:t xml:space="preserve"> and </w:t>
            </w:r>
            <w:r w:rsidRPr="00995F3E">
              <w:rPr>
                <w:rFonts w:eastAsia="RijksoverheidSerif-Regular" w:cs="Arial"/>
                <w:bCs/>
                <w:i/>
                <w:iCs/>
                <w:sz w:val="14"/>
                <w:szCs w:val="14"/>
              </w:rPr>
              <w:t>implementation programmes</w:t>
            </w:r>
            <w:r w:rsidRPr="00995F3E">
              <w:rPr>
                <w:rFonts w:eastAsia="RijksoverheidSerif-Regular" w:cs="Arial"/>
                <w:bCs/>
                <w:sz w:val="14"/>
                <w:szCs w:val="14"/>
              </w:rPr>
              <w:t xml:space="preserve">) </w:t>
            </w:r>
            <w:r w:rsidRPr="00995F3E">
              <w:rPr>
                <w:rFonts w:cs="Arial"/>
                <w:bCs/>
                <w:sz w:val="14"/>
                <w:szCs w:val="14"/>
              </w:rPr>
              <w:t>(</w:t>
            </w:r>
            <w:r w:rsidRPr="00995F3E">
              <w:rPr>
                <w:rFonts w:cs="Arial"/>
                <w:bCs/>
                <w:color w:val="7F7F7F" w:themeColor="text1" w:themeTint="80"/>
                <w:sz w:val="14"/>
                <w:szCs w:val="14"/>
              </w:rPr>
              <w:t>DP 2014, p.149</w:t>
            </w:r>
            <w:r w:rsidRPr="00995F3E">
              <w:rPr>
                <w:rFonts w:cs="Arial"/>
                <w:bCs/>
                <w:sz w:val="14"/>
                <w:szCs w:val="14"/>
              </w:rPr>
              <w:t>).</w:t>
            </w:r>
          </w:p>
          <w:p w14:paraId="162957D3"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The MAA focusses on three specific questions: </w:t>
            </w:r>
          </w:p>
          <w:p w14:paraId="4B1AFD9D" w14:textId="77777777" w:rsidR="00995F3E" w:rsidRPr="00995F3E" w:rsidRDefault="00995F3E" w:rsidP="00E74925">
            <w:pPr>
              <w:numPr>
                <w:ilvl w:val="0"/>
                <w:numId w:val="67"/>
              </w:numPr>
              <w:spacing w:after="60"/>
              <w:ind w:left="284" w:hanging="284"/>
              <w:jc w:val="left"/>
              <w:rPr>
                <w:rFonts w:cs="Arial"/>
                <w:bCs/>
                <w:sz w:val="14"/>
                <w:szCs w:val="14"/>
              </w:rPr>
            </w:pPr>
            <w:r w:rsidRPr="00995F3E">
              <w:rPr>
                <w:rFonts w:cs="Arial"/>
                <w:bCs/>
                <w:i/>
                <w:iCs/>
                <w:sz w:val="14"/>
                <w:szCs w:val="14"/>
              </w:rPr>
              <w:t xml:space="preserve">is the implementation on </w:t>
            </w:r>
            <w:proofErr w:type="gramStart"/>
            <w:r w:rsidRPr="00995F3E">
              <w:rPr>
                <w:rFonts w:cs="Arial"/>
                <w:bCs/>
                <w:i/>
                <w:iCs/>
                <w:sz w:val="14"/>
                <w:szCs w:val="14"/>
              </w:rPr>
              <w:t>schedule</w:t>
            </w:r>
            <w:r w:rsidRPr="00995F3E">
              <w:rPr>
                <w:rFonts w:cs="Arial"/>
                <w:bCs/>
                <w:sz w:val="14"/>
                <w:szCs w:val="14"/>
              </w:rPr>
              <w:t>, and</w:t>
            </w:r>
            <w:proofErr w:type="gramEnd"/>
            <w:r w:rsidRPr="00995F3E">
              <w:rPr>
                <w:rFonts w:cs="Arial"/>
                <w:bCs/>
                <w:sz w:val="14"/>
                <w:szCs w:val="14"/>
              </w:rPr>
              <w:t xml:space="preserve"> </w:t>
            </w:r>
            <w:r w:rsidRPr="00995F3E">
              <w:rPr>
                <w:rFonts w:cs="Arial"/>
                <w:bCs/>
                <w:i/>
                <w:iCs/>
                <w:sz w:val="14"/>
                <w:szCs w:val="14"/>
              </w:rPr>
              <w:t>are we doing what we agreed</w:t>
            </w:r>
            <w:r w:rsidRPr="00995F3E">
              <w:rPr>
                <w:rFonts w:cs="Arial"/>
                <w:bCs/>
                <w:sz w:val="14"/>
                <w:szCs w:val="14"/>
              </w:rPr>
              <w:t xml:space="preserve"> (</w:t>
            </w:r>
            <w:r w:rsidRPr="00995F3E">
              <w:rPr>
                <w:rFonts w:cs="Arial"/>
                <w:bCs/>
                <w:i/>
                <w:iCs/>
                <w:sz w:val="14"/>
                <w:szCs w:val="14"/>
              </w:rPr>
              <w:t>output</w:t>
            </w:r>
            <w:r w:rsidRPr="00995F3E">
              <w:rPr>
                <w:rFonts w:cs="Arial"/>
                <w:bCs/>
                <w:sz w:val="14"/>
                <w:szCs w:val="14"/>
              </w:rPr>
              <w:t>).</w:t>
            </w:r>
          </w:p>
          <w:p w14:paraId="65804035" w14:textId="77777777" w:rsidR="00995F3E" w:rsidRPr="00995F3E" w:rsidRDefault="00995F3E" w:rsidP="00E74925">
            <w:pPr>
              <w:numPr>
                <w:ilvl w:val="0"/>
                <w:numId w:val="67"/>
              </w:numPr>
              <w:spacing w:after="60"/>
              <w:ind w:left="284" w:hanging="284"/>
              <w:jc w:val="left"/>
              <w:rPr>
                <w:rFonts w:cs="Arial"/>
                <w:bCs/>
                <w:sz w:val="14"/>
                <w:szCs w:val="14"/>
              </w:rPr>
            </w:pPr>
            <w:r w:rsidRPr="00995F3E">
              <w:rPr>
                <w:rFonts w:cs="Arial"/>
                <w:bCs/>
                <w:i/>
                <w:iCs/>
                <w:sz w:val="14"/>
                <w:szCs w:val="14"/>
              </w:rPr>
              <w:t>are we achieving our goals</w:t>
            </w:r>
            <w:r w:rsidRPr="00995F3E">
              <w:rPr>
                <w:rFonts w:cs="Arial"/>
                <w:bCs/>
                <w:sz w:val="14"/>
                <w:szCs w:val="14"/>
              </w:rPr>
              <w:t xml:space="preserve"> (</w:t>
            </w:r>
            <w:r w:rsidRPr="00995F3E">
              <w:rPr>
                <w:rFonts w:cs="Arial"/>
                <w:bCs/>
                <w:i/>
                <w:iCs/>
                <w:sz w:val="14"/>
                <w:szCs w:val="14"/>
              </w:rPr>
              <w:t>outcome</w:t>
            </w:r>
            <w:r w:rsidRPr="00995F3E">
              <w:rPr>
                <w:rFonts w:cs="Arial"/>
                <w:bCs/>
                <w:sz w:val="14"/>
                <w:szCs w:val="14"/>
              </w:rPr>
              <w:t>); i.e. whether FRM and FS targets are being achieved.</w:t>
            </w:r>
          </w:p>
          <w:p w14:paraId="042C18BC" w14:textId="77777777" w:rsidR="00995F3E" w:rsidRPr="00995F3E" w:rsidRDefault="00995F3E" w:rsidP="00E74925">
            <w:pPr>
              <w:numPr>
                <w:ilvl w:val="0"/>
                <w:numId w:val="67"/>
              </w:numPr>
              <w:spacing w:after="60"/>
              <w:ind w:left="284" w:hanging="284"/>
              <w:jc w:val="left"/>
              <w:rPr>
                <w:rFonts w:cs="Arial"/>
                <w:bCs/>
                <w:sz w:val="14"/>
                <w:szCs w:val="14"/>
              </w:rPr>
            </w:pPr>
            <w:r w:rsidRPr="00995F3E">
              <w:rPr>
                <w:rFonts w:cs="Arial"/>
                <w:bCs/>
                <w:i/>
                <w:iCs/>
                <w:sz w:val="14"/>
                <w:szCs w:val="14"/>
              </w:rPr>
              <w:t>are the preconditions still in order</w:t>
            </w:r>
            <w:r w:rsidRPr="00995F3E">
              <w:rPr>
                <w:rFonts w:cs="Arial"/>
                <w:bCs/>
                <w:sz w:val="14"/>
                <w:szCs w:val="14"/>
              </w:rPr>
              <w:t xml:space="preserve"> (</w:t>
            </w:r>
            <w:r w:rsidRPr="00995F3E">
              <w:rPr>
                <w:rFonts w:cs="Arial"/>
                <w:bCs/>
                <w:i/>
                <w:iCs/>
                <w:sz w:val="14"/>
                <w:szCs w:val="14"/>
              </w:rPr>
              <w:t>input for follow-up</w:t>
            </w:r>
            <w:r w:rsidRPr="00995F3E">
              <w:rPr>
                <w:rFonts w:cs="Arial"/>
                <w:bCs/>
                <w:sz w:val="14"/>
                <w:szCs w:val="14"/>
              </w:rPr>
              <w:t>) (</w:t>
            </w:r>
            <w:r w:rsidRPr="00995F3E">
              <w:rPr>
                <w:rFonts w:cs="Arial"/>
                <w:bCs/>
                <w:color w:val="7F7F7F" w:themeColor="text1" w:themeTint="80"/>
                <w:sz w:val="14"/>
                <w:szCs w:val="14"/>
              </w:rPr>
              <w:t>DP 2016, p.59, 11</w:t>
            </w:r>
            <w:r w:rsidRPr="00995F3E">
              <w:rPr>
                <w:rFonts w:cs="Arial"/>
                <w:bCs/>
                <w:sz w:val="14"/>
                <w:szCs w:val="14"/>
              </w:rPr>
              <w:t xml:space="preserve">). </w:t>
            </w:r>
          </w:p>
          <w:p w14:paraId="2ABD91DB" w14:textId="77777777" w:rsidR="00995F3E" w:rsidRPr="00995F3E" w:rsidRDefault="00995F3E" w:rsidP="00E74925">
            <w:pPr>
              <w:spacing w:after="60"/>
              <w:jc w:val="left"/>
              <w:rPr>
                <w:rFonts w:cs="Arial"/>
                <w:bCs/>
                <w:sz w:val="14"/>
                <w:szCs w:val="14"/>
              </w:rPr>
            </w:pPr>
            <w:r w:rsidRPr="00995F3E">
              <w:rPr>
                <w:rFonts w:cs="Arial"/>
                <w:bCs/>
                <w:noProof/>
                <w:sz w:val="14"/>
                <w:szCs w:val="14"/>
              </w:rPr>
              <w:drawing>
                <wp:anchor distT="0" distB="0" distL="114300" distR="114300" simplePos="0" relativeHeight="252724736" behindDoc="1" locked="0" layoutInCell="1" allowOverlap="1" wp14:anchorId="62A6FFA8" wp14:editId="3BAAC080">
                  <wp:simplePos x="0" y="0"/>
                  <wp:positionH relativeFrom="column">
                    <wp:posOffset>5309235</wp:posOffset>
                  </wp:positionH>
                  <wp:positionV relativeFrom="paragraph">
                    <wp:posOffset>434340</wp:posOffset>
                  </wp:positionV>
                  <wp:extent cx="1009822" cy="609600"/>
                  <wp:effectExtent l="0" t="0" r="0" b="1905"/>
                  <wp:wrapNone/>
                  <wp:docPr id="78" name="Imagem 374" descr="Uma imagem com captura de ecrã, text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 name="DP2016_61.jpg"/>
                          <pic:cNvPicPr/>
                        </pic:nvPicPr>
                        <pic:blipFill rotWithShape="1">
                          <a:blip r:embed="rId15" cstate="print">
                            <a:extLst>
                              <a:ext uri="{28A0092B-C50C-407E-A947-70E740481C1C}">
                                <a14:useLocalDpi xmlns:a14="http://schemas.microsoft.com/office/drawing/2010/main" val="0"/>
                              </a:ext>
                            </a:extLst>
                          </a:blip>
                          <a:srcRect b="18917"/>
                          <a:stretch/>
                        </pic:blipFill>
                        <pic:spPr bwMode="auto">
                          <a:xfrm>
                            <a:off x="0" y="0"/>
                            <a:ext cx="1009822" cy="609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95F3E">
              <w:rPr>
                <w:rFonts w:cs="Arial"/>
                <w:bCs/>
                <w:sz w:val="14"/>
                <w:szCs w:val="14"/>
              </w:rPr>
              <w:t>The ‘</w:t>
            </w:r>
            <w:r w:rsidRPr="00995F3E">
              <w:rPr>
                <w:rFonts w:cs="Arial"/>
                <w:bCs/>
                <w:i/>
                <w:iCs/>
                <w:sz w:val="14"/>
                <w:szCs w:val="14"/>
              </w:rPr>
              <w:t>output</w:t>
            </w:r>
            <w:r w:rsidRPr="00995F3E">
              <w:rPr>
                <w:rFonts w:cs="Arial"/>
                <w:bCs/>
                <w:sz w:val="14"/>
                <w:szCs w:val="14"/>
              </w:rPr>
              <w:t xml:space="preserve">’ concerns the measures agreed in the </w:t>
            </w:r>
            <w:r w:rsidRPr="00995F3E">
              <w:rPr>
                <w:rFonts w:cs="Arial"/>
                <w:bCs/>
                <w:i/>
                <w:iCs/>
                <w:sz w:val="14"/>
                <w:szCs w:val="14"/>
              </w:rPr>
              <w:t>Preferential Strategies</w:t>
            </w:r>
            <w:r w:rsidRPr="00995F3E">
              <w:rPr>
                <w:rFonts w:cs="Arial"/>
                <w:bCs/>
                <w:sz w:val="14"/>
                <w:szCs w:val="14"/>
              </w:rPr>
              <w:t xml:space="preserve"> and </w:t>
            </w:r>
            <w:r w:rsidRPr="00995F3E">
              <w:rPr>
                <w:rFonts w:cs="Arial"/>
                <w:bCs/>
                <w:i/>
                <w:iCs/>
                <w:sz w:val="14"/>
                <w:szCs w:val="14"/>
              </w:rPr>
              <w:t>Delta Plans</w:t>
            </w:r>
            <w:r w:rsidRPr="00995F3E">
              <w:rPr>
                <w:rFonts w:cs="Arial"/>
                <w:bCs/>
                <w:sz w:val="14"/>
                <w:szCs w:val="14"/>
              </w:rPr>
              <w:t>; the ‘</w:t>
            </w:r>
            <w:r w:rsidRPr="00995F3E">
              <w:rPr>
                <w:rFonts w:cs="Arial"/>
                <w:bCs/>
                <w:i/>
                <w:iCs/>
                <w:sz w:val="14"/>
                <w:szCs w:val="14"/>
              </w:rPr>
              <w:t>outcome’</w:t>
            </w:r>
            <w:r w:rsidRPr="00995F3E">
              <w:rPr>
                <w:rFonts w:cs="Arial"/>
                <w:bCs/>
                <w:sz w:val="14"/>
                <w:szCs w:val="14"/>
              </w:rPr>
              <w:t xml:space="preserve"> concerns the goals defined in the </w:t>
            </w:r>
            <w:r w:rsidRPr="00995F3E">
              <w:rPr>
                <w:rFonts w:cs="Arial"/>
                <w:bCs/>
                <w:i/>
                <w:iCs/>
                <w:sz w:val="14"/>
                <w:szCs w:val="14"/>
              </w:rPr>
              <w:t>Delta Decisions</w:t>
            </w:r>
            <w:r w:rsidRPr="00995F3E">
              <w:rPr>
                <w:rFonts w:cs="Arial"/>
                <w:bCs/>
                <w:sz w:val="14"/>
                <w:szCs w:val="14"/>
              </w:rPr>
              <w:t xml:space="preserve"> and </w:t>
            </w:r>
            <w:r w:rsidRPr="00995F3E">
              <w:rPr>
                <w:rFonts w:cs="Arial"/>
                <w:bCs/>
                <w:i/>
                <w:iCs/>
                <w:sz w:val="14"/>
                <w:szCs w:val="14"/>
              </w:rPr>
              <w:t>Preferential Strategies</w:t>
            </w:r>
            <w:r w:rsidRPr="00995F3E">
              <w:rPr>
                <w:rFonts w:cs="Arial"/>
                <w:bCs/>
                <w:sz w:val="14"/>
                <w:szCs w:val="14"/>
              </w:rPr>
              <w:t>; and the ‘</w:t>
            </w:r>
            <w:r w:rsidRPr="00995F3E">
              <w:rPr>
                <w:rFonts w:cs="Arial"/>
                <w:bCs/>
                <w:i/>
                <w:iCs/>
                <w:sz w:val="14"/>
                <w:szCs w:val="14"/>
              </w:rPr>
              <w:t>input for follow-up</w:t>
            </w:r>
            <w:r w:rsidRPr="00995F3E">
              <w:rPr>
                <w:rFonts w:cs="Arial"/>
                <w:bCs/>
                <w:sz w:val="14"/>
                <w:szCs w:val="14"/>
              </w:rPr>
              <w:t>’ concerns conditions like funding, expertise, effectiveness, collaboration, etc. (</w:t>
            </w:r>
            <w:r w:rsidRPr="00995F3E">
              <w:rPr>
                <w:rFonts w:cs="Arial"/>
                <w:bCs/>
                <w:color w:val="7F7F7F" w:themeColor="text1" w:themeTint="80"/>
                <w:sz w:val="14"/>
                <w:szCs w:val="14"/>
              </w:rPr>
              <w:t>DP 2016, p.59</w:t>
            </w:r>
            <w:r w:rsidRPr="00995F3E">
              <w:rPr>
                <w:rFonts w:cs="Arial"/>
                <w:bCs/>
                <w:sz w:val="14"/>
                <w:szCs w:val="14"/>
              </w:rPr>
              <w:t xml:space="preserve">).  </w:t>
            </w:r>
          </w:p>
          <w:p w14:paraId="459142D1" w14:textId="77777777" w:rsidR="00995F3E" w:rsidRPr="00995F3E" w:rsidRDefault="00995F3E" w:rsidP="00E74925">
            <w:pPr>
              <w:spacing w:after="60"/>
              <w:jc w:val="left"/>
              <w:rPr>
                <w:rFonts w:cs="Arial"/>
                <w:bCs/>
                <w:sz w:val="14"/>
                <w:szCs w:val="14"/>
              </w:rPr>
            </w:pPr>
            <w:r w:rsidRPr="00995F3E">
              <w:rPr>
                <w:rFonts w:cs="Arial"/>
                <w:bCs/>
                <w:sz w:val="14"/>
                <w:szCs w:val="14"/>
              </w:rPr>
              <w:t>To answer these questions, the MAA relies on two lines: the blue line (</w:t>
            </w:r>
            <w:r w:rsidRPr="00995F3E">
              <w:rPr>
                <w:rFonts w:cs="Arial"/>
                <w:bCs/>
                <w:i/>
                <w:iCs/>
                <w:sz w:val="14"/>
                <w:szCs w:val="14"/>
              </w:rPr>
              <w:t>output</w:t>
            </w:r>
            <w:r w:rsidRPr="00995F3E">
              <w:rPr>
                <w:rFonts w:cs="Arial"/>
                <w:bCs/>
                <w:sz w:val="14"/>
                <w:szCs w:val="14"/>
              </w:rPr>
              <w:t xml:space="preserve"> + </w:t>
            </w:r>
            <w:r w:rsidRPr="00995F3E">
              <w:rPr>
                <w:rFonts w:cs="Arial"/>
                <w:bCs/>
                <w:i/>
                <w:iCs/>
                <w:sz w:val="14"/>
                <w:szCs w:val="14"/>
              </w:rPr>
              <w:t>outcome</w:t>
            </w:r>
            <w:r w:rsidRPr="00995F3E">
              <w:rPr>
                <w:rFonts w:cs="Arial"/>
                <w:bCs/>
                <w:sz w:val="14"/>
                <w:szCs w:val="14"/>
              </w:rPr>
              <w:t>), and the green line (external developments) – which act in coordination in an advisory process (</w:t>
            </w:r>
            <w:r w:rsidRPr="00995F3E">
              <w:rPr>
                <w:rFonts w:cs="Arial"/>
                <w:bCs/>
                <w:color w:val="7F7F7F" w:themeColor="text1" w:themeTint="80"/>
                <w:sz w:val="14"/>
                <w:szCs w:val="14"/>
              </w:rPr>
              <w:t>DP 2016, p.59-60</w:t>
            </w:r>
            <w:r w:rsidRPr="00995F3E">
              <w:rPr>
                <w:rFonts w:cs="Arial"/>
                <w:bCs/>
                <w:sz w:val="14"/>
                <w:szCs w:val="14"/>
              </w:rPr>
              <w:t xml:space="preserve">). </w:t>
            </w:r>
          </w:p>
          <w:p w14:paraId="70BD37F8" w14:textId="77777777" w:rsidR="00995F3E" w:rsidRPr="00995F3E" w:rsidRDefault="00995F3E" w:rsidP="00E74925">
            <w:pPr>
              <w:spacing w:after="60"/>
              <w:jc w:val="left"/>
              <w:rPr>
                <w:rFonts w:cs="Arial"/>
                <w:bCs/>
                <w:sz w:val="14"/>
                <w:szCs w:val="14"/>
              </w:rPr>
            </w:pPr>
            <w:r w:rsidRPr="00995F3E">
              <w:rPr>
                <w:rFonts w:cs="Arial"/>
                <w:bCs/>
                <w:sz w:val="14"/>
                <w:szCs w:val="14"/>
              </w:rPr>
              <w:t>The ‘blue line’ addresses the ‘</w:t>
            </w:r>
            <w:r w:rsidRPr="00995F3E">
              <w:rPr>
                <w:rFonts w:cs="Arial"/>
                <w:bCs/>
                <w:i/>
                <w:iCs/>
                <w:sz w:val="14"/>
                <w:szCs w:val="14"/>
              </w:rPr>
              <w:t>output’</w:t>
            </w:r>
            <w:r w:rsidRPr="00995F3E">
              <w:rPr>
                <w:rFonts w:cs="Arial"/>
                <w:bCs/>
                <w:sz w:val="14"/>
                <w:szCs w:val="14"/>
              </w:rPr>
              <w:t>, ‘</w:t>
            </w:r>
            <w:r w:rsidRPr="00995F3E">
              <w:rPr>
                <w:rFonts w:cs="Arial"/>
                <w:bCs/>
                <w:i/>
                <w:iCs/>
                <w:sz w:val="14"/>
                <w:szCs w:val="14"/>
              </w:rPr>
              <w:t xml:space="preserve">outcome’ </w:t>
            </w:r>
            <w:r w:rsidRPr="00995F3E">
              <w:rPr>
                <w:rFonts w:cs="Arial"/>
                <w:bCs/>
                <w:sz w:val="14"/>
                <w:szCs w:val="14"/>
              </w:rPr>
              <w:t>and ‘</w:t>
            </w:r>
            <w:r w:rsidRPr="00995F3E">
              <w:rPr>
                <w:rFonts w:cs="Arial"/>
                <w:bCs/>
                <w:i/>
                <w:iCs/>
                <w:sz w:val="14"/>
                <w:szCs w:val="14"/>
              </w:rPr>
              <w:t>input for follow-up’</w:t>
            </w:r>
            <w:r w:rsidRPr="00995F3E">
              <w:rPr>
                <w:rFonts w:cs="Arial"/>
                <w:bCs/>
                <w:sz w:val="14"/>
                <w:szCs w:val="14"/>
              </w:rPr>
              <w:t xml:space="preserve"> questions mentioned above, for example, examines if the implementation of the </w:t>
            </w:r>
            <w:r w:rsidRPr="00995F3E">
              <w:rPr>
                <w:rFonts w:cs="Arial"/>
                <w:bCs/>
                <w:i/>
                <w:iCs/>
                <w:sz w:val="14"/>
                <w:szCs w:val="14"/>
              </w:rPr>
              <w:t>Delta Decisions</w:t>
            </w:r>
            <w:r w:rsidRPr="00995F3E">
              <w:rPr>
                <w:rFonts w:cs="Arial"/>
                <w:bCs/>
                <w:sz w:val="14"/>
                <w:szCs w:val="14"/>
              </w:rPr>
              <w:t xml:space="preserve">, </w:t>
            </w:r>
            <w:r w:rsidRPr="00995F3E">
              <w:rPr>
                <w:rFonts w:cs="Arial"/>
                <w:bCs/>
                <w:i/>
                <w:iCs/>
                <w:sz w:val="14"/>
                <w:szCs w:val="14"/>
              </w:rPr>
              <w:t>Preferential Strategies</w:t>
            </w:r>
            <w:r w:rsidRPr="00995F3E">
              <w:rPr>
                <w:rFonts w:cs="Arial"/>
                <w:bCs/>
                <w:sz w:val="14"/>
                <w:szCs w:val="14"/>
              </w:rPr>
              <w:t xml:space="preserve"> and </w:t>
            </w:r>
            <w:r w:rsidRPr="00995F3E">
              <w:rPr>
                <w:rFonts w:cs="Arial"/>
                <w:bCs/>
                <w:i/>
                <w:iCs/>
                <w:sz w:val="14"/>
                <w:szCs w:val="14"/>
              </w:rPr>
              <w:t>Delta Plans</w:t>
            </w:r>
            <w:r w:rsidRPr="00995F3E">
              <w:rPr>
                <w:rFonts w:cs="Arial"/>
                <w:bCs/>
                <w:sz w:val="14"/>
                <w:szCs w:val="14"/>
              </w:rPr>
              <w:t xml:space="preserve"> is proceeding on schedule and as planned. Within the blue line, there is a </w:t>
            </w:r>
            <w:r w:rsidRPr="00995F3E">
              <w:rPr>
                <w:rFonts w:cs="Arial"/>
                <w:bCs/>
                <w:i/>
                <w:iCs/>
                <w:sz w:val="14"/>
                <w:szCs w:val="14"/>
              </w:rPr>
              <w:t xml:space="preserve">Community of Practice </w:t>
            </w:r>
            <w:r w:rsidRPr="00995F3E">
              <w:rPr>
                <w:rFonts w:cs="Arial"/>
                <w:bCs/>
                <w:sz w:val="14"/>
                <w:szCs w:val="14"/>
              </w:rPr>
              <w:t xml:space="preserve">which reviews the progress on the </w:t>
            </w:r>
            <w:r w:rsidRPr="00995F3E">
              <w:rPr>
                <w:rFonts w:cs="Arial"/>
                <w:bCs/>
                <w:i/>
                <w:iCs/>
                <w:sz w:val="14"/>
                <w:szCs w:val="14"/>
              </w:rPr>
              <w:t>Preferential Strategies</w:t>
            </w:r>
            <w:r w:rsidRPr="00995F3E">
              <w:rPr>
                <w:rFonts w:cs="Arial"/>
                <w:bCs/>
                <w:sz w:val="14"/>
                <w:szCs w:val="14"/>
              </w:rPr>
              <w:t xml:space="preserve"> and </w:t>
            </w:r>
            <w:r w:rsidRPr="00995F3E">
              <w:rPr>
                <w:rFonts w:cs="Arial"/>
                <w:bCs/>
                <w:i/>
                <w:iCs/>
                <w:sz w:val="14"/>
                <w:szCs w:val="14"/>
              </w:rPr>
              <w:t>Delta Plans</w:t>
            </w:r>
            <w:r w:rsidRPr="00995F3E">
              <w:rPr>
                <w:rFonts w:cs="Arial"/>
                <w:bCs/>
                <w:sz w:val="14"/>
                <w:szCs w:val="14"/>
              </w:rPr>
              <w:t xml:space="preserve"> several times per year (it meets several times per year), evaluates if the objectives (for FRM, FS, and spatial adaptation) are being met, and explores ‘linkage opportunities’ (</w:t>
            </w:r>
            <w:r w:rsidRPr="00995F3E">
              <w:rPr>
                <w:rFonts w:cs="Arial"/>
                <w:bCs/>
                <w:color w:val="7F7F7F" w:themeColor="text1" w:themeTint="80"/>
                <w:sz w:val="14"/>
                <w:szCs w:val="14"/>
              </w:rPr>
              <w:t>DP 2016, p.59</w:t>
            </w:r>
            <w:r w:rsidRPr="00995F3E">
              <w:rPr>
                <w:rFonts w:cs="Arial"/>
                <w:bCs/>
                <w:sz w:val="14"/>
                <w:szCs w:val="14"/>
              </w:rPr>
              <w:t xml:space="preserve">). </w:t>
            </w:r>
          </w:p>
          <w:p w14:paraId="26192273"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The ‘green line’ identifies changes or developments that may affect the implementation or elaboration of the </w:t>
            </w:r>
            <w:r w:rsidRPr="00995F3E">
              <w:rPr>
                <w:rFonts w:cs="Arial"/>
                <w:bCs/>
                <w:i/>
                <w:iCs/>
                <w:sz w:val="14"/>
                <w:szCs w:val="14"/>
              </w:rPr>
              <w:t>Preferential Strategies</w:t>
            </w:r>
            <w:r w:rsidRPr="00995F3E">
              <w:rPr>
                <w:rFonts w:cs="Arial"/>
                <w:bCs/>
                <w:sz w:val="14"/>
                <w:szCs w:val="14"/>
              </w:rPr>
              <w:t xml:space="preserve"> and </w:t>
            </w:r>
            <w:r w:rsidRPr="00995F3E">
              <w:rPr>
                <w:rFonts w:cs="Arial"/>
                <w:bCs/>
                <w:i/>
                <w:iCs/>
                <w:sz w:val="14"/>
                <w:szCs w:val="14"/>
              </w:rPr>
              <w:t>Delta Plans</w:t>
            </w:r>
            <w:r w:rsidRPr="00995F3E">
              <w:rPr>
                <w:rFonts w:cs="Arial"/>
                <w:bCs/>
                <w:sz w:val="14"/>
                <w:szCs w:val="14"/>
              </w:rPr>
              <w:t xml:space="preserve"> or require their adjustment or </w:t>
            </w:r>
            <w:proofErr w:type="gramStart"/>
            <w:r w:rsidRPr="00995F3E">
              <w:rPr>
                <w:rFonts w:cs="Arial"/>
                <w:bCs/>
                <w:sz w:val="14"/>
                <w:szCs w:val="14"/>
              </w:rPr>
              <w:t>refinement, and</w:t>
            </w:r>
            <w:proofErr w:type="gramEnd"/>
            <w:r w:rsidRPr="00995F3E">
              <w:rPr>
                <w:rFonts w:cs="Arial"/>
                <w:bCs/>
                <w:sz w:val="14"/>
                <w:szCs w:val="14"/>
              </w:rPr>
              <w:t xml:space="preserve"> assesses ‘</w:t>
            </w:r>
            <w:r w:rsidRPr="00995F3E">
              <w:rPr>
                <w:rFonts w:cs="Arial"/>
                <w:bCs/>
                <w:i/>
                <w:iCs/>
                <w:sz w:val="14"/>
                <w:szCs w:val="14"/>
              </w:rPr>
              <w:t>if the DP is still on track</w:t>
            </w:r>
            <w:r w:rsidRPr="00995F3E">
              <w:rPr>
                <w:rFonts w:cs="Arial"/>
                <w:bCs/>
                <w:sz w:val="14"/>
                <w:szCs w:val="14"/>
              </w:rPr>
              <w:t xml:space="preserve">’. This line monitors three developments: </w:t>
            </w:r>
            <w:r w:rsidRPr="00995F3E">
              <w:rPr>
                <w:rFonts w:cs="Arial"/>
                <w:bCs/>
                <w:i/>
                <w:iCs/>
                <w:sz w:val="14"/>
                <w:szCs w:val="14"/>
              </w:rPr>
              <w:t>knowledge and innovation</w:t>
            </w:r>
            <w:r w:rsidRPr="00995F3E">
              <w:rPr>
                <w:rFonts w:cs="Arial"/>
                <w:bCs/>
                <w:sz w:val="14"/>
                <w:szCs w:val="14"/>
              </w:rPr>
              <w:t xml:space="preserve">; </w:t>
            </w:r>
            <w:r w:rsidRPr="00995F3E">
              <w:rPr>
                <w:rFonts w:cs="Arial"/>
                <w:bCs/>
                <w:i/>
                <w:iCs/>
                <w:sz w:val="14"/>
                <w:szCs w:val="14"/>
              </w:rPr>
              <w:t>climate and socioeconomic developments</w:t>
            </w:r>
            <w:r w:rsidRPr="00995F3E">
              <w:rPr>
                <w:rFonts w:cs="Arial"/>
                <w:bCs/>
                <w:sz w:val="14"/>
                <w:szCs w:val="14"/>
              </w:rPr>
              <w:t xml:space="preserve"> (e.g. new climate scenarios); and </w:t>
            </w:r>
            <w:r w:rsidRPr="00995F3E">
              <w:rPr>
                <w:rFonts w:cs="Arial"/>
                <w:bCs/>
                <w:i/>
                <w:iCs/>
                <w:sz w:val="14"/>
                <w:szCs w:val="14"/>
              </w:rPr>
              <w:t>societal preferences</w:t>
            </w:r>
            <w:r w:rsidRPr="00995F3E">
              <w:rPr>
                <w:rFonts w:cs="Arial"/>
                <w:bCs/>
                <w:sz w:val="14"/>
                <w:szCs w:val="14"/>
              </w:rPr>
              <w:t xml:space="preserve"> (</w:t>
            </w:r>
            <w:r w:rsidRPr="00995F3E">
              <w:rPr>
                <w:rFonts w:cs="Arial"/>
                <w:bCs/>
                <w:color w:val="7F7F7F" w:themeColor="text1" w:themeTint="80"/>
                <w:sz w:val="14"/>
                <w:szCs w:val="14"/>
              </w:rPr>
              <w:t>DP 2016, p.60</w:t>
            </w:r>
            <w:r w:rsidRPr="00995F3E">
              <w:rPr>
                <w:rFonts w:cs="Arial"/>
                <w:bCs/>
                <w:sz w:val="14"/>
                <w:szCs w:val="14"/>
              </w:rPr>
              <w:t xml:space="preserve">). Within the green line, there is </w:t>
            </w:r>
            <w:r w:rsidRPr="00995F3E">
              <w:rPr>
                <w:rFonts w:cs="Arial"/>
                <w:bCs/>
                <w:i/>
                <w:iCs/>
                <w:sz w:val="14"/>
                <w:szCs w:val="14"/>
              </w:rPr>
              <w:t>Signal Group</w:t>
            </w:r>
            <w:r w:rsidRPr="00995F3E">
              <w:rPr>
                <w:rFonts w:cs="Arial"/>
                <w:bCs/>
                <w:sz w:val="14"/>
                <w:szCs w:val="14"/>
              </w:rPr>
              <w:t xml:space="preserve"> that monitors these three developments (it meets once or twice a year</w:t>
            </w:r>
            <w:proofErr w:type="gramStart"/>
            <w:r w:rsidRPr="00995F3E">
              <w:rPr>
                <w:rFonts w:cs="Arial"/>
                <w:bCs/>
                <w:sz w:val="14"/>
                <w:szCs w:val="14"/>
              </w:rPr>
              <w:t>), and</w:t>
            </w:r>
            <w:proofErr w:type="gramEnd"/>
            <w:r w:rsidRPr="00995F3E">
              <w:rPr>
                <w:rFonts w:cs="Arial"/>
                <w:bCs/>
                <w:sz w:val="14"/>
                <w:szCs w:val="14"/>
              </w:rPr>
              <w:t xml:space="preserve"> examines which external developments (e.g. pace of CC) may be a reason for revising the </w:t>
            </w:r>
            <w:r w:rsidRPr="00995F3E">
              <w:rPr>
                <w:rFonts w:cs="Arial"/>
                <w:bCs/>
                <w:i/>
                <w:iCs/>
                <w:sz w:val="14"/>
                <w:szCs w:val="14"/>
              </w:rPr>
              <w:t>Preferential Strategies</w:t>
            </w:r>
            <w:r w:rsidRPr="00995F3E">
              <w:rPr>
                <w:rFonts w:cs="Arial"/>
                <w:bCs/>
                <w:sz w:val="14"/>
                <w:szCs w:val="14"/>
              </w:rPr>
              <w:t xml:space="preserve"> and </w:t>
            </w:r>
            <w:r w:rsidRPr="00995F3E">
              <w:rPr>
                <w:rFonts w:cs="Arial"/>
                <w:bCs/>
                <w:i/>
                <w:iCs/>
                <w:sz w:val="14"/>
                <w:szCs w:val="14"/>
              </w:rPr>
              <w:t>Delta Plans</w:t>
            </w:r>
            <w:r w:rsidRPr="00995F3E">
              <w:rPr>
                <w:rFonts w:cs="Arial"/>
                <w:bCs/>
                <w:sz w:val="14"/>
                <w:szCs w:val="14"/>
              </w:rPr>
              <w:t xml:space="preserve"> (focussing on whether and when </w:t>
            </w:r>
            <w:r w:rsidRPr="00995F3E">
              <w:rPr>
                <w:rFonts w:cs="Arial"/>
                <w:bCs/>
                <w:i/>
                <w:iCs/>
                <w:sz w:val="14"/>
                <w:szCs w:val="14"/>
              </w:rPr>
              <w:t>Preferential Strategies</w:t>
            </w:r>
            <w:r w:rsidRPr="00995F3E">
              <w:rPr>
                <w:rFonts w:cs="Arial"/>
                <w:bCs/>
                <w:sz w:val="14"/>
                <w:szCs w:val="14"/>
              </w:rPr>
              <w:t xml:space="preserve"> or </w:t>
            </w:r>
            <w:r w:rsidRPr="00995F3E">
              <w:rPr>
                <w:rFonts w:cs="Arial"/>
                <w:bCs/>
                <w:i/>
                <w:iCs/>
                <w:sz w:val="14"/>
                <w:szCs w:val="14"/>
              </w:rPr>
              <w:t>Delta Plans</w:t>
            </w:r>
            <w:r w:rsidRPr="00995F3E">
              <w:rPr>
                <w:rFonts w:cs="Arial"/>
                <w:bCs/>
                <w:sz w:val="14"/>
                <w:szCs w:val="14"/>
              </w:rPr>
              <w:t xml:space="preserve"> might need adjustments) (</w:t>
            </w:r>
            <w:r w:rsidRPr="00995F3E">
              <w:rPr>
                <w:rFonts w:cs="Arial"/>
                <w:bCs/>
                <w:color w:val="7F7F7F" w:themeColor="text1" w:themeTint="80"/>
                <w:sz w:val="14"/>
                <w:szCs w:val="14"/>
              </w:rPr>
              <w:t>DP 2017, p.13</w:t>
            </w:r>
            <w:r w:rsidRPr="00995F3E">
              <w:rPr>
                <w:rFonts w:cs="Arial"/>
                <w:bCs/>
                <w:sz w:val="14"/>
                <w:szCs w:val="14"/>
              </w:rPr>
              <w:t xml:space="preserve">). The results of such analyses are then sent to, discussed with, the </w:t>
            </w:r>
            <w:r w:rsidRPr="00995F3E">
              <w:rPr>
                <w:rFonts w:cs="Arial"/>
                <w:bCs/>
                <w:i/>
                <w:iCs/>
                <w:sz w:val="14"/>
                <w:szCs w:val="14"/>
              </w:rPr>
              <w:t>Community of Knowledge</w:t>
            </w:r>
            <w:r w:rsidRPr="00995F3E">
              <w:rPr>
                <w:rFonts w:cs="Arial"/>
                <w:bCs/>
                <w:sz w:val="14"/>
                <w:szCs w:val="14"/>
              </w:rPr>
              <w:t xml:space="preserve"> and the </w:t>
            </w:r>
            <w:r w:rsidRPr="00995F3E">
              <w:rPr>
                <w:rFonts w:cs="Arial"/>
                <w:bCs/>
                <w:i/>
                <w:iCs/>
                <w:sz w:val="14"/>
                <w:szCs w:val="14"/>
              </w:rPr>
              <w:t xml:space="preserve">DP Knowledge Network </w:t>
            </w:r>
            <w:r w:rsidRPr="00995F3E">
              <w:rPr>
                <w:rFonts w:cs="Arial"/>
                <w:bCs/>
                <w:sz w:val="14"/>
                <w:szCs w:val="14"/>
              </w:rPr>
              <w:t>(</w:t>
            </w:r>
            <w:r w:rsidRPr="00995F3E">
              <w:rPr>
                <w:rFonts w:cs="Arial"/>
                <w:bCs/>
                <w:color w:val="7F7F7F" w:themeColor="text1" w:themeTint="80"/>
                <w:sz w:val="14"/>
                <w:szCs w:val="14"/>
              </w:rPr>
              <w:t>DP 2016, p.60</w:t>
            </w:r>
            <w:r w:rsidRPr="00995F3E">
              <w:rPr>
                <w:rFonts w:cs="Arial"/>
                <w:bCs/>
                <w:sz w:val="14"/>
                <w:szCs w:val="14"/>
              </w:rPr>
              <w:t xml:space="preserve">). </w:t>
            </w:r>
          </w:p>
          <w:p w14:paraId="2D4B6B46"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Moreover, the </w:t>
            </w:r>
            <w:r w:rsidRPr="00995F3E">
              <w:rPr>
                <w:rFonts w:cs="Arial"/>
                <w:bCs/>
                <w:i/>
                <w:iCs/>
                <w:sz w:val="14"/>
                <w:szCs w:val="14"/>
              </w:rPr>
              <w:t>Signal Group</w:t>
            </w:r>
            <w:r w:rsidRPr="00995F3E">
              <w:rPr>
                <w:rFonts w:cs="Arial"/>
                <w:bCs/>
                <w:sz w:val="14"/>
                <w:szCs w:val="14"/>
              </w:rPr>
              <w:t xml:space="preserve"> (in the green line) and the </w:t>
            </w:r>
            <w:r w:rsidRPr="00995F3E">
              <w:rPr>
                <w:rFonts w:cs="Arial"/>
                <w:bCs/>
                <w:i/>
                <w:iCs/>
                <w:sz w:val="14"/>
                <w:szCs w:val="14"/>
              </w:rPr>
              <w:t xml:space="preserve">Community of Practice </w:t>
            </w:r>
            <w:r w:rsidRPr="00995F3E">
              <w:rPr>
                <w:rFonts w:cs="Arial"/>
                <w:bCs/>
                <w:sz w:val="14"/>
                <w:szCs w:val="14"/>
              </w:rPr>
              <w:t xml:space="preserve">(in the blue line) meet once a year to connect the results of the two lines (and discuss the implementation of the </w:t>
            </w:r>
            <w:r w:rsidRPr="00995F3E">
              <w:rPr>
                <w:rFonts w:cs="Arial"/>
                <w:bCs/>
                <w:i/>
                <w:iCs/>
                <w:sz w:val="14"/>
                <w:szCs w:val="14"/>
              </w:rPr>
              <w:t>Delta Decisions</w:t>
            </w:r>
            <w:r w:rsidRPr="00995F3E">
              <w:rPr>
                <w:rFonts w:cs="Arial"/>
                <w:bCs/>
                <w:sz w:val="14"/>
                <w:szCs w:val="14"/>
              </w:rPr>
              <w:t xml:space="preserve">, </w:t>
            </w:r>
            <w:r w:rsidRPr="00995F3E">
              <w:rPr>
                <w:rFonts w:cs="Arial"/>
                <w:bCs/>
                <w:i/>
                <w:iCs/>
                <w:sz w:val="14"/>
                <w:szCs w:val="14"/>
              </w:rPr>
              <w:t>Preferential Strategies</w:t>
            </w:r>
            <w:r w:rsidRPr="00995F3E">
              <w:rPr>
                <w:rFonts w:cs="Arial"/>
                <w:bCs/>
                <w:sz w:val="14"/>
                <w:szCs w:val="14"/>
              </w:rPr>
              <w:t xml:space="preserve"> and </w:t>
            </w:r>
            <w:r w:rsidRPr="00995F3E">
              <w:rPr>
                <w:rFonts w:cs="Arial"/>
                <w:bCs/>
                <w:i/>
                <w:iCs/>
                <w:sz w:val="14"/>
                <w:szCs w:val="14"/>
              </w:rPr>
              <w:t>Delta Plans</w:t>
            </w:r>
            <w:r w:rsidRPr="00995F3E">
              <w:rPr>
                <w:rFonts w:cs="Arial"/>
                <w:bCs/>
                <w:sz w:val="14"/>
                <w:szCs w:val="14"/>
              </w:rPr>
              <w:t>), and define recommendations (and to whom). This meeting results in recommendations about ‘progress’ (</w:t>
            </w:r>
            <w:r w:rsidRPr="00995F3E">
              <w:rPr>
                <w:rFonts w:cs="Arial"/>
                <w:bCs/>
                <w:i/>
                <w:iCs/>
                <w:sz w:val="14"/>
                <w:szCs w:val="14"/>
              </w:rPr>
              <w:t>are we still on schedule</w:t>
            </w:r>
            <w:r w:rsidRPr="00995F3E">
              <w:rPr>
                <w:rFonts w:cs="Arial"/>
                <w:bCs/>
                <w:sz w:val="14"/>
                <w:szCs w:val="14"/>
              </w:rPr>
              <w:t>) and ‘direction’ (</w:t>
            </w:r>
            <w:r w:rsidRPr="00995F3E">
              <w:rPr>
                <w:rFonts w:cs="Arial"/>
                <w:bCs/>
                <w:i/>
                <w:iCs/>
                <w:sz w:val="14"/>
                <w:szCs w:val="14"/>
              </w:rPr>
              <w:t>are we still on track</w:t>
            </w:r>
            <w:r w:rsidRPr="00995F3E">
              <w:rPr>
                <w:rFonts w:cs="Arial"/>
                <w:bCs/>
                <w:sz w:val="14"/>
                <w:szCs w:val="14"/>
              </w:rPr>
              <w:t>) (</w:t>
            </w:r>
            <w:r w:rsidRPr="00995F3E">
              <w:rPr>
                <w:rFonts w:cs="Arial"/>
                <w:bCs/>
                <w:color w:val="7F7F7F" w:themeColor="text1" w:themeTint="80"/>
                <w:sz w:val="14"/>
                <w:szCs w:val="14"/>
              </w:rPr>
              <w:t>DP 2016, p.61</w:t>
            </w:r>
            <w:r w:rsidRPr="00995F3E">
              <w:rPr>
                <w:rFonts w:cs="Arial"/>
                <w:bCs/>
                <w:sz w:val="14"/>
                <w:szCs w:val="14"/>
              </w:rPr>
              <w:t>). The DP every year reports on the progress in the elaboration and implementation of the Delta Decisions, Preferential Strategies and Delta Plans (</w:t>
            </w:r>
            <w:r w:rsidRPr="00995F3E">
              <w:rPr>
                <w:rFonts w:cs="Arial"/>
                <w:bCs/>
                <w:color w:val="7F7F7F" w:themeColor="text1" w:themeTint="80"/>
                <w:sz w:val="14"/>
                <w:szCs w:val="14"/>
              </w:rPr>
              <w:t>DP 2016, p.6</w:t>
            </w:r>
            <w:r w:rsidRPr="00995F3E">
              <w:rPr>
                <w:rFonts w:cs="Arial"/>
                <w:bCs/>
                <w:sz w:val="14"/>
                <w:szCs w:val="14"/>
              </w:rPr>
              <w:t xml:space="preserve">). </w:t>
            </w:r>
          </w:p>
          <w:p w14:paraId="415F1992" w14:textId="77777777" w:rsidR="00995F3E" w:rsidRPr="00995F3E" w:rsidRDefault="00995F3E" w:rsidP="00E74925">
            <w:pPr>
              <w:spacing w:after="60"/>
              <w:jc w:val="left"/>
              <w:rPr>
                <w:rFonts w:cs="Arial"/>
                <w:bCs/>
                <w:sz w:val="14"/>
                <w:szCs w:val="14"/>
              </w:rPr>
            </w:pPr>
            <w:r w:rsidRPr="00995F3E">
              <w:rPr>
                <w:rFonts w:cs="Arial"/>
                <w:bCs/>
                <w:sz w:val="14"/>
                <w:szCs w:val="14"/>
              </w:rPr>
              <w:t>Furthermore, every six years, the DP carries out a review to analyse if the monitoring results indicate that it is necessary to maintain or adjust the course or the pace (e.g. the measures or their timing), and check ‘</w:t>
            </w:r>
            <w:r w:rsidRPr="00995F3E">
              <w:rPr>
                <w:rFonts w:cs="Arial"/>
                <w:bCs/>
                <w:i/>
                <w:iCs/>
                <w:sz w:val="14"/>
                <w:szCs w:val="14"/>
              </w:rPr>
              <w:t>whether it managed to keep up the pace and adjust its course on time</w:t>
            </w:r>
            <w:r w:rsidRPr="00995F3E">
              <w:rPr>
                <w:rFonts w:cs="Arial"/>
                <w:bCs/>
                <w:sz w:val="14"/>
                <w:szCs w:val="14"/>
              </w:rPr>
              <w:t>’ (</w:t>
            </w:r>
            <w:r w:rsidRPr="00995F3E">
              <w:rPr>
                <w:rFonts w:cs="Arial"/>
                <w:bCs/>
                <w:color w:val="7F7F7F" w:themeColor="text1" w:themeTint="80"/>
                <w:sz w:val="14"/>
                <w:szCs w:val="14"/>
              </w:rPr>
              <w:t>DP 2016, p.6</w:t>
            </w:r>
            <w:r w:rsidRPr="00995F3E">
              <w:rPr>
                <w:rFonts w:cs="Arial"/>
                <w:bCs/>
                <w:sz w:val="14"/>
                <w:szCs w:val="14"/>
              </w:rPr>
              <w:t>). Based on new knowledge and monitoring results, Strategies, or their measures, may be anticipated or postponed, or adjusted in terms of scope and design (</w:t>
            </w:r>
            <w:r w:rsidRPr="00995F3E">
              <w:rPr>
                <w:rFonts w:cs="Arial"/>
                <w:bCs/>
                <w:color w:val="7F7F7F" w:themeColor="text1" w:themeTint="80"/>
                <w:sz w:val="14"/>
                <w:szCs w:val="14"/>
              </w:rPr>
              <w:t>DP 2014, p.136</w:t>
            </w:r>
            <w:r w:rsidRPr="00995F3E">
              <w:rPr>
                <w:rFonts w:cs="Arial"/>
                <w:bCs/>
                <w:sz w:val="14"/>
                <w:szCs w:val="14"/>
              </w:rPr>
              <w:t xml:space="preserve">). </w:t>
            </w:r>
          </w:p>
          <w:p w14:paraId="7864D844" w14:textId="77777777" w:rsidR="00995F3E" w:rsidRPr="00995F3E" w:rsidRDefault="00995F3E" w:rsidP="00E74925">
            <w:pPr>
              <w:spacing w:after="60"/>
              <w:ind w:left="172"/>
              <w:jc w:val="left"/>
              <w:rPr>
                <w:rFonts w:cs="Arial"/>
                <w:bCs/>
                <w:sz w:val="14"/>
                <w:szCs w:val="14"/>
              </w:rPr>
            </w:pPr>
            <w:r w:rsidRPr="00995F3E">
              <w:rPr>
                <w:rFonts w:cs="Arial"/>
                <w:bCs/>
                <w:sz w:val="14"/>
                <w:szCs w:val="14"/>
              </w:rPr>
              <w:t>A 6-year review, and the eventual adaptation, of the Preferential Strategies</w:t>
            </w:r>
          </w:p>
          <w:p w14:paraId="4FC9ADED" w14:textId="77777777" w:rsidR="00995F3E" w:rsidRPr="00995F3E" w:rsidRDefault="00995F3E" w:rsidP="00E74925">
            <w:pPr>
              <w:spacing w:after="60"/>
              <w:ind w:left="172"/>
              <w:jc w:val="left"/>
              <w:rPr>
                <w:rFonts w:cs="Arial"/>
                <w:bCs/>
                <w:sz w:val="14"/>
                <w:szCs w:val="14"/>
              </w:rPr>
            </w:pPr>
            <w:r w:rsidRPr="00995F3E">
              <w:rPr>
                <w:rFonts w:cs="Arial"/>
                <w:bCs/>
                <w:sz w:val="14"/>
                <w:szCs w:val="14"/>
              </w:rPr>
              <w:t xml:space="preserve">The </w:t>
            </w:r>
            <w:r w:rsidRPr="00995F3E">
              <w:rPr>
                <w:rFonts w:cs="Arial"/>
                <w:bCs/>
                <w:i/>
                <w:iCs/>
                <w:sz w:val="14"/>
                <w:szCs w:val="14"/>
              </w:rPr>
              <w:t>Delta Decisions</w:t>
            </w:r>
            <w:r w:rsidRPr="00995F3E">
              <w:rPr>
                <w:rFonts w:cs="Arial"/>
                <w:bCs/>
                <w:sz w:val="14"/>
                <w:szCs w:val="14"/>
              </w:rPr>
              <w:t xml:space="preserve"> and </w:t>
            </w:r>
            <w:r w:rsidRPr="00995F3E">
              <w:rPr>
                <w:rFonts w:cs="Arial"/>
                <w:bCs/>
                <w:i/>
                <w:iCs/>
                <w:sz w:val="14"/>
                <w:szCs w:val="14"/>
              </w:rPr>
              <w:t>Preferential Strategies</w:t>
            </w:r>
            <w:r w:rsidRPr="00995F3E">
              <w:rPr>
                <w:rFonts w:cs="Arial"/>
                <w:bCs/>
                <w:sz w:val="14"/>
                <w:szCs w:val="14"/>
              </w:rPr>
              <w:t xml:space="preserve"> are subjected to review every six years. Besides this, ‘</w:t>
            </w:r>
            <w:r w:rsidRPr="00995F3E">
              <w:rPr>
                <w:rFonts w:cs="Arial"/>
                <w:bCs/>
                <w:i/>
                <w:iCs/>
                <w:sz w:val="14"/>
                <w:szCs w:val="14"/>
              </w:rPr>
              <w:t>in the event of new insights showing that the current course will not enable achievement of the FRM, FS, and spatial adaptation goals by 2050, the Preferential Strategies may need to be adjusted</w:t>
            </w:r>
            <w:r w:rsidRPr="00995F3E">
              <w:rPr>
                <w:rFonts w:cs="Arial"/>
                <w:bCs/>
                <w:sz w:val="14"/>
                <w:szCs w:val="14"/>
              </w:rPr>
              <w:t>’, and ‘</w:t>
            </w:r>
            <w:r w:rsidRPr="00995F3E">
              <w:rPr>
                <w:rFonts w:cs="Arial"/>
                <w:bCs/>
                <w:i/>
                <w:iCs/>
                <w:sz w:val="14"/>
                <w:szCs w:val="14"/>
              </w:rPr>
              <w:t>the Preferential Strategies are open to annual adjustment</w:t>
            </w:r>
            <w:r w:rsidRPr="00995F3E">
              <w:rPr>
                <w:rFonts w:cs="Arial"/>
                <w:bCs/>
                <w:sz w:val="14"/>
                <w:szCs w:val="14"/>
              </w:rPr>
              <w:t>’ (</w:t>
            </w:r>
            <w:r w:rsidRPr="00995F3E">
              <w:rPr>
                <w:rFonts w:cs="Arial"/>
                <w:bCs/>
                <w:color w:val="7F7F7F" w:themeColor="text1" w:themeTint="80"/>
                <w:sz w:val="14"/>
                <w:szCs w:val="14"/>
              </w:rPr>
              <w:t>DP 2018, p.22</w:t>
            </w:r>
            <w:r w:rsidRPr="00995F3E">
              <w:rPr>
                <w:rFonts w:cs="Arial"/>
                <w:bCs/>
                <w:sz w:val="14"/>
                <w:szCs w:val="14"/>
              </w:rPr>
              <w:t xml:space="preserve">). If the 6-year review prompts so, the DP Commissioner may propose adjustments to the </w:t>
            </w:r>
            <w:r w:rsidRPr="00995F3E">
              <w:rPr>
                <w:rFonts w:cs="Arial"/>
                <w:bCs/>
                <w:i/>
                <w:iCs/>
                <w:sz w:val="14"/>
                <w:szCs w:val="14"/>
              </w:rPr>
              <w:t xml:space="preserve">Delta Decisions </w:t>
            </w:r>
            <w:r w:rsidRPr="00995F3E">
              <w:rPr>
                <w:rFonts w:cs="Arial"/>
                <w:bCs/>
                <w:sz w:val="14"/>
                <w:szCs w:val="14"/>
              </w:rPr>
              <w:t xml:space="preserve">or </w:t>
            </w:r>
            <w:r w:rsidRPr="00995F3E">
              <w:rPr>
                <w:rFonts w:cs="Arial"/>
                <w:bCs/>
                <w:i/>
                <w:iCs/>
                <w:sz w:val="14"/>
                <w:szCs w:val="14"/>
              </w:rPr>
              <w:t>Preferential Strategies</w:t>
            </w:r>
            <w:r w:rsidRPr="00995F3E">
              <w:rPr>
                <w:rFonts w:cs="Arial"/>
                <w:bCs/>
                <w:sz w:val="14"/>
                <w:szCs w:val="14"/>
              </w:rPr>
              <w:t xml:space="preserve">. In the 6-year review, it will also be assessed the need of keeping the envisioned long-term options open or adding new options. The results of the first 6-year review were expected to be published in DP </w:t>
            </w:r>
            <w:proofErr w:type="gramStart"/>
            <w:r w:rsidRPr="00995F3E">
              <w:rPr>
                <w:rFonts w:cs="Arial"/>
                <w:bCs/>
                <w:sz w:val="14"/>
                <w:szCs w:val="14"/>
              </w:rPr>
              <w:t>2020, and</w:t>
            </w:r>
            <w:proofErr w:type="gramEnd"/>
            <w:r w:rsidRPr="00995F3E">
              <w:rPr>
                <w:rFonts w:cs="Arial"/>
                <w:bCs/>
                <w:sz w:val="14"/>
                <w:szCs w:val="14"/>
              </w:rPr>
              <w:t xml:space="preserve"> should explain to which extent the goals set in DP 2014 are being achieved in time (this was measured with criteria defined to gauge goal attainment) (</w:t>
            </w:r>
            <w:r w:rsidRPr="00995F3E">
              <w:rPr>
                <w:rFonts w:cs="Arial"/>
                <w:bCs/>
                <w:color w:val="7F7F7F" w:themeColor="text1" w:themeTint="80"/>
                <w:sz w:val="14"/>
                <w:szCs w:val="14"/>
              </w:rPr>
              <w:t>DP 2018, p.22</w:t>
            </w:r>
            <w:r w:rsidRPr="00995F3E">
              <w:rPr>
                <w:rFonts w:cs="Arial"/>
                <w:bCs/>
                <w:sz w:val="14"/>
                <w:szCs w:val="14"/>
              </w:rPr>
              <w:t>).</w:t>
            </w:r>
          </w:p>
          <w:p w14:paraId="07223571"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Although the DP operates in </w:t>
            </w:r>
            <w:r w:rsidRPr="00995F3E">
              <w:rPr>
                <w:rFonts w:cs="Arial"/>
                <w:bCs/>
                <w:i/>
                <w:iCs/>
                <w:sz w:val="14"/>
                <w:szCs w:val="14"/>
              </w:rPr>
              <w:t>a dynamic environment</w:t>
            </w:r>
            <w:r w:rsidRPr="00995F3E">
              <w:rPr>
                <w:rFonts w:cs="Arial"/>
                <w:bCs/>
                <w:sz w:val="14"/>
                <w:szCs w:val="14"/>
              </w:rPr>
              <w:t xml:space="preserve"> with</w:t>
            </w:r>
            <w:r w:rsidRPr="00995F3E">
              <w:rPr>
                <w:rFonts w:cs="Arial"/>
                <w:bCs/>
                <w:i/>
                <w:iCs/>
                <w:sz w:val="14"/>
                <w:szCs w:val="14"/>
              </w:rPr>
              <w:t xml:space="preserve"> </w:t>
            </w:r>
            <w:r w:rsidRPr="00995F3E">
              <w:rPr>
                <w:rFonts w:cs="Arial"/>
                <w:bCs/>
                <w:sz w:val="14"/>
                <w:szCs w:val="14"/>
              </w:rPr>
              <w:t>ongoing developments, a ‘</w:t>
            </w:r>
            <w:r w:rsidRPr="00995F3E">
              <w:rPr>
                <w:rFonts w:cs="Arial"/>
                <w:bCs/>
                <w:i/>
                <w:iCs/>
                <w:sz w:val="14"/>
                <w:szCs w:val="14"/>
              </w:rPr>
              <w:t>continuous adaptation of all the strategies to those developments is neither feasible nor necessary’</w:t>
            </w:r>
            <w:r w:rsidRPr="00995F3E">
              <w:rPr>
                <w:rFonts w:cs="Arial"/>
                <w:bCs/>
                <w:sz w:val="14"/>
                <w:szCs w:val="14"/>
              </w:rPr>
              <w:t>, which implied finding an appropriate ‘</w:t>
            </w:r>
            <w:r w:rsidRPr="00995F3E">
              <w:rPr>
                <w:rFonts w:cs="Arial"/>
                <w:bCs/>
                <w:i/>
                <w:iCs/>
                <w:sz w:val="14"/>
                <w:szCs w:val="14"/>
              </w:rPr>
              <w:t xml:space="preserve">rhythmicity for the adaptation of strategies and plans’ </w:t>
            </w:r>
            <w:r w:rsidRPr="00995F3E">
              <w:rPr>
                <w:rFonts w:cs="Arial"/>
                <w:bCs/>
                <w:sz w:val="14"/>
                <w:szCs w:val="14"/>
              </w:rPr>
              <w:t>(</w:t>
            </w:r>
            <w:r w:rsidRPr="00995F3E">
              <w:rPr>
                <w:rFonts w:cs="Arial"/>
                <w:bCs/>
                <w:color w:val="7F7F7F" w:themeColor="text1" w:themeTint="80"/>
                <w:sz w:val="14"/>
                <w:szCs w:val="14"/>
              </w:rPr>
              <w:t>DP 2016, p.61</w:t>
            </w:r>
            <w:r w:rsidRPr="00995F3E">
              <w:rPr>
                <w:rFonts w:cs="Arial"/>
                <w:bCs/>
                <w:sz w:val="14"/>
                <w:szCs w:val="14"/>
              </w:rPr>
              <w:t xml:space="preserve">). Thus, it is important to assess the effects of new developments for the </w:t>
            </w:r>
            <w:r w:rsidRPr="00995F3E">
              <w:rPr>
                <w:rFonts w:cs="Arial"/>
                <w:bCs/>
                <w:i/>
                <w:iCs/>
                <w:sz w:val="14"/>
                <w:szCs w:val="14"/>
              </w:rPr>
              <w:t>Preferential Strategies</w:t>
            </w:r>
            <w:r w:rsidRPr="00995F3E">
              <w:rPr>
                <w:rFonts w:cs="Arial"/>
                <w:bCs/>
                <w:sz w:val="14"/>
                <w:szCs w:val="14"/>
              </w:rPr>
              <w:t xml:space="preserve">, their significance and certainty: if effects are </w:t>
            </w:r>
            <w:r w:rsidRPr="00995F3E">
              <w:rPr>
                <w:rFonts w:cs="Arial"/>
                <w:bCs/>
                <w:i/>
                <w:iCs/>
                <w:sz w:val="14"/>
                <w:szCs w:val="14"/>
              </w:rPr>
              <w:t>significant</w:t>
            </w:r>
            <w:r w:rsidRPr="00995F3E">
              <w:rPr>
                <w:rFonts w:cs="Arial"/>
                <w:bCs/>
                <w:sz w:val="14"/>
                <w:szCs w:val="14"/>
              </w:rPr>
              <w:t xml:space="preserve"> and </w:t>
            </w:r>
            <w:r w:rsidRPr="00995F3E">
              <w:rPr>
                <w:rFonts w:cs="Arial"/>
                <w:bCs/>
                <w:i/>
                <w:iCs/>
                <w:sz w:val="14"/>
                <w:szCs w:val="14"/>
              </w:rPr>
              <w:t>certain</w:t>
            </w:r>
            <w:r w:rsidRPr="00995F3E">
              <w:rPr>
                <w:rFonts w:cs="Arial"/>
                <w:bCs/>
                <w:sz w:val="14"/>
                <w:szCs w:val="14"/>
              </w:rPr>
              <w:t xml:space="preserve"> (and occur in the near-term), the recommendation may be that the Strategy needs to be adapted in the short-term; if effects are </w:t>
            </w:r>
            <w:r w:rsidRPr="00995F3E">
              <w:rPr>
                <w:rFonts w:cs="Arial"/>
                <w:bCs/>
                <w:i/>
                <w:iCs/>
                <w:sz w:val="14"/>
                <w:szCs w:val="14"/>
              </w:rPr>
              <w:t>significant</w:t>
            </w:r>
            <w:r w:rsidRPr="00995F3E">
              <w:rPr>
                <w:rFonts w:cs="Arial"/>
                <w:bCs/>
                <w:sz w:val="14"/>
                <w:szCs w:val="14"/>
              </w:rPr>
              <w:t xml:space="preserve"> but </w:t>
            </w:r>
            <w:r w:rsidRPr="00995F3E">
              <w:rPr>
                <w:rFonts w:cs="Arial"/>
                <w:bCs/>
                <w:i/>
                <w:iCs/>
                <w:sz w:val="14"/>
                <w:szCs w:val="14"/>
              </w:rPr>
              <w:t xml:space="preserve">uncertain </w:t>
            </w:r>
            <w:r w:rsidRPr="00995F3E">
              <w:rPr>
                <w:rFonts w:cs="Arial"/>
                <w:bCs/>
                <w:sz w:val="14"/>
                <w:szCs w:val="14"/>
              </w:rPr>
              <w:t>(in terms of scope or time), the recommendation will be that further research must be conducted; in other situations, the recommendation might be to take a decision regarding a possible adjustment in the next 6-year review (</w:t>
            </w:r>
            <w:r w:rsidRPr="00995F3E">
              <w:rPr>
                <w:rFonts w:cs="Arial"/>
                <w:bCs/>
                <w:color w:val="7F7F7F" w:themeColor="text1" w:themeTint="80"/>
                <w:sz w:val="14"/>
                <w:szCs w:val="14"/>
              </w:rPr>
              <w:t>DP 2016, p.61</w:t>
            </w:r>
            <w:r w:rsidRPr="00995F3E">
              <w:rPr>
                <w:rFonts w:cs="Arial"/>
                <w:bCs/>
                <w:sz w:val="14"/>
                <w:szCs w:val="14"/>
              </w:rPr>
              <w:t>).</w:t>
            </w:r>
          </w:p>
          <w:p w14:paraId="41D09980" w14:textId="4EE0C1C7" w:rsidR="00995F3E" w:rsidRPr="00995F3E" w:rsidRDefault="00995F3E" w:rsidP="00505570">
            <w:pPr>
              <w:spacing w:after="60"/>
              <w:jc w:val="left"/>
              <w:rPr>
                <w:rFonts w:cs="Arial"/>
                <w:bCs/>
                <w:sz w:val="14"/>
                <w:szCs w:val="14"/>
              </w:rPr>
            </w:pPr>
            <w:r w:rsidRPr="00995F3E">
              <w:rPr>
                <w:rFonts w:cs="Arial"/>
                <w:bCs/>
                <w:sz w:val="14"/>
                <w:szCs w:val="14"/>
              </w:rPr>
              <w:t>The MAA was developed since 2015, and it started to operate in 2017 (</w:t>
            </w:r>
            <w:r w:rsidRPr="00995F3E">
              <w:rPr>
                <w:rFonts w:cs="Arial"/>
                <w:bCs/>
                <w:color w:val="7F7F7F" w:themeColor="text1" w:themeTint="80"/>
                <w:sz w:val="14"/>
                <w:szCs w:val="14"/>
              </w:rPr>
              <w:t>DP 2016, p.3, 63</w:t>
            </w:r>
            <w:r w:rsidRPr="00995F3E">
              <w:rPr>
                <w:rFonts w:cs="Arial"/>
                <w:bCs/>
                <w:sz w:val="14"/>
                <w:szCs w:val="14"/>
              </w:rPr>
              <w:t>).</w:t>
            </w:r>
          </w:p>
          <w:p w14:paraId="7A9D8A3B" w14:textId="77777777" w:rsidR="00995F3E" w:rsidRPr="00995F3E" w:rsidRDefault="00995F3E" w:rsidP="00E74925">
            <w:pPr>
              <w:spacing w:after="60"/>
              <w:ind w:left="314"/>
              <w:jc w:val="left"/>
              <w:rPr>
                <w:rFonts w:cs="Arial"/>
                <w:bCs/>
                <w:iCs/>
                <w:sz w:val="14"/>
                <w:szCs w:val="14"/>
              </w:rPr>
            </w:pPr>
            <w:r w:rsidRPr="00995F3E">
              <w:rPr>
                <w:rFonts w:cs="Arial"/>
                <w:bCs/>
                <w:iCs/>
                <w:sz w:val="14"/>
                <w:szCs w:val="14"/>
              </w:rPr>
              <w:t>Since 2017, the MAA system has addressed four main questions (</w:t>
            </w:r>
            <w:r w:rsidRPr="00995F3E">
              <w:rPr>
                <w:rFonts w:cs="Arial"/>
                <w:bCs/>
                <w:iCs/>
                <w:color w:val="7F7F7F" w:themeColor="text1" w:themeTint="80"/>
                <w:sz w:val="14"/>
                <w:szCs w:val="14"/>
              </w:rPr>
              <w:t>DP 2017, p.13, 8; 2018, p.19</w:t>
            </w:r>
            <w:r w:rsidRPr="00995F3E">
              <w:rPr>
                <w:rFonts w:cs="Arial"/>
                <w:bCs/>
                <w:iCs/>
                <w:sz w:val="14"/>
                <w:szCs w:val="14"/>
              </w:rPr>
              <w:t xml:space="preserve">): </w:t>
            </w:r>
          </w:p>
          <w:p w14:paraId="08CCE542" w14:textId="77777777" w:rsidR="00995F3E" w:rsidRPr="00995F3E" w:rsidRDefault="00995F3E" w:rsidP="00E74925">
            <w:pPr>
              <w:numPr>
                <w:ilvl w:val="0"/>
                <w:numId w:val="68"/>
              </w:numPr>
              <w:spacing w:after="60"/>
              <w:ind w:left="456" w:hanging="142"/>
              <w:jc w:val="left"/>
              <w:rPr>
                <w:rFonts w:cs="Arial"/>
                <w:bCs/>
                <w:iCs/>
                <w:sz w:val="14"/>
                <w:szCs w:val="14"/>
              </w:rPr>
            </w:pPr>
            <w:r w:rsidRPr="00995F3E">
              <w:rPr>
                <w:rFonts w:cs="Arial"/>
                <w:bCs/>
                <w:iCs/>
                <w:sz w:val="14"/>
                <w:szCs w:val="14"/>
              </w:rPr>
              <w:t>‘</w:t>
            </w:r>
            <w:proofErr w:type="gramStart"/>
            <w:r w:rsidRPr="00995F3E">
              <w:rPr>
                <w:rFonts w:cs="Arial"/>
                <w:bCs/>
                <w:i/>
                <w:iCs/>
                <w:sz w:val="14"/>
                <w:szCs w:val="14"/>
              </w:rPr>
              <w:t>on</w:t>
            </w:r>
            <w:proofErr w:type="gramEnd"/>
            <w:r w:rsidRPr="00995F3E">
              <w:rPr>
                <w:rFonts w:cs="Arial"/>
                <w:bCs/>
                <w:i/>
                <w:iCs/>
                <w:sz w:val="14"/>
                <w:szCs w:val="14"/>
              </w:rPr>
              <w:t xml:space="preserve"> schedule’</w:t>
            </w:r>
            <w:r w:rsidRPr="00995F3E">
              <w:rPr>
                <w:rFonts w:cs="Arial"/>
                <w:bCs/>
                <w:iCs/>
                <w:sz w:val="14"/>
                <w:szCs w:val="14"/>
              </w:rPr>
              <w:t xml:space="preserve"> (</w:t>
            </w:r>
            <w:r w:rsidRPr="00995F3E">
              <w:rPr>
                <w:rFonts w:cs="Arial"/>
                <w:bCs/>
                <w:i/>
                <w:iCs/>
                <w:sz w:val="14"/>
                <w:szCs w:val="14"/>
              </w:rPr>
              <w:t>is the implementation on schedule</w:t>
            </w:r>
            <w:r w:rsidRPr="00995F3E">
              <w:rPr>
                <w:rFonts w:cs="Arial"/>
                <w:bCs/>
                <w:iCs/>
                <w:sz w:val="14"/>
                <w:szCs w:val="14"/>
              </w:rPr>
              <w:t>, are the measures being implemented within the timeframe and budget agreed. This relates to the progress of implementation, i.e. ‘output</w:t>
            </w:r>
            <w:proofErr w:type="gramStart"/>
            <w:r w:rsidRPr="00995F3E">
              <w:rPr>
                <w:rFonts w:cs="Arial"/>
                <w:bCs/>
                <w:iCs/>
                <w:sz w:val="14"/>
                <w:szCs w:val="14"/>
              </w:rPr>
              <w:t>’;</w:t>
            </w:r>
            <w:proofErr w:type="gramEnd"/>
            <w:r w:rsidRPr="00995F3E">
              <w:rPr>
                <w:rFonts w:cs="Arial"/>
                <w:bCs/>
                <w:iCs/>
                <w:sz w:val="14"/>
                <w:szCs w:val="14"/>
              </w:rPr>
              <w:t xml:space="preserve"> </w:t>
            </w:r>
          </w:p>
          <w:p w14:paraId="3783D724" w14:textId="77777777" w:rsidR="00995F3E" w:rsidRPr="00995F3E" w:rsidRDefault="00995F3E" w:rsidP="00E74925">
            <w:pPr>
              <w:numPr>
                <w:ilvl w:val="0"/>
                <w:numId w:val="68"/>
              </w:numPr>
              <w:spacing w:after="60"/>
              <w:ind w:left="456" w:hanging="142"/>
              <w:jc w:val="left"/>
              <w:rPr>
                <w:rFonts w:cs="Arial"/>
                <w:bCs/>
                <w:iCs/>
                <w:sz w:val="14"/>
                <w:szCs w:val="14"/>
              </w:rPr>
            </w:pPr>
            <w:r w:rsidRPr="00995F3E">
              <w:rPr>
                <w:rFonts w:cs="Arial"/>
                <w:bCs/>
                <w:i/>
                <w:iCs/>
                <w:sz w:val="14"/>
                <w:szCs w:val="14"/>
              </w:rPr>
              <w:t>on track</w:t>
            </w:r>
            <w:r w:rsidRPr="00995F3E">
              <w:rPr>
                <w:rFonts w:cs="Arial"/>
                <w:bCs/>
                <w:iCs/>
                <w:sz w:val="14"/>
                <w:szCs w:val="14"/>
              </w:rPr>
              <w:t>’ (are we on the right track or do external developments constitute a reason for reconsideration of goals or measures). This relates to the attainment of goals, i.e. ‘</w:t>
            </w:r>
            <w:r w:rsidRPr="00995F3E">
              <w:rPr>
                <w:rFonts w:cs="Arial"/>
                <w:bCs/>
                <w:i/>
                <w:iCs/>
                <w:sz w:val="14"/>
                <w:szCs w:val="14"/>
              </w:rPr>
              <w:t>outcomes</w:t>
            </w:r>
            <w:r w:rsidRPr="00995F3E">
              <w:rPr>
                <w:rFonts w:cs="Arial"/>
                <w:bCs/>
                <w:iCs/>
                <w:sz w:val="14"/>
                <w:szCs w:val="14"/>
              </w:rPr>
              <w:t xml:space="preserve">’ (it implies analysing if the DP is ‘on track’ or whether there is any reason for changing the pace or course of measures or </w:t>
            </w:r>
            <w:proofErr w:type="gramStart"/>
            <w:r w:rsidRPr="00995F3E">
              <w:rPr>
                <w:rFonts w:cs="Arial"/>
                <w:bCs/>
                <w:iCs/>
                <w:sz w:val="14"/>
                <w:szCs w:val="14"/>
              </w:rPr>
              <w:t>goals;</w:t>
            </w:r>
            <w:proofErr w:type="gramEnd"/>
            <w:r w:rsidRPr="00995F3E">
              <w:rPr>
                <w:rFonts w:cs="Arial"/>
                <w:bCs/>
                <w:iCs/>
                <w:sz w:val="14"/>
                <w:szCs w:val="14"/>
              </w:rPr>
              <w:t xml:space="preserve"> if the proposed measures are sufficient); </w:t>
            </w:r>
          </w:p>
          <w:p w14:paraId="57E14277" w14:textId="77777777" w:rsidR="00995F3E" w:rsidRPr="00995F3E" w:rsidRDefault="00995F3E" w:rsidP="00E74925">
            <w:pPr>
              <w:numPr>
                <w:ilvl w:val="0"/>
                <w:numId w:val="68"/>
              </w:numPr>
              <w:spacing w:after="60"/>
              <w:ind w:left="456" w:hanging="142"/>
              <w:jc w:val="left"/>
              <w:rPr>
                <w:rFonts w:cs="Arial"/>
                <w:bCs/>
                <w:iCs/>
                <w:sz w:val="14"/>
                <w:szCs w:val="14"/>
              </w:rPr>
            </w:pPr>
            <w:r w:rsidRPr="00995F3E">
              <w:rPr>
                <w:rFonts w:cs="Arial"/>
                <w:bCs/>
                <w:iCs/>
                <w:sz w:val="14"/>
                <w:szCs w:val="14"/>
              </w:rPr>
              <w:t>‘</w:t>
            </w:r>
            <w:proofErr w:type="gramStart"/>
            <w:r w:rsidRPr="00995F3E">
              <w:rPr>
                <w:rFonts w:cs="Arial"/>
                <w:bCs/>
                <w:i/>
                <w:iCs/>
                <w:sz w:val="14"/>
                <w:szCs w:val="14"/>
              </w:rPr>
              <w:t>integrated</w:t>
            </w:r>
            <w:proofErr w:type="gramEnd"/>
            <w:r w:rsidRPr="00995F3E">
              <w:rPr>
                <w:rFonts w:cs="Arial"/>
                <w:bCs/>
                <w:i/>
                <w:iCs/>
                <w:sz w:val="14"/>
                <w:szCs w:val="14"/>
              </w:rPr>
              <w:t xml:space="preserve"> approach</w:t>
            </w:r>
            <w:r w:rsidRPr="00995F3E">
              <w:rPr>
                <w:rFonts w:cs="Arial"/>
                <w:bCs/>
                <w:iCs/>
                <w:sz w:val="14"/>
                <w:szCs w:val="14"/>
              </w:rPr>
              <w:t>’ (</w:t>
            </w:r>
            <w:r w:rsidRPr="00995F3E">
              <w:rPr>
                <w:rFonts w:cs="Arial"/>
                <w:bCs/>
                <w:i/>
                <w:iCs/>
                <w:sz w:val="14"/>
                <w:szCs w:val="14"/>
              </w:rPr>
              <w:t>are we addressing the taskings in an integrated manner</w:t>
            </w:r>
            <w:r w:rsidRPr="00995F3E">
              <w:rPr>
                <w:rFonts w:cs="Arial"/>
                <w:bCs/>
                <w:iCs/>
                <w:sz w:val="14"/>
                <w:szCs w:val="14"/>
              </w:rPr>
              <w:t xml:space="preserve">); </w:t>
            </w:r>
          </w:p>
          <w:p w14:paraId="77BFA685" w14:textId="77777777" w:rsidR="00995F3E" w:rsidRPr="00995F3E" w:rsidRDefault="00995F3E" w:rsidP="00E74925">
            <w:pPr>
              <w:numPr>
                <w:ilvl w:val="0"/>
                <w:numId w:val="68"/>
              </w:numPr>
              <w:spacing w:after="60"/>
              <w:ind w:left="456" w:hanging="142"/>
              <w:jc w:val="left"/>
              <w:rPr>
                <w:rFonts w:cs="Arial"/>
                <w:bCs/>
                <w:iCs/>
                <w:sz w:val="14"/>
                <w:szCs w:val="14"/>
              </w:rPr>
            </w:pPr>
            <w:r w:rsidRPr="00995F3E">
              <w:rPr>
                <w:rFonts w:cs="Arial"/>
                <w:bCs/>
                <w:iCs/>
                <w:sz w:val="14"/>
                <w:szCs w:val="14"/>
              </w:rPr>
              <w:t>‘</w:t>
            </w:r>
            <w:r w:rsidRPr="00995F3E">
              <w:rPr>
                <w:rFonts w:cs="Arial"/>
                <w:bCs/>
                <w:i/>
                <w:iCs/>
                <w:sz w:val="14"/>
                <w:szCs w:val="14"/>
              </w:rPr>
              <w:t>participation</w:t>
            </w:r>
            <w:r w:rsidRPr="00995F3E">
              <w:rPr>
                <w:rFonts w:cs="Arial"/>
                <w:bCs/>
                <w:iCs/>
                <w:sz w:val="14"/>
                <w:szCs w:val="14"/>
              </w:rPr>
              <w:t>’ (</w:t>
            </w:r>
            <w:r w:rsidRPr="00995F3E">
              <w:rPr>
                <w:rFonts w:cs="Arial"/>
                <w:bCs/>
                <w:i/>
                <w:iCs/>
                <w:sz w:val="14"/>
                <w:szCs w:val="14"/>
              </w:rPr>
              <w:t xml:space="preserve">are governments, businesses, </w:t>
            </w:r>
            <w:proofErr w:type="gramStart"/>
            <w:r w:rsidRPr="00995F3E">
              <w:rPr>
                <w:rFonts w:cs="Arial"/>
                <w:bCs/>
                <w:i/>
                <w:iCs/>
                <w:sz w:val="14"/>
                <w:szCs w:val="14"/>
              </w:rPr>
              <w:t>NGO’s</w:t>
            </w:r>
            <w:proofErr w:type="gramEnd"/>
            <w:r w:rsidRPr="00995F3E">
              <w:rPr>
                <w:rFonts w:cs="Arial"/>
                <w:bCs/>
                <w:i/>
                <w:iCs/>
                <w:sz w:val="14"/>
                <w:szCs w:val="14"/>
              </w:rPr>
              <w:t>, and residents involved on a wide scale, where such is called for</w:t>
            </w:r>
            <w:r w:rsidRPr="00995F3E">
              <w:rPr>
                <w:rFonts w:cs="Arial"/>
                <w:bCs/>
                <w:iCs/>
                <w:sz w:val="14"/>
                <w:szCs w:val="14"/>
              </w:rPr>
              <w:t>).</w:t>
            </w:r>
          </w:p>
          <w:p w14:paraId="0E642D9D" w14:textId="77777777" w:rsidR="00995F3E" w:rsidRPr="00995F3E" w:rsidRDefault="00995F3E" w:rsidP="00E74925">
            <w:pPr>
              <w:spacing w:after="60"/>
              <w:ind w:left="31"/>
              <w:jc w:val="left"/>
              <w:rPr>
                <w:rFonts w:cs="Arial"/>
                <w:bCs/>
                <w:sz w:val="14"/>
                <w:szCs w:val="14"/>
              </w:rPr>
            </w:pPr>
            <w:r w:rsidRPr="00995F3E">
              <w:rPr>
                <w:rFonts w:cs="Arial"/>
                <w:bCs/>
                <w:sz w:val="14"/>
                <w:szCs w:val="14"/>
              </w:rPr>
              <w:t xml:space="preserve">With these 4 questions in mind, progress is reviewed in the </w:t>
            </w:r>
            <w:r w:rsidRPr="00995F3E">
              <w:rPr>
                <w:rFonts w:cs="Arial"/>
                <w:bCs/>
                <w:i/>
                <w:iCs/>
                <w:sz w:val="14"/>
                <w:szCs w:val="14"/>
              </w:rPr>
              <w:t>Delta Decisions</w:t>
            </w:r>
            <w:r w:rsidRPr="00995F3E">
              <w:rPr>
                <w:rFonts w:cs="Arial"/>
                <w:bCs/>
                <w:sz w:val="14"/>
                <w:szCs w:val="14"/>
              </w:rPr>
              <w:t xml:space="preserve"> and </w:t>
            </w:r>
            <w:r w:rsidRPr="00995F3E">
              <w:rPr>
                <w:rFonts w:cs="Arial"/>
                <w:bCs/>
                <w:i/>
                <w:iCs/>
                <w:sz w:val="14"/>
                <w:szCs w:val="14"/>
              </w:rPr>
              <w:t>Preferential Strategies</w:t>
            </w:r>
            <w:r w:rsidRPr="00995F3E">
              <w:rPr>
                <w:rFonts w:cs="Arial"/>
                <w:bCs/>
                <w:sz w:val="14"/>
                <w:szCs w:val="14"/>
              </w:rPr>
              <w:t xml:space="preserve">. The </w:t>
            </w:r>
            <w:r w:rsidRPr="00995F3E">
              <w:rPr>
                <w:rFonts w:cs="Arial"/>
                <w:bCs/>
                <w:i/>
                <w:sz w:val="14"/>
                <w:szCs w:val="14"/>
              </w:rPr>
              <w:t>Community of Practice</w:t>
            </w:r>
            <w:r w:rsidRPr="00995F3E">
              <w:rPr>
                <w:rFonts w:cs="Arial"/>
                <w:bCs/>
                <w:sz w:val="14"/>
                <w:szCs w:val="14"/>
              </w:rPr>
              <w:t xml:space="preserve"> focuses on questions 1, 3 and 4, while the </w:t>
            </w:r>
            <w:r w:rsidRPr="00995F3E">
              <w:rPr>
                <w:rFonts w:cs="Arial"/>
                <w:bCs/>
                <w:i/>
                <w:iCs/>
                <w:sz w:val="14"/>
                <w:szCs w:val="14"/>
              </w:rPr>
              <w:t>Signal Group</w:t>
            </w:r>
            <w:r w:rsidRPr="00995F3E">
              <w:rPr>
                <w:rFonts w:cs="Arial"/>
                <w:bCs/>
                <w:sz w:val="14"/>
                <w:szCs w:val="14"/>
              </w:rPr>
              <w:t xml:space="preserve"> focuses on question 2 (</w:t>
            </w:r>
            <w:r w:rsidRPr="00995F3E">
              <w:rPr>
                <w:rFonts w:cs="Arial"/>
                <w:bCs/>
                <w:color w:val="7F7F7F" w:themeColor="text1" w:themeTint="80"/>
                <w:sz w:val="14"/>
                <w:szCs w:val="14"/>
              </w:rPr>
              <w:t>DP 2017, p.13</w:t>
            </w:r>
            <w:r w:rsidRPr="00995F3E">
              <w:rPr>
                <w:rFonts w:cs="Arial"/>
                <w:bCs/>
                <w:sz w:val="14"/>
                <w:szCs w:val="14"/>
              </w:rPr>
              <w:t>).</w:t>
            </w:r>
          </w:p>
          <w:p w14:paraId="2AB4F20F" w14:textId="77777777" w:rsidR="00995F3E" w:rsidRPr="00995F3E" w:rsidRDefault="00995F3E" w:rsidP="00E74925">
            <w:pPr>
              <w:spacing w:after="60"/>
              <w:rPr>
                <w:rFonts w:cs="Arial"/>
                <w:bCs/>
                <w:sz w:val="14"/>
                <w:szCs w:val="14"/>
              </w:rPr>
            </w:pPr>
            <w:r w:rsidRPr="00505570">
              <w:rPr>
                <w:rFonts w:cs="Arial"/>
                <w:bCs/>
                <w:sz w:val="14"/>
                <w:szCs w:val="14"/>
                <w:u w:val="single"/>
              </w:rPr>
              <w:t>Indicators to be monitored:</w:t>
            </w:r>
            <w:r w:rsidRPr="00995F3E">
              <w:rPr>
                <w:rFonts w:cs="Arial"/>
                <w:bCs/>
                <w:sz w:val="14"/>
                <w:szCs w:val="14"/>
              </w:rPr>
              <w:t xml:space="preserve"> in 2017/2018, the </w:t>
            </w:r>
            <w:r w:rsidRPr="00995F3E">
              <w:rPr>
                <w:rFonts w:cs="Arial"/>
                <w:bCs/>
                <w:i/>
                <w:iCs/>
                <w:sz w:val="14"/>
                <w:szCs w:val="14"/>
              </w:rPr>
              <w:t>Signal Group</w:t>
            </w:r>
            <w:r w:rsidRPr="00995F3E">
              <w:rPr>
                <w:rFonts w:cs="Arial"/>
                <w:bCs/>
                <w:sz w:val="14"/>
                <w:szCs w:val="14"/>
              </w:rPr>
              <w:t xml:space="preserve"> defined 8 </w:t>
            </w:r>
            <w:r w:rsidRPr="00995F3E">
              <w:rPr>
                <w:rFonts w:cs="Arial"/>
                <w:bCs/>
                <w:i/>
                <w:iCs/>
                <w:sz w:val="14"/>
                <w:szCs w:val="14"/>
              </w:rPr>
              <w:t>indicators</w:t>
            </w:r>
            <w:r w:rsidRPr="00995F3E">
              <w:rPr>
                <w:rFonts w:cs="Arial"/>
                <w:bCs/>
                <w:sz w:val="14"/>
                <w:szCs w:val="14"/>
              </w:rPr>
              <w:t xml:space="preserve"> to be monitored </w:t>
            </w:r>
            <w:proofErr w:type="gramStart"/>
            <w:r w:rsidRPr="00995F3E">
              <w:rPr>
                <w:rFonts w:cs="Arial"/>
                <w:bCs/>
                <w:sz w:val="14"/>
                <w:szCs w:val="14"/>
              </w:rPr>
              <w:t>in order to</w:t>
            </w:r>
            <w:proofErr w:type="gramEnd"/>
            <w:r w:rsidRPr="00995F3E">
              <w:rPr>
                <w:rFonts w:cs="Arial"/>
                <w:bCs/>
                <w:sz w:val="14"/>
                <w:szCs w:val="14"/>
              </w:rPr>
              <w:t xml:space="preserve"> detect signals that may prompt an adjustment of the </w:t>
            </w:r>
            <w:r w:rsidRPr="00995F3E">
              <w:rPr>
                <w:rFonts w:cs="Arial"/>
                <w:bCs/>
                <w:i/>
                <w:iCs/>
                <w:sz w:val="14"/>
                <w:szCs w:val="14"/>
              </w:rPr>
              <w:t>Preferential Strategies</w:t>
            </w:r>
            <w:r w:rsidRPr="00995F3E">
              <w:rPr>
                <w:rFonts w:cs="Arial"/>
                <w:bCs/>
                <w:sz w:val="14"/>
                <w:szCs w:val="14"/>
              </w:rPr>
              <w:t xml:space="preserve"> and developments that </w:t>
            </w:r>
            <w:r w:rsidRPr="00995F3E">
              <w:rPr>
                <w:rFonts w:cs="Arial"/>
                <w:bCs/>
                <w:sz w:val="14"/>
                <w:szCs w:val="14"/>
              </w:rPr>
              <w:lastRenderedPageBreak/>
              <w:t xml:space="preserve">could jeopardise the attainment of goals, namely: SRL, extreme river discharges, land use, etc. </w:t>
            </w:r>
            <w:r w:rsidRPr="00995F3E">
              <w:rPr>
                <w:rFonts w:cs="Arial"/>
                <w:bCs/>
                <w:color w:val="000000"/>
                <w:sz w:val="14"/>
                <w:szCs w:val="14"/>
              </w:rPr>
              <w:t>(</w:t>
            </w:r>
            <w:r w:rsidRPr="00995F3E">
              <w:rPr>
                <w:rFonts w:cs="Arial"/>
                <w:bCs/>
                <w:color w:val="7F7F7F" w:themeColor="text1" w:themeTint="80"/>
                <w:sz w:val="14"/>
                <w:szCs w:val="14"/>
              </w:rPr>
              <w:t>DP 2018, p.111; 20</w:t>
            </w:r>
            <w:r w:rsidRPr="00995F3E">
              <w:rPr>
                <w:rFonts w:cs="Arial"/>
                <w:bCs/>
                <w:sz w:val="14"/>
                <w:szCs w:val="14"/>
              </w:rPr>
              <w:t>).</w:t>
            </w:r>
            <w:r w:rsidRPr="00995F3E">
              <w:rPr>
                <w:rFonts w:cs="Arial"/>
                <w:bCs/>
                <w:sz w:val="14"/>
                <w:szCs w:val="14"/>
                <w:vertAlign w:val="superscript"/>
              </w:rPr>
              <w:footnoteReference w:id="49"/>
            </w:r>
            <w:r w:rsidRPr="00995F3E">
              <w:rPr>
                <w:rFonts w:cs="Arial"/>
                <w:bCs/>
                <w:sz w:val="14"/>
                <w:szCs w:val="14"/>
              </w:rPr>
              <w:t xml:space="preserve"> </w:t>
            </w:r>
          </w:p>
          <w:p w14:paraId="7AB6F9D8" w14:textId="77777777" w:rsidR="00995F3E" w:rsidRPr="00995F3E" w:rsidRDefault="00995F3E" w:rsidP="00E74925">
            <w:pPr>
              <w:spacing w:after="60"/>
              <w:jc w:val="left"/>
              <w:rPr>
                <w:rFonts w:cs="Arial"/>
                <w:bCs/>
                <w:color w:val="000000"/>
                <w:sz w:val="14"/>
                <w:szCs w:val="14"/>
              </w:rPr>
            </w:pPr>
            <w:r w:rsidRPr="00995F3E">
              <w:rPr>
                <w:rFonts w:cs="Arial"/>
                <w:bCs/>
                <w:sz w:val="14"/>
                <w:szCs w:val="14"/>
              </w:rPr>
              <w:t xml:space="preserve">An indicator might </w:t>
            </w:r>
            <w:proofErr w:type="gramStart"/>
            <w:r w:rsidRPr="00995F3E">
              <w:rPr>
                <w:rFonts w:cs="Arial"/>
                <w:bCs/>
                <w:sz w:val="14"/>
                <w:szCs w:val="14"/>
              </w:rPr>
              <w:t>require:</w:t>
            </w:r>
            <w:proofErr w:type="gramEnd"/>
            <w:r w:rsidRPr="00995F3E">
              <w:rPr>
                <w:rFonts w:cs="Arial"/>
                <w:bCs/>
                <w:sz w:val="14"/>
                <w:szCs w:val="14"/>
              </w:rPr>
              <w:t xml:space="preserve"> more targeted research; monitoring and scheduled evaluations; analysis of consequences; or, if necessary, the adaptation of measures or policy amendment. Thus, indicators / signals must be identified in a </w:t>
            </w:r>
            <w:r w:rsidRPr="00995F3E">
              <w:rPr>
                <w:rFonts w:cs="Arial"/>
                <w:bCs/>
                <w:i/>
                <w:iCs/>
                <w:sz w:val="14"/>
                <w:szCs w:val="14"/>
              </w:rPr>
              <w:t>sufficiently timely</w:t>
            </w:r>
            <w:r w:rsidRPr="00995F3E">
              <w:rPr>
                <w:rFonts w:cs="Arial"/>
                <w:bCs/>
                <w:sz w:val="14"/>
                <w:szCs w:val="14"/>
              </w:rPr>
              <w:t xml:space="preserve"> manner (given</w:t>
            </w:r>
            <w:r w:rsidRPr="00995F3E">
              <w:rPr>
                <w:rFonts w:cs="Arial"/>
                <w:bCs/>
                <w:i/>
                <w:iCs/>
                <w:sz w:val="14"/>
                <w:szCs w:val="14"/>
              </w:rPr>
              <w:t xml:space="preserve"> ‘the time required for plan preparation, design, and construction’</w:t>
            </w:r>
            <w:r w:rsidRPr="00995F3E">
              <w:rPr>
                <w:rFonts w:cs="Arial"/>
                <w:bCs/>
                <w:sz w:val="14"/>
                <w:szCs w:val="14"/>
              </w:rPr>
              <w:t>) and</w:t>
            </w:r>
            <w:r w:rsidRPr="00995F3E">
              <w:rPr>
                <w:rFonts w:cs="Arial"/>
                <w:bCs/>
                <w:i/>
                <w:iCs/>
                <w:sz w:val="14"/>
                <w:szCs w:val="14"/>
              </w:rPr>
              <w:t xml:space="preserve"> </w:t>
            </w:r>
            <w:r w:rsidRPr="00995F3E">
              <w:rPr>
                <w:rFonts w:cs="Arial"/>
                <w:bCs/>
                <w:sz w:val="14"/>
                <w:szCs w:val="14"/>
              </w:rPr>
              <w:t>in a</w:t>
            </w:r>
            <w:r w:rsidRPr="00995F3E">
              <w:rPr>
                <w:rFonts w:cs="Arial"/>
                <w:bCs/>
                <w:i/>
                <w:iCs/>
                <w:sz w:val="14"/>
                <w:szCs w:val="14"/>
              </w:rPr>
              <w:t xml:space="preserve"> reliable manner </w:t>
            </w:r>
            <w:r w:rsidRPr="00995F3E">
              <w:rPr>
                <w:rFonts w:cs="Arial"/>
                <w:bCs/>
                <w:sz w:val="14"/>
                <w:szCs w:val="14"/>
              </w:rPr>
              <w:t>(which detects</w:t>
            </w:r>
            <w:r w:rsidRPr="00995F3E">
              <w:rPr>
                <w:rFonts w:cs="Arial"/>
                <w:bCs/>
                <w:i/>
                <w:iCs/>
                <w:sz w:val="14"/>
                <w:szCs w:val="14"/>
              </w:rPr>
              <w:t xml:space="preserve"> ‘a significant trend or warning signal from an observation series that often features a great deal of noise from annual fluctuations</w:t>
            </w:r>
            <w:r w:rsidRPr="00995F3E">
              <w:rPr>
                <w:rFonts w:cs="Arial"/>
                <w:bCs/>
                <w:sz w:val="14"/>
                <w:szCs w:val="14"/>
              </w:rPr>
              <w:t xml:space="preserve">’) </w:t>
            </w:r>
            <w:r w:rsidRPr="00995F3E">
              <w:rPr>
                <w:rFonts w:cs="Arial"/>
                <w:bCs/>
                <w:color w:val="000000"/>
                <w:sz w:val="14"/>
                <w:szCs w:val="14"/>
              </w:rPr>
              <w:t>(</w:t>
            </w:r>
            <w:r w:rsidRPr="00995F3E">
              <w:rPr>
                <w:rFonts w:cs="Arial"/>
                <w:bCs/>
                <w:color w:val="7F7F7F" w:themeColor="text1" w:themeTint="80"/>
                <w:sz w:val="14"/>
                <w:szCs w:val="14"/>
              </w:rPr>
              <w:t>DP 2018, p.111</w:t>
            </w:r>
            <w:r w:rsidRPr="00995F3E">
              <w:rPr>
                <w:rFonts w:cs="Arial"/>
                <w:bCs/>
                <w:color w:val="000000"/>
                <w:sz w:val="14"/>
                <w:szCs w:val="14"/>
              </w:rPr>
              <w:t>).</w:t>
            </w:r>
          </w:p>
          <w:p w14:paraId="589BCFD9"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In addition, the </w:t>
            </w:r>
            <w:r w:rsidRPr="00995F3E">
              <w:rPr>
                <w:rFonts w:cs="Arial"/>
                <w:bCs/>
                <w:i/>
                <w:iCs/>
                <w:sz w:val="14"/>
                <w:szCs w:val="14"/>
              </w:rPr>
              <w:t>Signal Group</w:t>
            </w:r>
            <w:r w:rsidRPr="00995F3E">
              <w:rPr>
                <w:rFonts w:cs="Arial"/>
                <w:bCs/>
                <w:sz w:val="14"/>
                <w:szCs w:val="14"/>
              </w:rPr>
              <w:t xml:space="preserve"> and the DP also meet at least twice a year (</w:t>
            </w:r>
            <w:r w:rsidRPr="00995F3E">
              <w:rPr>
                <w:rFonts w:cs="Arial"/>
                <w:bCs/>
                <w:color w:val="7F7F7F" w:themeColor="text1" w:themeTint="80"/>
                <w:sz w:val="14"/>
                <w:szCs w:val="14"/>
              </w:rPr>
              <w:t>DP 2018, p.111-112</w:t>
            </w:r>
            <w:r w:rsidRPr="00995F3E">
              <w:rPr>
                <w:rFonts w:cs="Arial"/>
                <w:bCs/>
                <w:sz w:val="14"/>
                <w:szCs w:val="14"/>
              </w:rPr>
              <w:t>):</w:t>
            </w:r>
          </w:p>
          <w:p w14:paraId="6C81A5C0" w14:textId="77777777" w:rsidR="00995F3E" w:rsidRPr="00995F3E" w:rsidRDefault="00995F3E" w:rsidP="00E74925">
            <w:pPr>
              <w:numPr>
                <w:ilvl w:val="0"/>
                <w:numId w:val="69"/>
              </w:numPr>
              <w:spacing w:after="60"/>
              <w:ind w:left="284" w:hanging="284"/>
              <w:jc w:val="left"/>
              <w:rPr>
                <w:rFonts w:cs="Arial"/>
                <w:bCs/>
                <w:sz w:val="14"/>
                <w:szCs w:val="14"/>
              </w:rPr>
            </w:pPr>
            <w:r w:rsidRPr="00995F3E">
              <w:rPr>
                <w:rFonts w:cs="Arial"/>
                <w:bCs/>
                <w:sz w:val="14"/>
                <w:szCs w:val="14"/>
              </w:rPr>
              <w:t xml:space="preserve">In January of year X, the </w:t>
            </w:r>
            <w:r w:rsidRPr="00995F3E">
              <w:rPr>
                <w:rFonts w:cs="Arial"/>
                <w:bCs/>
                <w:i/>
                <w:iCs/>
                <w:sz w:val="14"/>
                <w:szCs w:val="14"/>
              </w:rPr>
              <w:t>Signal Group</w:t>
            </w:r>
            <w:r w:rsidRPr="00995F3E">
              <w:rPr>
                <w:rFonts w:cs="Arial"/>
                <w:bCs/>
                <w:sz w:val="14"/>
                <w:szCs w:val="14"/>
              </w:rPr>
              <w:t xml:space="preserve"> and the DP discuss which developments constitute a reason for adapting the </w:t>
            </w:r>
            <w:r w:rsidRPr="00995F3E">
              <w:rPr>
                <w:rFonts w:cs="Arial"/>
                <w:bCs/>
                <w:i/>
                <w:iCs/>
                <w:sz w:val="14"/>
                <w:szCs w:val="14"/>
              </w:rPr>
              <w:t>Preferential Strategies</w:t>
            </w:r>
            <w:r w:rsidRPr="00995F3E">
              <w:rPr>
                <w:rFonts w:cs="Arial"/>
                <w:bCs/>
                <w:sz w:val="14"/>
                <w:szCs w:val="14"/>
              </w:rPr>
              <w:t xml:space="preserve">. The </w:t>
            </w:r>
            <w:r w:rsidRPr="00995F3E">
              <w:rPr>
                <w:rFonts w:cs="Arial"/>
                <w:bCs/>
                <w:i/>
                <w:iCs/>
                <w:sz w:val="14"/>
                <w:szCs w:val="14"/>
              </w:rPr>
              <w:t>Signal Group</w:t>
            </w:r>
            <w:r w:rsidRPr="00995F3E">
              <w:rPr>
                <w:rFonts w:cs="Arial"/>
                <w:bCs/>
                <w:sz w:val="14"/>
                <w:szCs w:val="14"/>
              </w:rPr>
              <w:t xml:space="preserve"> presents generic developments (e.g. accelerated SLR), while the regional Subprogrammes present theme- and region-specific developments (e.g. changes in water demand). The conclusions are submitted to the </w:t>
            </w:r>
            <w:r w:rsidRPr="00995F3E">
              <w:rPr>
                <w:rFonts w:cs="Arial"/>
                <w:bCs/>
                <w:i/>
                <w:iCs/>
                <w:sz w:val="14"/>
                <w:szCs w:val="14"/>
              </w:rPr>
              <w:t xml:space="preserve">DP Consultation Committee </w:t>
            </w:r>
            <w:r w:rsidRPr="00995F3E">
              <w:rPr>
                <w:rFonts w:cs="Arial"/>
                <w:bCs/>
                <w:sz w:val="14"/>
                <w:szCs w:val="14"/>
              </w:rPr>
              <w:t xml:space="preserve">that meets in March and chooses which developments deserve further elaboration; in addition, knowledge institutes and managers analyse such developments and determine where adaptations are required in which themes or regions (this phase occurs from March to August). These developments are then reported in the DP Report of year X (developed for the year X + 1). </w:t>
            </w:r>
          </w:p>
          <w:p w14:paraId="44C0A27F" w14:textId="77777777" w:rsidR="00995F3E" w:rsidRPr="00995F3E" w:rsidRDefault="00995F3E" w:rsidP="00E74925">
            <w:pPr>
              <w:numPr>
                <w:ilvl w:val="0"/>
                <w:numId w:val="69"/>
              </w:numPr>
              <w:spacing w:after="60"/>
              <w:ind w:left="284" w:hanging="284"/>
              <w:jc w:val="left"/>
              <w:rPr>
                <w:rFonts w:cs="Arial"/>
                <w:bCs/>
                <w:sz w:val="14"/>
                <w:szCs w:val="14"/>
              </w:rPr>
            </w:pPr>
            <w:r w:rsidRPr="00995F3E">
              <w:rPr>
                <w:rFonts w:cs="Arial"/>
                <w:bCs/>
                <w:sz w:val="14"/>
                <w:szCs w:val="14"/>
              </w:rPr>
              <w:t xml:space="preserve">In September of year X, the </w:t>
            </w:r>
            <w:r w:rsidRPr="00995F3E">
              <w:rPr>
                <w:rFonts w:cs="Arial"/>
                <w:bCs/>
                <w:i/>
                <w:iCs/>
                <w:sz w:val="14"/>
                <w:szCs w:val="14"/>
              </w:rPr>
              <w:t>Signal Group</w:t>
            </w:r>
            <w:r w:rsidRPr="00995F3E">
              <w:rPr>
                <w:rFonts w:cs="Arial"/>
                <w:bCs/>
                <w:sz w:val="14"/>
                <w:szCs w:val="14"/>
              </w:rPr>
              <w:t xml:space="preserve"> and the DP discuss the topics (developments already elaborated) that require adaptation of the current Strategies, and if such adaptation must be made in that year or can wait until the next 6-year review. Their conclusions are submitted to the </w:t>
            </w:r>
            <w:r w:rsidRPr="00995F3E">
              <w:rPr>
                <w:rFonts w:cs="Arial"/>
                <w:bCs/>
                <w:i/>
                <w:iCs/>
                <w:sz w:val="14"/>
                <w:szCs w:val="14"/>
              </w:rPr>
              <w:t>Consultation Committee</w:t>
            </w:r>
            <w:r w:rsidRPr="00995F3E">
              <w:rPr>
                <w:rFonts w:cs="Arial"/>
                <w:bCs/>
                <w:sz w:val="14"/>
                <w:szCs w:val="14"/>
              </w:rPr>
              <w:t xml:space="preserve">, and, if necessary, to the </w:t>
            </w:r>
            <w:r w:rsidRPr="00995F3E">
              <w:rPr>
                <w:rFonts w:cs="Arial"/>
                <w:bCs/>
                <w:i/>
                <w:iCs/>
                <w:sz w:val="14"/>
                <w:szCs w:val="14"/>
              </w:rPr>
              <w:t>Steering Group</w:t>
            </w:r>
            <w:r w:rsidRPr="00995F3E">
              <w:rPr>
                <w:rFonts w:cs="Arial"/>
                <w:bCs/>
                <w:sz w:val="14"/>
                <w:szCs w:val="14"/>
              </w:rPr>
              <w:t>, to see which elements of which Strategies need to be adapted. These adaptations are implemented by the DP offices. The debate and decision about adaptations occur between October of year X and February of year X + 1 (included), and the adaptations are reported in the Report elaborated in the year X + 1 (for year X + 2).</w:t>
            </w:r>
          </w:p>
          <w:p w14:paraId="2D26C3C5" w14:textId="77777777" w:rsidR="00995F3E" w:rsidRPr="00995F3E" w:rsidRDefault="00995F3E" w:rsidP="00E74925">
            <w:pPr>
              <w:spacing w:after="60"/>
              <w:jc w:val="left"/>
              <w:rPr>
                <w:rFonts w:cs="Arial"/>
                <w:bCs/>
                <w:sz w:val="14"/>
                <w:szCs w:val="14"/>
              </w:rPr>
            </w:pPr>
            <w:r w:rsidRPr="00995F3E">
              <w:rPr>
                <w:rFonts w:cs="Arial"/>
                <w:bCs/>
                <w:sz w:val="14"/>
                <w:szCs w:val="14"/>
              </w:rPr>
              <w:t>This annual process generates a progress report: the DP annual report.</w:t>
            </w:r>
            <w:r w:rsidRPr="00995F3E">
              <w:rPr>
                <w:rFonts w:cs="Arial"/>
                <w:bCs/>
                <w:color w:val="000000"/>
                <w:sz w:val="14"/>
                <w:szCs w:val="14"/>
              </w:rPr>
              <w:t xml:space="preserve"> </w:t>
            </w:r>
            <w:r w:rsidRPr="00995F3E">
              <w:rPr>
                <w:rFonts w:cs="Arial"/>
                <w:bCs/>
                <w:sz w:val="14"/>
                <w:szCs w:val="14"/>
              </w:rPr>
              <w:t xml:space="preserve">Thus, a ‘signal / indicator’ may activate a multi-year process, which may require a ‘policy evaluation’ and lead to a decision to adapt </w:t>
            </w:r>
            <w:r w:rsidRPr="00995F3E">
              <w:rPr>
                <w:rFonts w:cs="Arial"/>
                <w:bCs/>
                <w:i/>
                <w:iCs/>
                <w:sz w:val="14"/>
                <w:szCs w:val="14"/>
              </w:rPr>
              <w:t>Decisions</w:t>
            </w:r>
            <w:r w:rsidRPr="00995F3E">
              <w:rPr>
                <w:rFonts w:cs="Arial"/>
                <w:bCs/>
                <w:sz w:val="14"/>
                <w:szCs w:val="14"/>
              </w:rPr>
              <w:t xml:space="preserve"> or</w:t>
            </w:r>
            <w:r w:rsidRPr="00995F3E">
              <w:rPr>
                <w:rFonts w:cs="Arial"/>
                <w:bCs/>
                <w:i/>
                <w:iCs/>
                <w:sz w:val="14"/>
                <w:szCs w:val="14"/>
              </w:rPr>
              <w:t xml:space="preserve"> Strategies</w:t>
            </w:r>
            <w:r w:rsidRPr="00995F3E">
              <w:rPr>
                <w:rFonts w:cs="Arial"/>
                <w:bCs/>
                <w:sz w:val="14"/>
                <w:szCs w:val="14"/>
              </w:rPr>
              <w:t xml:space="preserve"> </w:t>
            </w:r>
            <w:r w:rsidRPr="00995F3E">
              <w:rPr>
                <w:rFonts w:cs="Arial"/>
                <w:bCs/>
                <w:color w:val="000000"/>
                <w:sz w:val="14"/>
                <w:szCs w:val="14"/>
              </w:rPr>
              <w:t>(</w:t>
            </w:r>
            <w:r w:rsidRPr="00995F3E">
              <w:rPr>
                <w:rFonts w:cs="Arial"/>
                <w:bCs/>
                <w:color w:val="7F7F7F" w:themeColor="text1" w:themeTint="80"/>
                <w:sz w:val="14"/>
                <w:szCs w:val="14"/>
              </w:rPr>
              <w:t>DP 2018, p.112</w:t>
            </w:r>
            <w:r w:rsidRPr="00995F3E">
              <w:rPr>
                <w:rFonts w:cs="Arial"/>
                <w:bCs/>
                <w:color w:val="000000"/>
                <w:sz w:val="14"/>
                <w:szCs w:val="14"/>
              </w:rPr>
              <w:t xml:space="preserve">). </w:t>
            </w:r>
          </w:p>
        </w:tc>
      </w:tr>
      <w:tr w:rsidR="00995F3E" w:rsidRPr="00995F3E" w14:paraId="07B91388" w14:textId="77777777" w:rsidTr="00E74925">
        <w:tc>
          <w:tcPr>
            <w:tcW w:w="704" w:type="dxa"/>
            <w:shd w:val="clear" w:color="auto" w:fill="auto"/>
          </w:tcPr>
          <w:p w14:paraId="5026BACB" w14:textId="77777777" w:rsidR="00995F3E" w:rsidRPr="00995F3E" w:rsidRDefault="00995F3E" w:rsidP="00E74925">
            <w:pPr>
              <w:spacing w:after="60"/>
              <w:ind w:left="-1"/>
              <w:jc w:val="left"/>
              <w:rPr>
                <w:rFonts w:cs="Arial"/>
                <w:bCs/>
                <w:i/>
                <w:sz w:val="14"/>
                <w:szCs w:val="14"/>
              </w:rPr>
            </w:pPr>
            <w:r w:rsidRPr="00995F3E">
              <w:rPr>
                <w:rFonts w:cs="Arial"/>
                <w:bCs/>
                <w:i/>
                <w:sz w:val="14"/>
                <w:szCs w:val="14"/>
              </w:rPr>
              <w:lastRenderedPageBreak/>
              <w:t>Step 5. Implement the plan</w:t>
            </w:r>
          </w:p>
        </w:tc>
        <w:tc>
          <w:tcPr>
            <w:tcW w:w="2552" w:type="dxa"/>
            <w:shd w:val="clear" w:color="auto" w:fill="auto"/>
          </w:tcPr>
          <w:p w14:paraId="78D8CC91" w14:textId="12F3A125" w:rsidR="00995F3E" w:rsidRPr="00995F3E" w:rsidRDefault="00995F3E" w:rsidP="00E74925">
            <w:pPr>
              <w:spacing w:after="60"/>
              <w:jc w:val="left"/>
              <w:rPr>
                <w:rFonts w:cs="Arial"/>
                <w:bCs/>
                <w:sz w:val="14"/>
                <w:szCs w:val="14"/>
              </w:rPr>
            </w:pPr>
            <w:r w:rsidRPr="00995F3E">
              <w:rPr>
                <w:rFonts w:cs="Arial"/>
                <w:bCs/>
                <w:sz w:val="14"/>
                <w:szCs w:val="14"/>
              </w:rPr>
              <w:t>This Step consists of implementing the plan’s measures, namely the selected measures for the short-term and measures necessary to keep open options that may be needed in the future (</w:t>
            </w:r>
            <w:proofErr w:type="spellStart"/>
            <w:r w:rsidR="005C558F" w:rsidRPr="00E74925">
              <w:rPr>
                <w:rFonts w:cs="Arial"/>
                <w:bCs/>
                <w:color w:val="7F7F7F" w:themeColor="text1" w:themeTint="80"/>
                <w:sz w:val="14"/>
                <w:szCs w:val="14"/>
              </w:rPr>
              <w:t>Deltares</w:t>
            </w:r>
            <w:proofErr w:type="spellEnd"/>
            <w:r w:rsidR="005C558F" w:rsidRPr="00E74925">
              <w:rPr>
                <w:rFonts w:cs="Arial"/>
                <w:bCs/>
                <w:color w:val="7F7F7F" w:themeColor="text1" w:themeTint="80"/>
                <w:sz w:val="14"/>
                <w:szCs w:val="14"/>
              </w:rPr>
              <w:t xml:space="preserve"> 2018</w:t>
            </w:r>
            <w:r w:rsidRPr="00995F3E">
              <w:rPr>
                <w:rFonts w:cs="Arial"/>
                <w:bCs/>
                <w:color w:val="7F7F7F" w:themeColor="text1" w:themeTint="80"/>
                <w:sz w:val="14"/>
                <w:szCs w:val="14"/>
              </w:rPr>
              <w:t xml:space="preserve">, p.2-3; </w:t>
            </w:r>
            <w:proofErr w:type="spellStart"/>
            <w:r w:rsidRPr="00995F3E">
              <w:rPr>
                <w:rFonts w:cs="Arial"/>
                <w:bCs/>
                <w:color w:val="7F7F7F" w:themeColor="text1" w:themeTint="80"/>
                <w:sz w:val="14"/>
                <w:szCs w:val="14"/>
              </w:rPr>
              <w:t>Jeuken</w:t>
            </w:r>
            <w:proofErr w:type="spellEnd"/>
            <w:r w:rsidRPr="00995F3E">
              <w:rPr>
                <w:rFonts w:cs="Arial"/>
                <w:bCs/>
                <w:color w:val="7F7F7F" w:themeColor="text1" w:themeTint="80"/>
                <w:sz w:val="14"/>
                <w:szCs w:val="14"/>
              </w:rPr>
              <w:t xml:space="preserve"> et al. 2014</w:t>
            </w:r>
            <w:r w:rsidRPr="00995F3E">
              <w:rPr>
                <w:rFonts w:cs="Arial"/>
                <w:bCs/>
                <w:sz w:val="14"/>
                <w:szCs w:val="14"/>
              </w:rPr>
              <w:t>).</w:t>
            </w:r>
          </w:p>
        </w:tc>
        <w:tc>
          <w:tcPr>
            <w:tcW w:w="6662" w:type="dxa"/>
            <w:gridSpan w:val="2"/>
            <w:shd w:val="clear" w:color="auto" w:fill="auto"/>
          </w:tcPr>
          <w:p w14:paraId="302CDA2D" w14:textId="77777777" w:rsidR="00995F3E" w:rsidRPr="00995F3E" w:rsidRDefault="00995F3E" w:rsidP="00E74925">
            <w:pPr>
              <w:spacing w:after="60"/>
              <w:rPr>
                <w:rFonts w:cs="Arial"/>
                <w:bCs/>
                <w:sz w:val="14"/>
                <w:szCs w:val="14"/>
              </w:rPr>
            </w:pPr>
            <w:r w:rsidRPr="00995F3E">
              <w:rPr>
                <w:rFonts w:cs="Arial"/>
                <w:bCs/>
                <w:sz w:val="14"/>
                <w:szCs w:val="14"/>
              </w:rPr>
              <w:t xml:space="preserve">The DP presented the </w:t>
            </w:r>
            <w:r w:rsidRPr="00995F3E">
              <w:rPr>
                <w:rFonts w:cs="Arial"/>
                <w:bCs/>
                <w:i/>
                <w:iCs/>
                <w:sz w:val="14"/>
                <w:szCs w:val="14"/>
              </w:rPr>
              <w:t>Delta Decisions</w:t>
            </w:r>
            <w:r w:rsidRPr="00995F3E">
              <w:rPr>
                <w:rFonts w:cs="Arial"/>
                <w:bCs/>
                <w:sz w:val="14"/>
                <w:szCs w:val="14"/>
              </w:rPr>
              <w:t xml:space="preserve"> and </w:t>
            </w:r>
            <w:r w:rsidRPr="00995F3E">
              <w:rPr>
                <w:rFonts w:cs="Arial"/>
                <w:bCs/>
                <w:i/>
                <w:iCs/>
                <w:sz w:val="14"/>
                <w:szCs w:val="14"/>
              </w:rPr>
              <w:t>Preferential Strategies</w:t>
            </w:r>
            <w:r w:rsidRPr="00995F3E">
              <w:rPr>
                <w:rFonts w:cs="Arial"/>
                <w:bCs/>
                <w:color w:val="00B050"/>
                <w:sz w:val="14"/>
                <w:szCs w:val="14"/>
              </w:rPr>
              <w:t xml:space="preserve"> </w:t>
            </w:r>
            <w:r w:rsidRPr="00995F3E">
              <w:rPr>
                <w:rFonts w:cs="Arial"/>
                <w:bCs/>
                <w:sz w:val="14"/>
                <w:szCs w:val="14"/>
              </w:rPr>
              <w:t>in the 2014 Report (</w:t>
            </w:r>
            <w:r w:rsidRPr="00995F3E">
              <w:rPr>
                <w:rFonts w:cs="Arial"/>
                <w:bCs/>
                <w:color w:val="7F7F7F" w:themeColor="text1" w:themeTint="80"/>
                <w:sz w:val="14"/>
                <w:szCs w:val="14"/>
              </w:rPr>
              <w:t>DP 2013, p.112, 125</w:t>
            </w:r>
            <w:r w:rsidRPr="00995F3E">
              <w:rPr>
                <w:rFonts w:cs="Arial"/>
                <w:bCs/>
                <w:sz w:val="14"/>
                <w:szCs w:val="14"/>
              </w:rPr>
              <w:t xml:space="preserve">), and in late 2014, the Central Government embedded the national policies resultant from the </w:t>
            </w:r>
            <w:r w:rsidRPr="00995F3E">
              <w:rPr>
                <w:rFonts w:cs="Arial"/>
                <w:bCs/>
                <w:i/>
                <w:iCs/>
                <w:sz w:val="14"/>
                <w:szCs w:val="14"/>
              </w:rPr>
              <w:t>Delta Decisions</w:t>
            </w:r>
            <w:r w:rsidRPr="00995F3E">
              <w:rPr>
                <w:rFonts w:cs="Arial"/>
                <w:bCs/>
                <w:sz w:val="14"/>
                <w:szCs w:val="14"/>
              </w:rPr>
              <w:t xml:space="preserve"> and </w:t>
            </w:r>
            <w:r w:rsidRPr="00995F3E">
              <w:rPr>
                <w:rFonts w:cs="Arial"/>
                <w:bCs/>
                <w:i/>
                <w:iCs/>
                <w:sz w:val="14"/>
                <w:szCs w:val="14"/>
              </w:rPr>
              <w:t>Preferential Strategies</w:t>
            </w:r>
            <w:r w:rsidRPr="00995F3E">
              <w:rPr>
                <w:rFonts w:cs="Arial"/>
                <w:bCs/>
                <w:sz w:val="14"/>
                <w:szCs w:val="14"/>
              </w:rPr>
              <w:t xml:space="preserve"> in an interim amendment of the </w:t>
            </w:r>
            <w:r w:rsidRPr="00995F3E">
              <w:rPr>
                <w:rFonts w:cs="Arial"/>
                <w:bCs/>
                <w:i/>
                <w:iCs/>
                <w:sz w:val="14"/>
                <w:szCs w:val="14"/>
              </w:rPr>
              <w:t>National Water Plan 2010-2015</w:t>
            </w:r>
            <w:r w:rsidRPr="00995F3E">
              <w:rPr>
                <w:rFonts w:cs="Arial"/>
                <w:bCs/>
                <w:sz w:val="14"/>
                <w:szCs w:val="14"/>
              </w:rPr>
              <w:t xml:space="preserve">, and, in late 2015, in the </w:t>
            </w:r>
            <w:r w:rsidRPr="00995F3E">
              <w:rPr>
                <w:rFonts w:cs="Arial"/>
                <w:bCs/>
                <w:i/>
                <w:iCs/>
                <w:sz w:val="14"/>
                <w:szCs w:val="14"/>
              </w:rPr>
              <w:t>National Water Plan 2016-2021</w:t>
            </w:r>
            <w:r w:rsidRPr="00995F3E">
              <w:rPr>
                <w:rFonts w:cs="Arial"/>
                <w:bCs/>
                <w:sz w:val="14"/>
                <w:szCs w:val="14"/>
              </w:rPr>
              <w:t xml:space="preserve"> (</w:t>
            </w:r>
            <w:r w:rsidRPr="00995F3E">
              <w:rPr>
                <w:rFonts w:cs="Arial"/>
                <w:bCs/>
                <w:color w:val="7F7F7F" w:themeColor="text1" w:themeTint="80"/>
                <w:sz w:val="14"/>
                <w:szCs w:val="14"/>
              </w:rPr>
              <w:t>DP 2016, p.64; 2014, p.8</w:t>
            </w:r>
            <w:r w:rsidRPr="00995F3E">
              <w:rPr>
                <w:rFonts w:cs="Arial"/>
                <w:bCs/>
                <w:sz w:val="14"/>
                <w:szCs w:val="14"/>
              </w:rPr>
              <w:t xml:space="preserve">). </w:t>
            </w:r>
          </w:p>
          <w:p w14:paraId="43BAC1CB" w14:textId="77777777" w:rsidR="00995F3E" w:rsidRPr="00995F3E" w:rsidRDefault="00995F3E" w:rsidP="00E74925">
            <w:pPr>
              <w:spacing w:after="60"/>
              <w:rPr>
                <w:rFonts w:cs="Arial"/>
                <w:bCs/>
                <w:color w:val="C00000"/>
                <w:sz w:val="14"/>
                <w:szCs w:val="14"/>
              </w:rPr>
            </w:pPr>
            <w:r w:rsidRPr="00995F3E">
              <w:rPr>
                <w:rFonts w:cs="Arial"/>
                <w:bCs/>
                <w:sz w:val="14"/>
                <w:szCs w:val="14"/>
              </w:rPr>
              <w:t xml:space="preserve">After 2014, the DP entered in a new phase focused on the detailed elaboration and implementation of the </w:t>
            </w:r>
            <w:r w:rsidRPr="00995F3E">
              <w:rPr>
                <w:rFonts w:cs="Arial"/>
                <w:bCs/>
                <w:i/>
                <w:iCs/>
                <w:sz w:val="14"/>
                <w:szCs w:val="14"/>
              </w:rPr>
              <w:t>Delta Decisions</w:t>
            </w:r>
            <w:r w:rsidRPr="00995F3E">
              <w:rPr>
                <w:rFonts w:cs="Arial"/>
                <w:bCs/>
                <w:sz w:val="14"/>
                <w:szCs w:val="14"/>
              </w:rPr>
              <w:t xml:space="preserve"> and </w:t>
            </w:r>
            <w:r w:rsidRPr="00995F3E">
              <w:rPr>
                <w:rFonts w:cs="Arial"/>
                <w:bCs/>
                <w:i/>
                <w:iCs/>
                <w:sz w:val="14"/>
                <w:szCs w:val="14"/>
              </w:rPr>
              <w:t>Preferential Strategies</w:t>
            </w:r>
            <w:r w:rsidRPr="00995F3E">
              <w:rPr>
                <w:rFonts w:cs="Arial"/>
                <w:bCs/>
                <w:sz w:val="14"/>
                <w:szCs w:val="14"/>
              </w:rPr>
              <w:t>, and the observation of how the climatic, physical and societal conditions are changing, and ensuring the continuation of the adaptive approach (</w:t>
            </w:r>
            <w:r w:rsidRPr="00995F3E">
              <w:rPr>
                <w:rFonts w:cs="Arial"/>
                <w:bCs/>
                <w:color w:val="7F7F7F" w:themeColor="text1" w:themeTint="80"/>
                <w:sz w:val="14"/>
                <w:szCs w:val="14"/>
              </w:rPr>
              <w:t>DP 2014 p.9, 144; 150; 2013, p.114; Alphen 2015; Bloemen et al. 2018; Zevenbergen et al. 2018</w:t>
            </w:r>
            <w:r w:rsidRPr="00995F3E">
              <w:rPr>
                <w:rFonts w:cs="Arial"/>
                <w:bCs/>
                <w:sz w:val="14"/>
                <w:szCs w:val="14"/>
              </w:rPr>
              <w:t>).</w:t>
            </w:r>
            <w:r w:rsidRPr="00995F3E">
              <w:rPr>
                <w:rFonts w:cs="Arial"/>
                <w:bCs/>
                <w:i/>
                <w:iCs/>
                <w:sz w:val="14"/>
                <w:szCs w:val="14"/>
              </w:rPr>
              <w:t xml:space="preserve"> </w:t>
            </w:r>
          </w:p>
          <w:p w14:paraId="6EA97397" w14:textId="77777777" w:rsidR="00995F3E" w:rsidRPr="00995F3E" w:rsidRDefault="00995F3E" w:rsidP="00E74925">
            <w:pPr>
              <w:spacing w:after="60"/>
              <w:rPr>
                <w:rFonts w:cs="Arial"/>
                <w:bCs/>
                <w:sz w:val="14"/>
                <w:szCs w:val="14"/>
              </w:rPr>
            </w:pPr>
            <w:r w:rsidRPr="00995F3E">
              <w:rPr>
                <w:rFonts w:cs="Arial"/>
                <w:bCs/>
                <w:sz w:val="14"/>
                <w:szCs w:val="14"/>
              </w:rPr>
              <w:t>The DP Commissioner has supervised the implementation of the measures by the Water Boards, Provinces, Municipalities, disaster management organizations, and Rijkswaterstaat (the National Authority for Water Management and Public Works) (</w:t>
            </w:r>
            <w:r w:rsidRPr="00995F3E">
              <w:rPr>
                <w:rFonts w:cs="Arial"/>
                <w:bCs/>
                <w:color w:val="7F7F7F" w:themeColor="text1" w:themeTint="80"/>
                <w:sz w:val="14"/>
                <w:szCs w:val="14"/>
              </w:rPr>
              <w:t>Alphen 2015</w:t>
            </w:r>
            <w:r w:rsidRPr="00995F3E">
              <w:rPr>
                <w:rFonts w:cs="Arial"/>
                <w:bCs/>
                <w:sz w:val="14"/>
                <w:szCs w:val="14"/>
              </w:rPr>
              <w:t>) and has submitted the annual DP report (documenting the progress of the proposed measures) (</w:t>
            </w:r>
            <w:r w:rsidRPr="00995F3E">
              <w:rPr>
                <w:rFonts w:cs="Arial"/>
                <w:bCs/>
                <w:color w:val="7F7F7F" w:themeColor="text1" w:themeTint="80"/>
                <w:sz w:val="14"/>
                <w:szCs w:val="14"/>
              </w:rPr>
              <w:t>DP 2013, p.112</w:t>
            </w:r>
            <w:r w:rsidRPr="00995F3E">
              <w:rPr>
                <w:rFonts w:cs="Arial"/>
                <w:bCs/>
                <w:sz w:val="14"/>
                <w:szCs w:val="14"/>
              </w:rPr>
              <w:t xml:space="preserve">). </w:t>
            </w:r>
          </w:p>
          <w:p w14:paraId="75C468CE"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By 2016, most Provinces had incorporated the </w:t>
            </w:r>
            <w:r w:rsidRPr="00995F3E">
              <w:rPr>
                <w:rFonts w:cs="Arial"/>
                <w:bCs/>
                <w:i/>
                <w:iCs/>
                <w:sz w:val="14"/>
                <w:szCs w:val="14"/>
              </w:rPr>
              <w:t>Delta Decisions</w:t>
            </w:r>
            <w:r w:rsidRPr="00995F3E">
              <w:rPr>
                <w:rFonts w:cs="Arial"/>
                <w:bCs/>
                <w:sz w:val="14"/>
                <w:szCs w:val="14"/>
              </w:rPr>
              <w:t xml:space="preserve"> and </w:t>
            </w:r>
            <w:r w:rsidRPr="00995F3E">
              <w:rPr>
                <w:rFonts w:cs="Arial"/>
                <w:bCs/>
                <w:i/>
                <w:iCs/>
                <w:sz w:val="14"/>
                <w:szCs w:val="14"/>
              </w:rPr>
              <w:t>Preferential Strategies</w:t>
            </w:r>
            <w:r w:rsidRPr="00995F3E">
              <w:rPr>
                <w:rFonts w:cs="Arial"/>
                <w:bCs/>
                <w:sz w:val="14"/>
                <w:szCs w:val="14"/>
              </w:rPr>
              <w:t xml:space="preserve"> into their policy (namely in their </w:t>
            </w:r>
            <w:r w:rsidRPr="00995F3E">
              <w:rPr>
                <w:rFonts w:cs="Arial"/>
                <w:bCs/>
                <w:i/>
                <w:iCs/>
                <w:sz w:val="14"/>
                <w:szCs w:val="14"/>
              </w:rPr>
              <w:t>framework visions</w:t>
            </w:r>
            <w:r w:rsidRPr="00995F3E">
              <w:rPr>
                <w:rFonts w:cs="Arial"/>
                <w:bCs/>
                <w:sz w:val="14"/>
                <w:szCs w:val="14"/>
              </w:rPr>
              <w:t xml:space="preserve"> or </w:t>
            </w:r>
            <w:r w:rsidRPr="00995F3E">
              <w:rPr>
                <w:rFonts w:cs="Arial"/>
                <w:bCs/>
                <w:i/>
                <w:iCs/>
                <w:sz w:val="14"/>
                <w:szCs w:val="14"/>
              </w:rPr>
              <w:t>environmental visions</w:t>
            </w:r>
            <w:r w:rsidRPr="00995F3E">
              <w:rPr>
                <w:rFonts w:cs="Arial"/>
                <w:bCs/>
                <w:sz w:val="14"/>
                <w:szCs w:val="14"/>
              </w:rPr>
              <w:t>, for instance in the ‘</w:t>
            </w:r>
            <w:r w:rsidRPr="00995F3E">
              <w:rPr>
                <w:rFonts w:cs="Arial"/>
                <w:bCs/>
                <w:i/>
                <w:iCs/>
                <w:sz w:val="14"/>
                <w:szCs w:val="14"/>
              </w:rPr>
              <w:t>Spatial Planning and Mobility Vision</w:t>
            </w:r>
            <w:r w:rsidRPr="00995F3E">
              <w:rPr>
                <w:rFonts w:cs="Arial"/>
                <w:bCs/>
                <w:sz w:val="14"/>
                <w:szCs w:val="14"/>
              </w:rPr>
              <w:t xml:space="preserve">’ of Zuid-Holland Province which includes Rotterdam); while the Water Boards anchored policies resultant from the </w:t>
            </w:r>
            <w:r w:rsidRPr="00995F3E">
              <w:rPr>
                <w:rFonts w:cs="Arial"/>
                <w:bCs/>
                <w:i/>
                <w:iCs/>
                <w:sz w:val="14"/>
                <w:szCs w:val="14"/>
              </w:rPr>
              <w:t>Delta Decisions</w:t>
            </w:r>
            <w:r w:rsidRPr="00995F3E">
              <w:rPr>
                <w:rFonts w:cs="Arial"/>
                <w:bCs/>
                <w:sz w:val="14"/>
                <w:szCs w:val="14"/>
              </w:rPr>
              <w:t xml:space="preserve"> and </w:t>
            </w:r>
            <w:r w:rsidRPr="00995F3E">
              <w:rPr>
                <w:rFonts w:cs="Arial"/>
                <w:bCs/>
                <w:i/>
                <w:iCs/>
                <w:sz w:val="14"/>
                <w:szCs w:val="14"/>
              </w:rPr>
              <w:t>Preferential Strategies</w:t>
            </w:r>
            <w:r w:rsidRPr="00995F3E">
              <w:rPr>
                <w:rFonts w:cs="Arial"/>
                <w:bCs/>
                <w:sz w:val="14"/>
                <w:szCs w:val="14"/>
              </w:rPr>
              <w:t xml:space="preserve"> in their new </w:t>
            </w:r>
            <w:r w:rsidRPr="00995F3E">
              <w:rPr>
                <w:rFonts w:cs="Arial"/>
                <w:bCs/>
                <w:i/>
                <w:iCs/>
                <w:sz w:val="14"/>
                <w:szCs w:val="14"/>
              </w:rPr>
              <w:t>Water Management Plans</w:t>
            </w:r>
            <w:r w:rsidRPr="00995F3E">
              <w:rPr>
                <w:rFonts w:cs="Arial"/>
                <w:bCs/>
                <w:sz w:val="14"/>
                <w:szCs w:val="14"/>
              </w:rPr>
              <w:t xml:space="preserve"> (</w:t>
            </w:r>
            <w:r w:rsidRPr="00995F3E">
              <w:rPr>
                <w:rFonts w:cs="Arial"/>
                <w:bCs/>
                <w:color w:val="7F7F7F" w:themeColor="text1" w:themeTint="80"/>
                <w:sz w:val="14"/>
                <w:szCs w:val="14"/>
              </w:rPr>
              <w:t>DP 2016, p.65</w:t>
            </w:r>
            <w:r w:rsidRPr="00995F3E">
              <w:rPr>
                <w:rFonts w:cs="Arial"/>
                <w:bCs/>
                <w:sz w:val="14"/>
                <w:szCs w:val="14"/>
              </w:rPr>
              <w:t>).</w:t>
            </w:r>
          </w:p>
          <w:p w14:paraId="0AF597E8" w14:textId="77777777" w:rsidR="00995F3E" w:rsidRPr="00995F3E" w:rsidRDefault="00995F3E" w:rsidP="00E74925">
            <w:pPr>
              <w:spacing w:after="60"/>
              <w:jc w:val="left"/>
              <w:rPr>
                <w:rFonts w:cs="Arial"/>
                <w:bCs/>
                <w:sz w:val="14"/>
                <w:szCs w:val="14"/>
              </w:rPr>
            </w:pPr>
            <w:r w:rsidRPr="00995F3E">
              <w:rPr>
                <w:rFonts w:eastAsia="RijksoverheidSerif-Regular" w:cs="Arial"/>
                <w:bCs/>
                <w:color w:val="000000"/>
                <w:sz w:val="14"/>
                <w:szCs w:val="14"/>
              </w:rPr>
              <w:t>ADM required the DP to</w:t>
            </w:r>
            <w:r w:rsidRPr="00995F3E">
              <w:rPr>
                <w:rFonts w:eastAsia="RijksoverheidSerif-Regular" w:cs="Arial"/>
                <w:bCs/>
                <w:i/>
                <w:color w:val="000000"/>
                <w:sz w:val="14"/>
                <w:szCs w:val="14"/>
              </w:rPr>
              <w:t xml:space="preserve"> </w:t>
            </w:r>
            <w:r w:rsidRPr="00995F3E">
              <w:rPr>
                <w:rFonts w:eastAsia="RijksoverheidSerif-Regular" w:cs="Arial"/>
                <w:bCs/>
                <w:iCs/>
                <w:color w:val="000000"/>
                <w:sz w:val="14"/>
                <w:szCs w:val="14"/>
              </w:rPr>
              <w:t xml:space="preserve">deal </w:t>
            </w:r>
            <w:r w:rsidRPr="00995F3E">
              <w:rPr>
                <w:rFonts w:cs="Arial"/>
                <w:bCs/>
                <w:sz w:val="14"/>
                <w:szCs w:val="14"/>
              </w:rPr>
              <w:t xml:space="preserve">with new insights and changes as part of the implementation of the </w:t>
            </w:r>
            <w:r w:rsidRPr="00995F3E">
              <w:rPr>
                <w:rFonts w:cs="Arial"/>
                <w:bCs/>
                <w:i/>
                <w:iCs/>
                <w:sz w:val="14"/>
                <w:szCs w:val="14"/>
              </w:rPr>
              <w:t>Delta Decisions</w:t>
            </w:r>
            <w:r w:rsidRPr="00995F3E">
              <w:rPr>
                <w:rFonts w:cs="Arial"/>
                <w:bCs/>
                <w:sz w:val="14"/>
                <w:szCs w:val="14"/>
              </w:rPr>
              <w:t xml:space="preserve"> and </w:t>
            </w:r>
            <w:r w:rsidRPr="00995F3E">
              <w:rPr>
                <w:rFonts w:cs="Arial"/>
                <w:bCs/>
                <w:i/>
                <w:iCs/>
                <w:sz w:val="14"/>
                <w:szCs w:val="14"/>
              </w:rPr>
              <w:t>Preferential Strategies</w:t>
            </w:r>
            <w:r w:rsidRPr="00995F3E">
              <w:rPr>
                <w:rFonts w:cs="Arial"/>
                <w:bCs/>
                <w:sz w:val="14"/>
                <w:szCs w:val="14"/>
              </w:rPr>
              <w:t>. This implied the creation of ‘</w:t>
            </w:r>
            <w:r w:rsidRPr="00995F3E">
              <w:rPr>
                <w:rFonts w:cs="Arial"/>
                <w:bCs/>
                <w:i/>
                <w:sz w:val="14"/>
                <w:szCs w:val="14"/>
              </w:rPr>
              <w:t>a properly embedded monitoring and evaluation programme</w:t>
            </w:r>
            <w:r w:rsidRPr="00995F3E">
              <w:rPr>
                <w:rFonts w:cs="Arial"/>
                <w:bCs/>
                <w:sz w:val="14"/>
                <w:szCs w:val="14"/>
              </w:rPr>
              <w:t>’ and ‘</w:t>
            </w:r>
            <w:r w:rsidRPr="00995F3E">
              <w:rPr>
                <w:rFonts w:cs="Arial"/>
                <w:bCs/>
                <w:i/>
                <w:sz w:val="14"/>
                <w:szCs w:val="14"/>
              </w:rPr>
              <w:t>a steering model that is in line with the adaptive approach</w:t>
            </w:r>
            <w:r w:rsidRPr="00995F3E">
              <w:rPr>
                <w:rFonts w:cs="Arial"/>
                <w:bCs/>
                <w:sz w:val="14"/>
                <w:szCs w:val="14"/>
              </w:rPr>
              <w:t>’ (</w:t>
            </w:r>
            <w:r w:rsidRPr="00995F3E">
              <w:rPr>
                <w:rFonts w:cs="Arial"/>
                <w:bCs/>
                <w:color w:val="7F7F7F" w:themeColor="text1" w:themeTint="80"/>
                <w:sz w:val="14"/>
                <w:szCs w:val="14"/>
              </w:rPr>
              <w:t>DP 2014, p.148</w:t>
            </w:r>
            <w:r w:rsidRPr="00995F3E">
              <w:rPr>
                <w:rFonts w:cs="Arial"/>
                <w:bCs/>
                <w:sz w:val="14"/>
                <w:szCs w:val="14"/>
              </w:rPr>
              <w:t xml:space="preserve">). </w:t>
            </w:r>
          </w:p>
          <w:p w14:paraId="0AD15682" w14:textId="77777777" w:rsidR="00995F3E" w:rsidRPr="00995F3E" w:rsidRDefault="00995F3E" w:rsidP="00E74925">
            <w:pPr>
              <w:spacing w:after="60"/>
              <w:jc w:val="left"/>
              <w:rPr>
                <w:rFonts w:cs="Arial"/>
                <w:bCs/>
                <w:sz w:val="14"/>
                <w:szCs w:val="14"/>
              </w:rPr>
            </w:pPr>
            <w:r w:rsidRPr="00995F3E">
              <w:rPr>
                <w:rFonts w:cs="Arial"/>
                <w:bCs/>
                <w:sz w:val="14"/>
                <w:szCs w:val="14"/>
              </w:rPr>
              <w:t>Moreover, ADM implied an ‘</w:t>
            </w:r>
            <w:r w:rsidRPr="00995F3E">
              <w:rPr>
                <w:rFonts w:cs="Arial"/>
                <w:bCs/>
                <w:i/>
                <w:iCs/>
                <w:sz w:val="14"/>
                <w:szCs w:val="14"/>
              </w:rPr>
              <w:t>adaptive implementation</w:t>
            </w:r>
            <w:r w:rsidRPr="00995F3E">
              <w:rPr>
                <w:rFonts w:cs="Arial"/>
                <w:bCs/>
                <w:sz w:val="14"/>
                <w:szCs w:val="14"/>
              </w:rPr>
              <w:t xml:space="preserve">’ of the measures planned in the </w:t>
            </w:r>
            <w:r w:rsidRPr="00995F3E">
              <w:rPr>
                <w:rFonts w:cs="Arial"/>
                <w:bCs/>
                <w:i/>
                <w:iCs/>
                <w:sz w:val="14"/>
                <w:szCs w:val="14"/>
              </w:rPr>
              <w:t>Preferential Strategies</w:t>
            </w:r>
            <w:r w:rsidRPr="00995F3E">
              <w:rPr>
                <w:rFonts w:cs="Arial"/>
                <w:bCs/>
                <w:sz w:val="14"/>
                <w:szCs w:val="14"/>
              </w:rPr>
              <w:t>, an ongoing search for more efficient strategies (or measures), a combined programming of projects in the fields of FRM, FS and spatial adaptation; the consideration of expected future conditions in the design of measures (</w:t>
            </w:r>
            <w:r w:rsidRPr="00995F3E">
              <w:rPr>
                <w:rFonts w:cs="Arial"/>
                <w:bCs/>
                <w:i/>
                <w:iCs/>
                <w:sz w:val="14"/>
                <w:szCs w:val="14"/>
              </w:rPr>
              <w:t>future-oriented dimensioning</w:t>
            </w:r>
            <w:r w:rsidRPr="00995F3E">
              <w:rPr>
                <w:rFonts w:cs="Arial"/>
                <w:bCs/>
                <w:sz w:val="14"/>
                <w:szCs w:val="14"/>
              </w:rPr>
              <w:t>); and ‘</w:t>
            </w:r>
            <w:r w:rsidRPr="00995F3E">
              <w:rPr>
                <w:rFonts w:cs="Arial"/>
                <w:bCs/>
                <w:i/>
                <w:iCs/>
                <w:sz w:val="14"/>
                <w:szCs w:val="14"/>
              </w:rPr>
              <w:t>targeted monitoring and periodically adjusting</w:t>
            </w:r>
            <w:r w:rsidRPr="00995F3E">
              <w:rPr>
                <w:rFonts w:cs="Arial"/>
                <w:bCs/>
                <w:sz w:val="14"/>
                <w:szCs w:val="14"/>
              </w:rPr>
              <w:t>’ (</w:t>
            </w:r>
            <w:r w:rsidRPr="00995F3E">
              <w:rPr>
                <w:rFonts w:cs="Arial"/>
                <w:bCs/>
                <w:color w:val="7F7F7F" w:themeColor="text1" w:themeTint="80"/>
                <w:sz w:val="14"/>
                <w:szCs w:val="14"/>
              </w:rPr>
              <w:t>DP 2014, p.145</w:t>
            </w:r>
            <w:r w:rsidRPr="00995F3E">
              <w:rPr>
                <w:rFonts w:cs="Arial"/>
                <w:bCs/>
                <w:sz w:val="14"/>
                <w:szCs w:val="14"/>
              </w:rPr>
              <w:t>). In the programming and implementation of measures, the DP has sought to link the measures of FRM, FS and space, and seize opportunities, e.g. by combining dyke improvements with spatial adaptation measures (</w:t>
            </w:r>
            <w:r w:rsidRPr="00995F3E">
              <w:rPr>
                <w:rFonts w:cs="Arial"/>
                <w:bCs/>
                <w:color w:val="7F7F7F" w:themeColor="text1" w:themeTint="80"/>
                <w:sz w:val="14"/>
                <w:szCs w:val="14"/>
              </w:rPr>
              <w:t>DP 2014, p.9</w:t>
            </w:r>
            <w:r w:rsidRPr="00995F3E">
              <w:rPr>
                <w:rFonts w:cs="Arial"/>
                <w:bCs/>
                <w:sz w:val="14"/>
                <w:szCs w:val="14"/>
              </w:rPr>
              <w:t xml:space="preserve">). </w:t>
            </w:r>
          </w:p>
          <w:p w14:paraId="1BF067AF"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Alongside regular maintenance of flood defences, the main FRM tasks for the next decades (up to 2050) involve: applying the new flood protection standards; improving the primary flood defence systems that fail the Statutory Assessments (through the </w:t>
            </w:r>
            <w:r w:rsidRPr="00995F3E">
              <w:rPr>
                <w:rFonts w:cs="Arial"/>
                <w:bCs/>
                <w:i/>
                <w:iCs/>
                <w:sz w:val="14"/>
                <w:szCs w:val="14"/>
              </w:rPr>
              <w:t>Flood Protection Programme HWBP</w:t>
            </w:r>
            <w:r w:rsidRPr="00995F3E">
              <w:rPr>
                <w:rFonts w:cs="Arial"/>
                <w:bCs/>
                <w:sz w:val="14"/>
                <w:szCs w:val="14"/>
              </w:rPr>
              <w:t>) (</w:t>
            </w:r>
            <w:r w:rsidRPr="00995F3E">
              <w:rPr>
                <w:rFonts w:cs="Arial"/>
                <w:bCs/>
                <w:color w:val="7F7F7F" w:themeColor="text1" w:themeTint="80"/>
                <w:sz w:val="14"/>
                <w:szCs w:val="14"/>
              </w:rPr>
              <w:t>DP 2013, p.124</w:t>
            </w:r>
            <w:r w:rsidRPr="00995F3E">
              <w:rPr>
                <w:rFonts w:cs="Arial"/>
                <w:bCs/>
                <w:sz w:val="14"/>
                <w:szCs w:val="14"/>
              </w:rPr>
              <w:t xml:space="preserve">). </w:t>
            </w:r>
          </w:p>
          <w:p w14:paraId="70C66FBA" w14:textId="77777777" w:rsidR="00995F3E" w:rsidRPr="00995F3E" w:rsidRDefault="00995F3E" w:rsidP="00E74925">
            <w:pPr>
              <w:spacing w:after="60"/>
              <w:rPr>
                <w:rFonts w:cs="Arial"/>
                <w:bCs/>
                <w:sz w:val="14"/>
                <w:szCs w:val="14"/>
              </w:rPr>
            </w:pPr>
            <w:r w:rsidRPr="00995F3E">
              <w:rPr>
                <w:rFonts w:cs="Arial"/>
                <w:bCs/>
                <w:sz w:val="14"/>
                <w:szCs w:val="14"/>
              </w:rPr>
              <w:t>With the publication of the DP 2014, the phase of ‘strategy development’ formally ended, and the phase of further elaboration and implementation of the Strategies began; some responsibilities were transferred to ministries and project-execution organizations; and regional and local governments were charged to coordinate activities in their region. ADM and ‘thinking in APs’ were important in the phase of ‘strategy development</w:t>
            </w:r>
            <w:proofErr w:type="gramStart"/>
            <w:r w:rsidRPr="00995F3E">
              <w:rPr>
                <w:rFonts w:cs="Arial"/>
                <w:bCs/>
                <w:sz w:val="14"/>
                <w:szCs w:val="14"/>
              </w:rPr>
              <w:t>’, but</w:t>
            </w:r>
            <w:proofErr w:type="gramEnd"/>
            <w:r w:rsidRPr="00995F3E">
              <w:rPr>
                <w:rFonts w:cs="Arial"/>
                <w:bCs/>
                <w:sz w:val="14"/>
                <w:szCs w:val="14"/>
              </w:rPr>
              <w:t xml:space="preserve"> should also be preserved in the phase of implementation: ‘</w:t>
            </w:r>
            <w:r w:rsidRPr="00995F3E">
              <w:rPr>
                <w:rFonts w:cs="Arial"/>
                <w:bCs/>
                <w:i/>
                <w:sz w:val="14"/>
                <w:szCs w:val="14"/>
              </w:rPr>
              <w:t xml:space="preserve">the necessity to maintain the adaptive character of the DP in the implementation phase was stressed by several organizations including research institutes’ </w:t>
            </w:r>
            <w:r w:rsidRPr="00995F3E">
              <w:rPr>
                <w:rFonts w:cs="Arial"/>
                <w:bCs/>
                <w:sz w:val="14"/>
                <w:szCs w:val="14"/>
              </w:rPr>
              <w:t>(</w:t>
            </w:r>
            <w:r w:rsidRPr="00995F3E">
              <w:rPr>
                <w:rFonts w:cs="Arial"/>
                <w:bCs/>
                <w:color w:val="7F7F7F" w:themeColor="text1" w:themeTint="80"/>
                <w:sz w:val="14"/>
                <w:szCs w:val="14"/>
              </w:rPr>
              <w:t>Bloemen et al. 2018, p.13</w:t>
            </w:r>
            <w:r w:rsidRPr="00995F3E">
              <w:rPr>
                <w:rFonts w:cs="Arial"/>
                <w:bCs/>
                <w:sz w:val="14"/>
                <w:szCs w:val="14"/>
              </w:rPr>
              <w:t xml:space="preserve">). Gradually, the emphasis shifted from the development of </w:t>
            </w:r>
            <w:r w:rsidRPr="00995F3E">
              <w:rPr>
                <w:rFonts w:cs="Arial"/>
                <w:bCs/>
                <w:i/>
                <w:sz w:val="14"/>
                <w:szCs w:val="14"/>
              </w:rPr>
              <w:t>adaptive strategies</w:t>
            </w:r>
            <w:r w:rsidRPr="00995F3E">
              <w:rPr>
                <w:rFonts w:cs="Arial"/>
                <w:bCs/>
                <w:sz w:val="14"/>
                <w:szCs w:val="14"/>
              </w:rPr>
              <w:t xml:space="preserve"> towards their implementation in practice. The effectiveness of ADM must also be proved in this implementation phase, namely by monitoring of external drivers, regularly evaluating the effectiveness of measures applied and proposed, and assessing if it is necessary an </w:t>
            </w:r>
            <w:r w:rsidRPr="00995F3E">
              <w:rPr>
                <w:rFonts w:cs="Arial"/>
                <w:bCs/>
                <w:sz w:val="14"/>
                <w:szCs w:val="14"/>
              </w:rPr>
              <w:lastRenderedPageBreak/>
              <w:t>anticipation or delay of measures, or a transition to another strategy (</w:t>
            </w:r>
            <w:r w:rsidRPr="00995F3E">
              <w:rPr>
                <w:rFonts w:cs="Arial"/>
                <w:bCs/>
                <w:color w:val="7F7F7F" w:themeColor="text1" w:themeTint="80"/>
                <w:sz w:val="14"/>
                <w:szCs w:val="14"/>
              </w:rPr>
              <w:t>Zevenbergen et al. 2018</w:t>
            </w:r>
            <w:r w:rsidRPr="00995F3E">
              <w:rPr>
                <w:rFonts w:cs="Arial"/>
                <w:bCs/>
                <w:sz w:val="14"/>
                <w:szCs w:val="14"/>
              </w:rPr>
              <w:t>). Adaptivity should be conserved in the next phase (</w:t>
            </w:r>
            <w:r w:rsidRPr="00995F3E">
              <w:rPr>
                <w:rFonts w:cs="Arial"/>
                <w:bCs/>
                <w:color w:val="7F7F7F" w:themeColor="text1" w:themeTint="80"/>
                <w:sz w:val="14"/>
                <w:szCs w:val="14"/>
              </w:rPr>
              <w:t>Bloemen et al. 2018</w:t>
            </w:r>
            <w:r w:rsidRPr="00995F3E">
              <w:rPr>
                <w:rFonts w:cs="Arial"/>
                <w:bCs/>
                <w:sz w:val="14"/>
                <w:szCs w:val="14"/>
              </w:rPr>
              <w:t>).</w:t>
            </w:r>
          </w:p>
        </w:tc>
      </w:tr>
      <w:tr w:rsidR="00995F3E" w:rsidRPr="00995F3E" w14:paraId="43CDDF09" w14:textId="77777777" w:rsidTr="00E74925">
        <w:tc>
          <w:tcPr>
            <w:tcW w:w="704" w:type="dxa"/>
            <w:shd w:val="clear" w:color="auto" w:fill="auto"/>
          </w:tcPr>
          <w:p w14:paraId="622EFDAE" w14:textId="77777777" w:rsidR="00995F3E" w:rsidRPr="00995F3E" w:rsidRDefault="00995F3E" w:rsidP="00E74925">
            <w:pPr>
              <w:spacing w:after="60"/>
              <w:jc w:val="left"/>
              <w:rPr>
                <w:rFonts w:cs="Arial"/>
                <w:bCs/>
                <w:i/>
                <w:sz w:val="14"/>
                <w:szCs w:val="14"/>
              </w:rPr>
            </w:pPr>
            <w:r w:rsidRPr="00995F3E">
              <w:rPr>
                <w:rFonts w:cs="Arial"/>
                <w:bCs/>
                <w:i/>
                <w:sz w:val="14"/>
                <w:szCs w:val="14"/>
              </w:rPr>
              <w:t>Step 6. Monitor, reassess the plan accordingly,</w:t>
            </w:r>
            <w:r w:rsidRPr="00995F3E">
              <w:rPr>
                <w:rFonts w:cs="Arial"/>
                <w:bCs/>
                <w:i/>
                <w:color w:val="00B050"/>
                <w:sz w:val="14"/>
                <w:szCs w:val="14"/>
              </w:rPr>
              <w:t xml:space="preserve"> </w:t>
            </w:r>
            <w:r w:rsidRPr="00995F3E">
              <w:rPr>
                <w:rFonts w:cs="Arial"/>
                <w:bCs/>
                <w:i/>
                <w:sz w:val="14"/>
                <w:szCs w:val="14"/>
              </w:rPr>
              <w:t>and, if necessary, adjust it (its strategies/ measures)</w:t>
            </w:r>
          </w:p>
        </w:tc>
        <w:tc>
          <w:tcPr>
            <w:tcW w:w="2552" w:type="dxa"/>
            <w:shd w:val="clear" w:color="auto" w:fill="auto"/>
          </w:tcPr>
          <w:p w14:paraId="3FC6DBAB" w14:textId="68C9950F" w:rsidR="00995F3E" w:rsidRPr="00995F3E" w:rsidRDefault="00995F3E" w:rsidP="00E74925">
            <w:pPr>
              <w:spacing w:after="60"/>
              <w:jc w:val="left"/>
              <w:rPr>
                <w:rFonts w:cs="Arial"/>
                <w:bCs/>
                <w:sz w:val="14"/>
                <w:szCs w:val="14"/>
              </w:rPr>
            </w:pPr>
            <w:r w:rsidRPr="00995F3E">
              <w:rPr>
                <w:rFonts w:cs="Arial"/>
                <w:bCs/>
                <w:sz w:val="14"/>
                <w:szCs w:val="14"/>
              </w:rPr>
              <w:t>This step consists of monitoring and evaluating external changes, implemented measures, and progresses in knowledge, and regular</w:t>
            </w:r>
            <w:r w:rsidRPr="00995F3E">
              <w:rPr>
                <w:rFonts w:cs="Arial"/>
                <w:bCs/>
                <w:color w:val="C00000"/>
                <w:sz w:val="14"/>
                <w:szCs w:val="14"/>
              </w:rPr>
              <w:t xml:space="preserve"> </w:t>
            </w:r>
            <w:r w:rsidRPr="00995F3E">
              <w:rPr>
                <w:rFonts w:cs="Arial"/>
                <w:bCs/>
                <w:sz w:val="14"/>
                <w:szCs w:val="14"/>
              </w:rPr>
              <w:t>reassessing the plan, and, if necessary, reviewing it (</w:t>
            </w:r>
            <w:proofErr w:type="spellStart"/>
            <w:r w:rsidRPr="00995F3E">
              <w:rPr>
                <w:rFonts w:cs="Arial"/>
                <w:bCs/>
                <w:color w:val="7F7F7F" w:themeColor="text1" w:themeTint="80"/>
                <w:sz w:val="14"/>
                <w:szCs w:val="14"/>
              </w:rPr>
              <w:t>Haasnoot</w:t>
            </w:r>
            <w:proofErr w:type="spellEnd"/>
            <w:r w:rsidRPr="00995F3E">
              <w:rPr>
                <w:rFonts w:cs="Arial"/>
                <w:bCs/>
                <w:color w:val="7F7F7F" w:themeColor="text1" w:themeTint="80"/>
                <w:sz w:val="14"/>
                <w:szCs w:val="14"/>
              </w:rPr>
              <w:t xml:space="preserve"> and </w:t>
            </w:r>
            <w:proofErr w:type="spellStart"/>
            <w:r w:rsidRPr="00995F3E">
              <w:rPr>
                <w:rFonts w:cs="Arial"/>
                <w:bCs/>
                <w:color w:val="7F7F7F" w:themeColor="text1" w:themeTint="80"/>
                <w:sz w:val="14"/>
                <w:szCs w:val="14"/>
              </w:rPr>
              <w:t>Jeuken</w:t>
            </w:r>
            <w:proofErr w:type="spellEnd"/>
            <w:r w:rsidRPr="00995F3E">
              <w:rPr>
                <w:rFonts w:cs="Arial"/>
                <w:bCs/>
                <w:sz w:val="14"/>
                <w:szCs w:val="14"/>
              </w:rPr>
              <w:t xml:space="preserve">). It requires a monitoring and evaluation system to keep track of climatic, physical and socioeconomic developments, and assess </w:t>
            </w:r>
            <w:proofErr w:type="gramStart"/>
            <w:r w:rsidRPr="00995F3E">
              <w:rPr>
                <w:rFonts w:cs="Arial"/>
                <w:bCs/>
                <w:sz w:val="14"/>
                <w:szCs w:val="14"/>
              </w:rPr>
              <w:t>if and when</w:t>
            </w:r>
            <w:proofErr w:type="gramEnd"/>
            <w:r w:rsidRPr="00995F3E">
              <w:rPr>
                <w:rFonts w:cs="Arial"/>
                <w:bCs/>
                <w:sz w:val="14"/>
                <w:szCs w:val="14"/>
              </w:rPr>
              <w:t xml:space="preserve"> it is necessary to review the plan (adjusting or changing its strategies or measures, e.g. shifting from a measure to another) (</w:t>
            </w:r>
            <w:proofErr w:type="spellStart"/>
            <w:r w:rsidR="005C558F" w:rsidRPr="00E74925">
              <w:rPr>
                <w:rFonts w:cs="Arial"/>
                <w:bCs/>
                <w:color w:val="7F7F7F" w:themeColor="text1" w:themeTint="80"/>
                <w:sz w:val="14"/>
                <w:szCs w:val="14"/>
              </w:rPr>
              <w:t>Deltares</w:t>
            </w:r>
            <w:proofErr w:type="spellEnd"/>
            <w:r w:rsidR="005C558F" w:rsidRPr="00E74925">
              <w:rPr>
                <w:rFonts w:cs="Arial"/>
                <w:bCs/>
                <w:color w:val="7F7F7F" w:themeColor="text1" w:themeTint="80"/>
                <w:sz w:val="14"/>
                <w:szCs w:val="14"/>
              </w:rPr>
              <w:t xml:space="preserve"> 2018</w:t>
            </w:r>
            <w:r w:rsidRPr="00995F3E">
              <w:rPr>
                <w:rFonts w:cs="Arial"/>
                <w:bCs/>
                <w:color w:val="7F7F7F" w:themeColor="text1" w:themeTint="80"/>
                <w:sz w:val="14"/>
                <w:szCs w:val="14"/>
              </w:rPr>
              <w:t>, p.2-3, 5</w:t>
            </w:r>
            <w:r w:rsidRPr="00995F3E">
              <w:rPr>
                <w:rFonts w:cs="Arial"/>
                <w:bCs/>
                <w:sz w:val="14"/>
                <w:szCs w:val="14"/>
              </w:rPr>
              <w:t>). Step 6 is essential to allow a truly adaptive planning and management. Variables that induce to triggers must be monitored (</w:t>
            </w:r>
            <w:proofErr w:type="spellStart"/>
            <w:r w:rsidRPr="00995F3E">
              <w:rPr>
                <w:rFonts w:cs="Arial"/>
                <w:bCs/>
                <w:color w:val="7F7F7F" w:themeColor="text1" w:themeTint="80"/>
                <w:sz w:val="14"/>
                <w:szCs w:val="14"/>
              </w:rPr>
              <w:t>Jeuken</w:t>
            </w:r>
            <w:proofErr w:type="spellEnd"/>
            <w:r w:rsidRPr="00995F3E">
              <w:rPr>
                <w:rFonts w:cs="Arial"/>
                <w:bCs/>
                <w:color w:val="7F7F7F" w:themeColor="text1" w:themeTint="80"/>
                <w:sz w:val="14"/>
                <w:szCs w:val="14"/>
              </w:rPr>
              <w:t xml:space="preserve"> et al. 2014, p. 4</w:t>
            </w:r>
            <w:r w:rsidRPr="00995F3E">
              <w:rPr>
                <w:rFonts w:cs="Arial"/>
                <w:bCs/>
                <w:sz w:val="14"/>
                <w:szCs w:val="14"/>
              </w:rPr>
              <w:t>).</w:t>
            </w:r>
          </w:p>
          <w:p w14:paraId="4AE618B2" w14:textId="77777777" w:rsidR="00995F3E" w:rsidRPr="00995F3E" w:rsidRDefault="00995F3E" w:rsidP="00E74925">
            <w:pPr>
              <w:spacing w:after="60"/>
              <w:jc w:val="left"/>
              <w:rPr>
                <w:rFonts w:cs="Arial"/>
                <w:bCs/>
                <w:iCs/>
                <w:sz w:val="14"/>
                <w:szCs w:val="14"/>
              </w:rPr>
            </w:pPr>
            <w:r w:rsidRPr="00995F3E">
              <w:rPr>
                <w:rFonts w:cs="Arial"/>
                <w:bCs/>
                <w:iCs/>
                <w:sz w:val="14"/>
                <w:szCs w:val="14"/>
              </w:rPr>
              <w:t>………</w:t>
            </w:r>
          </w:p>
          <w:p w14:paraId="784E3BE1" w14:textId="7833F8FD" w:rsidR="00995F3E" w:rsidRPr="00995F3E" w:rsidRDefault="00995F3E" w:rsidP="00E74925">
            <w:pPr>
              <w:spacing w:after="60"/>
              <w:jc w:val="left"/>
              <w:rPr>
                <w:rFonts w:cs="Arial"/>
                <w:bCs/>
                <w:iCs/>
                <w:sz w:val="14"/>
                <w:szCs w:val="14"/>
              </w:rPr>
            </w:pPr>
            <w:r w:rsidRPr="00995F3E">
              <w:rPr>
                <w:rFonts w:cs="Arial"/>
                <w:bCs/>
                <w:iCs/>
                <w:sz w:val="14"/>
                <w:szCs w:val="14"/>
              </w:rPr>
              <w:t>In this step, the monitoring and evaluation system is conducted: it tracks climatic and socioeconomic changes relevant for adapting the plan’s strategies or measures, e.g. for anticipating / delaying the implementation of measures. For example, if SLR unfolds at a faster rate than expected and a tipping-point is expected to be reached earlier, it may be necessary to implement a measure earlier than projected (if SLR evolves slower, then, the measure can be delayed). The monitoring system indicates the rate and direction of risks and implications for adjusting the plan. It allows for adjusting the plan - its measures or their timing (</w:t>
            </w:r>
            <w:r w:rsidR="005C558F" w:rsidRPr="00E74925">
              <w:rPr>
                <w:rFonts w:cs="Arial"/>
                <w:bCs/>
                <w:iCs/>
                <w:color w:val="7F7F7F" w:themeColor="text1" w:themeTint="80"/>
                <w:sz w:val="14"/>
                <w:szCs w:val="14"/>
              </w:rPr>
              <w:t>Brugge and Bruggeman 2019</w:t>
            </w:r>
            <w:r w:rsidRPr="00995F3E">
              <w:rPr>
                <w:rFonts w:cs="Arial"/>
                <w:bCs/>
                <w:iCs/>
                <w:color w:val="7F7F7F" w:themeColor="text1" w:themeTint="80"/>
                <w:sz w:val="14"/>
                <w:szCs w:val="14"/>
              </w:rPr>
              <w:t>, p.4-5</w:t>
            </w:r>
            <w:r w:rsidRPr="00995F3E">
              <w:rPr>
                <w:rFonts w:cs="Arial"/>
                <w:bCs/>
                <w:iCs/>
                <w:sz w:val="14"/>
                <w:szCs w:val="14"/>
              </w:rPr>
              <w:t>).</w:t>
            </w:r>
            <w:r w:rsidRPr="00995F3E">
              <w:rPr>
                <w:rFonts w:cs="Arial"/>
                <w:bCs/>
                <w:iCs/>
                <w:color w:val="C00000"/>
                <w:sz w:val="14"/>
                <w:szCs w:val="14"/>
              </w:rPr>
              <w:t xml:space="preserve"> </w:t>
            </w:r>
            <w:r w:rsidRPr="00995F3E">
              <w:rPr>
                <w:rFonts w:cs="Arial"/>
                <w:bCs/>
                <w:iCs/>
                <w:sz w:val="14"/>
                <w:szCs w:val="14"/>
              </w:rPr>
              <w:t xml:space="preserve">This adjustment implies adaptive capacity in institutions involved. </w:t>
            </w:r>
          </w:p>
        </w:tc>
        <w:tc>
          <w:tcPr>
            <w:tcW w:w="6662" w:type="dxa"/>
            <w:gridSpan w:val="2"/>
            <w:shd w:val="clear" w:color="auto" w:fill="auto"/>
          </w:tcPr>
          <w:p w14:paraId="6C5C110F"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Step 6 (carrying the MAA system) </w:t>
            </w:r>
          </w:p>
          <w:p w14:paraId="23076310"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Since 2015, the DP has reported every year on the elaboration and implementation of the </w:t>
            </w:r>
            <w:r w:rsidRPr="00995F3E">
              <w:rPr>
                <w:rFonts w:cs="Arial"/>
                <w:bCs/>
                <w:i/>
                <w:iCs/>
                <w:sz w:val="14"/>
                <w:szCs w:val="14"/>
              </w:rPr>
              <w:t>Delta Decisions</w:t>
            </w:r>
            <w:r w:rsidRPr="00995F3E">
              <w:rPr>
                <w:rFonts w:cs="Arial"/>
                <w:bCs/>
                <w:sz w:val="14"/>
                <w:szCs w:val="14"/>
              </w:rPr>
              <w:t xml:space="preserve">, </w:t>
            </w:r>
            <w:r w:rsidRPr="00995F3E">
              <w:rPr>
                <w:rFonts w:cs="Arial"/>
                <w:bCs/>
                <w:i/>
                <w:iCs/>
                <w:sz w:val="14"/>
                <w:szCs w:val="14"/>
              </w:rPr>
              <w:t>Preferential Strategies</w:t>
            </w:r>
            <w:r w:rsidRPr="00995F3E">
              <w:rPr>
                <w:rFonts w:cs="Arial"/>
                <w:bCs/>
                <w:sz w:val="14"/>
                <w:szCs w:val="14"/>
              </w:rPr>
              <w:t xml:space="preserve"> and </w:t>
            </w:r>
            <w:r w:rsidRPr="00995F3E">
              <w:rPr>
                <w:rFonts w:cs="Arial"/>
                <w:bCs/>
                <w:i/>
                <w:iCs/>
                <w:sz w:val="14"/>
                <w:szCs w:val="14"/>
              </w:rPr>
              <w:t>Delta Plans</w:t>
            </w:r>
            <w:r w:rsidRPr="00995F3E">
              <w:rPr>
                <w:rFonts w:cs="Arial"/>
                <w:bCs/>
                <w:sz w:val="14"/>
                <w:szCs w:val="14"/>
              </w:rPr>
              <w:t>, and has assessed (every year) if their progress is on schedule, whether any new developments demand their adjustment or fine-tuning (the annual report contains the results of the prior year and a look ahead). It has also monitored new developments / changes that may affect the goals and strategies defined, and, if necessary, it adjusts them (</w:t>
            </w:r>
            <w:r w:rsidRPr="00995F3E">
              <w:rPr>
                <w:rFonts w:cs="Arial"/>
                <w:bCs/>
                <w:color w:val="7F7F7F" w:themeColor="text1" w:themeTint="80"/>
                <w:sz w:val="14"/>
                <w:szCs w:val="14"/>
              </w:rPr>
              <w:t>DP 2016, p.6-7</w:t>
            </w:r>
            <w:r w:rsidRPr="00995F3E">
              <w:rPr>
                <w:rFonts w:cs="Arial"/>
                <w:bCs/>
                <w:sz w:val="14"/>
                <w:szCs w:val="14"/>
              </w:rPr>
              <w:t xml:space="preserve">). </w:t>
            </w:r>
          </w:p>
          <w:p w14:paraId="6D7024F7" w14:textId="77777777" w:rsidR="00995F3E" w:rsidRPr="00995F3E" w:rsidRDefault="00995F3E" w:rsidP="00E74925">
            <w:pPr>
              <w:spacing w:after="60"/>
              <w:jc w:val="left"/>
              <w:rPr>
                <w:rFonts w:cs="Arial"/>
                <w:bCs/>
                <w:sz w:val="14"/>
                <w:szCs w:val="14"/>
              </w:rPr>
            </w:pPr>
            <w:r w:rsidRPr="00995F3E">
              <w:rPr>
                <w:rFonts w:cs="Arial"/>
                <w:bCs/>
                <w:sz w:val="14"/>
                <w:szCs w:val="14"/>
              </w:rPr>
              <w:t xml:space="preserve">The MAA system has helped to get a clear picture of the annual status of the DP, analyse the progress made, the </w:t>
            </w:r>
            <w:proofErr w:type="gramStart"/>
            <w:r w:rsidRPr="00995F3E">
              <w:rPr>
                <w:rFonts w:cs="Arial"/>
                <w:bCs/>
                <w:sz w:val="14"/>
                <w:szCs w:val="14"/>
              </w:rPr>
              <w:t>state of affairs</w:t>
            </w:r>
            <w:proofErr w:type="gramEnd"/>
            <w:r w:rsidRPr="00995F3E">
              <w:rPr>
                <w:rFonts w:cs="Arial"/>
                <w:bCs/>
                <w:sz w:val="14"/>
                <w:szCs w:val="14"/>
              </w:rPr>
              <w:t>, and the need for strategy adjustments (</w:t>
            </w:r>
            <w:r w:rsidRPr="00995F3E">
              <w:rPr>
                <w:rFonts w:cs="Arial"/>
                <w:bCs/>
                <w:color w:val="7F7F7F" w:themeColor="text1" w:themeTint="80"/>
                <w:sz w:val="14"/>
                <w:szCs w:val="14"/>
              </w:rPr>
              <w:t>DP 2017, p.13; 2016, p.6; 2018, p.19</w:t>
            </w:r>
            <w:r w:rsidRPr="00995F3E">
              <w:rPr>
                <w:rFonts w:cs="Arial"/>
                <w:bCs/>
                <w:sz w:val="14"/>
                <w:szCs w:val="14"/>
              </w:rPr>
              <w:t xml:space="preserve">). In this sense, it underpins the adaptive approach of the DP. </w:t>
            </w:r>
          </w:p>
          <w:p w14:paraId="024714DD" w14:textId="25ECAC8B" w:rsidR="00995F3E" w:rsidRPr="00995F3E" w:rsidRDefault="00995F3E" w:rsidP="00E74925">
            <w:pPr>
              <w:spacing w:after="60"/>
              <w:jc w:val="left"/>
              <w:rPr>
                <w:rFonts w:cs="Arial"/>
                <w:bCs/>
                <w:sz w:val="14"/>
                <w:szCs w:val="14"/>
              </w:rPr>
            </w:pPr>
            <w:r w:rsidRPr="00995F3E">
              <w:rPr>
                <w:rFonts w:cs="Arial"/>
                <w:bCs/>
                <w:sz w:val="14"/>
                <w:szCs w:val="14"/>
              </w:rPr>
              <w:t xml:space="preserve">Since 2016, using the MAA system, the DP has monitored external developments (e.g. climate change effects) that may affect the pace or direction of the </w:t>
            </w:r>
            <w:r w:rsidRPr="00995F3E">
              <w:rPr>
                <w:rFonts w:cs="Arial"/>
                <w:bCs/>
                <w:i/>
                <w:iCs/>
                <w:sz w:val="14"/>
                <w:szCs w:val="14"/>
              </w:rPr>
              <w:t>Preferential Strategies</w:t>
            </w:r>
            <w:r w:rsidRPr="00995F3E">
              <w:rPr>
                <w:rFonts w:cs="Arial"/>
                <w:bCs/>
                <w:sz w:val="14"/>
                <w:szCs w:val="14"/>
              </w:rPr>
              <w:t xml:space="preserve">, and evaluated whether the DP is ‘on track’ or whether there is any reason to adjust the course or pace, or reconsider targets or measures (e.g. whether external developments demand a switch of Strategy / measures, or a modification in their timing). The DP also specified the design of the </w:t>
            </w:r>
            <w:r w:rsidRPr="00995F3E">
              <w:rPr>
                <w:rFonts w:cs="Arial"/>
                <w:bCs/>
                <w:i/>
                <w:iCs/>
                <w:sz w:val="14"/>
                <w:szCs w:val="14"/>
              </w:rPr>
              <w:t>Preferential Strategies</w:t>
            </w:r>
            <w:r w:rsidRPr="00995F3E">
              <w:rPr>
                <w:rFonts w:cs="Arial"/>
                <w:bCs/>
                <w:sz w:val="14"/>
                <w:szCs w:val="14"/>
              </w:rPr>
              <w:t>: it defined interim benchmarks for 2020-2050 to assess if the Strategies need to be adjusted (</w:t>
            </w:r>
            <w:r w:rsidRPr="00995F3E">
              <w:rPr>
                <w:rFonts w:cs="Arial"/>
                <w:bCs/>
                <w:color w:val="7F7F7F" w:themeColor="text1" w:themeTint="80"/>
                <w:sz w:val="14"/>
                <w:szCs w:val="14"/>
              </w:rPr>
              <w:t>DP 2017, p.8, 17</w:t>
            </w:r>
            <w:r w:rsidRPr="00995F3E">
              <w:rPr>
                <w:rFonts w:cs="Arial"/>
                <w:bCs/>
                <w:sz w:val="14"/>
                <w:szCs w:val="14"/>
              </w:rPr>
              <w:t xml:space="preserve">). From 2016 onwards, the DP annual reports have presented an overview of the progress made (by the DP and Subprogrammes) in implementing the </w:t>
            </w:r>
            <w:r w:rsidRPr="00995F3E">
              <w:rPr>
                <w:rFonts w:cs="Arial"/>
                <w:bCs/>
                <w:i/>
                <w:iCs/>
                <w:sz w:val="14"/>
                <w:szCs w:val="14"/>
              </w:rPr>
              <w:t>Preferential Strategies</w:t>
            </w:r>
            <w:r w:rsidRPr="00995F3E">
              <w:rPr>
                <w:rFonts w:cs="Arial"/>
                <w:bCs/>
                <w:sz w:val="14"/>
                <w:szCs w:val="14"/>
              </w:rPr>
              <w:t xml:space="preserve"> </w:t>
            </w:r>
            <w:r w:rsidRPr="00995F3E">
              <w:rPr>
                <w:rFonts w:cs="Arial"/>
                <w:bCs/>
                <w:i/>
                <w:iCs/>
                <w:sz w:val="14"/>
                <w:szCs w:val="14"/>
              </w:rPr>
              <w:t>and Delta Plans</w:t>
            </w:r>
            <w:r w:rsidRPr="00995F3E">
              <w:rPr>
                <w:rFonts w:cs="Arial"/>
                <w:bCs/>
                <w:sz w:val="14"/>
                <w:szCs w:val="14"/>
              </w:rPr>
              <w:t>, based on the MAA: information is organized according to the four questions previously mentioned (</w:t>
            </w:r>
            <w:r w:rsidRPr="00995F3E">
              <w:rPr>
                <w:rFonts w:cs="Arial"/>
                <w:bCs/>
                <w:i/>
                <w:iCs/>
                <w:sz w:val="14"/>
                <w:szCs w:val="14"/>
              </w:rPr>
              <w:t>on schedule</w:t>
            </w:r>
            <w:r w:rsidRPr="00995F3E">
              <w:rPr>
                <w:rFonts w:cs="Arial"/>
                <w:bCs/>
                <w:sz w:val="14"/>
                <w:szCs w:val="14"/>
              </w:rPr>
              <w:t xml:space="preserve">, </w:t>
            </w:r>
            <w:r w:rsidRPr="00995F3E">
              <w:rPr>
                <w:rFonts w:cs="Arial"/>
                <w:bCs/>
                <w:i/>
                <w:iCs/>
                <w:sz w:val="14"/>
                <w:szCs w:val="14"/>
              </w:rPr>
              <w:t>on track</w:t>
            </w:r>
            <w:r w:rsidRPr="00995F3E">
              <w:rPr>
                <w:rFonts w:cs="Arial"/>
                <w:bCs/>
                <w:sz w:val="14"/>
                <w:szCs w:val="14"/>
              </w:rPr>
              <w:t xml:space="preserve">, </w:t>
            </w:r>
            <w:r w:rsidRPr="00995F3E">
              <w:rPr>
                <w:rFonts w:cs="Arial"/>
                <w:bCs/>
                <w:i/>
                <w:iCs/>
                <w:sz w:val="14"/>
                <w:szCs w:val="14"/>
              </w:rPr>
              <w:t>integrated approach</w:t>
            </w:r>
            <w:r w:rsidRPr="00995F3E">
              <w:rPr>
                <w:rFonts w:cs="Arial"/>
                <w:bCs/>
                <w:sz w:val="14"/>
                <w:szCs w:val="14"/>
              </w:rPr>
              <w:t xml:space="preserve">, and </w:t>
            </w:r>
            <w:r w:rsidRPr="00995F3E">
              <w:rPr>
                <w:rFonts w:cs="Arial"/>
                <w:bCs/>
                <w:i/>
                <w:iCs/>
                <w:sz w:val="14"/>
                <w:szCs w:val="14"/>
              </w:rPr>
              <w:t>participation</w:t>
            </w:r>
            <w:r w:rsidRPr="00995F3E">
              <w:rPr>
                <w:rFonts w:cs="Arial"/>
                <w:bCs/>
                <w:sz w:val="14"/>
                <w:szCs w:val="14"/>
              </w:rPr>
              <w:t>) (</w:t>
            </w:r>
            <w:r w:rsidRPr="00995F3E">
              <w:rPr>
                <w:rFonts w:cs="Arial"/>
                <w:bCs/>
                <w:color w:val="7F7F7F" w:themeColor="text1" w:themeTint="80"/>
                <w:sz w:val="14"/>
                <w:szCs w:val="14"/>
              </w:rPr>
              <w:t>DP 2017, p.13, 15</w:t>
            </w:r>
            <w:r w:rsidRPr="00995F3E">
              <w:rPr>
                <w:rFonts w:cs="Arial"/>
                <w:bCs/>
                <w:sz w:val="14"/>
                <w:szCs w:val="14"/>
              </w:rPr>
              <w:t xml:space="preserve">). In 2016-2017, the DP was, in general, ‘well on track’: most of the measures agreed were being implemented as planned. In 2017, the implementation of </w:t>
            </w:r>
            <w:r w:rsidRPr="00995F3E">
              <w:rPr>
                <w:rFonts w:cs="Arial"/>
                <w:bCs/>
                <w:i/>
                <w:iCs/>
                <w:sz w:val="14"/>
                <w:szCs w:val="14"/>
              </w:rPr>
              <w:t>Delta Plans</w:t>
            </w:r>
            <w:r w:rsidRPr="00995F3E">
              <w:rPr>
                <w:rFonts w:cs="Arial"/>
                <w:bCs/>
                <w:sz w:val="14"/>
                <w:szCs w:val="14"/>
              </w:rPr>
              <w:t xml:space="preserve"> was ‘</w:t>
            </w:r>
            <w:r w:rsidRPr="00995F3E">
              <w:rPr>
                <w:rFonts w:cs="Arial"/>
                <w:bCs/>
                <w:i/>
                <w:iCs/>
                <w:sz w:val="14"/>
                <w:szCs w:val="14"/>
              </w:rPr>
              <w:t>on schedule’</w:t>
            </w:r>
            <w:r w:rsidRPr="00995F3E">
              <w:rPr>
                <w:rFonts w:cs="Arial"/>
                <w:bCs/>
                <w:sz w:val="14"/>
                <w:szCs w:val="14"/>
              </w:rPr>
              <w:t xml:space="preserve"> (the measures envisioned in them have been mostly accomplished within the timeframe and budget agreed). </w:t>
            </w:r>
          </w:p>
          <w:p w14:paraId="7BF822F2" w14:textId="77777777" w:rsidR="00995F3E" w:rsidRPr="00995F3E" w:rsidRDefault="00995F3E" w:rsidP="00E74925">
            <w:pPr>
              <w:spacing w:after="60"/>
              <w:jc w:val="left"/>
              <w:rPr>
                <w:rFonts w:cs="Arial"/>
                <w:bCs/>
                <w:sz w:val="14"/>
                <w:szCs w:val="14"/>
              </w:rPr>
            </w:pPr>
            <w:r w:rsidRPr="00995F3E">
              <w:rPr>
                <w:rFonts w:cs="Arial"/>
                <w:bCs/>
                <w:sz w:val="14"/>
                <w:szCs w:val="14"/>
              </w:rPr>
              <w:t>Moreover, in 2016-2017, the Signal Group monitored external developments (climatic and socioeconomic changes) that may affect the pace or direction of the Preferential Strategies, and examined whether external developments demanded an adjustment of the course (</w:t>
            </w:r>
            <w:r w:rsidRPr="00995F3E">
              <w:rPr>
                <w:rFonts w:cs="Arial"/>
                <w:bCs/>
                <w:color w:val="7F7F7F" w:themeColor="text1" w:themeTint="80"/>
                <w:sz w:val="14"/>
                <w:szCs w:val="14"/>
              </w:rPr>
              <w:t>DP 2017, p.8, 17</w:t>
            </w:r>
            <w:r w:rsidRPr="00995F3E">
              <w:rPr>
                <w:rFonts w:cs="Arial"/>
                <w:bCs/>
                <w:sz w:val="14"/>
                <w:szCs w:val="14"/>
              </w:rPr>
              <w:t xml:space="preserve">). </w:t>
            </w:r>
          </w:p>
          <w:p w14:paraId="796194C0" w14:textId="77777777" w:rsidR="00995F3E" w:rsidRPr="00995F3E" w:rsidRDefault="00995F3E" w:rsidP="00E74925">
            <w:pPr>
              <w:spacing w:after="60"/>
              <w:jc w:val="left"/>
              <w:rPr>
                <w:rFonts w:cs="Arial"/>
                <w:bCs/>
                <w:sz w:val="14"/>
                <w:szCs w:val="14"/>
              </w:rPr>
            </w:pPr>
            <w:r w:rsidRPr="00995F3E">
              <w:rPr>
                <w:rFonts w:cs="Arial"/>
                <w:bCs/>
                <w:sz w:val="14"/>
                <w:szCs w:val="14"/>
              </w:rPr>
              <w:t>In 2017-2018, most of the measures scheduled in the DP 2014 were well ‘</w:t>
            </w:r>
            <w:r w:rsidRPr="00995F3E">
              <w:rPr>
                <w:rFonts w:cs="Arial"/>
                <w:bCs/>
                <w:i/>
                <w:iCs/>
                <w:sz w:val="14"/>
                <w:szCs w:val="14"/>
              </w:rPr>
              <w:t>on schedule</w:t>
            </w:r>
            <w:proofErr w:type="gramStart"/>
            <w:r w:rsidRPr="00995F3E">
              <w:rPr>
                <w:rFonts w:cs="Arial"/>
                <w:bCs/>
                <w:sz w:val="14"/>
                <w:szCs w:val="14"/>
              </w:rPr>
              <w:t>’(</w:t>
            </w:r>
            <w:proofErr w:type="gramEnd"/>
            <w:r w:rsidRPr="00995F3E">
              <w:rPr>
                <w:rFonts w:cs="Arial"/>
                <w:bCs/>
                <w:color w:val="7F7F7F" w:themeColor="text1" w:themeTint="80"/>
                <w:sz w:val="14"/>
                <w:szCs w:val="14"/>
              </w:rPr>
              <w:t>DP 2018, p.15</w:t>
            </w:r>
            <w:r w:rsidRPr="00995F3E">
              <w:rPr>
                <w:rFonts w:cs="Arial"/>
                <w:bCs/>
                <w:sz w:val="14"/>
                <w:szCs w:val="14"/>
              </w:rPr>
              <w:t>). The Signal Group continued to monitor developments relevant for deciding the future course (</w:t>
            </w:r>
            <w:r w:rsidRPr="00995F3E">
              <w:rPr>
                <w:rFonts w:cs="Arial"/>
                <w:bCs/>
                <w:color w:val="7F7F7F" w:themeColor="text1" w:themeTint="80"/>
                <w:sz w:val="14"/>
                <w:szCs w:val="14"/>
              </w:rPr>
              <w:t>DP 2018, p.14, 20</w:t>
            </w:r>
            <w:r w:rsidRPr="00995F3E">
              <w:rPr>
                <w:rFonts w:cs="Arial"/>
                <w:bCs/>
                <w:sz w:val="14"/>
                <w:szCs w:val="14"/>
              </w:rPr>
              <w:t xml:space="preserve">). </w:t>
            </w:r>
          </w:p>
          <w:p w14:paraId="2F947DD1" w14:textId="77777777" w:rsidR="00995F3E" w:rsidRPr="00995F3E" w:rsidRDefault="00995F3E" w:rsidP="00E74925">
            <w:pPr>
              <w:spacing w:after="60"/>
              <w:jc w:val="left"/>
              <w:rPr>
                <w:rFonts w:cs="Arial"/>
                <w:bCs/>
                <w:sz w:val="14"/>
                <w:szCs w:val="14"/>
              </w:rPr>
            </w:pPr>
            <w:r w:rsidRPr="00995F3E">
              <w:rPr>
                <w:rFonts w:cs="Arial"/>
                <w:bCs/>
                <w:sz w:val="14"/>
                <w:szCs w:val="14"/>
              </w:rPr>
              <w:t>The first 6-year review (in 2020) assessed the need of keeping the envisioned long-term options open or adding new options (</w:t>
            </w:r>
            <w:r w:rsidRPr="00995F3E">
              <w:rPr>
                <w:rFonts w:cs="Arial"/>
                <w:bCs/>
                <w:color w:val="7F7F7F" w:themeColor="text1" w:themeTint="80"/>
                <w:sz w:val="14"/>
                <w:szCs w:val="14"/>
              </w:rPr>
              <w:t>DP 2018, p.22-23</w:t>
            </w:r>
            <w:r w:rsidRPr="00995F3E">
              <w:rPr>
                <w:rFonts w:cs="Arial"/>
                <w:bCs/>
                <w:sz w:val="14"/>
                <w:szCs w:val="14"/>
              </w:rPr>
              <w:t>).</w:t>
            </w:r>
          </w:p>
          <w:p w14:paraId="6EAB7C56" w14:textId="77777777" w:rsidR="00995F3E" w:rsidRPr="00995F3E" w:rsidRDefault="00995F3E" w:rsidP="00E74925">
            <w:pPr>
              <w:spacing w:after="60"/>
              <w:jc w:val="left"/>
              <w:rPr>
                <w:rFonts w:cs="Arial"/>
                <w:bCs/>
                <w:sz w:val="14"/>
                <w:szCs w:val="14"/>
              </w:rPr>
            </w:pPr>
            <w:r w:rsidRPr="00995F3E">
              <w:rPr>
                <w:rFonts w:cs="Arial"/>
                <w:bCs/>
                <w:sz w:val="14"/>
                <w:szCs w:val="14"/>
              </w:rPr>
              <w:t>ADM, and its ongoing nature, are reflected in the annual update of the DP (every year a new DP report is issued, including a reprogramming of measures, and submitted to the Parliament) (</w:t>
            </w:r>
            <w:r w:rsidRPr="00995F3E">
              <w:rPr>
                <w:rFonts w:cs="Arial"/>
                <w:bCs/>
                <w:color w:val="7F7F7F" w:themeColor="text1" w:themeTint="80"/>
                <w:sz w:val="14"/>
                <w:szCs w:val="14"/>
              </w:rPr>
              <w:t>DP 2014, p.95; Bloemen et al. 2018</w:t>
            </w:r>
            <w:r w:rsidRPr="00995F3E">
              <w:rPr>
                <w:rFonts w:cs="Arial"/>
                <w:bCs/>
                <w:sz w:val="14"/>
                <w:szCs w:val="14"/>
              </w:rPr>
              <w:t>). In this process, monitoring and research, and the design and implementation phase, can be conducted at the same time and influence each other (</w:t>
            </w:r>
            <w:r w:rsidRPr="00995F3E">
              <w:rPr>
                <w:rFonts w:cs="Arial"/>
                <w:bCs/>
                <w:color w:val="7F7F7F" w:themeColor="text1" w:themeTint="80"/>
                <w:sz w:val="14"/>
                <w:szCs w:val="14"/>
              </w:rPr>
              <w:t>DP 2014, p.149</w:t>
            </w:r>
            <w:r w:rsidRPr="00995F3E">
              <w:rPr>
                <w:rFonts w:cs="Arial"/>
                <w:bCs/>
                <w:sz w:val="14"/>
                <w:szCs w:val="14"/>
              </w:rPr>
              <w:t xml:space="preserve">).   </w:t>
            </w:r>
          </w:p>
        </w:tc>
      </w:tr>
    </w:tbl>
    <w:p w14:paraId="309311A4" w14:textId="4535389B" w:rsidR="00BA6F30" w:rsidRPr="009B720F" w:rsidRDefault="001A6DF9" w:rsidP="00BA6F30">
      <w:pPr>
        <w:pStyle w:val="TEXTBODY"/>
        <w:spacing w:after="0"/>
        <w:rPr>
          <w:bCs/>
        </w:rPr>
      </w:pPr>
      <w:r w:rsidRPr="001828E9">
        <w:rPr>
          <w:noProof/>
        </w:rPr>
        <mc:AlternateContent>
          <mc:Choice Requires="wps">
            <w:drawing>
              <wp:anchor distT="45720" distB="45720" distL="114300" distR="114300" simplePos="0" relativeHeight="252733952" behindDoc="1" locked="0" layoutInCell="1" allowOverlap="1" wp14:anchorId="56A85377" wp14:editId="67B4A293">
                <wp:simplePos x="0" y="0"/>
                <wp:positionH relativeFrom="margin">
                  <wp:posOffset>18415</wp:posOffset>
                </wp:positionH>
                <wp:positionV relativeFrom="paragraph">
                  <wp:posOffset>137160</wp:posOffset>
                </wp:positionV>
                <wp:extent cx="6276975" cy="180975"/>
                <wp:effectExtent l="0" t="0" r="9525" b="9525"/>
                <wp:wrapNone/>
                <wp:docPr id="67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180975"/>
                        </a:xfrm>
                        <a:prstGeom prst="rect">
                          <a:avLst/>
                        </a:prstGeom>
                        <a:solidFill>
                          <a:srgbClr val="FFFFFF"/>
                        </a:solidFill>
                        <a:ln w="9525">
                          <a:noFill/>
                          <a:miter lim="800000"/>
                          <a:headEnd/>
                          <a:tailEnd/>
                        </a:ln>
                      </wps:spPr>
                      <wps:txbx>
                        <w:txbxContent>
                          <w:p w14:paraId="68391D6F" w14:textId="735E8B61" w:rsidR="001A6DF9" w:rsidRPr="004E4EC8" w:rsidRDefault="001A6DF9" w:rsidP="001A6DF9">
                            <w:pPr>
                              <w:pStyle w:val="TEXTBODY"/>
                              <w:spacing w:line="240" w:lineRule="auto"/>
                              <w:jc w:val="center"/>
                              <w:rPr>
                                <w:rFonts w:ascii="Arial" w:eastAsia="RijksoverheidSansText-Regular" w:hAnsi="Arial" w:cs="Arial"/>
                                <w:color w:val="C00000"/>
                                <w:sz w:val="14"/>
                                <w:szCs w:val="14"/>
                              </w:rPr>
                            </w:pPr>
                            <w:r>
                              <w:rPr>
                                <w:rFonts w:ascii="Arial" w:hAnsi="Arial" w:cs="Arial"/>
                                <w:b/>
                                <w:bCs/>
                                <w:color w:val="000000"/>
                                <w:sz w:val="14"/>
                                <w:szCs w:val="14"/>
                              </w:rPr>
                              <w:t xml:space="preserve">Table </w:t>
                            </w:r>
                            <w:r w:rsidR="00AD22FD">
                              <w:rPr>
                                <w:rFonts w:ascii="Arial" w:hAnsi="Arial" w:cs="Arial"/>
                                <w:b/>
                                <w:bCs/>
                                <w:color w:val="000000"/>
                                <w:sz w:val="14"/>
                                <w:szCs w:val="14"/>
                              </w:rPr>
                              <w:t>2</w:t>
                            </w:r>
                            <w:r>
                              <w:rPr>
                                <w:rFonts w:ascii="Arial" w:hAnsi="Arial" w:cs="Arial"/>
                                <w:b/>
                                <w:bCs/>
                                <w:color w:val="000000"/>
                                <w:sz w:val="14"/>
                                <w:szCs w:val="14"/>
                              </w:rPr>
                              <w:t>.</w:t>
                            </w:r>
                            <w:r w:rsidRPr="004E4EC8">
                              <w:rPr>
                                <w:rFonts w:ascii="Arial" w:hAnsi="Arial" w:cs="Arial"/>
                                <w:sz w:val="14"/>
                                <w:szCs w:val="14"/>
                              </w:rPr>
                              <w:t xml:space="preserve"> ADM process in the DP, including the development of </w:t>
                            </w:r>
                            <w:r w:rsidRPr="004E4EC8">
                              <w:rPr>
                                <w:rFonts w:ascii="Arial" w:hAnsi="Arial" w:cs="Arial"/>
                                <w:i/>
                                <w:iCs/>
                                <w:sz w:val="14"/>
                                <w:szCs w:val="14"/>
                              </w:rPr>
                              <w:t>Strategies</w:t>
                            </w:r>
                            <w:r w:rsidRPr="004E4EC8">
                              <w:rPr>
                                <w:rFonts w:ascii="Arial" w:hAnsi="Arial" w:cs="Arial"/>
                                <w:sz w:val="14"/>
                                <w:szCs w:val="14"/>
                              </w:rPr>
                              <w:t xml:space="preserve">. </w:t>
                            </w:r>
                            <w:r w:rsidRPr="004E4EC8">
                              <w:rPr>
                                <w:rFonts w:ascii="Arial" w:hAnsi="Arial" w:cs="Arial"/>
                                <w:color w:val="7F7F7F" w:themeColor="text1" w:themeTint="80"/>
                                <w:sz w:val="14"/>
                                <w:szCs w:val="14"/>
                              </w:rPr>
                              <w:t>Source: own elaboration, based on DP 2011, 2012, 2013, 2014, 2016, etc</w:t>
                            </w:r>
                            <w:r w:rsidRPr="004E4EC8">
                              <w:rPr>
                                <w:rFonts w:ascii="Arial" w:hAnsi="Arial" w:cs="Arial"/>
                                <w:sz w:val="14"/>
                                <w:szCs w:val="14"/>
                              </w:rPr>
                              <w:t>.</w:t>
                            </w:r>
                          </w:p>
                          <w:p w14:paraId="722B163F" w14:textId="77777777" w:rsidR="001A6DF9" w:rsidRPr="004E4EC8" w:rsidRDefault="001A6DF9" w:rsidP="001A6DF9">
                            <w:pPr>
                              <w:spacing w:line="240" w:lineRule="auto"/>
                              <w:jc w:val="center"/>
                              <w:rPr>
                                <w:rFonts w:cs="Arial"/>
                                <w:sz w:val="14"/>
                                <w:szCs w:val="14"/>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6A85377" id="_x0000_s1029" type="#_x0000_t202" style="position:absolute;left:0;text-align:left;margin-left:1.45pt;margin-top:10.8pt;width:494.25pt;height:14.25pt;z-index:-250582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" stroked="f">
                <v:textbox inset="0,0,0,0">
                  <w:txbxContent>
                    <w:p w14:paraId="68391D6F" w14:textId="735E8B61" w:rsidR="001A6DF9" w:rsidRPr="004E4EC8" w:rsidRDefault="001A6DF9" w:rsidP="001A6DF9">
                      <w:pPr>
                        <w:pStyle w:val="TEXTBODY"/>
                        <w:spacing w:line="240" w:lineRule="auto"/>
                        <w:jc w:val="center"/>
                        <w:rPr>
                          <w:rFonts w:ascii="Arial" w:eastAsia="RijksoverheidSansText-Regular" w:hAnsi="Arial" w:cs="Arial"/>
                          <w:color w:val="C00000"/>
                          <w:sz w:val="14"/>
                          <w:szCs w:val="14"/>
                        </w:rPr>
                      </w:pPr>
                      <w:r>
                        <w:rPr>
                          <w:rFonts w:ascii="Arial" w:hAnsi="Arial" w:cs="Arial"/>
                          <w:b/>
                          <w:bCs/>
                          <w:color w:val="000000"/>
                          <w:sz w:val="14"/>
                          <w:szCs w:val="14"/>
                        </w:rPr>
                        <w:t xml:space="preserve">Table </w:t>
                      </w:r>
                      <w:r w:rsidR="00AD22FD">
                        <w:rPr>
                          <w:rFonts w:ascii="Arial" w:hAnsi="Arial" w:cs="Arial"/>
                          <w:b/>
                          <w:bCs/>
                          <w:color w:val="000000"/>
                          <w:sz w:val="14"/>
                          <w:szCs w:val="14"/>
                        </w:rPr>
                        <w:t>2</w:t>
                      </w:r>
                      <w:r>
                        <w:rPr>
                          <w:rFonts w:ascii="Arial" w:hAnsi="Arial" w:cs="Arial"/>
                          <w:b/>
                          <w:bCs/>
                          <w:color w:val="000000"/>
                          <w:sz w:val="14"/>
                          <w:szCs w:val="14"/>
                        </w:rPr>
                        <w:t>.</w:t>
                      </w:r>
                      <w:r w:rsidRPr="004E4EC8">
                        <w:rPr>
                          <w:rFonts w:ascii="Arial" w:hAnsi="Arial" w:cs="Arial"/>
                          <w:sz w:val="14"/>
                          <w:szCs w:val="14"/>
                        </w:rPr>
                        <w:t xml:space="preserve"> ADM process in the DP, including the development of </w:t>
                      </w:r>
                      <w:r w:rsidRPr="004E4EC8">
                        <w:rPr>
                          <w:rFonts w:ascii="Arial" w:hAnsi="Arial" w:cs="Arial"/>
                          <w:i/>
                          <w:iCs/>
                          <w:sz w:val="14"/>
                          <w:szCs w:val="14"/>
                        </w:rPr>
                        <w:t>Strategies</w:t>
                      </w:r>
                      <w:r w:rsidRPr="004E4EC8">
                        <w:rPr>
                          <w:rFonts w:ascii="Arial" w:hAnsi="Arial" w:cs="Arial"/>
                          <w:sz w:val="14"/>
                          <w:szCs w:val="14"/>
                        </w:rPr>
                        <w:t xml:space="preserve">. </w:t>
                      </w:r>
                      <w:r w:rsidRPr="004E4EC8">
                        <w:rPr>
                          <w:rFonts w:ascii="Arial" w:hAnsi="Arial" w:cs="Arial"/>
                          <w:color w:val="7F7F7F" w:themeColor="text1" w:themeTint="80"/>
                          <w:sz w:val="14"/>
                          <w:szCs w:val="14"/>
                        </w:rPr>
                        <w:t>Source: own elaboration, based on DP 2011, 2012, 2013, 2014, 2016, etc</w:t>
                      </w:r>
                      <w:r w:rsidRPr="004E4EC8">
                        <w:rPr>
                          <w:rFonts w:ascii="Arial" w:hAnsi="Arial" w:cs="Arial"/>
                          <w:sz w:val="14"/>
                          <w:szCs w:val="14"/>
                        </w:rPr>
                        <w:t>.</w:t>
                      </w:r>
                    </w:p>
                    <w:p w14:paraId="722B163F" w14:textId="77777777" w:rsidR="001A6DF9" w:rsidRPr="004E4EC8" w:rsidRDefault="001A6DF9" w:rsidP="001A6DF9">
                      <w:pPr>
                        <w:spacing w:line="240" w:lineRule="auto"/>
                        <w:jc w:val="center"/>
                        <w:rPr>
                          <w:rFonts w:cs="Arial"/>
                          <w:sz w:val="14"/>
                          <w:szCs w:val="14"/>
                        </w:rPr>
                      </w:pPr>
                    </w:p>
                  </w:txbxContent>
                </v:textbox>
                <w10:wrap anchorx="margin"/>
              </v:shape>
            </w:pict>
          </mc:Fallback>
        </mc:AlternateContent>
      </w:r>
    </w:p>
    <w:p w14:paraId="6CDAAA3D" w14:textId="6A3AC12A" w:rsidR="00995F3E" w:rsidRDefault="00995F3E" w:rsidP="00BA6F30">
      <w:pPr>
        <w:pStyle w:val="TEXTBODY"/>
        <w:spacing w:after="0"/>
        <w:rPr>
          <w:bCs/>
          <w:color w:val="FF0000"/>
        </w:rPr>
      </w:pPr>
    </w:p>
    <w:p w14:paraId="06951F91" w14:textId="77777777" w:rsidR="001A6DF9" w:rsidRDefault="001A6DF9" w:rsidP="001A6DF9">
      <w:pPr>
        <w:pStyle w:val="TEXTBODY"/>
        <w:spacing w:line="480" w:lineRule="auto"/>
        <w:rPr>
          <w:b/>
        </w:rPr>
      </w:pPr>
    </w:p>
    <w:p w14:paraId="79C97557" w14:textId="77777777" w:rsidR="001A6DF9" w:rsidRDefault="001A6DF9" w:rsidP="001A6DF9">
      <w:pPr>
        <w:pStyle w:val="TEXTBODY"/>
        <w:spacing w:line="480" w:lineRule="auto"/>
        <w:rPr>
          <w:b/>
        </w:rPr>
      </w:pPr>
    </w:p>
    <w:p w14:paraId="1941CC1C" w14:textId="77777777" w:rsidR="001A6DF9" w:rsidRDefault="001A6DF9" w:rsidP="001A6DF9">
      <w:pPr>
        <w:pStyle w:val="TEXTBODY"/>
        <w:spacing w:line="480" w:lineRule="auto"/>
        <w:rPr>
          <w:b/>
        </w:rPr>
      </w:pPr>
    </w:p>
    <w:p w14:paraId="0D80BB02" w14:textId="77777777" w:rsidR="001A6DF9" w:rsidRDefault="001A6DF9" w:rsidP="001A6DF9">
      <w:pPr>
        <w:pStyle w:val="TEXTBODY"/>
        <w:spacing w:line="480" w:lineRule="auto"/>
        <w:rPr>
          <w:b/>
        </w:rPr>
      </w:pPr>
    </w:p>
    <w:p w14:paraId="05CFD0FD" w14:textId="77777777" w:rsidR="001A6DF9" w:rsidRDefault="001A6DF9" w:rsidP="001A6DF9">
      <w:pPr>
        <w:pStyle w:val="TEXTBODY"/>
        <w:spacing w:line="480" w:lineRule="auto"/>
        <w:rPr>
          <w:b/>
        </w:rPr>
      </w:pPr>
    </w:p>
    <w:p w14:paraId="2D811563" w14:textId="77777777" w:rsidR="001A6DF9" w:rsidRDefault="001A6DF9" w:rsidP="001A6DF9">
      <w:pPr>
        <w:pStyle w:val="TEXTBODY"/>
        <w:spacing w:line="480" w:lineRule="auto"/>
        <w:rPr>
          <w:b/>
        </w:rPr>
      </w:pPr>
    </w:p>
    <w:p w14:paraId="1ED0628D" w14:textId="1CFF2897" w:rsidR="001A6DF9" w:rsidRDefault="001A6DF9" w:rsidP="001A6DF9">
      <w:pPr>
        <w:pStyle w:val="TEXTBODY"/>
        <w:spacing w:line="480" w:lineRule="auto"/>
        <w:rPr>
          <w:bCs/>
        </w:rPr>
      </w:pPr>
    </w:p>
    <w:p w14:paraId="746CABB6" w14:textId="77777777" w:rsidR="008649BD" w:rsidRDefault="008649BD" w:rsidP="001A6DF9">
      <w:pPr>
        <w:pStyle w:val="TEXTBODY"/>
        <w:spacing w:line="480" w:lineRule="auto"/>
        <w:rPr>
          <w:bCs/>
        </w:rPr>
      </w:pPr>
    </w:p>
    <w:p w14:paraId="3342209E" w14:textId="68A843AD" w:rsidR="008649BD" w:rsidRDefault="008649BD">
      <w:pPr>
        <w:rPr>
          <w:rFonts w:ascii="Times New Roman" w:hAnsi="Times New Roman"/>
          <w:bCs/>
          <w:sz w:val="18"/>
          <w:szCs w:val="20"/>
        </w:rPr>
      </w:pPr>
      <w:r>
        <w:rPr>
          <w:bCs/>
        </w:rPr>
        <w:br w:type="page"/>
      </w:r>
    </w:p>
    <w:p w14:paraId="5C0214FB" w14:textId="77777777" w:rsidR="00AD22FD" w:rsidRPr="009B720F" w:rsidRDefault="00AD22FD" w:rsidP="00AD22FD">
      <w:pPr>
        <w:pStyle w:val="Ttulo1"/>
        <w:ind w:left="0" w:firstLine="0"/>
      </w:pPr>
      <w:bookmarkStart w:id="61" w:name="_Toc44341251"/>
      <w:bookmarkStart w:id="62" w:name="_Toc44341284"/>
      <w:bookmarkEnd w:id="42"/>
      <w:bookmarkEnd w:id="43"/>
      <w:r w:rsidRPr="009B720F">
        <w:lastRenderedPageBreak/>
        <w:t xml:space="preserve">Note </w:t>
      </w:r>
      <w:r>
        <w:t>3</w:t>
      </w:r>
      <w:r w:rsidRPr="009B720F">
        <w:t>: Key-elements of the Adaptive Planning approach of the TE2100</w:t>
      </w:r>
      <w:bookmarkEnd w:id="61"/>
      <w:r w:rsidRPr="009B720F">
        <w:t xml:space="preserve"> </w:t>
      </w:r>
    </w:p>
    <w:p w14:paraId="56EBD5EC" w14:textId="77777777" w:rsidR="00AD22FD" w:rsidRPr="009B720F" w:rsidRDefault="00AD22FD" w:rsidP="00AD22FD">
      <w:pPr>
        <w:pStyle w:val="TEXTBODY"/>
        <w:spacing w:after="0" w:line="276" w:lineRule="auto"/>
        <w:rPr>
          <w:bCs/>
        </w:rPr>
      </w:pPr>
      <w:bookmarkStart w:id="63" w:name="_Hlk43290035"/>
      <w:bookmarkStart w:id="64" w:name="_Hlk20940601"/>
      <w:r w:rsidRPr="009B720F">
        <w:rPr>
          <w:bCs/>
        </w:rPr>
        <w:t xml:space="preserve">As mentioned, the TE2100 Project has developed and applied a </w:t>
      </w:r>
      <w:r w:rsidRPr="009B720F">
        <w:rPr>
          <w:bCs/>
          <w:i/>
          <w:iCs/>
        </w:rPr>
        <w:t>Dynamic Adaptive Planning approach</w:t>
      </w:r>
      <w:r w:rsidRPr="009B720F">
        <w:rPr>
          <w:bCs/>
          <w:iCs/>
        </w:rPr>
        <w:t xml:space="preserve"> (</w:t>
      </w:r>
      <w:r w:rsidRPr="009B720F">
        <w:rPr>
          <w:bCs/>
        </w:rPr>
        <w:t xml:space="preserve">also known as </w:t>
      </w:r>
      <w:r w:rsidRPr="009B720F">
        <w:rPr>
          <w:bCs/>
          <w:i/>
          <w:iCs/>
        </w:rPr>
        <w:t xml:space="preserve">Iterative Risk Management </w:t>
      </w:r>
      <w:r w:rsidRPr="009B720F">
        <w:rPr>
          <w:bCs/>
        </w:rPr>
        <w:t xml:space="preserve">or </w:t>
      </w:r>
      <w:r w:rsidRPr="009B720F">
        <w:rPr>
          <w:bCs/>
          <w:i/>
          <w:iCs/>
        </w:rPr>
        <w:t>Managed Adaptive approach</w:t>
      </w:r>
      <w:r w:rsidRPr="009B720F">
        <w:rPr>
          <w:bCs/>
        </w:rPr>
        <w:t xml:space="preserve">) based on concept of </w:t>
      </w:r>
      <w:r w:rsidRPr="009B720F">
        <w:rPr>
          <w:bCs/>
          <w:i/>
          <w:iCs/>
        </w:rPr>
        <w:t>Dynamic Robustness</w:t>
      </w:r>
      <w:r w:rsidRPr="009B720F">
        <w:rPr>
          <w:bCs/>
        </w:rPr>
        <w:t xml:space="preserve"> </w:t>
      </w:r>
      <w:r w:rsidRPr="009B720F">
        <w:rPr>
          <w:bCs/>
          <w:iCs/>
        </w:rPr>
        <w:t>(</w:t>
      </w:r>
      <w:r w:rsidRPr="009B720F">
        <w:rPr>
          <w:bCs/>
          <w:color w:val="7F7F7F" w:themeColor="text1" w:themeTint="80"/>
        </w:rPr>
        <w:t>Ranger et al. 2013, p.249-250, 254, 257-258; Ramsbottom and Sheppard 2017, p.1, 18</w:t>
      </w:r>
      <w:r w:rsidRPr="009B720F">
        <w:rPr>
          <w:bCs/>
          <w:iCs/>
        </w:rPr>
        <w:t>).</w:t>
      </w:r>
      <w:r w:rsidRPr="009B720F">
        <w:rPr>
          <w:bCs/>
        </w:rPr>
        <w:t xml:space="preserve"> This </w:t>
      </w:r>
      <w:r w:rsidRPr="009B720F">
        <w:rPr>
          <w:bCs/>
          <w:i/>
          <w:iCs/>
        </w:rPr>
        <w:t xml:space="preserve">Dynamic Adaptive Planning approach </w:t>
      </w:r>
      <w:r w:rsidRPr="009B720F">
        <w:rPr>
          <w:bCs/>
        </w:rPr>
        <w:t xml:space="preserve">aimed at building a </w:t>
      </w:r>
      <w:r w:rsidRPr="009B720F">
        <w:rPr>
          <w:bCs/>
          <w:i/>
          <w:iCs/>
        </w:rPr>
        <w:t>dynamic adaptive plan</w:t>
      </w:r>
      <w:r w:rsidRPr="009B720F">
        <w:rPr>
          <w:bCs/>
        </w:rPr>
        <w:t xml:space="preserve"> / </w:t>
      </w:r>
      <w:r w:rsidRPr="009B720F">
        <w:rPr>
          <w:bCs/>
          <w:i/>
          <w:iCs/>
        </w:rPr>
        <w:t xml:space="preserve">strategy </w:t>
      </w:r>
      <w:r w:rsidRPr="009B720F">
        <w:rPr>
          <w:bCs/>
        </w:rPr>
        <w:t>that was</w:t>
      </w:r>
      <w:r w:rsidRPr="009B720F">
        <w:rPr>
          <w:bCs/>
          <w:color w:val="C00000"/>
        </w:rPr>
        <w:t xml:space="preserve"> </w:t>
      </w:r>
      <w:r w:rsidRPr="001522F8">
        <w:rPr>
          <w:bCs/>
        </w:rPr>
        <w:t xml:space="preserve">both </w:t>
      </w:r>
      <w:r w:rsidRPr="001522F8">
        <w:rPr>
          <w:bCs/>
          <w:i/>
          <w:iCs/>
        </w:rPr>
        <w:t>robust</w:t>
      </w:r>
      <w:r w:rsidRPr="001522F8">
        <w:rPr>
          <w:bCs/>
        </w:rPr>
        <w:t xml:space="preserve"> and ‘</w:t>
      </w:r>
      <w:r w:rsidRPr="001522F8">
        <w:rPr>
          <w:bCs/>
          <w:i/>
          <w:iCs/>
        </w:rPr>
        <w:t>flexible</w:t>
      </w:r>
      <w:r w:rsidRPr="001522F8">
        <w:rPr>
          <w:bCs/>
        </w:rPr>
        <w:t>’ (</w:t>
      </w:r>
      <w:bookmarkStart w:id="65" w:name="_Hlk124249914"/>
      <w:r w:rsidRPr="001522F8">
        <w:rPr>
          <w:bCs/>
          <w:color w:val="7F7F7F" w:themeColor="text1" w:themeTint="80"/>
        </w:rPr>
        <w:t>Ranger et al. 239, 249, 254, 233</w:t>
      </w:r>
      <w:bookmarkEnd w:id="65"/>
      <w:r w:rsidRPr="001522F8">
        <w:rPr>
          <w:bCs/>
        </w:rPr>
        <w:t>).</w:t>
      </w:r>
      <w:r w:rsidRPr="009B720F">
        <w:rPr>
          <w:bCs/>
          <w:i/>
          <w:iCs/>
        </w:rPr>
        <w:t xml:space="preserve"> Robust</w:t>
      </w:r>
      <w:r w:rsidRPr="009B720F">
        <w:rPr>
          <w:bCs/>
        </w:rPr>
        <w:t xml:space="preserve"> means that the plan ‘</w:t>
      </w:r>
      <w:r w:rsidRPr="009B720F">
        <w:rPr>
          <w:bCs/>
          <w:i/>
          <w:iCs/>
        </w:rPr>
        <w:t xml:space="preserve">performs adequately well against a set of decision criteria under a wide range of possible future states of the world’ </w:t>
      </w:r>
      <w:r w:rsidRPr="009B720F">
        <w:rPr>
          <w:bCs/>
        </w:rPr>
        <w:t>(</w:t>
      </w:r>
      <w:r w:rsidRPr="009B720F">
        <w:rPr>
          <w:bCs/>
          <w:color w:val="7F7F7F" w:themeColor="text1" w:themeTint="80"/>
        </w:rPr>
        <w:t>Ranger et al.2013, p.247</w:t>
      </w:r>
      <w:r w:rsidRPr="009B720F">
        <w:rPr>
          <w:bCs/>
        </w:rPr>
        <w:t>).</w:t>
      </w:r>
      <w:r w:rsidRPr="009B720F">
        <w:rPr>
          <w:bCs/>
          <w:i/>
          <w:iCs/>
          <w:color w:val="0070C0"/>
        </w:rPr>
        <w:t xml:space="preserve"> </w:t>
      </w:r>
      <w:r w:rsidRPr="009B720F">
        <w:rPr>
          <w:bCs/>
          <w:i/>
          <w:iCs/>
        </w:rPr>
        <w:t>Flexible</w:t>
      </w:r>
      <w:r w:rsidRPr="009B720F">
        <w:rPr>
          <w:bCs/>
        </w:rPr>
        <w:t xml:space="preserve"> means that the plan (its strategies, measures, and their timing) can be changed over time as conditions change or new knowledge arises, thus, it is ‘</w:t>
      </w:r>
      <w:r w:rsidRPr="009B720F">
        <w:rPr>
          <w:bCs/>
          <w:i/>
          <w:iCs/>
        </w:rPr>
        <w:t>adaptable</w:t>
      </w:r>
      <w:r w:rsidRPr="009B720F">
        <w:rPr>
          <w:bCs/>
        </w:rPr>
        <w:t>’ / adaptive (</w:t>
      </w:r>
      <w:r w:rsidRPr="009B720F">
        <w:rPr>
          <w:bCs/>
          <w:color w:val="7F7F7F" w:themeColor="text1" w:themeTint="80"/>
        </w:rPr>
        <w:t>EA 2012, p.35-38; Ranger et al. 2013, p.233, 247, 249, 239</w:t>
      </w:r>
      <w:r w:rsidRPr="009B720F">
        <w:rPr>
          <w:bCs/>
        </w:rPr>
        <w:t xml:space="preserve">). </w:t>
      </w:r>
    </w:p>
    <w:p w14:paraId="307A986D" w14:textId="77777777" w:rsidR="00AD22FD" w:rsidRPr="009B720F" w:rsidRDefault="00AD22FD" w:rsidP="00AD22FD">
      <w:pPr>
        <w:pStyle w:val="TEXTBODY"/>
        <w:spacing w:line="276" w:lineRule="auto"/>
        <w:rPr>
          <w:bCs/>
        </w:rPr>
      </w:pPr>
      <w:r w:rsidRPr="009B720F">
        <w:rPr>
          <w:bCs/>
          <w:iCs/>
        </w:rPr>
        <w:t xml:space="preserve">As </w:t>
      </w:r>
      <w:r w:rsidRPr="001522F8">
        <w:rPr>
          <w:bCs/>
          <w:iCs/>
        </w:rPr>
        <w:t xml:space="preserve">a constituent part </w:t>
      </w:r>
      <w:r w:rsidRPr="009B720F">
        <w:rPr>
          <w:bCs/>
          <w:iCs/>
        </w:rPr>
        <w:t xml:space="preserve">of its </w:t>
      </w:r>
      <w:r w:rsidRPr="009B720F">
        <w:rPr>
          <w:bCs/>
          <w:i/>
        </w:rPr>
        <w:t>Dynamic Adaptive Planning approach</w:t>
      </w:r>
      <w:r w:rsidRPr="009B720F">
        <w:rPr>
          <w:bCs/>
          <w:iCs/>
        </w:rPr>
        <w:t xml:space="preserve">, the TE2100 developed a new methodological approach to construct a </w:t>
      </w:r>
      <w:r w:rsidRPr="009B720F">
        <w:rPr>
          <w:bCs/>
          <w:i/>
        </w:rPr>
        <w:t>dynamic adaptive plan</w:t>
      </w:r>
      <w:r w:rsidRPr="009B720F">
        <w:rPr>
          <w:bCs/>
          <w:iCs/>
        </w:rPr>
        <w:t xml:space="preserve">: the </w:t>
      </w:r>
      <w:r w:rsidRPr="009B720F">
        <w:rPr>
          <w:bCs/>
          <w:i/>
        </w:rPr>
        <w:t>Adaptation Pathways approach</w:t>
      </w:r>
      <w:r w:rsidRPr="009B720F">
        <w:rPr>
          <w:bCs/>
          <w:iCs/>
        </w:rPr>
        <w:t xml:space="preserve">, also called </w:t>
      </w:r>
      <w:r w:rsidRPr="009B720F">
        <w:rPr>
          <w:bCs/>
          <w:i/>
        </w:rPr>
        <w:t>Route-map approach</w:t>
      </w:r>
      <w:r w:rsidRPr="009B720F">
        <w:rPr>
          <w:bCs/>
          <w:iCs/>
        </w:rPr>
        <w:t xml:space="preserve"> or </w:t>
      </w:r>
      <w:r w:rsidRPr="009B720F">
        <w:rPr>
          <w:bCs/>
          <w:i/>
        </w:rPr>
        <w:t xml:space="preserve">Decision Pathways approach </w:t>
      </w:r>
      <w:r w:rsidRPr="009B720F">
        <w:rPr>
          <w:bCs/>
        </w:rPr>
        <w:t>(</w:t>
      </w:r>
      <w:r w:rsidRPr="009B720F">
        <w:rPr>
          <w:bCs/>
          <w:color w:val="7F7F7F" w:themeColor="text1" w:themeTint="80"/>
        </w:rPr>
        <w:t xml:space="preserve">EA 2009b, p.200, 3-4; Ranger et al. 2013, p.249; </w:t>
      </w:r>
      <w:r w:rsidRPr="009B720F">
        <w:rPr>
          <w:rFonts w:cs="Arial"/>
          <w:bCs/>
          <w:iCs/>
          <w:color w:val="7F7F7F" w:themeColor="text1" w:themeTint="80"/>
        </w:rPr>
        <w:t>Reeder and Ranger 2011, p.5, 8</w:t>
      </w:r>
      <w:r w:rsidRPr="009B720F">
        <w:rPr>
          <w:bCs/>
        </w:rPr>
        <w:t>).</w:t>
      </w:r>
    </w:p>
    <w:bookmarkEnd w:id="63"/>
    <w:p w14:paraId="6A365155" w14:textId="77777777" w:rsidR="00AD22FD" w:rsidRDefault="00AD22FD" w:rsidP="00AD22FD">
      <w:pPr>
        <w:pStyle w:val="TEXTBODY"/>
        <w:spacing w:line="276" w:lineRule="auto"/>
        <w:rPr>
          <w:bCs/>
          <w:strike/>
        </w:rPr>
      </w:pPr>
      <w:r w:rsidRPr="009B720F">
        <w:rPr>
          <w:bCs/>
        </w:rPr>
        <w:t xml:space="preserve">This Section identifies the elements of the TE2100’s </w:t>
      </w:r>
      <w:r w:rsidRPr="009B720F">
        <w:rPr>
          <w:bCs/>
          <w:i/>
          <w:iCs/>
        </w:rPr>
        <w:t>Dynamic Adaptive Planning approach</w:t>
      </w:r>
      <w:r w:rsidRPr="009B720F">
        <w:rPr>
          <w:bCs/>
        </w:rPr>
        <w:t xml:space="preserve"> that were essential to develop a </w:t>
      </w:r>
      <w:r w:rsidRPr="009B720F">
        <w:rPr>
          <w:bCs/>
          <w:i/>
          <w:iCs/>
        </w:rPr>
        <w:t>dynamic adaptive plan</w:t>
      </w:r>
      <w:r w:rsidRPr="009B720F">
        <w:rPr>
          <w:bCs/>
        </w:rPr>
        <w:t xml:space="preserve"> and explains how these elements were developed in practice. Drawing on the previous analysis and on prior studies</w:t>
      </w:r>
      <w:r w:rsidRPr="009B720F">
        <w:rPr>
          <w:rStyle w:val="Refdenotaderodap"/>
          <w:bCs/>
        </w:rPr>
        <w:footnoteReference w:id="50"/>
      </w:r>
      <w:r w:rsidRPr="009B720F">
        <w:rPr>
          <w:bCs/>
        </w:rPr>
        <w:t xml:space="preserve">, it was possible </w:t>
      </w:r>
      <w:r w:rsidRPr="001522F8">
        <w:rPr>
          <w:bCs/>
        </w:rPr>
        <w:t xml:space="preserve">to </w:t>
      </w:r>
      <w:r>
        <w:rPr>
          <w:bCs/>
        </w:rPr>
        <w:t>identify</w:t>
      </w:r>
      <w:r w:rsidRPr="001522F8">
        <w:rPr>
          <w:bCs/>
        </w:rPr>
        <w:t xml:space="preserve"> (</w:t>
      </w:r>
      <w:r>
        <w:rPr>
          <w:bCs/>
        </w:rPr>
        <w:t>derive</w:t>
      </w:r>
      <w:r w:rsidRPr="009B720F">
        <w:rPr>
          <w:bCs/>
        </w:rPr>
        <w:t xml:space="preserve">) the main elements of this Adaptive Planning approach that were essential to design and implement a </w:t>
      </w:r>
      <w:r w:rsidRPr="009B720F">
        <w:rPr>
          <w:bCs/>
          <w:i/>
          <w:iCs/>
        </w:rPr>
        <w:t xml:space="preserve">dynamic adaptive plan, </w:t>
      </w:r>
      <w:r w:rsidRPr="009B720F">
        <w:rPr>
          <w:bCs/>
        </w:rPr>
        <w:t>as well as the fundamental ‘ingredients’ that make this Plan a</w:t>
      </w:r>
      <w:r w:rsidRPr="009B720F">
        <w:rPr>
          <w:bCs/>
          <w:i/>
          <w:iCs/>
        </w:rPr>
        <w:t xml:space="preserve"> robust adaptable plan</w:t>
      </w:r>
      <w:r w:rsidRPr="009B720F">
        <w:rPr>
          <w:bCs/>
        </w:rPr>
        <w:t xml:space="preserve">. These elements and ingredients are summarized in </w:t>
      </w:r>
      <w:r w:rsidRPr="001522F8">
        <w:rPr>
          <w:b/>
        </w:rPr>
        <w:t xml:space="preserve">Table </w:t>
      </w:r>
      <w:r>
        <w:rPr>
          <w:b/>
        </w:rPr>
        <w:t>A.2</w:t>
      </w:r>
      <w:r w:rsidRPr="009B720F">
        <w:rPr>
          <w:bCs/>
        </w:rPr>
        <w:t>.</w:t>
      </w:r>
      <w:bookmarkStart w:id="66" w:name="_Hlk42524716"/>
      <w:r w:rsidRPr="009B720F">
        <w:rPr>
          <w:bCs/>
          <w:strike/>
        </w:rPr>
        <w:t xml:space="preserve"> </w:t>
      </w:r>
      <w:bookmarkEnd w:id="64"/>
      <w:bookmarkEnd w:id="66"/>
    </w:p>
    <w:p w14:paraId="40DB0B83" w14:textId="77777777" w:rsidR="00AD22FD" w:rsidRPr="00E74925" w:rsidRDefault="00AD22FD" w:rsidP="00AD22FD">
      <w:pPr>
        <w:pStyle w:val="TEXTBODY"/>
        <w:spacing w:line="276" w:lineRule="auto"/>
        <w:rPr>
          <w:bCs/>
          <w:strike/>
        </w:rPr>
      </w:pPr>
    </w:p>
    <w:p w14:paraId="2E556E11" w14:textId="634913B5" w:rsidR="00AD22FD" w:rsidRPr="009B720F" w:rsidRDefault="00AD22FD" w:rsidP="00AD22FD">
      <w:pPr>
        <w:pStyle w:val="Ttulo2"/>
        <w:rPr>
          <w:bCs/>
        </w:rPr>
      </w:pPr>
      <w:bookmarkStart w:id="67" w:name="_Toc44341252"/>
      <w:r>
        <w:rPr>
          <w:bCs/>
        </w:rPr>
        <w:t>3</w:t>
      </w:r>
      <w:r w:rsidRPr="009B720F">
        <w:rPr>
          <w:bCs/>
        </w:rPr>
        <w:t xml:space="preserve">.1. </w:t>
      </w:r>
      <w:bookmarkEnd w:id="67"/>
      <w:r w:rsidRPr="009B720F">
        <w:rPr>
          <w:bCs/>
        </w:rPr>
        <w:t xml:space="preserve">Deriving the key-elements of the TE2100’s ‘Dynamic Adaptive Planning approach’ essential to develop a </w:t>
      </w:r>
      <w:r w:rsidRPr="009B720F">
        <w:rPr>
          <w:bCs/>
          <w:i/>
          <w:iCs/>
        </w:rPr>
        <w:t>dynamic adaptive plan</w:t>
      </w:r>
      <w:r w:rsidRPr="009B720F">
        <w:rPr>
          <w:bCs/>
        </w:rPr>
        <w:t xml:space="preserve"> </w:t>
      </w:r>
    </w:p>
    <w:p w14:paraId="1E6C54F9" w14:textId="77777777" w:rsidR="00AD22FD" w:rsidRPr="009B720F" w:rsidRDefault="00AD22FD" w:rsidP="00AD22FD">
      <w:pPr>
        <w:pStyle w:val="Ttulo4"/>
        <w:rPr>
          <w:bCs/>
        </w:rPr>
      </w:pPr>
      <w:r w:rsidRPr="009B720F">
        <w:rPr>
          <w:bCs/>
        </w:rPr>
        <w:t>Key-element 1</w:t>
      </w:r>
      <w:bookmarkStart w:id="68" w:name="_Hlk5994058"/>
    </w:p>
    <w:p w14:paraId="3D04A348" w14:textId="77777777" w:rsidR="00AD22FD" w:rsidRPr="009B720F" w:rsidRDefault="00AD22FD" w:rsidP="00AD22FD">
      <w:pPr>
        <w:pStyle w:val="TEXTBODY"/>
        <w:spacing w:line="276" w:lineRule="auto"/>
        <w:rPr>
          <w:bCs/>
          <w:szCs w:val="22"/>
        </w:rPr>
      </w:pPr>
      <w:r w:rsidRPr="009B720F">
        <w:rPr>
          <w:bCs/>
          <w:szCs w:val="22"/>
        </w:rPr>
        <w:t>Since an early phase, the TE2100 Project Team decided to incorporate the uncertainties inherent to CC projections into the planning and decision-making process (</w:t>
      </w:r>
      <w:r w:rsidRPr="009B720F">
        <w:rPr>
          <w:bCs/>
          <w:color w:val="7F7F7F" w:themeColor="text1" w:themeTint="80"/>
          <w:szCs w:val="22"/>
        </w:rPr>
        <w:t>EA 2009A, p.71</w:t>
      </w:r>
      <w:r w:rsidRPr="009B720F">
        <w:rPr>
          <w:bCs/>
          <w:szCs w:val="22"/>
        </w:rPr>
        <w:t>). The existence of deep uncertainties about future effects of CC and SLR on flood risk in the TE led the</w:t>
      </w:r>
      <w:r w:rsidRPr="009B720F">
        <w:rPr>
          <w:bCs/>
          <w:color w:val="C00000"/>
          <w:szCs w:val="22"/>
        </w:rPr>
        <w:t xml:space="preserve"> </w:t>
      </w:r>
      <w:r w:rsidRPr="009B720F">
        <w:rPr>
          <w:bCs/>
          <w:szCs w:val="22"/>
        </w:rPr>
        <w:t xml:space="preserve">EA Team to commission research studies to the </w:t>
      </w:r>
      <w:r w:rsidRPr="009B720F">
        <w:rPr>
          <w:bCs/>
          <w:i/>
          <w:iCs/>
          <w:szCs w:val="22"/>
        </w:rPr>
        <w:t>Met Office Hadley Centre</w:t>
      </w:r>
      <w:r w:rsidRPr="009B720F">
        <w:rPr>
          <w:bCs/>
          <w:szCs w:val="22"/>
        </w:rPr>
        <w:t xml:space="preserve"> and other organizations, to better grasp the uncertainties around future CC projections, and analyse the current flood risk in the TE (considering the existent defence system) and how it might change in the future (</w:t>
      </w:r>
      <w:r w:rsidRPr="009B720F">
        <w:rPr>
          <w:bCs/>
          <w:color w:val="7F7F7F" w:themeColor="text1" w:themeTint="80"/>
          <w:szCs w:val="22"/>
        </w:rPr>
        <w:t>EA 2012, p.1, 6, 28; EA 2009b; EA 2009A, p.11</w:t>
      </w:r>
      <w:r w:rsidRPr="009B720F">
        <w:rPr>
          <w:bCs/>
          <w:szCs w:val="22"/>
        </w:rPr>
        <w:t>).</w:t>
      </w:r>
      <w:r w:rsidRPr="009B720F">
        <w:rPr>
          <w:rFonts w:eastAsia="Frutiger-Roman"/>
          <w:bCs/>
          <w:szCs w:val="22"/>
        </w:rPr>
        <w:t xml:space="preserve"> </w:t>
      </w:r>
      <w:r w:rsidRPr="009B720F">
        <w:rPr>
          <w:bCs/>
          <w:color w:val="000000"/>
          <w:szCs w:val="22"/>
        </w:rPr>
        <w:t xml:space="preserve">In specific, research was commissioned to better understand CC effects on relative SLR, storm surge and river flows, and </w:t>
      </w:r>
      <w:r w:rsidRPr="009B720F">
        <w:rPr>
          <w:bCs/>
          <w:szCs w:val="22"/>
        </w:rPr>
        <w:t>the plausible future increases in extreme water levels in the TE</w:t>
      </w:r>
      <w:r w:rsidRPr="009B720F">
        <w:rPr>
          <w:bCs/>
          <w:color w:val="000000"/>
          <w:szCs w:val="22"/>
        </w:rPr>
        <w:t>, and to produce a range of future scenarios of water level rise (WLR) until 2100 (</w:t>
      </w:r>
      <w:r w:rsidRPr="009B720F">
        <w:rPr>
          <w:bCs/>
          <w:color w:val="7F7F7F" w:themeColor="text1" w:themeTint="80"/>
          <w:szCs w:val="22"/>
        </w:rPr>
        <w:t>EA 2012, p.28; EA 2009A, p.71</w:t>
      </w:r>
      <w:r w:rsidRPr="009B720F">
        <w:rPr>
          <w:bCs/>
          <w:szCs w:val="22"/>
        </w:rPr>
        <w:t xml:space="preserve">). </w:t>
      </w:r>
    </w:p>
    <w:p w14:paraId="75F8DE4A" w14:textId="77777777" w:rsidR="00AD22FD" w:rsidRPr="009B720F" w:rsidRDefault="00AD22FD" w:rsidP="00AD22FD">
      <w:pPr>
        <w:pStyle w:val="TEXTBODY"/>
        <w:spacing w:line="276" w:lineRule="auto"/>
        <w:rPr>
          <w:bCs/>
        </w:rPr>
      </w:pPr>
      <w:r w:rsidRPr="009B720F">
        <w:rPr>
          <w:bCs/>
          <w:szCs w:val="22"/>
        </w:rPr>
        <w:t xml:space="preserve">To deal with uncertainty (namely in the phase of </w:t>
      </w:r>
      <w:r w:rsidRPr="009B720F">
        <w:rPr>
          <w:bCs/>
          <w:i/>
          <w:iCs/>
          <w:szCs w:val="22"/>
        </w:rPr>
        <w:t>Options development</w:t>
      </w:r>
      <w:r w:rsidRPr="009B720F">
        <w:rPr>
          <w:bCs/>
          <w:szCs w:val="22"/>
        </w:rPr>
        <w:t>), the TE2100 Team has developed diverse climatic future scenarios which covered a wide range of plausible future conditions (</w:t>
      </w:r>
      <w:r w:rsidRPr="009B720F">
        <w:rPr>
          <w:bCs/>
          <w:color w:val="7F7F7F" w:themeColor="text1" w:themeTint="80"/>
          <w:szCs w:val="22"/>
        </w:rPr>
        <w:t>EA 2009A, p.11</w:t>
      </w:r>
      <w:r w:rsidRPr="009B720F">
        <w:rPr>
          <w:bCs/>
          <w:szCs w:val="22"/>
        </w:rPr>
        <w:t xml:space="preserve">). </w:t>
      </w:r>
      <w:r w:rsidRPr="009B720F">
        <w:rPr>
          <w:bCs/>
        </w:rPr>
        <w:t>Therefore, the TE2100 Project has considered and worked with a wide range of plausible future scenarios of water level rise (WLR) until 2100, rather than a single ‘</w:t>
      </w:r>
      <w:r w:rsidRPr="009B720F">
        <w:rPr>
          <w:bCs/>
          <w:i/>
          <w:iCs/>
        </w:rPr>
        <w:t>most probable</w:t>
      </w:r>
      <w:r w:rsidRPr="009B720F">
        <w:rPr>
          <w:bCs/>
        </w:rPr>
        <w:t>’ scenario (</w:t>
      </w:r>
      <w:proofErr w:type="spellStart"/>
      <w:r w:rsidRPr="009B720F">
        <w:rPr>
          <w:bCs/>
          <w:color w:val="7F7F7F" w:themeColor="text1" w:themeTint="80"/>
        </w:rPr>
        <w:t>Jeuken</w:t>
      </w:r>
      <w:proofErr w:type="spellEnd"/>
      <w:r w:rsidRPr="009B720F">
        <w:rPr>
          <w:bCs/>
          <w:color w:val="7F7F7F" w:themeColor="text1" w:themeTint="80"/>
        </w:rPr>
        <w:t xml:space="preserve"> et al. 2014, p.10, 11; </w:t>
      </w:r>
      <w:proofErr w:type="spellStart"/>
      <w:r w:rsidRPr="009B720F">
        <w:rPr>
          <w:bCs/>
          <w:color w:val="7F7F7F" w:themeColor="text1" w:themeTint="80"/>
        </w:rPr>
        <w:t>Jeuken</w:t>
      </w:r>
      <w:proofErr w:type="spellEnd"/>
      <w:r w:rsidRPr="009B720F">
        <w:rPr>
          <w:bCs/>
          <w:color w:val="7F7F7F" w:themeColor="text1" w:themeTint="80"/>
        </w:rPr>
        <w:t xml:space="preserve"> and Reeder 2011, p.6</w:t>
      </w:r>
      <w:r w:rsidRPr="009B720F">
        <w:rPr>
          <w:bCs/>
        </w:rPr>
        <w:t xml:space="preserve">). </w:t>
      </w:r>
    </w:p>
    <w:p w14:paraId="6774B49E" w14:textId="77777777" w:rsidR="00AD22FD" w:rsidRPr="009B720F" w:rsidRDefault="00AD22FD" w:rsidP="00AD22FD">
      <w:pPr>
        <w:pStyle w:val="TEXTBODY"/>
        <w:spacing w:line="276" w:lineRule="auto"/>
        <w:rPr>
          <w:bCs/>
        </w:rPr>
      </w:pPr>
      <w:r w:rsidRPr="009B720F">
        <w:rPr>
          <w:bCs/>
        </w:rPr>
        <w:t>The existence of</w:t>
      </w:r>
      <w:r w:rsidRPr="009B720F">
        <w:rPr>
          <w:bCs/>
          <w:color w:val="C00000"/>
        </w:rPr>
        <w:t xml:space="preserve"> </w:t>
      </w:r>
      <w:r w:rsidRPr="009B720F">
        <w:rPr>
          <w:bCs/>
        </w:rPr>
        <w:t>uncertainties around future CC and SLR effects led to the consideration of various plausible scenarios with a long temporal horizon (2100 and beyond) (</w:t>
      </w:r>
      <w:proofErr w:type="spellStart"/>
      <w:r w:rsidRPr="009B720F">
        <w:rPr>
          <w:bCs/>
          <w:color w:val="7F7F7F" w:themeColor="text1" w:themeTint="80"/>
        </w:rPr>
        <w:t>Jeuken</w:t>
      </w:r>
      <w:proofErr w:type="spellEnd"/>
      <w:r w:rsidRPr="009B720F">
        <w:rPr>
          <w:bCs/>
          <w:color w:val="7F7F7F" w:themeColor="text1" w:themeTint="80"/>
        </w:rPr>
        <w:t xml:space="preserve"> et al. 2014, p.14; </w:t>
      </w:r>
      <w:proofErr w:type="spellStart"/>
      <w:r w:rsidRPr="009B720F">
        <w:rPr>
          <w:bCs/>
          <w:color w:val="7F7F7F" w:themeColor="text1" w:themeTint="80"/>
        </w:rPr>
        <w:t>Jeuken</w:t>
      </w:r>
      <w:proofErr w:type="spellEnd"/>
      <w:r w:rsidRPr="009B720F">
        <w:rPr>
          <w:bCs/>
          <w:color w:val="7F7F7F" w:themeColor="text1" w:themeTint="80"/>
        </w:rPr>
        <w:t xml:space="preserve"> and Reeder 2011, p.6</w:t>
      </w:r>
      <w:r w:rsidRPr="009B720F">
        <w:rPr>
          <w:bCs/>
        </w:rPr>
        <w:t>). WLR scenarios for the TE were generated based on GCMs, RCMs, climate projections, modelling studies, past observation, expert judgement, and other sources (</w:t>
      </w:r>
      <w:r w:rsidRPr="009B720F">
        <w:rPr>
          <w:bCs/>
          <w:color w:val="7F7F7F" w:themeColor="text1" w:themeTint="80"/>
        </w:rPr>
        <w:t>Ranger et al. 2013, p.233, 239, 258</w:t>
      </w:r>
      <w:r w:rsidRPr="009B720F">
        <w:rPr>
          <w:bCs/>
        </w:rPr>
        <w:t>). The main climate parameters considered in these scenarios were SLR, storm surges and river discharges, although projections showed no trends in river discharges, thus the work focused on SLR and storm surge (</w:t>
      </w:r>
      <w:proofErr w:type="spellStart"/>
      <w:r w:rsidRPr="009B720F">
        <w:rPr>
          <w:bCs/>
          <w:color w:val="7F7F7F" w:themeColor="text1" w:themeTint="80"/>
        </w:rPr>
        <w:t>Jeuken</w:t>
      </w:r>
      <w:proofErr w:type="spellEnd"/>
      <w:r w:rsidRPr="009B720F">
        <w:rPr>
          <w:bCs/>
          <w:color w:val="7F7F7F" w:themeColor="text1" w:themeTint="80"/>
        </w:rPr>
        <w:t xml:space="preserve"> et al. 2014, p.11, 14</w:t>
      </w:r>
      <w:r w:rsidRPr="009B720F">
        <w:rPr>
          <w:bCs/>
        </w:rPr>
        <w:t xml:space="preserve">; </w:t>
      </w:r>
      <w:proofErr w:type="spellStart"/>
      <w:r w:rsidRPr="009B720F">
        <w:rPr>
          <w:bCs/>
          <w:color w:val="7F7F7F" w:themeColor="text1" w:themeTint="80"/>
        </w:rPr>
        <w:t>Jeuken</w:t>
      </w:r>
      <w:proofErr w:type="spellEnd"/>
      <w:r w:rsidRPr="009B720F">
        <w:rPr>
          <w:bCs/>
          <w:color w:val="7F7F7F" w:themeColor="text1" w:themeTint="80"/>
        </w:rPr>
        <w:t xml:space="preserve"> and Reeder 2011, p.6</w:t>
      </w:r>
      <w:r w:rsidRPr="009B720F">
        <w:rPr>
          <w:bCs/>
        </w:rPr>
        <w:t xml:space="preserve">). The range of scenarios included ‘high-impact / low-probability </w:t>
      </w:r>
      <w:proofErr w:type="gramStart"/>
      <w:r w:rsidRPr="009B720F">
        <w:rPr>
          <w:bCs/>
        </w:rPr>
        <w:t>scenarios’</w:t>
      </w:r>
      <w:proofErr w:type="gramEnd"/>
      <w:r w:rsidRPr="009B720F">
        <w:rPr>
          <w:bCs/>
        </w:rPr>
        <w:t xml:space="preserve"> and moderate scenarios, and, later in the Project, it was identified a ‘</w:t>
      </w:r>
      <w:r w:rsidRPr="009B720F">
        <w:rPr>
          <w:bCs/>
          <w:i/>
          <w:iCs/>
        </w:rPr>
        <w:t>most likely</w:t>
      </w:r>
      <w:r w:rsidRPr="009B720F">
        <w:rPr>
          <w:bCs/>
        </w:rPr>
        <w:t xml:space="preserve"> scenario’ (the </w:t>
      </w:r>
      <w:r w:rsidRPr="009B720F">
        <w:rPr>
          <w:bCs/>
          <w:i/>
          <w:iCs/>
        </w:rPr>
        <w:t>Defra06 central</w:t>
      </w:r>
      <w:r w:rsidRPr="009B720F">
        <w:rPr>
          <w:bCs/>
        </w:rPr>
        <w:t>) (</w:t>
      </w:r>
      <w:proofErr w:type="spellStart"/>
      <w:r w:rsidRPr="009B720F">
        <w:rPr>
          <w:bCs/>
          <w:color w:val="7F7F7F" w:themeColor="text1" w:themeTint="80"/>
        </w:rPr>
        <w:t>Jeuken</w:t>
      </w:r>
      <w:proofErr w:type="spellEnd"/>
      <w:r w:rsidRPr="009B720F">
        <w:rPr>
          <w:bCs/>
          <w:color w:val="7F7F7F" w:themeColor="text1" w:themeTint="80"/>
        </w:rPr>
        <w:t xml:space="preserve"> et al. 2014, p.10, 11</w:t>
      </w:r>
      <w:r w:rsidRPr="009B720F">
        <w:rPr>
          <w:bCs/>
        </w:rPr>
        <w:t>). In addition, four socioeconomic scenarios were specifically developed for the TE (</w:t>
      </w:r>
      <w:proofErr w:type="spellStart"/>
      <w:r w:rsidRPr="009B720F">
        <w:rPr>
          <w:bCs/>
          <w:color w:val="7F7F7F" w:themeColor="text1" w:themeTint="80"/>
        </w:rPr>
        <w:t>Jeuken</w:t>
      </w:r>
      <w:proofErr w:type="spellEnd"/>
      <w:r w:rsidRPr="009B720F">
        <w:rPr>
          <w:bCs/>
          <w:color w:val="7F7F7F" w:themeColor="text1" w:themeTint="80"/>
        </w:rPr>
        <w:t xml:space="preserve"> et al. 2014, p.13</w:t>
      </w:r>
      <w:r w:rsidRPr="009B720F">
        <w:rPr>
          <w:bCs/>
        </w:rPr>
        <w:t>).</w:t>
      </w:r>
    </w:p>
    <w:p w14:paraId="0341F56F" w14:textId="77777777" w:rsidR="00AD22FD" w:rsidRPr="009B720F" w:rsidRDefault="00AD22FD" w:rsidP="00AD22FD">
      <w:pPr>
        <w:pStyle w:val="TEXTBODY"/>
        <w:spacing w:line="276" w:lineRule="auto"/>
        <w:rPr>
          <w:bCs/>
        </w:rPr>
      </w:pPr>
      <w:r w:rsidRPr="009B720F">
        <w:rPr>
          <w:bCs/>
        </w:rPr>
        <w:t xml:space="preserve">Initially, an extreme SLR scenario, the </w:t>
      </w:r>
      <w:r w:rsidRPr="009B720F">
        <w:rPr>
          <w:bCs/>
          <w:i/>
          <w:iCs/>
        </w:rPr>
        <w:t>High++</w:t>
      </w:r>
      <w:r w:rsidRPr="009B720F">
        <w:rPr>
          <w:bCs/>
        </w:rPr>
        <w:t xml:space="preserve">, was used, as an upper-bound figure, to support and inform the exploration of possible measures and the development of the </w:t>
      </w:r>
      <w:r w:rsidRPr="009B720F">
        <w:rPr>
          <w:bCs/>
          <w:i/>
          <w:iCs/>
        </w:rPr>
        <w:t>High-Level Options</w:t>
      </w:r>
      <w:r w:rsidRPr="009B720F">
        <w:rPr>
          <w:bCs/>
        </w:rPr>
        <w:t xml:space="preserve"> (</w:t>
      </w:r>
      <w:r w:rsidRPr="009B720F">
        <w:rPr>
          <w:bCs/>
          <w:i/>
          <w:iCs/>
        </w:rPr>
        <w:t>HLOs</w:t>
      </w:r>
      <w:r w:rsidRPr="009B720F">
        <w:rPr>
          <w:bCs/>
        </w:rPr>
        <w:t xml:space="preserve"> / pathways) – it served for exploratory purposes – </w:t>
      </w:r>
      <w:proofErr w:type="gramStart"/>
      <w:r w:rsidRPr="009B720F">
        <w:rPr>
          <w:bCs/>
        </w:rPr>
        <w:t>and,</w:t>
      </w:r>
      <w:proofErr w:type="gramEnd"/>
      <w:r w:rsidRPr="009B720F">
        <w:rPr>
          <w:bCs/>
        </w:rPr>
        <w:t xml:space="preserve"> later other (four) scenarios were used for refining and detailing the </w:t>
      </w:r>
      <w:r w:rsidRPr="009B720F">
        <w:rPr>
          <w:bCs/>
          <w:i/>
          <w:iCs/>
        </w:rPr>
        <w:t xml:space="preserve">HLOs </w:t>
      </w:r>
      <w:r w:rsidRPr="009B720F">
        <w:rPr>
          <w:bCs/>
        </w:rPr>
        <w:t>(into</w:t>
      </w:r>
      <w:r w:rsidRPr="009B720F">
        <w:rPr>
          <w:bCs/>
          <w:i/>
          <w:iCs/>
        </w:rPr>
        <w:t xml:space="preserve"> Detailed Options</w:t>
      </w:r>
      <w:r w:rsidRPr="009B720F">
        <w:rPr>
          <w:bCs/>
        </w:rPr>
        <w:t>) and for appraising them. Two climate scenarios (</w:t>
      </w:r>
      <w:r w:rsidRPr="009B720F">
        <w:rPr>
          <w:bCs/>
          <w:i/>
          <w:iCs/>
        </w:rPr>
        <w:t>Defra06 central</w:t>
      </w:r>
      <w:r w:rsidRPr="009B720F">
        <w:rPr>
          <w:bCs/>
        </w:rPr>
        <w:t xml:space="preserve"> and </w:t>
      </w:r>
      <w:r w:rsidRPr="009B720F">
        <w:rPr>
          <w:bCs/>
          <w:i/>
          <w:iCs/>
        </w:rPr>
        <w:t>High+</w:t>
      </w:r>
      <w:r w:rsidRPr="009B720F">
        <w:rPr>
          <w:bCs/>
        </w:rPr>
        <w:t xml:space="preserve">) and two socioeconomic scenarios (A and D) were used to appraise the </w:t>
      </w:r>
      <w:r w:rsidRPr="009B720F">
        <w:rPr>
          <w:bCs/>
          <w:i/>
          <w:iCs/>
        </w:rPr>
        <w:t>Options</w:t>
      </w:r>
      <w:r w:rsidRPr="009B720F">
        <w:rPr>
          <w:bCs/>
        </w:rPr>
        <w:t>,</w:t>
      </w:r>
      <w:r w:rsidRPr="009B720F">
        <w:rPr>
          <w:bCs/>
          <w:i/>
          <w:iCs/>
        </w:rPr>
        <w:t xml:space="preserve"> </w:t>
      </w:r>
      <w:r w:rsidRPr="009B720F">
        <w:rPr>
          <w:bCs/>
        </w:rPr>
        <w:t>and, in this way, examine their long-term robustness (</w:t>
      </w:r>
      <w:proofErr w:type="spellStart"/>
      <w:r w:rsidRPr="009B720F">
        <w:rPr>
          <w:bCs/>
          <w:color w:val="7F7F7F" w:themeColor="text1" w:themeTint="80"/>
        </w:rPr>
        <w:t>Jeuken</w:t>
      </w:r>
      <w:proofErr w:type="spellEnd"/>
      <w:r w:rsidRPr="009B720F">
        <w:rPr>
          <w:bCs/>
          <w:color w:val="7F7F7F" w:themeColor="text1" w:themeTint="80"/>
        </w:rPr>
        <w:t xml:space="preserve"> et al. 2014, p.10, 14</w:t>
      </w:r>
      <w:r w:rsidRPr="009B720F">
        <w:rPr>
          <w:bCs/>
        </w:rPr>
        <w:t xml:space="preserve">). </w:t>
      </w:r>
    </w:p>
    <w:p w14:paraId="1471433F" w14:textId="77777777" w:rsidR="00AD22FD" w:rsidRPr="009B720F" w:rsidRDefault="00AD22FD" w:rsidP="00AD22FD">
      <w:pPr>
        <w:pStyle w:val="TEXTBODY"/>
        <w:spacing w:line="276" w:lineRule="auto"/>
        <w:rPr>
          <w:bCs/>
        </w:rPr>
      </w:pPr>
      <w:r w:rsidRPr="009B720F">
        <w:rPr>
          <w:bCs/>
          <w:szCs w:val="22"/>
        </w:rPr>
        <w:lastRenderedPageBreak/>
        <w:t xml:space="preserve">The range of generated scenarios was used to grasp how flood risk might change in future, but also </w:t>
      </w:r>
      <w:r w:rsidRPr="009B720F">
        <w:rPr>
          <w:bCs/>
        </w:rPr>
        <w:t xml:space="preserve">to identify of different measures and set long-term adaptation requirements (for the </w:t>
      </w:r>
      <w:r w:rsidRPr="009B720F">
        <w:rPr>
          <w:bCs/>
          <w:i/>
          <w:iCs/>
        </w:rPr>
        <w:t>HLOs</w:t>
      </w:r>
      <w:r w:rsidRPr="009B720F">
        <w:rPr>
          <w:bCs/>
        </w:rPr>
        <w:t>), and to develop the pathways (</w:t>
      </w:r>
      <w:r w:rsidRPr="009B720F">
        <w:rPr>
          <w:bCs/>
          <w:i/>
          <w:iCs/>
        </w:rPr>
        <w:t>HLOs</w:t>
      </w:r>
      <w:r w:rsidRPr="009B720F">
        <w:rPr>
          <w:bCs/>
        </w:rPr>
        <w:t xml:space="preserve"> / </w:t>
      </w:r>
      <w:r w:rsidRPr="009B720F">
        <w:rPr>
          <w:bCs/>
          <w:i/>
          <w:iCs/>
        </w:rPr>
        <w:t>Options</w:t>
      </w:r>
      <w:r w:rsidRPr="009B720F">
        <w:rPr>
          <w:bCs/>
        </w:rPr>
        <w:t>) and appraise them (</w:t>
      </w:r>
      <w:r w:rsidRPr="009B720F">
        <w:rPr>
          <w:bCs/>
          <w:color w:val="7F7F7F" w:themeColor="text1" w:themeTint="80"/>
        </w:rPr>
        <w:t>Ramsbottom et and Sheppard 2017, p.7, 9</w:t>
      </w:r>
      <w:r w:rsidRPr="009B720F">
        <w:rPr>
          <w:bCs/>
        </w:rPr>
        <w:t xml:space="preserve">).  </w:t>
      </w:r>
    </w:p>
    <w:p w14:paraId="582D89E6" w14:textId="77777777" w:rsidR="00AD22FD" w:rsidRPr="009B720F" w:rsidRDefault="00AD22FD" w:rsidP="00AD22FD">
      <w:pPr>
        <w:pStyle w:val="TEXTBODY"/>
        <w:spacing w:line="276" w:lineRule="auto"/>
        <w:rPr>
          <w:bCs/>
        </w:rPr>
      </w:pPr>
      <w:r w:rsidRPr="009B720F">
        <w:rPr>
          <w:bCs/>
        </w:rPr>
        <w:t>The</w:t>
      </w:r>
      <w:r w:rsidRPr="009B720F">
        <w:rPr>
          <w:bCs/>
          <w:strike/>
          <w:color w:val="00B050"/>
        </w:rPr>
        <w:t xml:space="preserve"> </w:t>
      </w:r>
      <w:r w:rsidRPr="009B720F">
        <w:rPr>
          <w:bCs/>
        </w:rPr>
        <w:t>use of a wide range of plausible future scenarios of WLR, namely to test measures and design pathways and appraise them, has been deemed one of the main innovations of the TE2100 (</w:t>
      </w:r>
      <w:r w:rsidRPr="009B720F">
        <w:rPr>
          <w:bCs/>
          <w:color w:val="7F7F7F" w:themeColor="text1" w:themeTint="80"/>
        </w:rPr>
        <w:t>Ranger et al. 2013, p.233, 239, 258;</w:t>
      </w:r>
      <w:r w:rsidRPr="009B720F">
        <w:rPr>
          <w:bCs/>
          <w:color w:val="0070C0"/>
        </w:rPr>
        <w:t xml:space="preserve"> </w:t>
      </w:r>
      <w:r w:rsidRPr="009B720F">
        <w:rPr>
          <w:bCs/>
          <w:color w:val="7F7F7F" w:themeColor="text1" w:themeTint="80"/>
        </w:rPr>
        <w:t>Reeder and Ranger 2011, p.7</w:t>
      </w:r>
      <w:r w:rsidRPr="009B720F">
        <w:rPr>
          <w:bCs/>
        </w:rPr>
        <w:t xml:space="preserve">), but it was also a crucial element to develop a </w:t>
      </w:r>
      <w:r w:rsidRPr="009B720F">
        <w:rPr>
          <w:bCs/>
          <w:i/>
          <w:iCs/>
        </w:rPr>
        <w:t>long-term</w:t>
      </w:r>
      <w:r w:rsidRPr="009B720F">
        <w:rPr>
          <w:bCs/>
        </w:rPr>
        <w:t xml:space="preserve"> </w:t>
      </w:r>
      <w:r w:rsidRPr="009B720F">
        <w:rPr>
          <w:bCs/>
          <w:i/>
          <w:iCs/>
        </w:rPr>
        <w:t>adaptive plan</w:t>
      </w:r>
      <w:r w:rsidRPr="009B720F">
        <w:rPr>
          <w:bCs/>
        </w:rPr>
        <w:t xml:space="preserve"> – both </w:t>
      </w:r>
      <w:r w:rsidRPr="009B720F">
        <w:rPr>
          <w:bCs/>
          <w:i/>
          <w:iCs/>
        </w:rPr>
        <w:t>robust</w:t>
      </w:r>
      <w:r w:rsidRPr="009B720F">
        <w:rPr>
          <w:bCs/>
        </w:rPr>
        <w:t xml:space="preserve"> and </w:t>
      </w:r>
      <w:r w:rsidRPr="009B720F">
        <w:rPr>
          <w:bCs/>
          <w:i/>
          <w:iCs/>
        </w:rPr>
        <w:t xml:space="preserve">adaptable </w:t>
      </w:r>
      <w:r w:rsidRPr="009B720F">
        <w:rPr>
          <w:bCs/>
        </w:rPr>
        <w:t>to an uncertain future and changing risk. From the outset, the Plan was devised to cope with change (namely a changing climate), hence, the Team sought to gauge ‘</w:t>
      </w:r>
      <w:r w:rsidRPr="009B720F">
        <w:rPr>
          <w:bCs/>
          <w:i/>
        </w:rPr>
        <w:t>how much adaptation will be needed for different scenarios</w:t>
      </w:r>
      <w:r w:rsidRPr="009B720F">
        <w:rPr>
          <w:bCs/>
          <w:iCs/>
        </w:rPr>
        <w:t xml:space="preserve">’ </w:t>
      </w:r>
      <w:r w:rsidRPr="009B720F">
        <w:rPr>
          <w:bCs/>
        </w:rPr>
        <w:t>(</w:t>
      </w:r>
      <w:r w:rsidRPr="009B720F">
        <w:rPr>
          <w:bCs/>
          <w:color w:val="7F7F7F" w:themeColor="text1" w:themeTint="80"/>
        </w:rPr>
        <w:t>EA 2012, p.28</w:t>
      </w:r>
      <w:r w:rsidRPr="009B720F">
        <w:rPr>
          <w:bCs/>
        </w:rPr>
        <w:t xml:space="preserve">). Therefore, working with a wide range of plausible future scenarios, to assess possible measures and pathways, can be deemed a key-element of the TE2100’s </w:t>
      </w:r>
      <w:r w:rsidRPr="009B720F">
        <w:rPr>
          <w:bCs/>
          <w:i/>
          <w:iCs/>
        </w:rPr>
        <w:t>Dynamic Adaptive Planning approach</w:t>
      </w:r>
      <w:r w:rsidRPr="009B720F">
        <w:rPr>
          <w:bCs/>
        </w:rPr>
        <w:t xml:space="preserve"> that was essential to craft and operationalize the </w:t>
      </w:r>
      <w:r w:rsidRPr="009B720F">
        <w:rPr>
          <w:bCs/>
          <w:i/>
          <w:iCs/>
        </w:rPr>
        <w:t>adaptive plan</w:t>
      </w:r>
      <w:r w:rsidRPr="009B720F">
        <w:rPr>
          <w:bCs/>
        </w:rPr>
        <w:t>.</w:t>
      </w:r>
    </w:p>
    <w:p w14:paraId="66102E5E" w14:textId="77777777" w:rsidR="00AD22FD" w:rsidRPr="009B720F" w:rsidRDefault="00AD22FD" w:rsidP="00AD22FD">
      <w:pPr>
        <w:pStyle w:val="TEXTBODY"/>
        <w:spacing w:line="276" w:lineRule="auto"/>
        <w:rPr>
          <w:bCs/>
        </w:rPr>
      </w:pPr>
    </w:p>
    <w:p w14:paraId="15CFC8FB" w14:textId="77777777" w:rsidR="00AD22FD" w:rsidRPr="009B720F" w:rsidRDefault="00AD22FD" w:rsidP="00AD22FD">
      <w:pPr>
        <w:pStyle w:val="Ttulo4"/>
        <w:spacing w:line="276" w:lineRule="auto"/>
        <w:rPr>
          <w:rFonts w:ascii="Times New Roman" w:hAnsi="Times New Roman" w:cs="Times New Roman"/>
          <w:bCs/>
        </w:rPr>
      </w:pPr>
      <w:r w:rsidRPr="009B720F">
        <w:rPr>
          <w:rFonts w:ascii="Times New Roman" w:hAnsi="Times New Roman" w:cs="Times New Roman"/>
          <w:bCs/>
        </w:rPr>
        <w:t xml:space="preserve">Key-element 2 </w:t>
      </w:r>
    </w:p>
    <w:p w14:paraId="5F5E102F" w14:textId="77777777" w:rsidR="00AD22FD" w:rsidRPr="009B720F" w:rsidRDefault="00AD22FD" w:rsidP="00AD22FD">
      <w:pPr>
        <w:pStyle w:val="TEXTBODY"/>
        <w:spacing w:line="276" w:lineRule="auto"/>
        <w:rPr>
          <w:bCs/>
          <w:sz w:val="20"/>
        </w:rPr>
      </w:pPr>
      <w:r w:rsidRPr="009B720F">
        <w:rPr>
          <w:bCs/>
          <w:sz w:val="20"/>
        </w:rPr>
        <w:t>From an early phase, the Project Team decided to incorporate the uncertainties inherent to the projections of CC into the planning and decision-making process (</w:t>
      </w:r>
      <w:r w:rsidRPr="009B720F">
        <w:rPr>
          <w:bCs/>
          <w:color w:val="7F7F7F" w:themeColor="text1" w:themeTint="80"/>
          <w:sz w:val="20"/>
        </w:rPr>
        <w:t>EA 2009A, p.71</w:t>
      </w:r>
      <w:r w:rsidRPr="009B720F">
        <w:rPr>
          <w:bCs/>
          <w:sz w:val="20"/>
        </w:rPr>
        <w:t>). Through the EU-funded partnership ESPACE 33 and further developments/advancement within the TE2100 Project, the Team developed</w:t>
      </w:r>
      <w:r w:rsidRPr="009B720F">
        <w:rPr>
          <w:bCs/>
          <w:i/>
          <w:iCs/>
          <w:sz w:val="20"/>
        </w:rPr>
        <w:t xml:space="preserve"> techniques of scenario-neutral analysis </w:t>
      </w:r>
      <w:r w:rsidRPr="009B720F">
        <w:rPr>
          <w:bCs/>
          <w:sz w:val="20"/>
        </w:rPr>
        <w:t xml:space="preserve">that involved identifying </w:t>
      </w:r>
      <w:r w:rsidRPr="009B720F">
        <w:rPr>
          <w:bCs/>
          <w:i/>
          <w:iCs/>
          <w:sz w:val="20"/>
        </w:rPr>
        <w:t>critical thresholds</w:t>
      </w:r>
      <w:r w:rsidRPr="009B720F">
        <w:rPr>
          <w:bCs/>
          <w:sz w:val="20"/>
        </w:rPr>
        <w:t xml:space="preserve"> in the FRM system</w:t>
      </w:r>
      <w:r w:rsidRPr="009B720F">
        <w:rPr>
          <w:bCs/>
          <w:i/>
          <w:iCs/>
          <w:sz w:val="20"/>
        </w:rPr>
        <w:t xml:space="preserve"> </w:t>
      </w:r>
      <w:r w:rsidRPr="009B720F">
        <w:rPr>
          <w:bCs/>
          <w:sz w:val="20"/>
        </w:rPr>
        <w:t>(</w:t>
      </w:r>
      <w:r w:rsidRPr="009B720F">
        <w:rPr>
          <w:bCs/>
          <w:color w:val="7F7F7F" w:themeColor="text1" w:themeTint="80"/>
          <w:sz w:val="20"/>
        </w:rPr>
        <w:t>EA 2009A, p.71</w:t>
      </w:r>
      <w:r w:rsidRPr="009B720F">
        <w:rPr>
          <w:bCs/>
          <w:sz w:val="20"/>
        </w:rPr>
        <w:t xml:space="preserve">), as well as the </w:t>
      </w:r>
      <w:r w:rsidRPr="009B720F">
        <w:rPr>
          <w:bCs/>
          <w:i/>
          <w:iCs/>
          <w:sz w:val="20"/>
        </w:rPr>
        <w:t>Decision Pathways approach</w:t>
      </w:r>
      <w:r w:rsidRPr="009B720F">
        <w:rPr>
          <w:bCs/>
          <w:sz w:val="20"/>
        </w:rPr>
        <w:t xml:space="preserve"> (</w:t>
      </w:r>
      <w:r w:rsidRPr="009B720F">
        <w:rPr>
          <w:rFonts w:eastAsiaTheme="minorHAnsi"/>
          <w:bCs/>
          <w:color w:val="7F7F7F" w:themeColor="text1" w:themeTint="80"/>
          <w:sz w:val="20"/>
        </w:rPr>
        <w:t>EA 2009b, p.199-200, 3</w:t>
      </w:r>
      <w:r w:rsidRPr="009B720F">
        <w:rPr>
          <w:rFonts w:eastAsiaTheme="minorHAnsi"/>
          <w:bCs/>
          <w:sz w:val="20"/>
        </w:rPr>
        <w:t>).</w:t>
      </w:r>
    </w:p>
    <w:p w14:paraId="369FD475" w14:textId="77777777" w:rsidR="00AD22FD" w:rsidRPr="009B720F" w:rsidRDefault="00AD22FD" w:rsidP="00AD22FD">
      <w:pPr>
        <w:pStyle w:val="TEXTBODY"/>
        <w:spacing w:line="276" w:lineRule="auto"/>
        <w:rPr>
          <w:bCs/>
          <w:iCs/>
        </w:rPr>
      </w:pPr>
      <w:r w:rsidRPr="009B720F">
        <w:rPr>
          <w:bCs/>
          <w:iCs/>
        </w:rPr>
        <w:t xml:space="preserve">The TE2100 Team has identified </w:t>
      </w:r>
      <w:r w:rsidRPr="009B720F">
        <w:rPr>
          <w:bCs/>
          <w:i/>
          <w:iCs/>
        </w:rPr>
        <w:t>critical thresholds</w:t>
      </w:r>
      <w:r w:rsidRPr="009B720F">
        <w:rPr>
          <w:bCs/>
          <w:iCs/>
        </w:rPr>
        <w:t xml:space="preserve"> in terms of/for the sensitivity and vulnerability of th</w:t>
      </w:r>
      <w:r w:rsidRPr="00E74925">
        <w:rPr>
          <w:bCs/>
          <w:iCs/>
        </w:rPr>
        <w:t xml:space="preserve">e FRM </w:t>
      </w:r>
      <w:r w:rsidRPr="009B720F">
        <w:rPr>
          <w:bCs/>
          <w:iCs/>
        </w:rPr>
        <w:t xml:space="preserve">system to flood risk and its impacts, </w:t>
      </w:r>
      <w:r w:rsidRPr="00E74925">
        <w:rPr>
          <w:bCs/>
          <w:iCs/>
        </w:rPr>
        <w:t xml:space="preserve">namely </w:t>
      </w:r>
      <w:r w:rsidRPr="009B720F">
        <w:rPr>
          <w:bCs/>
          <w:iCs/>
        </w:rPr>
        <w:t xml:space="preserve">limits that would be disruptive for the flood defence system and which may occur between the present and the upper-bound figure / scenario of SLR considered (the </w:t>
      </w:r>
      <w:r w:rsidRPr="009B720F">
        <w:rPr>
          <w:bCs/>
          <w:i/>
        </w:rPr>
        <w:t>High++</w:t>
      </w:r>
      <w:r w:rsidRPr="009B720F">
        <w:rPr>
          <w:bCs/>
          <w:iCs/>
        </w:rPr>
        <w:t xml:space="preserve">) </w:t>
      </w:r>
      <w:r w:rsidRPr="009B720F">
        <w:rPr>
          <w:bCs/>
        </w:rPr>
        <w:t xml:space="preserve">and which would imply new measures </w:t>
      </w:r>
      <w:r w:rsidRPr="009B720F">
        <w:rPr>
          <w:bCs/>
          <w:iCs/>
        </w:rPr>
        <w:t xml:space="preserve">(e.g. modification to existing defences) </w:t>
      </w:r>
      <w:r w:rsidRPr="009B720F">
        <w:rPr>
          <w:bCs/>
        </w:rPr>
        <w:t>(</w:t>
      </w:r>
      <w:r w:rsidRPr="009B720F">
        <w:rPr>
          <w:bCs/>
          <w:color w:val="7F7F7F" w:themeColor="text1" w:themeTint="80"/>
        </w:rPr>
        <w:t xml:space="preserve">Ranger et al. 2013, p. 241, 242, 255; Reeder and Ranger 2011, p.6; </w:t>
      </w:r>
      <w:r w:rsidRPr="009B720F">
        <w:rPr>
          <w:bCs/>
          <w:color w:val="7F7F7F" w:themeColor="text1" w:themeTint="80"/>
          <w:szCs w:val="19"/>
        </w:rPr>
        <w:t>Bloemen et al. 2018, p.7, 8; Ramsbottom and Sheppard 2017, p.4; EA 2009A, p.149-151</w:t>
      </w:r>
      <w:r w:rsidRPr="009B720F">
        <w:rPr>
          <w:bCs/>
        </w:rPr>
        <w:t>).</w:t>
      </w:r>
    </w:p>
    <w:p w14:paraId="2CA6703C" w14:textId="77777777" w:rsidR="00AD22FD" w:rsidRPr="009B720F" w:rsidRDefault="00AD22FD" w:rsidP="00AD22FD">
      <w:pPr>
        <w:pStyle w:val="TEXTBODY"/>
        <w:spacing w:line="276" w:lineRule="auto"/>
        <w:rPr>
          <w:bCs/>
        </w:rPr>
      </w:pPr>
      <w:r w:rsidRPr="009B720F">
        <w:rPr>
          <w:bCs/>
          <w:iCs/>
        </w:rPr>
        <w:t>Overall, in the TE2100</w:t>
      </w:r>
      <w:r w:rsidRPr="009B720F">
        <w:rPr>
          <w:bCs/>
        </w:rPr>
        <w:t xml:space="preserve">, critical thresholds correspond to conditions under which the FRM system with its current FRM measures or policies, or other measures, </w:t>
      </w:r>
      <w:r w:rsidRPr="009B720F">
        <w:rPr>
          <w:bCs/>
          <w:i/>
          <w:iCs/>
        </w:rPr>
        <w:t>fail</w:t>
      </w:r>
      <w:r w:rsidRPr="009B720F">
        <w:rPr>
          <w:bCs/>
        </w:rPr>
        <w:t xml:space="preserve"> – i.e. no longer meet the objectives – and new measures are needed (the </w:t>
      </w:r>
      <w:r w:rsidRPr="009B720F">
        <w:rPr>
          <w:bCs/>
          <w:szCs w:val="18"/>
        </w:rPr>
        <w:t xml:space="preserve">driver for taking action is not CC </w:t>
      </w:r>
      <w:r w:rsidRPr="009B720F">
        <w:rPr>
          <w:bCs/>
          <w:i/>
          <w:iCs/>
          <w:szCs w:val="18"/>
        </w:rPr>
        <w:t>per se</w:t>
      </w:r>
      <w:r w:rsidRPr="009B720F">
        <w:rPr>
          <w:bCs/>
          <w:szCs w:val="18"/>
        </w:rPr>
        <w:t>, but mainly being unable to meet the objectives) (</w:t>
      </w:r>
      <w:proofErr w:type="spellStart"/>
      <w:r w:rsidRPr="009B720F">
        <w:rPr>
          <w:bCs/>
          <w:color w:val="7F7F7F" w:themeColor="text1" w:themeTint="80"/>
        </w:rPr>
        <w:t>Jeuken</w:t>
      </w:r>
      <w:proofErr w:type="spellEnd"/>
      <w:r w:rsidRPr="009B720F">
        <w:rPr>
          <w:bCs/>
          <w:color w:val="7F7F7F" w:themeColor="text1" w:themeTint="80"/>
        </w:rPr>
        <w:t xml:space="preserve"> and Reeder 2011, p.4</w:t>
      </w:r>
      <w:r w:rsidRPr="009B720F">
        <w:rPr>
          <w:bCs/>
        </w:rPr>
        <w:t xml:space="preserve">; </w:t>
      </w:r>
      <w:r w:rsidRPr="009B720F">
        <w:rPr>
          <w:bCs/>
          <w:color w:val="7F7F7F" w:themeColor="text1" w:themeTint="80"/>
          <w:szCs w:val="22"/>
        </w:rPr>
        <w:t xml:space="preserve">Bloemen et al. 2018, p.7, 8; </w:t>
      </w:r>
      <w:proofErr w:type="spellStart"/>
      <w:r w:rsidRPr="009B720F">
        <w:rPr>
          <w:bCs/>
          <w:color w:val="7F7F7F" w:themeColor="text1" w:themeTint="80"/>
        </w:rPr>
        <w:t>Jeuken</w:t>
      </w:r>
      <w:proofErr w:type="spellEnd"/>
      <w:r w:rsidRPr="009B720F">
        <w:rPr>
          <w:bCs/>
          <w:color w:val="7F7F7F" w:themeColor="text1" w:themeTint="80"/>
        </w:rPr>
        <w:t xml:space="preserve"> et al. 2014, p.17</w:t>
      </w:r>
      <w:r w:rsidRPr="009B720F">
        <w:rPr>
          <w:bCs/>
        </w:rPr>
        <w:t>).</w:t>
      </w:r>
    </w:p>
    <w:p w14:paraId="082C7E93" w14:textId="77777777" w:rsidR="00AD22FD" w:rsidRPr="009B720F" w:rsidRDefault="00AD22FD" w:rsidP="00AD22FD">
      <w:pPr>
        <w:pStyle w:val="TEXTBODY"/>
        <w:spacing w:line="276" w:lineRule="auto"/>
        <w:rPr>
          <w:bCs/>
          <w:szCs w:val="22"/>
        </w:rPr>
      </w:pPr>
      <w:r w:rsidRPr="009B720F">
        <w:rPr>
          <w:bCs/>
          <w:szCs w:val="22"/>
        </w:rPr>
        <w:t xml:space="preserve">The Team sought to identify key thresholds (major change points) in terms of vulnerability and sensitivity of the FRM system, including </w:t>
      </w:r>
      <w:r w:rsidRPr="009B720F">
        <w:rPr>
          <w:bCs/>
          <w:iCs/>
        </w:rPr>
        <w:t>critical levels of SLR (</w:t>
      </w:r>
      <w:r w:rsidRPr="009B720F">
        <w:rPr>
          <w:bCs/>
          <w:szCs w:val="22"/>
        </w:rPr>
        <w:t>the level of SLR at which existing defences fail)</w:t>
      </w:r>
      <w:r w:rsidRPr="009B720F">
        <w:rPr>
          <w:bCs/>
          <w:iCs/>
        </w:rPr>
        <w:t xml:space="preserve">, limits to adapting the existing defences, </w:t>
      </w:r>
      <w:r w:rsidRPr="009B720F">
        <w:rPr>
          <w:bCs/>
          <w:szCs w:val="22"/>
        </w:rPr>
        <w:t>and any limits to adaptation (e.g. level of SLR that represents a critical engineering limit to adapting defences) (</w:t>
      </w:r>
      <w:r w:rsidRPr="009B720F">
        <w:rPr>
          <w:bCs/>
          <w:color w:val="7F7F7F" w:themeColor="text1" w:themeTint="80"/>
          <w:szCs w:val="22"/>
        </w:rPr>
        <w:t>Reeder and Ranger 2011, p.6, 5</w:t>
      </w:r>
      <w:r w:rsidRPr="009B720F">
        <w:rPr>
          <w:bCs/>
          <w:szCs w:val="22"/>
        </w:rPr>
        <w:t xml:space="preserve">). </w:t>
      </w:r>
    </w:p>
    <w:p w14:paraId="2E007989" w14:textId="77777777" w:rsidR="00AD22FD" w:rsidRPr="009B720F" w:rsidRDefault="00AD22FD" w:rsidP="00AD22FD">
      <w:pPr>
        <w:pStyle w:val="TEXTBODY"/>
        <w:spacing w:line="276" w:lineRule="auto"/>
        <w:rPr>
          <w:bCs/>
        </w:rPr>
      </w:pPr>
      <w:r w:rsidRPr="009B720F">
        <w:rPr>
          <w:bCs/>
        </w:rPr>
        <w:t xml:space="preserve">The Team focused on examining </w:t>
      </w:r>
      <w:r w:rsidRPr="009B720F">
        <w:rPr>
          <w:bCs/>
          <w:i/>
        </w:rPr>
        <w:t>w</w:t>
      </w:r>
      <w:r w:rsidRPr="009B720F">
        <w:rPr>
          <w:bCs/>
          <w:i/>
          <w:lang w:val="en-US"/>
        </w:rPr>
        <w:t xml:space="preserve">hat </w:t>
      </w:r>
      <w:r w:rsidRPr="009B720F">
        <w:rPr>
          <w:bCs/>
          <w:iCs/>
          <w:lang w:val="en-US"/>
        </w:rPr>
        <w:t>(amount of)</w:t>
      </w:r>
      <w:r w:rsidRPr="009B720F">
        <w:rPr>
          <w:bCs/>
          <w:i/>
          <w:lang w:val="en-US"/>
        </w:rPr>
        <w:t xml:space="preserve"> change can the system handle before it runs into trouble</w:t>
      </w:r>
      <w:r w:rsidRPr="009B720F">
        <w:rPr>
          <w:bCs/>
          <w:iCs/>
          <w:lang w:val="en-US"/>
        </w:rPr>
        <w:t>,</w:t>
      </w:r>
      <w:r w:rsidRPr="009B720F">
        <w:rPr>
          <w:bCs/>
          <w:lang w:val="en-US"/>
        </w:rPr>
        <w:t xml:space="preserve"> and, specifically, what increase(s) in SLR and peak river discharge could cause a technical failure or overtopping of the </w:t>
      </w:r>
      <w:proofErr w:type="spellStart"/>
      <w:r w:rsidRPr="009B720F">
        <w:rPr>
          <w:bCs/>
          <w:lang w:val="en-US"/>
        </w:rPr>
        <w:t>defence</w:t>
      </w:r>
      <w:proofErr w:type="spellEnd"/>
      <w:r w:rsidRPr="009B720F">
        <w:rPr>
          <w:bCs/>
          <w:lang w:val="en-US"/>
        </w:rPr>
        <w:t xml:space="preserve"> system, including all its embankments, floodwalls and the TB </w:t>
      </w:r>
      <w:r w:rsidRPr="009B720F">
        <w:rPr>
          <w:bCs/>
        </w:rPr>
        <w:t>(</w:t>
      </w:r>
      <w:proofErr w:type="spellStart"/>
      <w:r w:rsidRPr="009B720F">
        <w:rPr>
          <w:bCs/>
          <w:color w:val="7F7F7F" w:themeColor="text1" w:themeTint="80"/>
        </w:rPr>
        <w:t>Jeuken</w:t>
      </w:r>
      <w:proofErr w:type="spellEnd"/>
      <w:r w:rsidRPr="009B720F">
        <w:rPr>
          <w:bCs/>
          <w:color w:val="7F7F7F" w:themeColor="text1" w:themeTint="80"/>
        </w:rPr>
        <w:t xml:space="preserve"> and Reeder 2011, p.4</w:t>
      </w:r>
      <w:r w:rsidRPr="009B720F">
        <w:rPr>
          <w:bCs/>
        </w:rPr>
        <w:t xml:space="preserve">). </w:t>
      </w:r>
    </w:p>
    <w:p w14:paraId="63435615" w14:textId="77777777" w:rsidR="00AD22FD" w:rsidRPr="009B720F" w:rsidRDefault="00AD22FD" w:rsidP="00AD22FD">
      <w:pPr>
        <w:pStyle w:val="TEXTBODY"/>
        <w:spacing w:line="276" w:lineRule="auto"/>
        <w:rPr>
          <w:bCs/>
        </w:rPr>
      </w:pPr>
      <w:r w:rsidRPr="009B720F">
        <w:rPr>
          <w:bCs/>
        </w:rPr>
        <w:t>The analysis of thresholds (</w:t>
      </w:r>
      <w:r w:rsidRPr="009B720F">
        <w:rPr>
          <w:bCs/>
          <w:i/>
          <w:iCs/>
        </w:rPr>
        <w:t>threshold analysis</w:t>
      </w:r>
      <w:r w:rsidRPr="009B720F">
        <w:rPr>
          <w:bCs/>
        </w:rPr>
        <w:t xml:space="preserve">) was the starting point (the </w:t>
      </w:r>
      <w:r w:rsidRPr="009B720F">
        <w:rPr>
          <w:bCs/>
          <w:i/>
          <w:iCs/>
        </w:rPr>
        <w:t>first step and core</w:t>
      </w:r>
      <w:r w:rsidRPr="009B720F">
        <w:rPr>
          <w:bCs/>
        </w:rPr>
        <w:t>) of the following planning process (namely for the exploration of possible measures and pathways)</w:t>
      </w:r>
      <w:r w:rsidRPr="009B720F">
        <w:rPr>
          <w:bCs/>
          <w:color w:val="C00000"/>
        </w:rPr>
        <w:t xml:space="preserve"> </w:t>
      </w:r>
      <w:r w:rsidRPr="009B720F">
        <w:rPr>
          <w:bCs/>
        </w:rPr>
        <w:t>(</w:t>
      </w:r>
      <w:r w:rsidRPr="009B720F">
        <w:rPr>
          <w:bCs/>
          <w:color w:val="7F7F7F" w:themeColor="text1" w:themeTint="80"/>
        </w:rPr>
        <w:t xml:space="preserve">EA 2009b, p.3; </w:t>
      </w:r>
      <w:proofErr w:type="spellStart"/>
      <w:r w:rsidRPr="009B720F">
        <w:rPr>
          <w:bCs/>
          <w:color w:val="7F7F7F" w:themeColor="text1" w:themeTint="80"/>
        </w:rPr>
        <w:t>Jeuken</w:t>
      </w:r>
      <w:proofErr w:type="spellEnd"/>
      <w:r w:rsidRPr="009B720F">
        <w:rPr>
          <w:bCs/>
          <w:color w:val="7F7F7F" w:themeColor="text1" w:themeTint="80"/>
        </w:rPr>
        <w:t xml:space="preserve"> and Reeder 2011, p.3, 4; </w:t>
      </w:r>
      <w:r w:rsidRPr="009B720F">
        <w:rPr>
          <w:bCs/>
          <w:color w:val="7F7F7F" w:themeColor="text1" w:themeTint="80"/>
          <w:szCs w:val="22"/>
        </w:rPr>
        <w:t>Reeder and Ranger 2011, p.5</w:t>
      </w:r>
      <w:r w:rsidRPr="009B720F">
        <w:rPr>
          <w:bCs/>
        </w:rPr>
        <w:t>). It helped to identify limits for the existing FRM system and its current measures and signalize conditions under which new measures will be needed (</w:t>
      </w:r>
      <w:r w:rsidRPr="009B720F">
        <w:rPr>
          <w:bCs/>
          <w:color w:val="7F7F7F" w:themeColor="text1" w:themeTint="80"/>
        </w:rPr>
        <w:t>Reeder and Ranger 2011, p.5</w:t>
      </w:r>
      <w:r w:rsidRPr="009B720F">
        <w:rPr>
          <w:bCs/>
        </w:rPr>
        <w:t>).</w:t>
      </w:r>
    </w:p>
    <w:p w14:paraId="294A5140" w14:textId="77777777" w:rsidR="00AD22FD" w:rsidRPr="009B720F" w:rsidRDefault="00AD22FD" w:rsidP="00AD22FD">
      <w:pPr>
        <w:pStyle w:val="TEXTBODY"/>
        <w:spacing w:line="276" w:lineRule="auto"/>
        <w:rPr>
          <w:bCs/>
        </w:rPr>
      </w:pPr>
      <w:r w:rsidRPr="009B720F">
        <w:rPr>
          <w:bCs/>
        </w:rPr>
        <w:t xml:space="preserve">The thresholds identified were also used to define </w:t>
      </w:r>
      <w:r w:rsidRPr="009B720F">
        <w:rPr>
          <w:bCs/>
          <w:i/>
          <w:iCs/>
        </w:rPr>
        <w:t>acceptable flood probabilities</w:t>
      </w:r>
      <w:r w:rsidRPr="009B720F">
        <w:rPr>
          <w:bCs/>
        </w:rPr>
        <w:t xml:space="preserve"> (e.g. acceptable return periods for flood events) which were translated into </w:t>
      </w:r>
      <w:r w:rsidRPr="009B720F">
        <w:rPr>
          <w:bCs/>
          <w:i/>
          <w:iCs/>
        </w:rPr>
        <w:t>design criteria</w:t>
      </w:r>
      <w:r w:rsidRPr="009B720F">
        <w:rPr>
          <w:bCs/>
        </w:rPr>
        <w:t xml:space="preserve"> for flood defences (e.g. into diverse FRM policies) (</w:t>
      </w:r>
      <w:proofErr w:type="spellStart"/>
      <w:r w:rsidRPr="009B720F">
        <w:rPr>
          <w:bCs/>
          <w:color w:val="7F7F7F" w:themeColor="text1" w:themeTint="80"/>
        </w:rPr>
        <w:t>Jeuken</w:t>
      </w:r>
      <w:proofErr w:type="spellEnd"/>
      <w:r w:rsidRPr="009B720F">
        <w:rPr>
          <w:bCs/>
          <w:color w:val="7F7F7F" w:themeColor="text1" w:themeTint="80"/>
        </w:rPr>
        <w:t xml:space="preserve"> et al. 2014, p.17; Sayers et al. 2012, 282, 285</w:t>
      </w:r>
      <w:r w:rsidRPr="009B720F">
        <w:rPr>
          <w:bCs/>
        </w:rPr>
        <w:t xml:space="preserve">). To identify thresholds, the Team examined physical and technical limits of the defence system, quantified its overcapacity, and, based on these and on projections, it defined </w:t>
      </w:r>
      <w:r w:rsidRPr="009B720F">
        <w:rPr>
          <w:bCs/>
          <w:i/>
          <w:iCs/>
        </w:rPr>
        <w:t>design criteria</w:t>
      </w:r>
      <w:r w:rsidRPr="009B720F">
        <w:rPr>
          <w:bCs/>
        </w:rPr>
        <w:t xml:space="preserve"> (</w:t>
      </w:r>
      <w:proofErr w:type="spellStart"/>
      <w:r w:rsidRPr="009B720F">
        <w:rPr>
          <w:bCs/>
          <w:color w:val="7F7F7F" w:themeColor="text1" w:themeTint="80"/>
        </w:rPr>
        <w:t>Jeuken</w:t>
      </w:r>
      <w:proofErr w:type="spellEnd"/>
      <w:r w:rsidRPr="009B720F">
        <w:rPr>
          <w:bCs/>
          <w:color w:val="7F7F7F" w:themeColor="text1" w:themeTint="80"/>
        </w:rPr>
        <w:t xml:space="preserve"> and Reeder p.6; Ramsbottom et and Sheppard 2017, p.4</w:t>
      </w:r>
      <w:r w:rsidRPr="009B720F">
        <w:rPr>
          <w:bCs/>
        </w:rPr>
        <w:t xml:space="preserve">). The Team analysed </w:t>
      </w:r>
      <w:r w:rsidRPr="009B720F">
        <w:rPr>
          <w:bCs/>
          <w:i/>
          <w:iCs/>
        </w:rPr>
        <w:t>what are the thresholds where interventions will be needed</w:t>
      </w:r>
      <w:r w:rsidRPr="009B720F">
        <w:rPr>
          <w:bCs/>
        </w:rPr>
        <w:t xml:space="preserve"> (for instance, </w:t>
      </w:r>
      <w:r w:rsidRPr="009B720F">
        <w:rPr>
          <w:bCs/>
          <w:szCs w:val="22"/>
        </w:rPr>
        <w:t>flood probability will increase until a certain threshold level is reached – e.g. a maximum acceptable flood probability – and new measures will be needed to reduce such probability)</w:t>
      </w:r>
      <w:r w:rsidRPr="009B720F">
        <w:rPr>
          <w:bCs/>
        </w:rPr>
        <w:t>.</w:t>
      </w:r>
      <w:r w:rsidRPr="009B720F">
        <w:rPr>
          <w:rStyle w:val="Refdenotaderodap"/>
          <w:bCs/>
        </w:rPr>
        <w:footnoteReference w:id="51"/>
      </w:r>
      <w:r w:rsidRPr="009B720F">
        <w:rPr>
          <w:bCs/>
        </w:rPr>
        <w:t xml:space="preserve"> </w:t>
      </w:r>
      <w:r w:rsidRPr="009B720F">
        <w:rPr>
          <w:bCs/>
          <w:szCs w:val="22"/>
        </w:rPr>
        <w:t>Modelling of future scenarios was undertaken</w:t>
      </w:r>
      <w:r w:rsidRPr="009B720F">
        <w:rPr>
          <w:bCs/>
          <w:i/>
          <w:iCs/>
          <w:szCs w:val="22"/>
        </w:rPr>
        <w:t xml:space="preserve"> to determine the </w:t>
      </w:r>
      <w:r w:rsidRPr="009B720F">
        <w:rPr>
          <w:bCs/>
          <w:szCs w:val="22"/>
        </w:rPr>
        <w:t>(timing of)</w:t>
      </w:r>
      <w:r w:rsidRPr="009B720F">
        <w:rPr>
          <w:bCs/>
          <w:i/>
          <w:iCs/>
          <w:szCs w:val="22"/>
        </w:rPr>
        <w:t xml:space="preserve"> thresholds when measures are needed to keep the flood probability within acceptable limits</w:t>
      </w:r>
      <w:r w:rsidRPr="009B720F">
        <w:rPr>
          <w:bCs/>
          <w:szCs w:val="22"/>
        </w:rPr>
        <w:t>, and investigate possible measures to manage flood risk (</w:t>
      </w:r>
      <w:r w:rsidRPr="009B720F">
        <w:rPr>
          <w:bCs/>
          <w:color w:val="7F7F7F" w:themeColor="text1" w:themeTint="80"/>
        </w:rPr>
        <w:t>Ramsbottom et and Sheppard 2017, p.4,5</w:t>
      </w:r>
      <w:r w:rsidRPr="009B720F">
        <w:rPr>
          <w:bCs/>
        </w:rPr>
        <w:t xml:space="preserve">).  </w:t>
      </w:r>
    </w:p>
    <w:p w14:paraId="231BD420" w14:textId="77777777" w:rsidR="00AD22FD" w:rsidRPr="009B720F" w:rsidRDefault="00AD22FD" w:rsidP="00AD22FD">
      <w:pPr>
        <w:pStyle w:val="TEXTBODY"/>
        <w:spacing w:line="276" w:lineRule="auto"/>
        <w:rPr>
          <w:bCs/>
        </w:rPr>
      </w:pPr>
      <w:r w:rsidRPr="009B720F">
        <w:rPr>
          <w:bCs/>
        </w:rPr>
        <w:lastRenderedPageBreak/>
        <w:t xml:space="preserve">The identification of thresholds (and the determination of their moment/timing in different scenarios) informed the development of </w:t>
      </w:r>
      <w:r w:rsidRPr="009B720F">
        <w:rPr>
          <w:bCs/>
          <w:i/>
          <w:iCs/>
        </w:rPr>
        <w:t>Options</w:t>
      </w:r>
      <w:r w:rsidRPr="009B720F">
        <w:rPr>
          <w:bCs/>
        </w:rPr>
        <w:t xml:space="preserve"> (pathways) (</w:t>
      </w:r>
      <w:r w:rsidRPr="009B720F">
        <w:rPr>
          <w:bCs/>
          <w:color w:val="7F7F7F" w:themeColor="text1" w:themeTint="80"/>
        </w:rPr>
        <w:t>EA 2009b, p.3, 10</w:t>
      </w:r>
      <w:r w:rsidRPr="009B720F">
        <w:rPr>
          <w:bCs/>
        </w:rPr>
        <w:t>). The thresholds were crucial (served) to sequence and assemble the possible measures into ‘</w:t>
      </w:r>
      <w:r w:rsidRPr="009B720F">
        <w:rPr>
          <w:bCs/>
          <w:i/>
          <w:iCs/>
        </w:rPr>
        <w:t xml:space="preserve">packages </w:t>
      </w:r>
      <w:r w:rsidRPr="009B720F">
        <w:rPr>
          <w:bCs/>
        </w:rPr>
        <w:t xml:space="preserve">of sequenced measures’ (i.e. to design the pathways); the final route-map shows the thresholds at which it is necessary to switch from a measure to another. In this way, the identification of thresholds contributed to safeguard and enhance the </w:t>
      </w:r>
      <w:r w:rsidRPr="009B720F">
        <w:rPr>
          <w:bCs/>
          <w:i/>
          <w:iCs/>
        </w:rPr>
        <w:t>dynamic robustness</w:t>
      </w:r>
      <w:r w:rsidRPr="009B720F">
        <w:rPr>
          <w:bCs/>
        </w:rPr>
        <w:t xml:space="preserve"> (flexibility) and adaptability of the Plan (</w:t>
      </w:r>
      <w:r w:rsidRPr="009B720F">
        <w:rPr>
          <w:bCs/>
          <w:color w:val="7F7F7F" w:themeColor="text1" w:themeTint="80"/>
        </w:rPr>
        <w:t>ibid</w:t>
      </w:r>
      <w:r w:rsidRPr="009B720F">
        <w:rPr>
          <w:bCs/>
        </w:rPr>
        <w:t xml:space="preserve">). </w:t>
      </w:r>
    </w:p>
    <w:p w14:paraId="7DA59B39" w14:textId="77777777" w:rsidR="00AD22FD" w:rsidRPr="009B720F" w:rsidRDefault="00AD22FD" w:rsidP="00AD22FD">
      <w:pPr>
        <w:pStyle w:val="TEXTBODY"/>
        <w:spacing w:line="276" w:lineRule="auto"/>
        <w:rPr>
          <w:bCs/>
          <w:szCs w:val="22"/>
        </w:rPr>
      </w:pPr>
      <w:r w:rsidRPr="009B720F">
        <w:rPr>
          <w:bCs/>
          <w:szCs w:val="22"/>
        </w:rPr>
        <w:t xml:space="preserve">The method for identifying thresholds – also called </w:t>
      </w:r>
      <w:r w:rsidRPr="009B720F">
        <w:rPr>
          <w:bCs/>
          <w:i/>
          <w:iCs/>
          <w:szCs w:val="22"/>
        </w:rPr>
        <w:t>threshold analysis</w:t>
      </w:r>
      <w:r w:rsidRPr="009B720F">
        <w:rPr>
          <w:bCs/>
          <w:szCs w:val="22"/>
        </w:rPr>
        <w:t xml:space="preserve">, </w:t>
      </w:r>
      <w:r w:rsidRPr="009B720F">
        <w:rPr>
          <w:bCs/>
          <w:i/>
          <w:iCs/>
          <w:szCs w:val="22"/>
        </w:rPr>
        <w:t>threshold approach</w:t>
      </w:r>
      <w:r w:rsidRPr="009B720F">
        <w:rPr>
          <w:bCs/>
          <w:szCs w:val="22"/>
        </w:rPr>
        <w:t xml:space="preserve">, or </w:t>
      </w:r>
      <w:r w:rsidRPr="009B720F">
        <w:rPr>
          <w:bCs/>
          <w:i/>
          <w:iCs/>
          <w:szCs w:val="22"/>
        </w:rPr>
        <w:t>scenario-neutral analysis approach</w:t>
      </w:r>
      <w:r w:rsidRPr="009B720F">
        <w:rPr>
          <w:bCs/>
          <w:szCs w:val="22"/>
        </w:rPr>
        <w:t xml:space="preserve"> – is deemed one of the main successes of the TE2100, as it allowed a more ‘scenario-neutral’ approach (</w:t>
      </w:r>
      <w:r w:rsidRPr="009B720F">
        <w:rPr>
          <w:bCs/>
          <w:color w:val="7F7F7F" w:themeColor="text1" w:themeTint="80"/>
          <w:szCs w:val="22"/>
        </w:rPr>
        <w:t>EA 2009b, p.3, 10; Lowe et al. 2009, p.86; EA 2009A, p.71</w:t>
      </w:r>
      <w:r w:rsidRPr="009B720F">
        <w:rPr>
          <w:bCs/>
          <w:szCs w:val="22"/>
        </w:rPr>
        <w:t xml:space="preserve">). It made the APs / Route-map approach itself more </w:t>
      </w:r>
      <w:r w:rsidRPr="009B720F">
        <w:rPr>
          <w:bCs/>
          <w:i/>
          <w:iCs/>
          <w:szCs w:val="22"/>
        </w:rPr>
        <w:t>scenario neutral</w:t>
      </w:r>
      <w:r w:rsidRPr="009B720F">
        <w:rPr>
          <w:bCs/>
          <w:szCs w:val="22"/>
        </w:rPr>
        <w:t xml:space="preserve"> because decisions did not require information about the likelihood of different scenarios (</w:t>
      </w:r>
      <w:r w:rsidRPr="009B720F">
        <w:rPr>
          <w:bCs/>
          <w:color w:val="7F7F7F" w:themeColor="text1" w:themeTint="80"/>
          <w:szCs w:val="22"/>
        </w:rPr>
        <w:t>Ranger et al. 2013, p.254; Reeder and Ranger 2011, p.9</w:t>
      </w:r>
      <w:r w:rsidRPr="009B720F">
        <w:rPr>
          <w:bCs/>
          <w:szCs w:val="22"/>
        </w:rPr>
        <w:t xml:space="preserve">). </w:t>
      </w:r>
      <w:r w:rsidRPr="009B720F">
        <w:rPr>
          <w:bCs/>
        </w:rPr>
        <w:t xml:space="preserve">Furthermore, drawing on the prior analysis, it can be induced that the identification of critical thresholds – as conditions under which the current or a proposed measure ceases to be effective (no longer meets the objectives), or the current system performs unacceptably, and a new measure is needed – is another element that was fundamental to design the TE2100’s Plan as a </w:t>
      </w:r>
      <w:r w:rsidRPr="009B720F">
        <w:rPr>
          <w:bCs/>
          <w:i/>
          <w:iCs/>
        </w:rPr>
        <w:t>robust adaptive plan</w:t>
      </w:r>
      <w:r w:rsidRPr="009B720F">
        <w:rPr>
          <w:bCs/>
        </w:rPr>
        <w:t xml:space="preserve"> and essential to allow and streamline its adaptations over time. </w:t>
      </w:r>
      <w:bookmarkEnd w:id="68"/>
    </w:p>
    <w:p w14:paraId="5540E479" w14:textId="77777777" w:rsidR="00AD22FD" w:rsidRPr="009B720F" w:rsidRDefault="00AD22FD" w:rsidP="00AD22FD">
      <w:pPr>
        <w:pStyle w:val="TEXTBODY"/>
        <w:spacing w:line="276" w:lineRule="auto"/>
        <w:rPr>
          <w:bCs/>
          <w:szCs w:val="18"/>
        </w:rPr>
      </w:pPr>
    </w:p>
    <w:p w14:paraId="3589DF15" w14:textId="77777777" w:rsidR="00AD22FD" w:rsidRPr="009B720F" w:rsidRDefault="00AD22FD" w:rsidP="00AD22FD">
      <w:pPr>
        <w:pStyle w:val="Ttulo4"/>
        <w:spacing w:line="276" w:lineRule="auto"/>
        <w:rPr>
          <w:bCs/>
          <w:i/>
          <w:iCs/>
          <w:color w:val="76923C" w:themeColor="accent3" w:themeShade="BF"/>
        </w:rPr>
      </w:pPr>
      <w:r w:rsidRPr="009B720F">
        <w:rPr>
          <w:bCs/>
        </w:rPr>
        <w:t>Key-element 3</w:t>
      </w:r>
    </w:p>
    <w:p w14:paraId="053FFC67" w14:textId="77777777" w:rsidR="00AD22FD" w:rsidRPr="009B720F" w:rsidRDefault="00AD22FD" w:rsidP="00AD22FD">
      <w:pPr>
        <w:pStyle w:val="TEXTBODY"/>
        <w:spacing w:line="276" w:lineRule="auto"/>
        <w:rPr>
          <w:bCs/>
        </w:rPr>
      </w:pPr>
      <w:bookmarkStart w:id="69" w:name="_Hlk137563799"/>
      <w:bookmarkStart w:id="70" w:name="_Hlk5994500"/>
      <w:r w:rsidRPr="009B720F">
        <w:rPr>
          <w:bCs/>
        </w:rPr>
        <w:t xml:space="preserve">Given the uncertainties around future changes in the TE and the high stakes involved in </w:t>
      </w:r>
      <w:bookmarkEnd w:id="69"/>
      <w:r w:rsidRPr="009B720F">
        <w:rPr>
          <w:bCs/>
        </w:rPr>
        <w:t xml:space="preserve">developing a FRM plan up to 2100, the TE2100 Team sought to develop a </w:t>
      </w:r>
      <w:r w:rsidRPr="009B720F">
        <w:rPr>
          <w:bCs/>
          <w:i/>
          <w:iCs/>
        </w:rPr>
        <w:t>dynamic adaptive plan</w:t>
      </w:r>
      <w:r w:rsidRPr="009B720F">
        <w:rPr>
          <w:bCs/>
        </w:rPr>
        <w:t xml:space="preserve"> that was both </w:t>
      </w:r>
      <w:r w:rsidRPr="009B720F">
        <w:rPr>
          <w:bCs/>
          <w:i/>
          <w:iCs/>
        </w:rPr>
        <w:t xml:space="preserve">robust </w:t>
      </w:r>
      <w:r w:rsidRPr="009B720F">
        <w:rPr>
          <w:bCs/>
        </w:rPr>
        <w:t xml:space="preserve">and </w:t>
      </w:r>
      <w:r w:rsidRPr="009B720F">
        <w:rPr>
          <w:bCs/>
          <w:i/>
          <w:iCs/>
        </w:rPr>
        <w:t>flexible</w:t>
      </w:r>
      <w:r w:rsidRPr="009B720F">
        <w:rPr>
          <w:bCs/>
        </w:rPr>
        <w:t xml:space="preserve"> or </w:t>
      </w:r>
      <w:r w:rsidRPr="009B720F">
        <w:rPr>
          <w:bCs/>
          <w:i/>
          <w:iCs/>
        </w:rPr>
        <w:t>adaptable</w:t>
      </w:r>
      <w:r w:rsidRPr="009B720F">
        <w:rPr>
          <w:bCs/>
        </w:rPr>
        <w:t xml:space="preserve"> (EA </w:t>
      </w:r>
      <w:r w:rsidRPr="009B720F">
        <w:rPr>
          <w:bCs/>
          <w:color w:val="7F7F7F" w:themeColor="text1" w:themeTint="80"/>
        </w:rPr>
        <w:t>2012, p.36, 39, 1. 29; EA 2009A, p.11; Ranger et al. 2013, p.233, 239</w:t>
      </w:r>
      <w:r w:rsidRPr="009B720F">
        <w:rPr>
          <w:bCs/>
        </w:rPr>
        <w:t>,</w:t>
      </w:r>
      <w:r w:rsidRPr="009B720F">
        <w:rPr>
          <w:bCs/>
          <w:color w:val="7F7F7F" w:themeColor="text1" w:themeTint="80"/>
        </w:rPr>
        <w:t xml:space="preserve"> 247, 249-250, 254, 257-258; Ramsbottom and Sheppard 2017, p.1, 18</w:t>
      </w:r>
      <w:r w:rsidRPr="009B720F">
        <w:rPr>
          <w:bCs/>
        </w:rPr>
        <w:t xml:space="preserve">). </w:t>
      </w:r>
    </w:p>
    <w:p w14:paraId="02C2B1BF" w14:textId="77777777" w:rsidR="00AD22FD" w:rsidRPr="009B720F" w:rsidRDefault="00AD22FD" w:rsidP="00AD22FD">
      <w:pPr>
        <w:pStyle w:val="TEXTBODY"/>
        <w:spacing w:line="276" w:lineRule="auto"/>
        <w:rPr>
          <w:bCs/>
        </w:rPr>
      </w:pPr>
      <w:bookmarkStart w:id="71" w:name="_Hlk137735797"/>
      <w:bookmarkEnd w:id="70"/>
      <w:r w:rsidRPr="009B720F">
        <w:rPr>
          <w:bCs/>
        </w:rPr>
        <w:t xml:space="preserve">In the light of the TE2100’s </w:t>
      </w:r>
      <w:r w:rsidRPr="009B720F">
        <w:rPr>
          <w:bCs/>
          <w:i/>
          <w:iCs/>
        </w:rPr>
        <w:t>Dynamic Adaptive Planning approach</w:t>
      </w:r>
      <w:r w:rsidRPr="009B720F">
        <w:rPr>
          <w:bCs/>
        </w:rPr>
        <w:t xml:space="preserve">, a </w:t>
      </w:r>
      <w:r w:rsidRPr="009B720F">
        <w:rPr>
          <w:bCs/>
          <w:i/>
          <w:iCs/>
        </w:rPr>
        <w:t>dynamic adaptive plan / strategy</w:t>
      </w:r>
      <w:r w:rsidRPr="009B720F">
        <w:rPr>
          <w:bCs/>
        </w:rPr>
        <w:t xml:space="preserve"> should be: </w:t>
      </w:r>
      <w:r w:rsidRPr="009B720F">
        <w:rPr>
          <w:bCs/>
          <w:i/>
          <w:iCs/>
        </w:rPr>
        <w:t>robust</w:t>
      </w:r>
      <w:r w:rsidRPr="009B720F">
        <w:rPr>
          <w:bCs/>
        </w:rPr>
        <w:t xml:space="preserve"> (perform well under a wide range of plausible futures), and flexible or </w:t>
      </w:r>
      <w:r w:rsidRPr="009B720F">
        <w:rPr>
          <w:bCs/>
          <w:i/>
          <w:iCs/>
        </w:rPr>
        <w:t xml:space="preserve">adaptive </w:t>
      </w:r>
      <w:r w:rsidRPr="009B720F">
        <w:rPr>
          <w:bCs/>
        </w:rPr>
        <w:t>(the Plan and its strategies, their measures, or their timing, can be changed over time as changes or new information arise) (</w:t>
      </w:r>
      <w:r w:rsidRPr="009B720F">
        <w:rPr>
          <w:bCs/>
          <w:color w:val="7F7F7F" w:themeColor="text1" w:themeTint="80"/>
        </w:rPr>
        <w:t>EA 2012, p.35-38, 39, 1. 29; EA 2009A, p.11; Ranger et al. 2013, p.233, 239</w:t>
      </w:r>
      <w:r w:rsidRPr="009B720F">
        <w:rPr>
          <w:bCs/>
        </w:rPr>
        <w:t>,</w:t>
      </w:r>
      <w:r w:rsidRPr="009B720F">
        <w:rPr>
          <w:bCs/>
          <w:color w:val="7F7F7F" w:themeColor="text1" w:themeTint="80"/>
        </w:rPr>
        <w:t xml:space="preserve"> 247, 249-250, 254, 257-258; Ramsbottom and Sheppard 2017, p.1, 18</w:t>
      </w:r>
      <w:r w:rsidRPr="009B720F">
        <w:rPr>
          <w:bCs/>
        </w:rPr>
        <w:t>).</w:t>
      </w:r>
      <w:r w:rsidRPr="009B720F">
        <w:rPr>
          <w:rStyle w:val="Refdenotaderodap"/>
          <w:bCs/>
        </w:rPr>
        <w:footnoteReference w:id="52"/>
      </w:r>
      <w:r w:rsidRPr="009B720F">
        <w:rPr>
          <w:bCs/>
        </w:rPr>
        <w:t xml:space="preserve"> The TE2100’s</w:t>
      </w:r>
      <w:r w:rsidRPr="009B720F">
        <w:rPr>
          <w:bCs/>
          <w:i/>
          <w:iCs/>
        </w:rPr>
        <w:t xml:space="preserve"> Dynamic Adaptive Planning approach </w:t>
      </w:r>
      <w:r w:rsidRPr="009B720F">
        <w:rPr>
          <w:bCs/>
        </w:rPr>
        <w:t xml:space="preserve">aimed at building a </w:t>
      </w:r>
      <w:r w:rsidRPr="009B720F">
        <w:rPr>
          <w:bCs/>
          <w:i/>
          <w:iCs/>
        </w:rPr>
        <w:t>dynamic adaptive plan</w:t>
      </w:r>
      <w:r w:rsidRPr="009B720F">
        <w:rPr>
          <w:bCs/>
        </w:rPr>
        <w:t xml:space="preserve"> that was both robust and flexible. The Team sought that the Plan was </w:t>
      </w:r>
      <w:r w:rsidRPr="009B720F">
        <w:rPr>
          <w:bCs/>
          <w:i/>
          <w:iCs/>
        </w:rPr>
        <w:t>as robust as possible</w:t>
      </w:r>
      <w:r w:rsidRPr="009B720F">
        <w:rPr>
          <w:bCs/>
        </w:rPr>
        <w:t xml:space="preserve"> (namely to uncertainties about future water levels) and </w:t>
      </w:r>
      <w:r w:rsidRPr="009B720F">
        <w:rPr>
          <w:bCs/>
          <w:i/>
          <w:iCs/>
        </w:rPr>
        <w:t xml:space="preserve">adaptable to change </w:t>
      </w:r>
      <w:r w:rsidRPr="009B720F">
        <w:rPr>
          <w:bCs/>
        </w:rPr>
        <w:t>(</w:t>
      </w:r>
      <w:r w:rsidRPr="009B720F">
        <w:rPr>
          <w:bCs/>
          <w:color w:val="7F7F7F" w:themeColor="text1" w:themeTint="80"/>
        </w:rPr>
        <w:t>EA 2012, p.35-38; Ranger et al. 2013, p.239, 254</w:t>
      </w:r>
      <w:r w:rsidRPr="009B720F">
        <w:rPr>
          <w:bCs/>
        </w:rPr>
        <w:t>).</w:t>
      </w:r>
    </w:p>
    <w:p w14:paraId="022993F4" w14:textId="77777777" w:rsidR="00AD22FD" w:rsidRPr="009B720F" w:rsidRDefault="00AD22FD" w:rsidP="00AD22FD">
      <w:pPr>
        <w:pStyle w:val="TEXTBODY"/>
        <w:spacing w:line="276" w:lineRule="auto"/>
        <w:rPr>
          <w:bCs/>
        </w:rPr>
      </w:pPr>
      <w:bookmarkStart w:id="72" w:name="_Hlk137736229"/>
      <w:bookmarkEnd w:id="71"/>
      <w:r w:rsidRPr="009B720F">
        <w:rPr>
          <w:bCs/>
        </w:rPr>
        <w:t xml:space="preserve">To develop a </w:t>
      </w:r>
      <w:r w:rsidRPr="009B720F">
        <w:rPr>
          <w:bCs/>
          <w:i/>
          <w:iCs/>
        </w:rPr>
        <w:t>dynamic robust adaptive plan</w:t>
      </w:r>
      <w:r w:rsidRPr="009B720F">
        <w:rPr>
          <w:bCs/>
        </w:rPr>
        <w:t xml:space="preserve">, the TE2100 devised and applied a new methodological approach: the </w:t>
      </w:r>
      <w:r w:rsidRPr="009B720F">
        <w:rPr>
          <w:bCs/>
          <w:i/>
          <w:iCs/>
        </w:rPr>
        <w:t>Adaptation Pathways approach</w:t>
      </w:r>
      <w:r w:rsidRPr="009B720F">
        <w:rPr>
          <w:bCs/>
        </w:rPr>
        <w:t xml:space="preserve">, initially called </w:t>
      </w:r>
      <w:r w:rsidRPr="009B720F">
        <w:rPr>
          <w:bCs/>
          <w:i/>
          <w:iCs/>
        </w:rPr>
        <w:t xml:space="preserve">Route-map </w:t>
      </w:r>
      <w:r w:rsidRPr="009B720F">
        <w:rPr>
          <w:bCs/>
        </w:rPr>
        <w:t xml:space="preserve">or </w:t>
      </w:r>
      <w:r w:rsidRPr="009B720F">
        <w:rPr>
          <w:bCs/>
          <w:i/>
          <w:iCs/>
        </w:rPr>
        <w:t>Decision Pathways approach</w:t>
      </w:r>
      <w:r w:rsidRPr="009B720F">
        <w:rPr>
          <w:bCs/>
        </w:rPr>
        <w:t>, which belongs itself to the recent family of Adaptive Planning approaches (</w:t>
      </w:r>
      <w:r w:rsidRPr="009B720F">
        <w:rPr>
          <w:bCs/>
          <w:color w:val="7F7F7F" w:themeColor="text1" w:themeTint="80"/>
        </w:rPr>
        <w:t xml:space="preserve">EA 2009b, p.200, 3-4; Ranger et al. 2013, p.249; </w:t>
      </w:r>
      <w:r w:rsidRPr="009B720F">
        <w:rPr>
          <w:rFonts w:cs="Arial"/>
          <w:bCs/>
          <w:iCs/>
          <w:color w:val="7F7F7F" w:themeColor="text1" w:themeTint="80"/>
        </w:rPr>
        <w:t>Reeder and Ranger 2011, p.5, 8</w:t>
      </w:r>
      <w:r w:rsidRPr="009B720F">
        <w:rPr>
          <w:bCs/>
        </w:rPr>
        <w:t>)</w:t>
      </w:r>
      <w:bookmarkEnd w:id="72"/>
      <w:r w:rsidRPr="009B720F">
        <w:rPr>
          <w:bCs/>
        </w:rPr>
        <w:t xml:space="preserve">. </w:t>
      </w:r>
    </w:p>
    <w:p w14:paraId="101DA787" w14:textId="77777777" w:rsidR="00AD22FD" w:rsidRPr="009B720F" w:rsidRDefault="00AD22FD" w:rsidP="00AD22FD">
      <w:pPr>
        <w:pStyle w:val="TEXTBODY"/>
        <w:spacing w:after="0" w:line="276" w:lineRule="auto"/>
        <w:rPr>
          <w:bCs/>
        </w:rPr>
      </w:pPr>
      <w:bookmarkStart w:id="73" w:name="_Hlk137736542"/>
      <w:r w:rsidRPr="009B720F">
        <w:rPr>
          <w:bCs/>
        </w:rPr>
        <w:t xml:space="preserve">In the TE2100’s </w:t>
      </w:r>
      <w:r w:rsidRPr="009B720F">
        <w:rPr>
          <w:bCs/>
          <w:i/>
          <w:iCs/>
        </w:rPr>
        <w:t>Dynamic Adaptive Planning approach</w:t>
      </w:r>
      <w:r w:rsidRPr="009B720F">
        <w:rPr>
          <w:bCs/>
        </w:rPr>
        <w:t xml:space="preserve">, and particularly in the APs approach, the Plan and its strategies </w:t>
      </w:r>
      <w:r w:rsidRPr="009B720F">
        <w:rPr>
          <w:bCs/>
          <w:i/>
          <w:iCs/>
        </w:rPr>
        <w:t>are designed to be adjusted over time as more is learnt about the future</w:t>
      </w:r>
      <w:r w:rsidRPr="009B720F">
        <w:rPr>
          <w:bCs/>
        </w:rPr>
        <w:t xml:space="preserve"> or as changes occur (</w:t>
      </w:r>
      <w:r w:rsidRPr="009B720F">
        <w:rPr>
          <w:bCs/>
          <w:color w:val="7F7F7F" w:themeColor="text1" w:themeTint="80"/>
        </w:rPr>
        <w:t>Ranger et al. 2013, p.249</w:t>
      </w:r>
      <w:r w:rsidRPr="009B720F">
        <w:rPr>
          <w:bCs/>
        </w:rPr>
        <w:t xml:space="preserve">). Moreover, in the TE2100’s APs approach </w:t>
      </w:r>
      <w:r w:rsidRPr="00E74925">
        <w:rPr>
          <w:bCs/>
        </w:rPr>
        <w:t>(characteristics):</w:t>
      </w:r>
    </w:p>
    <w:p w14:paraId="5CB08CC6" w14:textId="77777777" w:rsidR="00AD22FD" w:rsidRPr="009B720F" w:rsidRDefault="00AD22FD" w:rsidP="00AD22FD">
      <w:pPr>
        <w:pStyle w:val="TEXTBODY"/>
        <w:numPr>
          <w:ilvl w:val="0"/>
          <w:numId w:val="16"/>
        </w:numPr>
        <w:spacing w:after="60" w:line="276" w:lineRule="auto"/>
        <w:ind w:left="284" w:hanging="284"/>
        <w:rPr>
          <w:bCs/>
        </w:rPr>
      </w:pPr>
      <w:r w:rsidRPr="009B720F">
        <w:rPr>
          <w:bCs/>
        </w:rPr>
        <w:t xml:space="preserve">measures are implemented iteratively over time to maintain/keep risk below target/acceptable levels cost-effectively (i.e. to continuously manage risk), while keeping open alternatives (options) to manage future risk (keeping options open for the future), thus, maintaining </w:t>
      </w:r>
      <w:r w:rsidRPr="009B720F">
        <w:rPr>
          <w:bCs/>
          <w:i/>
          <w:iCs/>
        </w:rPr>
        <w:t>flexibility</w:t>
      </w:r>
      <w:r w:rsidRPr="009B720F">
        <w:rPr>
          <w:bCs/>
        </w:rPr>
        <w:t>, instead of designing an optimal solution for a particular level of risk (</w:t>
      </w:r>
      <w:r w:rsidRPr="009B720F">
        <w:rPr>
          <w:bCs/>
          <w:color w:val="7F7F7F" w:themeColor="text1" w:themeTint="80"/>
        </w:rPr>
        <w:t xml:space="preserve">Ranger et al. 2013, 249, 247, 239, 233, 258; Reeder and Ranger 2011, p.13, 4; </w:t>
      </w:r>
      <w:proofErr w:type="spellStart"/>
      <w:r w:rsidRPr="009B720F">
        <w:rPr>
          <w:bCs/>
          <w:color w:val="808080" w:themeColor="background1" w:themeShade="80"/>
        </w:rPr>
        <w:t>J</w:t>
      </w:r>
      <w:r w:rsidRPr="009B720F">
        <w:rPr>
          <w:bCs/>
          <w:color w:val="7F7F7F" w:themeColor="text1" w:themeTint="80"/>
        </w:rPr>
        <w:t>euken</w:t>
      </w:r>
      <w:proofErr w:type="spellEnd"/>
      <w:r w:rsidRPr="009B720F">
        <w:rPr>
          <w:bCs/>
          <w:color w:val="7F7F7F" w:themeColor="text1" w:themeTint="80"/>
        </w:rPr>
        <w:t xml:space="preserve"> and Reeder 2011, p.4</w:t>
      </w:r>
      <w:r w:rsidRPr="009B720F">
        <w:rPr>
          <w:bCs/>
        </w:rPr>
        <w:t xml:space="preserve">). </w:t>
      </w:r>
    </w:p>
    <w:p w14:paraId="7C157CFC" w14:textId="77777777" w:rsidR="00AD22FD" w:rsidRDefault="00AD22FD" w:rsidP="00AD22FD">
      <w:pPr>
        <w:pStyle w:val="TEXTBODY"/>
        <w:numPr>
          <w:ilvl w:val="0"/>
          <w:numId w:val="16"/>
        </w:numPr>
        <w:spacing w:line="276" w:lineRule="auto"/>
        <w:ind w:left="284" w:hanging="284"/>
        <w:rPr>
          <w:bCs/>
        </w:rPr>
      </w:pPr>
      <w:r w:rsidRPr="009B720F">
        <w:rPr>
          <w:bCs/>
        </w:rPr>
        <w:t xml:space="preserve">the timing of new measures, and the measures themselves, can be changed over time, in this way, </w:t>
      </w:r>
      <w:r w:rsidRPr="009B720F">
        <w:rPr>
          <w:bCs/>
          <w:i/>
          <w:iCs/>
        </w:rPr>
        <w:t>flexibility is built into the long-term strategy itself</w:t>
      </w:r>
      <w:r w:rsidRPr="009B720F">
        <w:rPr>
          <w:bCs/>
        </w:rPr>
        <w:t xml:space="preserve"> (</w:t>
      </w:r>
      <w:r w:rsidRPr="009B720F">
        <w:rPr>
          <w:bCs/>
          <w:color w:val="7F7F7F" w:themeColor="text1" w:themeTint="80"/>
        </w:rPr>
        <w:t>Ranger et al. 2013, p.249</w:t>
      </w:r>
      <w:r w:rsidRPr="009B720F">
        <w:rPr>
          <w:bCs/>
        </w:rPr>
        <w:t>). Moreover, the approach allows for switching between different measures or pathways in the future (</w:t>
      </w:r>
      <w:proofErr w:type="spellStart"/>
      <w:r w:rsidRPr="009B720F">
        <w:rPr>
          <w:bCs/>
          <w:color w:val="7F7F7F" w:themeColor="text1" w:themeTint="80"/>
        </w:rPr>
        <w:t>Jeuken</w:t>
      </w:r>
      <w:proofErr w:type="spellEnd"/>
      <w:r w:rsidRPr="009B720F">
        <w:rPr>
          <w:bCs/>
          <w:color w:val="7F7F7F" w:themeColor="text1" w:themeTint="80"/>
        </w:rPr>
        <w:t xml:space="preserve"> et al. 2014, p.10</w:t>
      </w:r>
      <w:r w:rsidRPr="009B720F">
        <w:rPr>
          <w:bCs/>
        </w:rPr>
        <w:t>).</w:t>
      </w:r>
    </w:p>
    <w:p w14:paraId="5F68BD3E" w14:textId="77777777" w:rsidR="00AD22FD" w:rsidRDefault="00AD22FD" w:rsidP="00AD22FD">
      <w:pPr>
        <w:pStyle w:val="TEXTBODY"/>
        <w:spacing w:line="276" w:lineRule="auto"/>
        <w:rPr>
          <w:bCs/>
        </w:rPr>
      </w:pPr>
    </w:p>
    <w:p w14:paraId="5030CA5D" w14:textId="77777777" w:rsidR="00AD22FD" w:rsidRDefault="00AD22FD" w:rsidP="00AD22FD">
      <w:pPr>
        <w:pStyle w:val="TEXTBODY"/>
        <w:spacing w:line="276" w:lineRule="auto"/>
        <w:rPr>
          <w:bCs/>
        </w:rPr>
      </w:pPr>
    </w:p>
    <w:p w14:paraId="7AD03FA0" w14:textId="77777777" w:rsidR="00AD22FD" w:rsidRDefault="00AD22FD" w:rsidP="00AD22FD">
      <w:pPr>
        <w:pStyle w:val="TEXTBODY"/>
        <w:spacing w:line="276" w:lineRule="auto"/>
        <w:rPr>
          <w:bCs/>
        </w:rPr>
      </w:pPr>
    </w:p>
    <w:p w14:paraId="2225E845" w14:textId="77777777" w:rsidR="00AD22FD" w:rsidRDefault="00AD22FD" w:rsidP="00AD22FD">
      <w:pPr>
        <w:pStyle w:val="TEXTBODY"/>
        <w:spacing w:line="276" w:lineRule="auto"/>
        <w:rPr>
          <w:bCs/>
        </w:rPr>
      </w:pPr>
    </w:p>
    <w:p w14:paraId="234C5E62" w14:textId="77777777" w:rsidR="00AD22FD" w:rsidRPr="009B720F" w:rsidRDefault="00AD22FD" w:rsidP="00AD22FD">
      <w:pPr>
        <w:pStyle w:val="TEXTBODY"/>
        <w:spacing w:line="276" w:lineRule="auto"/>
        <w:rPr>
          <w:bCs/>
        </w:rPr>
      </w:pPr>
    </w:p>
    <w:p w14:paraId="43CD9BBC" w14:textId="77777777" w:rsidR="00AD22FD" w:rsidRPr="009B720F" w:rsidRDefault="00AD22FD" w:rsidP="00AD22FD">
      <w:pPr>
        <w:spacing w:afterLines="40" w:after="96" w:line="276" w:lineRule="auto"/>
        <w:jc w:val="left"/>
        <w:rPr>
          <w:rFonts w:asciiTheme="minorHAnsi" w:hAnsiTheme="minorHAnsi" w:cstheme="minorHAnsi"/>
          <w:bCs/>
          <w:sz w:val="16"/>
          <w:szCs w:val="14"/>
        </w:rPr>
      </w:pPr>
      <w:bookmarkStart w:id="74" w:name="_Hlk137737853"/>
      <w:bookmarkEnd w:id="73"/>
    </w:p>
    <w:p w14:paraId="41DC55BC" w14:textId="77777777" w:rsidR="00AD22FD" w:rsidRPr="009B720F" w:rsidRDefault="00AD22FD" w:rsidP="00AD22FD">
      <w:pPr>
        <w:pStyle w:val="TEXTBODY"/>
        <w:spacing w:line="276" w:lineRule="auto"/>
        <w:rPr>
          <w:bCs/>
          <w:highlight w:val="green"/>
        </w:rPr>
      </w:pPr>
      <w:r w:rsidRPr="009B720F">
        <w:rPr>
          <w:bCs/>
          <w:noProof/>
        </w:rPr>
        <w:lastRenderedPageBreak/>
        <mc:AlternateContent>
          <mc:Choice Requires="wps">
            <w:drawing>
              <wp:anchor distT="45720" distB="45720" distL="114300" distR="114300" simplePos="0" relativeHeight="252748288" behindDoc="1" locked="0" layoutInCell="1" allowOverlap="1" wp14:anchorId="7CA026A1" wp14:editId="26F6E0D5">
                <wp:simplePos x="0" y="0"/>
                <wp:positionH relativeFrom="margin">
                  <wp:posOffset>66040</wp:posOffset>
                </wp:positionH>
                <wp:positionV relativeFrom="paragraph">
                  <wp:posOffset>-307975</wp:posOffset>
                </wp:positionV>
                <wp:extent cx="6238875" cy="3419475"/>
                <wp:effectExtent l="0" t="0" r="9525" b="9525"/>
                <wp:wrapNone/>
                <wp:docPr id="867185984"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3419475"/>
                        </a:xfrm>
                        <a:prstGeom prst="rect">
                          <a:avLst/>
                        </a:prstGeom>
                        <a:solidFill>
                          <a:schemeClr val="bg1">
                            <a:lumMod val="95000"/>
                          </a:schemeClr>
                        </a:solidFill>
                        <a:ln w="57150">
                          <a:noFill/>
                          <a:miter lim="800000"/>
                          <a:headEnd/>
                          <a:tailEnd/>
                        </a:ln>
                      </wps:spPr>
                      <wps:txbx>
                        <w:txbxContent>
                          <w:p w14:paraId="22128220" w14:textId="77777777" w:rsidR="00AD22FD" w:rsidRPr="009B720F" w:rsidRDefault="00AD22FD" w:rsidP="00AD22FD">
                            <w:pPr>
                              <w:pStyle w:val="TEXTBODY"/>
                              <w:spacing w:line="240" w:lineRule="auto"/>
                              <w:jc w:val="left"/>
                              <w:rPr>
                                <w:sz w:val="17"/>
                                <w:szCs w:val="17"/>
                              </w:rPr>
                            </w:pPr>
                            <w:r w:rsidRPr="009B720F">
                              <w:rPr>
                                <w:sz w:val="17"/>
                                <w:szCs w:val="17"/>
                              </w:rPr>
                              <w:t xml:space="preserve">In the TE2100 Plan, each pathway – denominated </w:t>
                            </w:r>
                            <w:r w:rsidRPr="009B720F">
                              <w:rPr>
                                <w:i/>
                                <w:iCs/>
                                <w:sz w:val="17"/>
                                <w:szCs w:val="17"/>
                              </w:rPr>
                              <w:t>High-Level Option</w:t>
                            </w:r>
                            <w:r w:rsidRPr="009B720F">
                              <w:rPr>
                                <w:sz w:val="17"/>
                                <w:szCs w:val="17"/>
                              </w:rPr>
                              <w:t xml:space="preserve"> (</w:t>
                            </w:r>
                            <w:r w:rsidRPr="009B720F">
                              <w:rPr>
                                <w:i/>
                                <w:iCs/>
                                <w:sz w:val="17"/>
                                <w:szCs w:val="17"/>
                              </w:rPr>
                              <w:t>HLO</w:t>
                            </w:r>
                            <w:r w:rsidRPr="009B720F">
                              <w:rPr>
                                <w:sz w:val="17"/>
                                <w:szCs w:val="17"/>
                              </w:rPr>
                              <w:t xml:space="preserve">) or </w:t>
                            </w:r>
                            <w:r w:rsidRPr="009B720F">
                              <w:rPr>
                                <w:i/>
                                <w:iCs/>
                                <w:sz w:val="17"/>
                                <w:szCs w:val="17"/>
                              </w:rPr>
                              <w:t>Option</w:t>
                            </w:r>
                            <w:r w:rsidRPr="009B720F">
                              <w:rPr>
                                <w:sz w:val="17"/>
                                <w:szCs w:val="17"/>
                              </w:rPr>
                              <w:t xml:space="preserve"> – is a ‘</w:t>
                            </w:r>
                            <w:r w:rsidRPr="009B720F">
                              <w:rPr>
                                <w:i/>
                                <w:iCs/>
                                <w:sz w:val="17"/>
                                <w:szCs w:val="17"/>
                              </w:rPr>
                              <w:t>package</w:t>
                            </w:r>
                            <w:r w:rsidRPr="009B720F">
                              <w:rPr>
                                <w:sz w:val="17"/>
                                <w:szCs w:val="17"/>
                              </w:rPr>
                              <w:t>’</w:t>
                            </w:r>
                            <w:r w:rsidRPr="009B720F">
                              <w:rPr>
                                <w:i/>
                                <w:iCs/>
                                <w:sz w:val="17"/>
                                <w:szCs w:val="17"/>
                              </w:rPr>
                              <w:t xml:space="preserve"> </w:t>
                            </w:r>
                            <w:r w:rsidRPr="009B720F">
                              <w:rPr>
                                <w:sz w:val="17"/>
                                <w:szCs w:val="17"/>
                              </w:rPr>
                              <w:t>of measures sequenced and implemented over time (</w:t>
                            </w:r>
                            <w:r w:rsidRPr="009B720F">
                              <w:rPr>
                                <w:i/>
                                <w:iCs/>
                                <w:sz w:val="17"/>
                                <w:szCs w:val="17"/>
                              </w:rPr>
                              <w:t xml:space="preserve">package </w:t>
                            </w:r>
                            <w:r w:rsidRPr="009B720F">
                              <w:rPr>
                                <w:sz w:val="17"/>
                                <w:szCs w:val="17"/>
                              </w:rPr>
                              <w:t>of sequenced measures that can be implemented over time) (</w:t>
                            </w:r>
                            <w:r w:rsidRPr="009B720F">
                              <w:rPr>
                                <w:bCs/>
                                <w:iCs/>
                                <w:color w:val="7F7F7F" w:themeColor="text1" w:themeTint="80"/>
                                <w:sz w:val="17"/>
                                <w:szCs w:val="17"/>
                              </w:rPr>
                              <w:t xml:space="preserve">Ranger et al. 2013, p.249; </w:t>
                            </w:r>
                            <w:r w:rsidRPr="009B720F">
                              <w:rPr>
                                <w:iCs/>
                                <w:color w:val="7F7F7F" w:themeColor="text1" w:themeTint="80"/>
                                <w:sz w:val="17"/>
                                <w:szCs w:val="17"/>
                              </w:rPr>
                              <w:t xml:space="preserve">Reeder and Ranger 2011, p.8; </w:t>
                            </w:r>
                            <w:proofErr w:type="spellStart"/>
                            <w:r w:rsidRPr="009B720F">
                              <w:rPr>
                                <w:color w:val="7F7F7F" w:themeColor="text1" w:themeTint="80"/>
                                <w:sz w:val="17"/>
                                <w:szCs w:val="17"/>
                              </w:rPr>
                              <w:t>Jeuken</w:t>
                            </w:r>
                            <w:proofErr w:type="spellEnd"/>
                            <w:r w:rsidRPr="009B720F">
                              <w:rPr>
                                <w:color w:val="7F7F7F" w:themeColor="text1" w:themeTint="80"/>
                                <w:sz w:val="17"/>
                                <w:szCs w:val="17"/>
                              </w:rPr>
                              <w:t xml:space="preserve"> and Reeder 2011, p.4; </w:t>
                            </w:r>
                            <w:r>
                              <w:rPr>
                                <w:color w:val="7F7F7F" w:themeColor="text1" w:themeTint="80"/>
                                <w:sz w:val="17"/>
                                <w:szCs w:val="17"/>
                              </w:rPr>
                              <w:t>EA</w:t>
                            </w:r>
                            <w:r w:rsidRPr="009B720F">
                              <w:rPr>
                                <w:color w:val="7F7F7F" w:themeColor="text1" w:themeTint="80"/>
                                <w:sz w:val="17"/>
                                <w:szCs w:val="17"/>
                              </w:rPr>
                              <w:t xml:space="preserve"> 2009</w:t>
                            </w:r>
                            <w:r>
                              <w:rPr>
                                <w:color w:val="7F7F7F" w:themeColor="text1" w:themeTint="80"/>
                                <w:sz w:val="17"/>
                                <w:szCs w:val="17"/>
                              </w:rPr>
                              <w:t>b</w:t>
                            </w:r>
                            <w:r w:rsidRPr="009B720F">
                              <w:rPr>
                                <w:color w:val="7F7F7F" w:themeColor="text1" w:themeTint="80"/>
                                <w:sz w:val="17"/>
                                <w:szCs w:val="17"/>
                              </w:rPr>
                              <w:t>, p.3-4</w:t>
                            </w:r>
                            <w:r w:rsidRPr="009B720F">
                              <w:rPr>
                                <w:bCs/>
                                <w:iCs/>
                                <w:sz w:val="17"/>
                                <w:szCs w:val="17"/>
                              </w:rPr>
                              <w:t>)</w:t>
                            </w:r>
                            <w:r w:rsidRPr="009B720F">
                              <w:rPr>
                                <w:i/>
                                <w:sz w:val="17"/>
                                <w:szCs w:val="17"/>
                              </w:rPr>
                              <w:t>.</w:t>
                            </w:r>
                            <w:r w:rsidRPr="009B720F">
                              <w:rPr>
                                <w:iCs/>
                                <w:sz w:val="17"/>
                                <w:szCs w:val="17"/>
                              </w:rPr>
                              <w:t xml:space="preserve"> </w:t>
                            </w:r>
                            <w:r w:rsidRPr="009B720F">
                              <w:rPr>
                                <w:sz w:val="17"/>
                                <w:szCs w:val="17"/>
                              </w:rPr>
                              <w:t xml:space="preserve">More specifically, each pathway consists of (is made up of) a </w:t>
                            </w:r>
                            <w:r w:rsidRPr="009B720F">
                              <w:rPr>
                                <w:i/>
                                <w:iCs/>
                                <w:sz w:val="17"/>
                                <w:szCs w:val="17"/>
                              </w:rPr>
                              <w:t xml:space="preserve">number </w:t>
                            </w:r>
                            <w:r w:rsidRPr="009B720F">
                              <w:rPr>
                                <w:sz w:val="17"/>
                                <w:szCs w:val="17"/>
                              </w:rPr>
                              <w:t xml:space="preserve">(set) of measures (individual measures and / or </w:t>
                            </w:r>
                            <w:r w:rsidRPr="009B720F">
                              <w:rPr>
                                <w:i/>
                                <w:iCs/>
                                <w:sz w:val="17"/>
                                <w:szCs w:val="17"/>
                              </w:rPr>
                              <w:t>portfolios</w:t>
                            </w:r>
                            <w:r w:rsidRPr="009B720F">
                              <w:rPr>
                                <w:sz w:val="17"/>
                                <w:szCs w:val="17"/>
                              </w:rPr>
                              <w:t>) that are implemented in sequence over time to manage flood risk in a staged way (</w:t>
                            </w:r>
                            <w:r w:rsidRPr="009B720F">
                              <w:rPr>
                                <w:color w:val="7F7F7F" w:themeColor="text1" w:themeTint="80"/>
                                <w:sz w:val="17"/>
                                <w:szCs w:val="17"/>
                              </w:rPr>
                              <w:t>Bloemen et al. 2018, p.8, 7; Ramsbottom and Sheppard 2017, p.2, 5</w:t>
                            </w:r>
                            <w:r w:rsidRPr="009B720F">
                              <w:rPr>
                                <w:sz w:val="17"/>
                                <w:szCs w:val="17"/>
                              </w:rPr>
                              <w:t xml:space="preserve">). </w:t>
                            </w:r>
                          </w:p>
                          <w:p w14:paraId="3B16C3F7" w14:textId="77777777" w:rsidR="00AD22FD" w:rsidRPr="009B720F" w:rsidRDefault="00AD22FD" w:rsidP="00AD22FD">
                            <w:pPr>
                              <w:pStyle w:val="TEXTBODY"/>
                              <w:spacing w:line="240" w:lineRule="auto"/>
                              <w:ind w:left="284"/>
                              <w:jc w:val="left"/>
                              <w:rPr>
                                <w:bCs/>
                                <w:color w:val="7F7F7F" w:themeColor="text1" w:themeTint="80"/>
                                <w:sz w:val="17"/>
                                <w:szCs w:val="17"/>
                              </w:rPr>
                            </w:pPr>
                            <w:r w:rsidRPr="009B720F">
                              <w:rPr>
                                <w:bCs/>
                                <w:i/>
                                <w:sz w:val="17"/>
                                <w:szCs w:val="17"/>
                              </w:rPr>
                              <w:t xml:space="preserve">An Option is a number of portfolios which, when implemented in sequence, provide a complete FRM solution for the next 100 years </w:t>
                            </w:r>
                            <w:r w:rsidRPr="009B720F">
                              <w:rPr>
                                <w:bCs/>
                                <w:iCs/>
                                <w:sz w:val="17"/>
                                <w:szCs w:val="17"/>
                              </w:rPr>
                              <w:t>(for the duration of the FRM plan); a</w:t>
                            </w:r>
                            <w:r w:rsidRPr="009B720F">
                              <w:rPr>
                                <w:bCs/>
                                <w:i/>
                                <w:sz w:val="17"/>
                                <w:szCs w:val="17"/>
                              </w:rPr>
                              <w:t xml:space="preserve"> Portfolio </w:t>
                            </w:r>
                            <w:r w:rsidRPr="009B720F">
                              <w:rPr>
                                <w:bCs/>
                                <w:iCs/>
                                <w:sz w:val="17"/>
                                <w:szCs w:val="17"/>
                              </w:rPr>
                              <w:t>is</w:t>
                            </w:r>
                            <w:r w:rsidRPr="009B720F">
                              <w:rPr>
                                <w:bCs/>
                                <w:i/>
                                <w:sz w:val="17"/>
                                <w:szCs w:val="17"/>
                              </w:rPr>
                              <w:t xml:space="preserve"> a number of responses which, when combined together, provide a complete FRM solution for a particular increase in sea level and/or fluvial flow; a Response is an individual FRM measure, e.g. a barrier, a length of raised </w:t>
                            </w:r>
                            <w:proofErr w:type="spellStart"/>
                            <w:r w:rsidRPr="009B720F">
                              <w:rPr>
                                <w:bCs/>
                                <w:i/>
                                <w:sz w:val="17"/>
                                <w:szCs w:val="17"/>
                              </w:rPr>
                              <w:t>defense</w:t>
                            </w:r>
                            <w:proofErr w:type="spellEnd"/>
                            <w:r w:rsidRPr="009B720F">
                              <w:rPr>
                                <w:bCs/>
                                <w:i/>
                                <w:sz w:val="17"/>
                                <w:szCs w:val="17"/>
                              </w:rPr>
                              <w:t xml:space="preserve">, or an emergency plan for a community </w:t>
                            </w:r>
                            <w:r w:rsidRPr="009B720F">
                              <w:rPr>
                                <w:bCs/>
                                <w:iCs/>
                                <w:sz w:val="17"/>
                                <w:szCs w:val="17"/>
                              </w:rPr>
                              <w:t>(</w:t>
                            </w:r>
                            <w:r w:rsidRPr="009B720F">
                              <w:rPr>
                                <w:bCs/>
                                <w:iCs/>
                                <w:color w:val="7F7F7F" w:themeColor="text1" w:themeTint="80"/>
                                <w:sz w:val="17"/>
                                <w:szCs w:val="17"/>
                              </w:rPr>
                              <w:t xml:space="preserve">EA 2012b – SEA – Strategic Environmental </w:t>
                            </w:r>
                            <w:proofErr w:type="spellStart"/>
                            <w:r w:rsidRPr="009B720F">
                              <w:rPr>
                                <w:bCs/>
                                <w:iCs/>
                                <w:color w:val="7F7F7F" w:themeColor="text1" w:themeTint="80"/>
                                <w:sz w:val="17"/>
                                <w:szCs w:val="17"/>
                              </w:rPr>
                              <w:t>Asssessment</w:t>
                            </w:r>
                            <w:proofErr w:type="spellEnd"/>
                            <w:r w:rsidRPr="009B720F">
                              <w:rPr>
                                <w:bCs/>
                                <w:i/>
                                <w:color w:val="7F7F7F" w:themeColor="text1" w:themeTint="80"/>
                                <w:sz w:val="17"/>
                                <w:szCs w:val="17"/>
                              </w:rPr>
                              <w:t xml:space="preserve">, in </w:t>
                            </w:r>
                            <w:r w:rsidRPr="009B720F">
                              <w:rPr>
                                <w:bCs/>
                                <w:color w:val="7F7F7F" w:themeColor="text1" w:themeTint="80"/>
                                <w:sz w:val="17"/>
                                <w:szCs w:val="17"/>
                              </w:rPr>
                              <w:t>Bloemen et al. 2018, p.8</w:t>
                            </w:r>
                            <w:r w:rsidRPr="009B720F">
                              <w:rPr>
                                <w:bCs/>
                                <w:iCs/>
                                <w:sz w:val="17"/>
                                <w:szCs w:val="17"/>
                              </w:rPr>
                              <w:t xml:space="preserve">; </w:t>
                            </w:r>
                            <w:r w:rsidRPr="009B720F">
                              <w:rPr>
                                <w:bCs/>
                                <w:color w:val="7F7F7F" w:themeColor="text1" w:themeTint="80"/>
                                <w:sz w:val="17"/>
                                <w:szCs w:val="17"/>
                              </w:rPr>
                              <w:t xml:space="preserve">Ramsbottom and Sheppard 2017, p.2, 5; </w:t>
                            </w:r>
                            <w:r w:rsidRPr="009B720F">
                              <w:rPr>
                                <w:color w:val="7F7F7F" w:themeColor="text1" w:themeTint="80"/>
                                <w:sz w:val="17"/>
                                <w:szCs w:val="17"/>
                              </w:rPr>
                              <w:t>EA 2009A, p.138</w:t>
                            </w:r>
                            <w:r w:rsidRPr="009B720F">
                              <w:rPr>
                                <w:bCs/>
                                <w:color w:val="7F7F7F" w:themeColor="text1" w:themeTint="80"/>
                                <w:sz w:val="17"/>
                                <w:szCs w:val="17"/>
                              </w:rPr>
                              <w:t xml:space="preserve">). </w:t>
                            </w:r>
                          </w:p>
                          <w:p w14:paraId="7368B95D" w14:textId="77777777" w:rsidR="00AD22FD" w:rsidRPr="009B720F" w:rsidRDefault="00AD22FD" w:rsidP="00AD22FD">
                            <w:pPr>
                              <w:pStyle w:val="TEXTBODY"/>
                              <w:spacing w:line="240" w:lineRule="auto"/>
                              <w:ind w:left="284"/>
                              <w:jc w:val="left"/>
                              <w:rPr>
                                <w:bCs/>
                                <w:i/>
                                <w:sz w:val="17"/>
                                <w:szCs w:val="17"/>
                              </w:rPr>
                            </w:pPr>
                            <w:r w:rsidRPr="009B720F">
                              <w:rPr>
                                <w:sz w:val="17"/>
                                <w:szCs w:val="17"/>
                              </w:rPr>
                              <w:t xml:space="preserve">Overall, the Team developed an </w:t>
                            </w:r>
                            <w:r w:rsidRPr="009B720F">
                              <w:rPr>
                                <w:i/>
                                <w:sz w:val="17"/>
                                <w:szCs w:val="17"/>
                              </w:rPr>
                              <w:t xml:space="preserve">adaptable Plan </w:t>
                            </w:r>
                            <w:r w:rsidRPr="009B720F">
                              <w:rPr>
                                <w:sz w:val="17"/>
                                <w:szCs w:val="17"/>
                              </w:rPr>
                              <w:t xml:space="preserve">made up of </w:t>
                            </w:r>
                            <w:r w:rsidRPr="009B720F">
                              <w:rPr>
                                <w:bCs/>
                                <w:iCs/>
                                <w:sz w:val="17"/>
                                <w:szCs w:val="17"/>
                              </w:rPr>
                              <w:t xml:space="preserve">a set of </w:t>
                            </w:r>
                            <w:r w:rsidRPr="009B720F">
                              <w:rPr>
                                <w:i/>
                                <w:sz w:val="17"/>
                                <w:szCs w:val="17"/>
                              </w:rPr>
                              <w:t>Options</w:t>
                            </w:r>
                            <w:r w:rsidRPr="009B720F">
                              <w:rPr>
                                <w:sz w:val="17"/>
                                <w:szCs w:val="17"/>
                              </w:rPr>
                              <w:t xml:space="preserve">, each </w:t>
                            </w:r>
                            <w:r w:rsidRPr="009B720F">
                              <w:rPr>
                                <w:i/>
                                <w:sz w:val="17"/>
                                <w:szCs w:val="17"/>
                              </w:rPr>
                              <w:t>Option</w:t>
                            </w:r>
                            <w:r w:rsidRPr="009B720F">
                              <w:rPr>
                                <w:sz w:val="17"/>
                                <w:szCs w:val="17"/>
                              </w:rPr>
                              <w:t xml:space="preserve"> made up </w:t>
                            </w:r>
                            <w:r w:rsidRPr="009B720F">
                              <w:rPr>
                                <w:i/>
                                <w:sz w:val="17"/>
                                <w:szCs w:val="17"/>
                              </w:rPr>
                              <w:t xml:space="preserve">with interventions sequenced through the century </w:t>
                            </w:r>
                            <w:r w:rsidRPr="009B720F">
                              <w:rPr>
                                <w:sz w:val="17"/>
                                <w:szCs w:val="17"/>
                              </w:rPr>
                              <w:t>(</w:t>
                            </w:r>
                            <w:r w:rsidRPr="009B720F">
                              <w:rPr>
                                <w:color w:val="7F7F7F" w:themeColor="text1" w:themeTint="80"/>
                                <w:sz w:val="17"/>
                                <w:szCs w:val="17"/>
                              </w:rPr>
                              <w:t>EA 2009A, p.73, xv</w:t>
                            </w:r>
                            <w:r w:rsidRPr="009B720F">
                              <w:rPr>
                                <w:sz w:val="17"/>
                                <w:szCs w:val="17"/>
                              </w:rPr>
                              <w:t>)</w:t>
                            </w:r>
                            <w:r w:rsidRPr="009B720F">
                              <w:rPr>
                                <w:b/>
                                <w:sz w:val="17"/>
                                <w:szCs w:val="17"/>
                              </w:rPr>
                              <w:t>.</w:t>
                            </w:r>
                            <w:r>
                              <w:rPr>
                                <w:bCs/>
                                <w:iCs/>
                                <w:sz w:val="17"/>
                                <w:szCs w:val="17"/>
                              </w:rPr>
                              <w:t xml:space="preserve"> E</w:t>
                            </w:r>
                            <w:r w:rsidRPr="009B720F">
                              <w:rPr>
                                <w:i/>
                                <w:sz w:val="17"/>
                                <w:szCs w:val="17"/>
                              </w:rPr>
                              <w:t xml:space="preserve">ach Option consists of a sequence of portfolios of responses </w:t>
                            </w:r>
                            <w:r w:rsidRPr="009B720F">
                              <w:rPr>
                                <w:sz w:val="17"/>
                                <w:szCs w:val="17"/>
                              </w:rPr>
                              <w:t>(</w:t>
                            </w:r>
                            <w:r w:rsidRPr="009B720F">
                              <w:rPr>
                                <w:color w:val="7F7F7F" w:themeColor="text1" w:themeTint="80"/>
                                <w:sz w:val="17"/>
                                <w:szCs w:val="17"/>
                              </w:rPr>
                              <w:t>EA 2009A, p.152</w:t>
                            </w:r>
                            <w:r w:rsidRPr="009B720F">
                              <w:rPr>
                                <w:sz w:val="17"/>
                                <w:szCs w:val="17"/>
                              </w:rPr>
                              <w:t>).</w:t>
                            </w:r>
                            <w:r w:rsidRPr="009B720F">
                              <w:rPr>
                                <w:i/>
                                <w:sz w:val="17"/>
                                <w:szCs w:val="17"/>
                              </w:rPr>
                              <w:t xml:space="preserve"> </w:t>
                            </w:r>
                            <w:r w:rsidRPr="009B720F">
                              <w:rPr>
                                <w:sz w:val="17"/>
                                <w:szCs w:val="17"/>
                              </w:rPr>
                              <w:t>Hence, each</w:t>
                            </w:r>
                            <w:r w:rsidRPr="009B720F">
                              <w:rPr>
                                <w:i/>
                                <w:sz w:val="17"/>
                                <w:szCs w:val="17"/>
                              </w:rPr>
                              <w:t xml:space="preserve"> Option</w:t>
                            </w:r>
                            <w:r w:rsidRPr="009B720F">
                              <w:rPr>
                                <w:sz w:val="17"/>
                                <w:szCs w:val="17"/>
                              </w:rPr>
                              <w:t xml:space="preserve"> is </w:t>
                            </w:r>
                            <w:r w:rsidRPr="009B720F">
                              <w:rPr>
                                <w:i/>
                                <w:sz w:val="17"/>
                                <w:szCs w:val="17"/>
                              </w:rPr>
                              <w:t>made up of sequenced portfolios over time</w:t>
                            </w:r>
                            <w:r w:rsidRPr="009B720F">
                              <w:rPr>
                                <w:sz w:val="17"/>
                                <w:szCs w:val="17"/>
                              </w:rPr>
                              <w:t xml:space="preserve"> (each portfolio reduces flood risk so that it stays below the target level), as illustrated in the scheme of the </w:t>
                            </w:r>
                            <w:r w:rsidRPr="009B720F">
                              <w:rPr>
                                <w:i/>
                                <w:sz w:val="17"/>
                                <w:szCs w:val="17"/>
                              </w:rPr>
                              <w:t xml:space="preserve">Managed Adaptive approach </w:t>
                            </w:r>
                            <w:r w:rsidRPr="009B720F">
                              <w:rPr>
                                <w:sz w:val="17"/>
                                <w:szCs w:val="17"/>
                              </w:rPr>
                              <w:t>of the TE2100</w:t>
                            </w:r>
                            <w:r w:rsidRPr="009B720F">
                              <w:rPr>
                                <w:i/>
                                <w:sz w:val="17"/>
                                <w:szCs w:val="17"/>
                              </w:rPr>
                              <w:t xml:space="preserve"> </w:t>
                            </w:r>
                            <w:r w:rsidRPr="009B720F">
                              <w:rPr>
                                <w:sz w:val="17"/>
                                <w:szCs w:val="17"/>
                              </w:rPr>
                              <w:t>(</w:t>
                            </w:r>
                            <w:r w:rsidRPr="009B720F">
                              <w:rPr>
                                <w:color w:val="7F7F7F" w:themeColor="text1" w:themeTint="80"/>
                                <w:sz w:val="17"/>
                                <w:szCs w:val="17"/>
                              </w:rPr>
                              <w:t>EA 2009A, p.139, 149-150, xi-xii</w:t>
                            </w:r>
                            <w:r w:rsidRPr="009B720F">
                              <w:rPr>
                                <w:sz w:val="17"/>
                                <w:szCs w:val="17"/>
                              </w:rPr>
                              <w:t>).</w:t>
                            </w:r>
                            <w:r w:rsidRPr="009B720F">
                              <w:rPr>
                                <w:bCs/>
                                <w:sz w:val="17"/>
                                <w:szCs w:val="17"/>
                              </w:rPr>
                              <w:t xml:space="preserve"> </w:t>
                            </w:r>
                            <w:r w:rsidRPr="009B720F">
                              <w:rPr>
                                <w:i/>
                                <w:sz w:val="17"/>
                                <w:szCs w:val="17"/>
                              </w:rPr>
                              <w:t>Each Option</w:t>
                            </w:r>
                            <w:r w:rsidRPr="009B720F">
                              <w:rPr>
                                <w:sz w:val="17"/>
                                <w:szCs w:val="17"/>
                              </w:rPr>
                              <w:t xml:space="preserve"> </w:t>
                            </w:r>
                            <w:r w:rsidRPr="009B720F">
                              <w:rPr>
                                <w:i/>
                                <w:iCs/>
                                <w:sz w:val="17"/>
                                <w:szCs w:val="17"/>
                              </w:rPr>
                              <w:t>includes</w:t>
                            </w:r>
                            <w:r w:rsidRPr="009B720F">
                              <w:rPr>
                                <w:sz w:val="17"/>
                                <w:szCs w:val="17"/>
                              </w:rPr>
                              <w:t xml:space="preserve"> (comprises) </w:t>
                            </w:r>
                            <w:r w:rsidRPr="009B720F">
                              <w:rPr>
                                <w:i/>
                                <w:iCs/>
                                <w:sz w:val="17"/>
                                <w:szCs w:val="17"/>
                              </w:rPr>
                              <w:t>a sequence of interventions</w:t>
                            </w:r>
                            <w:r w:rsidRPr="009B720F">
                              <w:rPr>
                                <w:sz w:val="17"/>
                                <w:szCs w:val="17"/>
                              </w:rPr>
                              <w:t xml:space="preserve"> or </w:t>
                            </w:r>
                            <w:r w:rsidRPr="009B720F">
                              <w:rPr>
                                <w:i/>
                                <w:sz w:val="17"/>
                                <w:szCs w:val="17"/>
                              </w:rPr>
                              <w:t>portfolios</w:t>
                            </w:r>
                            <w:r w:rsidRPr="009B720F">
                              <w:rPr>
                                <w:sz w:val="17"/>
                                <w:szCs w:val="17"/>
                              </w:rPr>
                              <w:t xml:space="preserve"> over the next 100 years; and the</w:t>
                            </w:r>
                            <w:r w:rsidRPr="009B720F">
                              <w:rPr>
                                <w:i/>
                                <w:sz w:val="17"/>
                                <w:szCs w:val="17"/>
                              </w:rPr>
                              <w:t xml:space="preserve"> dates </w:t>
                            </w:r>
                            <w:r w:rsidRPr="009B720F">
                              <w:rPr>
                                <w:sz w:val="17"/>
                                <w:szCs w:val="17"/>
                              </w:rPr>
                              <w:t>(points)</w:t>
                            </w:r>
                            <w:r w:rsidRPr="009B720F">
                              <w:rPr>
                                <w:i/>
                                <w:sz w:val="17"/>
                                <w:szCs w:val="17"/>
                              </w:rPr>
                              <w:t xml:space="preserve"> at which one portfolio changes to another portfolio depend on key thresholds for FRM assumed </w:t>
                            </w:r>
                            <w:r w:rsidRPr="009B720F">
                              <w:rPr>
                                <w:sz w:val="17"/>
                                <w:szCs w:val="17"/>
                              </w:rPr>
                              <w:t>(</w:t>
                            </w:r>
                            <w:r w:rsidRPr="009B720F">
                              <w:rPr>
                                <w:color w:val="7F7F7F" w:themeColor="text1" w:themeTint="80"/>
                                <w:sz w:val="17"/>
                                <w:szCs w:val="17"/>
                              </w:rPr>
                              <w:t>EA 2009A, p.277, 297, 149-150; 262</w:t>
                            </w:r>
                            <w:r w:rsidRPr="009B720F">
                              <w:rPr>
                                <w:sz w:val="17"/>
                                <w:szCs w:val="17"/>
                              </w:rPr>
                              <w:t>).</w:t>
                            </w:r>
                          </w:p>
                          <w:p w14:paraId="139C0E70" w14:textId="77777777" w:rsidR="00AD22FD" w:rsidRPr="009B720F" w:rsidRDefault="00AD22FD" w:rsidP="00AD22FD">
                            <w:pPr>
                              <w:pStyle w:val="TEXTBODY"/>
                              <w:spacing w:line="240" w:lineRule="auto"/>
                              <w:jc w:val="left"/>
                              <w:rPr>
                                <w:rFonts w:eastAsia="Frutiger-Roman"/>
                                <w:iCs/>
                                <w:sz w:val="17"/>
                                <w:szCs w:val="17"/>
                              </w:rPr>
                            </w:pPr>
                            <w:r w:rsidRPr="009B720F">
                              <w:rPr>
                                <w:sz w:val="17"/>
                                <w:szCs w:val="17"/>
                              </w:rPr>
                              <w:t>Five HLOs/pathways were drawn up in the route-map of the TE2100 (</w:t>
                            </w:r>
                            <w:r w:rsidRPr="009B720F">
                              <w:rPr>
                                <w:color w:val="7F7F7F" w:themeColor="text1" w:themeTint="80"/>
                                <w:sz w:val="17"/>
                                <w:szCs w:val="17"/>
                              </w:rPr>
                              <w:t>EA 2009A, p.149</w:t>
                            </w:r>
                            <w:r w:rsidRPr="009B720F">
                              <w:rPr>
                                <w:sz w:val="17"/>
                                <w:szCs w:val="17"/>
                              </w:rPr>
                              <w:t>). The</w:t>
                            </w:r>
                            <w:r w:rsidRPr="009B720F">
                              <w:rPr>
                                <w:rFonts w:cs="Arial"/>
                                <w:sz w:val="17"/>
                                <w:szCs w:val="17"/>
                              </w:rPr>
                              <w:t xml:space="preserve"> route-map shows</w:t>
                            </w:r>
                            <w:r w:rsidRPr="009B720F">
                              <w:rPr>
                                <w:rFonts w:cs="Arial"/>
                                <w:color w:val="C00000"/>
                                <w:sz w:val="17"/>
                                <w:szCs w:val="17"/>
                              </w:rPr>
                              <w:t xml:space="preserve"> </w:t>
                            </w:r>
                            <w:r w:rsidRPr="009B720F">
                              <w:rPr>
                                <w:rFonts w:cs="Arial"/>
                                <w:sz w:val="17"/>
                                <w:szCs w:val="17"/>
                              </w:rPr>
                              <w:t xml:space="preserve">a </w:t>
                            </w:r>
                            <w:r w:rsidRPr="009B720F">
                              <w:rPr>
                                <w:rFonts w:cs="Arial"/>
                                <w:b/>
                                <w:bCs/>
                                <w:sz w:val="17"/>
                                <w:szCs w:val="17"/>
                              </w:rPr>
                              <w:t>set / range / series / suite of</w:t>
                            </w:r>
                            <w:r w:rsidRPr="009B720F">
                              <w:rPr>
                                <w:rFonts w:cs="Arial"/>
                                <w:sz w:val="17"/>
                                <w:szCs w:val="17"/>
                              </w:rPr>
                              <w:t xml:space="preserve"> five different possible pathways (</w:t>
                            </w:r>
                            <w:r w:rsidRPr="009B720F">
                              <w:rPr>
                                <w:rFonts w:cs="Arial"/>
                                <w:i/>
                                <w:iCs/>
                                <w:sz w:val="17"/>
                                <w:szCs w:val="17"/>
                              </w:rPr>
                              <w:t>HLOs</w:t>
                            </w:r>
                            <w:r w:rsidRPr="009B720F">
                              <w:rPr>
                                <w:sz w:val="17"/>
                                <w:szCs w:val="17"/>
                              </w:rPr>
                              <w:t>) (</w:t>
                            </w:r>
                            <w:r w:rsidRPr="009B720F">
                              <w:rPr>
                                <w:color w:val="7F7F7F" w:themeColor="text1" w:themeTint="80"/>
                                <w:sz w:val="17"/>
                                <w:szCs w:val="17"/>
                              </w:rPr>
                              <w:t>EA 2009A, p.149</w:t>
                            </w:r>
                            <w:r w:rsidRPr="009B720F">
                              <w:rPr>
                                <w:sz w:val="17"/>
                                <w:szCs w:val="17"/>
                              </w:rPr>
                              <w:t xml:space="preserve">). By using the APs approach, the Team has developed </w:t>
                            </w:r>
                            <w:r w:rsidRPr="009B720F">
                              <w:rPr>
                                <w:b/>
                                <w:bCs/>
                                <w:i/>
                                <w:iCs/>
                                <w:sz w:val="17"/>
                                <w:szCs w:val="17"/>
                              </w:rPr>
                              <w:t>a set of Options</w:t>
                            </w:r>
                            <w:r w:rsidRPr="009B720F">
                              <w:rPr>
                                <w:sz w:val="17"/>
                                <w:szCs w:val="17"/>
                              </w:rPr>
                              <w:t xml:space="preserve">, i.e. </w:t>
                            </w:r>
                            <w:r w:rsidRPr="009B720F">
                              <w:rPr>
                                <w:b/>
                                <w:bCs/>
                                <w:i/>
                                <w:iCs/>
                                <w:sz w:val="17"/>
                                <w:szCs w:val="17"/>
                              </w:rPr>
                              <w:t>a range of options to manage flood risk</w:t>
                            </w:r>
                            <w:r w:rsidRPr="009B720F">
                              <w:rPr>
                                <w:sz w:val="17"/>
                                <w:szCs w:val="17"/>
                              </w:rPr>
                              <w:t xml:space="preserve"> (a range of different FRM options) (</w:t>
                            </w:r>
                            <w:r w:rsidRPr="009B720F">
                              <w:rPr>
                                <w:color w:val="7F7F7F" w:themeColor="text1" w:themeTint="80"/>
                                <w:sz w:val="17"/>
                                <w:szCs w:val="17"/>
                              </w:rPr>
                              <w:t xml:space="preserve">EA 2009A, </w:t>
                            </w:r>
                            <w:proofErr w:type="spellStart"/>
                            <w:r w:rsidRPr="009B720F">
                              <w:rPr>
                                <w:color w:val="7F7F7F" w:themeColor="text1" w:themeTint="80"/>
                                <w:sz w:val="17"/>
                                <w:szCs w:val="17"/>
                              </w:rPr>
                              <w:t>p.x</w:t>
                            </w:r>
                            <w:proofErr w:type="spellEnd"/>
                            <w:r w:rsidRPr="009B720F">
                              <w:rPr>
                                <w:color w:val="7F7F7F" w:themeColor="text1" w:themeTint="80"/>
                                <w:sz w:val="17"/>
                                <w:szCs w:val="17"/>
                              </w:rPr>
                              <w:t xml:space="preserve">, 8, 72, 142, 149, 259, 279, 290; EA 2012, p.32, 34, 6, 32; </w:t>
                            </w:r>
                            <w:r w:rsidRPr="009B720F">
                              <w:rPr>
                                <w:rFonts w:eastAsia="Frutiger-Roman"/>
                                <w:color w:val="7F7F7F" w:themeColor="text1" w:themeTint="80"/>
                                <w:sz w:val="17"/>
                                <w:szCs w:val="17"/>
                              </w:rPr>
                              <w:t>2009</w:t>
                            </w:r>
                            <w:r>
                              <w:rPr>
                                <w:rFonts w:eastAsia="Frutiger-Roman"/>
                                <w:color w:val="7F7F7F" w:themeColor="text1" w:themeTint="80"/>
                                <w:sz w:val="17"/>
                                <w:szCs w:val="17"/>
                              </w:rPr>
                              <w:t>b</w:t>
                            </w:r>
                            <w:r w:rsidRPr="009B720F">
                              <w:rPr>
                                <w:rFonts w:eastAsia="Frutiger-Roman"/>
                                <w:color w:val="7F7F7F" w:themeColor="text1" w:themeTint="80"/>
                                <w:sz w:val="17"/>
                                <w:szCs w:val="17"/>
                              </w:rPr>
                              <w:t xml:space="preserve">, p.2; </w:t>
                            </w:r>
                            <w:r w:rsidRPr="009B720F">
                              <w:rPr>
                                <w:rFonts w:eastAsia="Frutiger-Roman"/>
                                <w:iCs/>
                                <w:color w:val="7F7F7F" w:themeColor="text1" w:themeTint="80"/>
                                <w:sz w:val="17"/>
                                <w:szCs w:val="17"/>
                              </w:rPr>
                              <w:t>Bloemen et al. 2018, p.7</w:t>
                            </w:r>
                            <w:r w:rsidRPr="009B720F">
                              <w:rPr>
                                <w:sz w:val="17"/>
                                <w:szCs w:val="17"/>
                              </w:rPr>
                              <w:t xml:space="preserve">). The </w:t>
                            </w:r>
                            <w:r w:rsidRPr="009B720F">
                              <w:rPr>
                                <w:rFonts w:eastAsiaTheme="minorHAnsi"/>
                                <w:sz w:val="17"/>
                                <w:szCs w:val="17"/>
                                <w:lang w:eastAsia="en-US"/>
                              </w:rPr>
                              <w:t xml:space="preserve">Team has developed </w:t>
                            </w:r>
                            <w:r w:rsidRPr="009B720F">
                              <w:rPr>
                                <w:rFonts w:eastAsiaTheme="minorHAnsi"/>
                                <w:b/>
                                <w:bCs/>
                                <w:i/>
                                <w:iCs/>
                                <w:sz w:val="17"/>
                                <w:szCs w:val="17"/>
                                <w:lang w:eastAsia="en-US"/>
                              </w:rPr>
                              <w:t xml:space="preserve">a series of generic Estuary-wide options </w:t>
                            </w:r>
                            <w:r w:rsidRPr="009B720F">
                              <w:rPr>
                                <w:rFonts w:eastAsiaTheme="minorHAnsi"/>
                                <w:i/>
                                <w:iCs/>
                                <w:sz w:val="17"/>
                                <w:szCs w:val="17"/>
                                <w:lang w:eastAsia="en-US"/>
                              </w:rPr>
                              <w:t>which can successfully manage flood risk through the century</w:t>
                            </w:r>
                            <w:r w:rsidRPr="009B720F">
                              <w:rPr>
                                <w:rFonts w:eastAsia="Frutiger-Roman"/>
                                <w:sz w:val="17"/>
                                <w:szCs w:val="17"/>
                              </w:rPr>
                              <w:t xml:space="preserve">; the Plan sets out </w:t>
                            </w:r>
                            <w:r w:rsidRPr="009B720F">
                              <w:rPr>
                                <w:rFonts w:eastAsia="Frutiger-Roman"/>
                                <w:b/>
                                <w:bCs/>
                                <w:i/>
                                <w:iCs/>
                                <w:sz w:val="17"/>
                                <w:szCs w:val="17"/>
                              </w:rPr>
                              <w:t>the range of options</w:t>
                            </w:r>
                            <w:r w:rsidRPr="009B720F">
                              <w:rPr>
                                <w:rFonts w:eastAsia="Frutiger-Roman"/>
                                <w:i/>
                                <w:iCs/>
                                <w:sz w:val="17"/>
                                <w:szCs w:val="17"/>
                              </w:rPr>
                              <w:t xml:space="preserve"> which can manage a change in water levels through this century </w:t>
                            </w:r>
                            <w:r w:rsidRPr="009B720F">
                              <w:rPr>
                                <w:rFonts w:eastAsia="Frutiger-Roman"/>
                                <w:sz w:val="17"/>
                                <w:szCs w:val="17"/>
                              </w:rPr>
                              <w:t>(</w:t>
                            </w:r>
                            <w:r w:rsidRPr="009B720F">
                              <w:rPr>
                                <w:rFonts w:eastAsia="Frutiger-Roman"/>
                                <w:color w:val="7F7F7F" w:themeColor="text1" w:themeTint="80"/>
                                <w:sz w:val="17"/>
                                <w:szCs w:val="17"/>
                              </w:rPr>
                              <w:t>EA 2012, p.34, 6</w:t>
                            </w:r>
                            <w:r w:rsidRPr="009B720F">
                              <w:rPr>
                                <w:rFonts w:eastAsia="Frutiger-Roman"/>
                                <w:sz w:val="17"/>
                                <w:szCs w:val="17"/>
                              </w:rPr>
                              <w:t>).</w:t>
                            </w:r>
                            <w:r w:rsidRPr="009B720F">
                              <w:rPr>
                                <w:sz w:val="17"/>
                                <w:szCs w:val="17"/>
                              </w:rPr>
                              <w:t xml:space="preserve"> The Team could identify </w:t>
                            </w:r>
                            <w:r w:rsidRPr="009B720F">
                              <w:rPr>
                                <w:b/>
                                <w:bCs/>
                                <w:i/>
                                <w:iCs/>
                                <w:sz w:val="17"/>
                                <w:szCs w:val="17"/>
                              </w:rPr>
                              <w:t>a series of adaptation pathways</w:t>
                            </w:r>
                            <w:r w:rsidRPr="009B720F">
                              <w:rPr>
                                <w:sz w:val="17"/>
                                <w:szCs w:val="17"/>
                              </w:rPr>
                              <w:t>, a route-map, that are appropriate to cope with the plausible range of climatic changes that could be seen by 2100 (</w:t>
                            </w:r>
                            <w:r w:rsidRPr="009B720F">
                              <w:rPr>
                                <w:color w:val="7F7F7F" w:themeColor="text1" w:themeTint="80"/>
                                <w:sz w:val="17"/>
                                <w:szCs w:val="17"/>
                              </w:rPr>
                              <w:t>Reeder and Ranger 2011, p.5</w:t>
                            </w:r>
                            <w:r w:rsidRPr="009B720F">
                              <w:rPr>
                                <w:sz w:val="17"/>
                                <w:szCs w:val="17"/>
                              </w:rPr>
                              <w:t xml:space="preserve">). </w:t>
                            </w:r>
                            <w:r w:rsidRPr="009B720F">
                              <w:rPr>
                                <w:bCs/>
                                <w:i/>
                                <w:sz w:val="17"/>
                                <w:szCs w:val="17"/>
                              </w:rPr>
                              <w:t xml:space="preserve"> </w:t>
                            </w:r>
                            <w:r w:rsidRPr="009B720F">
                              <w:rPr>
                                <w:rFonts w:eastAsia="Frutiger-Roman"/>
                                <w:bCs/>
                                <w:iCs/>
                                <w:sz w:val="17"/>
                                <w:szCs w:val="17"/>
                              </w:rPr>
                              <w:t>The TE2100 Plan has</w:t>
                            </w:r>
                            <w:r w:rsidRPr="009B720F">
                              <w:rPr>
                                <w:rFonts w:eastAsia="Frutiger-Roman"/>
                                <w:bCs/>
                                <w:i/>
                                <w:sz w:val="17"/>
                                <w:szCs w:val="17"/>
                              </w:rPr>
                              <w:t xml:space="preserve"> </w:t>
                            </w:r>
                            <w:r w:rsidRPr="009B720F">
                              <w:rPr>
                                <w:rFonts w:eastAsia="Frutiger-Roman"/>
                                <w:b/>
                                <w:i/>
                                <w:sz w:val="17"/>
                                <w:szCs w:val="17"/>
                              </w:rPr>
                              <w:t>a set of options</w:t>
                            </w:r>
                            <w:r w:rsidRPr="009B720F">
                              <w:rPr>
                                <w:rFonts w:eastAsia="Frutiger-Roman"/>
                                <w:bCs/>
                                <w:i/>
                                <w:sz w:val="17"/>
                                <w:szCs w:val="17"/>
                              </w:rPr>
                              <w:t xml:space="preserve"> (adaptation pathways) </w:t>
                            </w:r>
                            <w:r w:rsidRPr="009B720F">
                              <w:rPr>
                                <w:rFonts w:eastAsia="Frutiger-Roman"/>
                                <w:bCs/>
                                <w:iCs/>
                                <w:sz w:val="17"/>
                                <w:szCs w:val="17"/>
                              </w:rPr>
                              <w:t>(</w:t>
                            </w:r>
                            <w:r w:rsidRPr="009B720F">
                              <w:rPr>
                                <w:rFonts w:eastAsia="Frutiger-Roman"/>
                                <w:iCs/>
                                <w:color w:val="7F7F7F" w:themeColor="text1" w:themeTint="80"/>
                                <w:sz w:val="17"/>
                                <w:szCs w:val="17"/>
                              </w:rPr>
                              <w:t>Bloemen et al. 2018, p.7</w:t>
                            </w:r>
                            <w:r w:rsidRPr="009B720F">
                              <w:rPr>
                                <w:rFonts w:eastAsia="Frutiger-Roman"/>
                                <w:iCs/>
                                <w:sz w:val="17"/>
                                <w:szCs w:val="17"/>
                              </w:rPr>
                              <w:t xml:space="preserve">). </w:t>
                            </w:r>
                          </w:p>
                          <w:p w14:paraId="64E296A8" w14:textId="77777777" w:rsidR="00AD22FD" w:rsidRPr="009B720F" w:rsidRDefault="00AD22FD" w:rsidP="00AD22FD">
                            <w:pPr>
                              <w:spacing w:line="240" w:lineRule="auto"/>
                              <w:jc w:val="left"/>
                              <w:rPr>
                                <w:sz w:val="17"/>
                                <w:szCs w:val="17"/>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A026A1" id="_x0000_s1030" type="#_x0000_t202" style="position:absolute;left:0;text-align:left;margin-left:5.2pt;margin-top:-24.25pt;width:491.25pt;height:269.25pt;z-index:-250568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" fillcolor="#f2f2f2 [3052]" stroked="f" strokeweight="4.5pt">
                <v:textbox>
                  <w:txbxContent>
                    <w:p w14:paraId="22128220" w14:textId="77777777" w:rsidR="00AD22FD" w:rsidRPr="009B720F" w:rsidRDefault="00AD22FD" w:rsidP="00AD22FD">
                      <w:pPr>
                        <w:pStyle w:val="TEXTBODY"/>
                        <w:spacing w:line="240" w:lineRule="auto"/>
                        <w:jc w:val="left"/>
                        <w:rPr>
                          <w:sz w:val="17"/>
                          <w:szCs w:val="17"/>
                        </w:rPr>
                      </w:pPr>
                      <w:r w:rsidRPr="009B720F">
                        <w:rPr>
                          <w:sz w:val="17"/>
                          <w:szCs w:val="17"/>
                        </w:rPr>
                        <w:t xml:space="preserve">In the TE2100 Plan, each pathway – denominated </w:t>
                      </w:r>
                      <w:r w:rsidRPr="009B720F">
                        <w:rPr>
                          <w:i/>
                          <w:iCs/>
                          <w:sz w:val="17"/>
                          <w:szCs w:val="17"/>
                        </w:rPr>
                        <w:t>High-Level Option</w:t>
                      </w:r>
                      <w:r w:rsidRPr="009B720F">
                        <w:rPr>
                          <w:sz w:val="17"/>
                          <w:szCs w:val="17"/>
                        </w:rPr>
                        <w:t xml:space="preserve"> (</w:t>
                      </w:r>
                      <w:r w:rsidRPr="009B720F">
                        <w:rPr>
                          <w:i/>
                          <w:iCs/>
                          <w:sz w:val="17"/>
                          <w:szCs w:val="17"/>
                        </w:rPr>
                        <w:t>HLO</w:t>
                      </w:r>
                      <w:r w:rsidRPr="009B720F">
                        <w:rPr>
                          <w:sz w:val="17"/>
                          <w:szCs w:val="17"/>
                        </w:rPr>
                        <w:t xml:space="preserve">) or </w:t>
                      </w:r>
                      <w:r w:rsidRPr="009B720F">
                        <w:rPr>
                          <w:i/>
                          <w:iCs/>
                          <w:sz w:val="17"/>
                          <w:szCs w:val="17"/>
                        </w:rPr>
                        <w:t>Option</w:t>
                      </w:r>
                      <w:r w:rsidRPr="009B720F">
                        <w:rPr>
                          <w:sz w:val="17"/>
                          <w:szCs w:val="17"/>
                        </w:rPr>
                        <w:t xml:space="preserve"> – is a ‘</w:t>
                      </w:r>
                      <w:r w:rsidRPr="009B720F">
                        <w:rPr>
                          <w:i/>
                          <w:iCs/>
                          <w:sz w:val="17"/>
                          <w:szCs w:val="17"/>
                        </w:rPr>
                        <w:t>package</w:t>
                      </w:r>
                      <w:r w:rsidRPr="009B720F">
                        <w:rPr>
                          <w:sz w:val="17"/>
                          <w:szCs w:val="17"/>
                        </w:rPr>
                        <w:t>’</w:t>
                      </w:r>
                      <w:r w:rsidRPr="009B720F">
                        <w:rPr>
                          <w:i/>
                          <w:iCs/>
                          <w:sz w:val="17"/>
                          <w:szCs w:val="17"/>
                        </w:rPr>
                        <w:t xml:space="preserve"> </w:t>
                      </w:r>
                      <w:r w:rsidRPr="009B720F">
                        <w:rPr>
                          <w:sz w:val="17"/>
                          <w:szCs w:val="17"/>
                        </w:rPr>
                        <w:t>of measures sequenced and implemented over time (</w:t>
                      </w:r>
                      <w:r w:rsidRPr="009B720F">
                        <w:rPr>
                          <w:i/>
                          <w:iCs/>
                          <w:sz w:val="17"/>
                          <w:szCs w:val="17"/>
                        </w:rPr>
                        <w:t xml:space="preserve">package </w:t>
                      </w:r>
                      <w:r w:rsidRPr="009B720F">
                        <w:rPr>
                          <w:sz w:val="17"/>
                          <w:szCs w:val="17"/>
                        </w:rPr>
                        <w:t>of sequenced measures that can be implemented over time) (</w:t>
                      </w:r>
                      <w:r w:rsidRPr="009B720F">
                        <w:rPr>
                          <w:bCs/>
                          <w:iCs/>
                          <w:color w:val="7F7F7F" w:themeColor="text1" w:themeTint="80"/>
                          <w:sz w:val="17"/>
                          <w:szCs w:val="17"/>
                        </w:rPr>
                        <w:t xml:space="preserve">Ranger et al. 2013, p.249; </w:t>
                      </w:r>
                      <w:r w:rsidRPr="009B720F">
                        <w:rPr>
                          <w:iCs/>
                          <w:color w:val="7F7F7F" w:themeColor="text1" w:themeTint="80"/>
                          <w:sz w:val="17"/>
                          <w:szCs w:val="17"/>
                        </w:rPr>
                        <w:t xml:space="preserve">Reeder and Ranger 2011, p.8; </w:t>
                      </w:r>
                      <w:proofErr w:type="spellStart"/>
                      <w:r w:rsidRPr="009B720F">
                        <w:rPr>
                          <w:color w:val="7F7F7F" w:themeColor="text1" w:themeTint="80"/>
                          <w:sz w:val="17"/>
                          <w:szCs w:val="17"/>
                        </w:rPr>
                        <w:t>Jeuken</w:t>
                      </w:r>
                      <w:proofErr w:type="spellEnd"/>
                      <w:r w:rsidRPr="009B720F">
                        <w:rPr>
                          <w:color w:val="7F7F7F" w:themeColor="text1" w:themeTint="80"/>
                          <w:sz w:val="17"/>
                          <w:szCs w:val="17"/>
                        </w:rPr>
                        <w:t xml:space="preserve"> and Reeder 2011, p.4; </w:t>
                      </w:r>
                      <w:r>
                        <w:rPr>
                          <w:color w:val="7F7F7F" w:themeColor="text1" w:themeTint="80"/>
                          <w:sz w:val="17"/>
                          <w:szCs w:val="17"/>
                        </w:rPr>
                        <w:t>EA</w:t>
                      </w:r>
                      <w:r w:rsidRPr="009B720F">
                        <w:rPr>
                          <w:color w:val="7F7F7F" w:themeColor="text1" w:themeTint="80"/>
                          <w:sz w:val="17"/>
                          <w:szCs w:val="17"/>
                        </w:rPr>
                        <w:t xml:space="preserve"> 2009</w:t>
                      </w:r>
                      <w:r>
                        <w:rPr>
                          <w:color w:val="7F7F7F" w:themeColor="text1" w:themeTint="80"/>
                          <w:sz w:val="17"/>
                          <w:szCs w:val="17"/>
                        </w:rPr>
                        <w:t>b</w:t>
                      </w:r>
                      <w:r w:rsidRPr="009B720F">
                        <w:rPr>
                          <w:color w:val="7F7F7F" w:themeColor="text1" w:themeTint="80"/>
                          <w:sz w:val="17"/>
                          <w:szCs w:val="17"/>
                        </w:rPr>
                        <w:t>, p.3-4</w:t>
                      </w:r>
                      <w:r w:rsidRPr="009B720F">
                        <w:rPr>
                          <w:bCs/>
                          <w:iCs/>
                          <w:sz w:val="17"/>
                          <w:szCs w:val="17"/>
                        </w:rPr>
                        <w:t>)</w:t>
                      </w:r>
                      <w:r w:rsidRPr="009B720F">
                        <w:rPr>
                          <w:i/>
                          <w:sz w:val="17"/>
                          <w:szCs w:val="17"/>
                        </w:rPr>
                        <w:t>.</w:t>
                      </w:r>
                      <w:r w:rsidRPr="009B720F">
                        <w:rPr>
                          <w:iCs/>
                          <w:sz w:val="17"/>
                          <w:szCs w:val="17"/>
                        </w:rPr>
                        <w:t xml:space="preserve"> </w:t>
                      </w:r>
                      <w:r w:rsidRPr="009B720F">
                        <w:rPr>
                          <w:sz w:val="17"/>
                          <w:szCs w:val="17"/>
                        </w:rPr>
                        <w:t xml:space="preserve">More specifically, each pathway consists of (is made up of) a </w:t>
                      </w:r>
                      <w:r w:rsidRPr="009B720F">
                        <w:rPr>
                          <w:i/>
                          <w:iCs/>
                          <w:sz w:val="17"/>
                          <w:szCs w:val="17"/>
                        </w:rPr>
                        <w:t xml:space="preserve">number </w:t>
                      </w:r>
                      <w:r w:rsidRPr="009B720F">
                        <w:rPr>
                          <w:sz w:val="17"/>
                          <w:szCs w:val="17"/>
                        </w:rPr>
                        <w:t xml:space="preserve">(set) of measures (individual measures and / or </w:t>
                      </w:r>
                      <w:r w:rsidRPr="009B720F">
                        <w:rPr>
                          <w:i/>
                          <w:iCs/>
                          <w:sz w:val="17"/>
                          <w:szCs w:val="17"/>
                        </w:rPr>
                        <w:t>portfolios</w:t>
                      </w:r>
                      <w:r w:rsidRPr="009B720F">
                        <w:rPr>
                          <w:sz w:val="17"/>
                          <w:szCs w:val="17"/>
                        </w:rPr>
                        <w:t>) that are implemented in sequence over time to manage flood risk in a staged way (</w:t>
                      </w:r>
                      <w:r w:rsidRPr="009B720F">
                        <w:rPr>
                          <w:color w:val="7F7F7F" w:themeColor="text1" w:themeTint="80"/>
                          <w:sz w:val="17"/>
                          <w:szCs w:val="17"/>
                        </w:rPr>
                        <w:t>Bloemen et al. 2018, p.8, 7; Ramsbottom and Sheppard 2017, p.2, 5</w:t>
                      </w:r>
                      <w:r w:rsidRPr="009B720F">
                        <w:rPr>
                          <w:sz w:val="17"/>
                          <w:szCs w:val="17"/>
                        </w:rPr>
                        <w:t xml:space="preserve">). </w:t>
                      </w:r>
                    </w:p>
                    <w:p w14:paraId="3B16C3F7" w14:textId="77777777" w:rsidR="00AD22FD" w:rsidRPr="009B720F" w:rsidRDefault="00AD22FD" w:rsidP="00AD22FD">
                      <w:pPr>
                        <w:pStyle w:val="TEXTBODY"/>
                        <w:spacing w:line="240" w:lineRule="auto"/>
                        <w:ind w:left="284"/>
                        <w:jc w:val="left"/>
                        <w:rPr>
                          <w:bCs/>
                          <w:color w:val="7F7F7F" w:themeColor="text1" w:themeTint="80"/>
                          <w:sz w:val="17"/>
                          <w:szCs w:val="17"/>
                        </w:rPr>
                      </w:pPr>
                      <w:r w:rsidRPr="009B720F">
                        <w:rPr>
                          <w:bCs/>
                          <w:i/>
                          <w:sz w:val="17"/>
                          <w:szCs w:val="17"/>
                        </w:rPr>
                        <w:t xml:space="preserve">An Option is a number of portfolios which, when implemented in sequence, provide a complete FRM solution for the next 100 years </w:t>
                      </w:r>
                      <w:r w:rsidRPr="009B720F">
                        <w:rPr>
                          <w:bCs/>
                          <w:iCs/>
                          <w:sz w:val="17"/>
                          <w:szCs w:val="17"/>
                        </w:rPr>
                        <w:t>(for the duration of the FRM plan); a</w:t>
                      </w:r>
                      <w:r w:rsidRPr="009B720F">
                        <w:rPr>
                          <w:bCs/>
                          <w:i/>
                          <w:sz w:val="17"/>
                          <w:szCs w:val="17"/>
                        </w:rPr>
                        <w:t xml:space="preserve"> Portfolio </w:t>
                      </w:r>
                      <w:r w:rsidRPr="009B720F">
                        <w:rPr>
                          <w:bCs/>
                          <w:iCs/>
                          <w:sz w:val="17"/>
                          <w:szCs w:val="17"/>
                        </w:rPr>
                        <w:t>is</w:t>
                      </w:r>
                      <w:r w:rsidRPr="009B720F">
                        <w:rPr>
                          <w:bCs/>
                          <w:i/>
                          <w:sz w:val="17"/>
                          <w:szCs w:val="17"/>
                        </w:rPr>
                        <w:t xml:space="preserve"> a number of responses which, when combined together, provide a complete FRM solution for a particular increase in sea level and/or fluvial flow; a Response is an individual FRM measure, e.g. a barrier, a length of raised </w:t>
                      </w:r>
                      <w:proofErr w:type="spellStart"/>
                      <w:r w:rsidRPr="009B720F">
                        <w:rPr>
                          <w:bCs/>
                          <w:i/>
                          <w:sz w:val="17"/>
                          <w:szCs w:val="17"/>
                        </w:rPr>
                        <w:t>defense</w:t>
                      </w:r>
                      <w:proofErr w:type="spellEnd"/>
                      <w:r w:rsidRPr="009B720F">
                        <w:rPr>
                          <w:bCs/>
                          <w:i/>
                          <w:sz w:val="17"/>
                          <w:szCs w:val="17"/>
                        </w:rPr>
                        <w:t xml:space="preserve">, or an emergency plan for a community </w:t>
                      </w:r>
                      <w:r w:rsidRPr="009B720F">
                        <w:rPr>
                          <w:bCs/>
                          <w:iCs/>
                          <w:sz w:val="17"/>
                          <w:szCs w:val="17"/>
                        </w:rPr>
                        <w:t>(</w:t>
                      </w:r>
                      <w:r w:rsidRPr="009B720F">
                        <w:rPr>
                          <w:bCs/>
                          <w:iCs/>
                          <w:color w:val="7F7F7F" w:themeColor="text1" w:themeTint="80"/>
                          <w:sz w:val="17"/>
                          <w:szCs w:val="17"/>
                        </w:rPr>
                        <w:t xml:space="preserve">EA 2012b – SEA – Strategic Environmental </w:t>
                      </w:r>
                      <w:proofErr w:type="spellStart"/>
                      <w:r w:rsidRPr="009B720F">
                        <w:rPr>
                          <w:bCs/>
                          <w:iCs/>
                          <w:color w:val="7F7F7F" w:themeColor="text1" w:themeTint="80"/>
                          <w:sz w:val="17"/>
                          <w:szCs w:val="17"/>
                        </w:rPr>
                        <w:t>Asssessment</w:t>
                      </w:r>
                      <w:proofErr w:type="spellEnd"/>
                      <w:r w:rsidRPr="009B720F">
                        <w:rPr>
                          <w:bCs/>
                          <w:i/>
                          <w:color w:val="7F7F7F" w:themeColor="text1" w:themeTint="80"/>
                          <w:sz w:val="17"/>
                          <w:szCs w:val="17"/>
                        </w:rPr>
                        <w:t xml:space="preserve">, in </w:t>
                      </w:r>
                      <w:r w:rsidRPr="009B720F">
                        <w:rPr>
                          <w:bCs/>
                          <w:color w:val="7F7F7F" w:themeColor="text1" w:themeTint="80"/>
                          <w:sz w:val="17"/>
                          <w:szCs w:val="17"/>
                        </w:rPr>
                        <w:t>Bloemen et al. 2018, p.8</w:t>
                      </w:r>
                      <w:r w:rsidRPr="009B720F">
                        <w:rPr>
                          <w:bCs/>
                          <w:iCs/>
                          <w:sz w:val="17"/>
                          <w:szCs w:val="17"/>
                        </w:rPr>
                        <w:t xml:space="preserve">; </w:t>
                      </w:r>
                      <w:r w:rsidRPr="009B720F">
                        <w:rPr>
                          <w:bCs/>
                          <w:color w:val="7F7F7F" w:themeColor="text1" w:themeTint="80"/>
                          <w:sz w:val="17"/>
                          <w:szCs w:val="17"/>
                        </w:rPr>
                        <w:t xml:space="preserve">Ramsbottom and Sheppard 2017, p.2, 5; </w:t>
                      </w:r>
                      <w:r w:rsidRPr="009B720F">
                        <w:rPr>
                          <w:color w:val="7F7F7F" w:themeColor="text1" w:themeTint="80"/>
                          <w:sz w:val="17"/>
                          <w:szCs w:val="17"/>
                        </w:rPr>
                        <w:t>EA 2009A, p.138</w:t>
                      </w:r>
                      <w:r w:rsidRPr="009B720F">
                        <w:rPr>
                          <w:bCs/>
                          <w:color w:val="7F7F7F" w:themeColor="text1" w:themeTint="80"/>
                          <w:sz w:val="17"/>
                          <w:szCs w:val="17"/>
                        </w:rPr>
                        <w:t xml:space="preserve">). </w:t>
                      </w:r>
                    </w:p>
                    <w:p w14:paraId="7368B95D" w14:textId="77777777" w:rsidR="00AD22FD" w:rsidRPr="009B720F" w:rsidRDefault="00AD22FD" w:rsidP="00AD22FD">
                      <w:pPr>
                        <w:pStyle w:val="TEXTBODY"/>
                        <w:spacing w:line="240" w:lineRule="auto"/>
                        <w:ind w:left="284"/>
                        <w:jc w:val="left"/>
                        <w:rPr>
                          <w:bCs/>
                          <w:i/>
                          <w:sz w:val="17"/>
                          <w:szCs w:val="17"/>
                        </w:rPr>
                      </w:pPr>
                      <w:r w:rsidRPr="009B720F">
                        <w:rPr>
                          <w:sz w:val="17"/>
                          <w:szCs w:val="17"/>
                        </w:rPr>
                        <w:t xml:space="preserve">Overall, the Team developed an </w:t>
                      </w:r>
                      <w:r w:rsidRPr="009B720F">
                        <w:rPr>
                          <w:i/>
                          <w:sz w:val="17"/>
                          <w:szCs w:val="17"/>
                        </w:rPr>
                        <w:t xml:space="preserve">adaptable Plan </w:t>
                      </w:r>
                      <w:r w:rsidRPr="009B720F">
                        <w:rPr>
                          <w:sz w:val="17"/>
                          <w:szCs w:val="17"/>
                        </w:rPr>
                        <w:t xml:space="preserve">made up of </w:t>
                      </w:r>
                      <w:r w:rsidRPr="009B720F">
                        <w:rPr>
                          <w:bCs/>
                          <w:iCs/>
                          <w:sz w:val="17"/>
                          <w:szCs w:val="17"/>
                        </w:rPr>
                        <w:t xml:space="preserve">a set of </w:t>
                      </w:r>
                      <w:r w:rsidRPr="009B720F">
                        <w:rPr>
                          <w:i/>
                          <w:sz w:val="17"/>
                          <w:szCs w:val="17"/>
                        </w:rPr>
                        <w:t>Options</w:t>
                      </w:r>
                      <w:r w:rsidRPr="009B720F">
                        <w:rPr>
                          <w:sz w:val="17"/>
                          <w:szCs w:val="17"/>
                        </w:rPr>
                        <w:t xml:space="preserve">, each </w:t>
                      </w:r>
                      <w:r w:rsidRPr="009B720F">
                        <w:rPr>
                          <w:i/>
                          <w:sz w:val="17"/>
                          <w:szCs w:val="17"/>
                        </w:rPr>
                        <w:t>Option</w:t>
                      </w:r>
                      <w:r w:rsidRPr="009B720F">
                        <w:rPr>
                          <w:sz w:val="17"/>
                          <w:szCs w:val="17"/>
                        </w:rPr>
                        <w:t xml:space="preserve"> made up </w:t>
                      </w:r>
                      <w:r w:rsidRPr="009B720F">
                        <w:rPr>
                          <w:i/>
                          <w:sz w:val="17"/>
                          <w:szCs w:val="17"/>
                        </w:rPr>
                        <w:t xml:space="preserve">with interventions sequenced through the century </w:t>
                      </w:r>
                      <w:r w:rsidRPr="009B720F">
                        <w:rPr>
                          <w:sz w:val="17"/>
                          <w:szCs w:val="17"/>
                        </w:rPr>
                        <w:t>(</w:t>
                      </w:r>
                      <w:r w:rsidRPr="009B720F">
                        <w:rPr>
                          <w:color w:val="7F7F7F" w:themeColor="text1" w:themeTint="80"/>
                          <w:sz w:val="17"/>
                          <w:szCs w:val="17"/>
                        </w:rPr>
                        <w:t>EA 2009A, p.73, xv</w:t>
                      </w:r>
                      <w:r w:rsidRPr="009B720F">
                        <w:rPr>
                          <w:sz w:val="17"/>
                          <w:szCs w:val="17"/>
                        </w:rPr>
                        <w:t>)</w:t>
                      </w:r>
                      <w:r w:rsidRPr="009B720F">
                        <w:rPr>
                          <w:b/>
                          <w:sz w:val="17"/>
                          <w:szCs w:val="17"/>
                        </w:rPr>
                        <w:t>.</w:t>
                      </w:r>
                      <w:r>
                        <w:rPr>
                          <w:bCs/>
                          <w:iCs/>
                          <w:sz w:val="17"/>
                          <w:szCs w:val="17"/>
                        </w:rPr>
                        <w:t xml:space="preserve"> E</w:t>
                      </w:r>
                      <w:r w:rsidRPr="009B720F">
                        <w:rPr>
                          <w:i/>
                          <w:sz w:val="17"/>
                          <w:szCs w:val="17"/>
                        </w:rPr>
                        <w:t xml:space="preserve">ach Option consists of a sequence of portfolios of responses </w:t>
                      </w:r>
                      <w:r w:rsidRPr="009B720F">
                        <w:rPr>
                          <w:sz w:val="17"/>
                          <w:szCs w:val="17"/>
                        </w:rPr>
                        <w:t>(</w:t>
                      </w:r>
                      <w:r w:rsidRPr="009B720F">
                        <w:rPr>
                          <w:color w:val="7F7F7F" w:themeColor="text1" w:themeTint="80"/>
                          <w:sz w:val="17"/>
                          <w:szCs w:val="17"/>
                        </w:rPr>
                        <w:t>EA 2009A, p.152</w:t>
                      </w:r>
                      <w:r w:rsidRPr="009B720F">
                        <w:rPr>
                          <w:sz w:val="17"/>
                          <w:szCs w:val="17"/>
                        </w:rPr>
                        <w:t>).</w:t>
                      </w:r>
                      <w:r w:rsidRPr="009B720F">
                        <w:rPr>
                          <w:i/>
                          <w:sz w:val="17"/>
                          <w:szCs w:val="17"/>
                        </w:rPr>
                        <w:t xml:space="preserve"> </w:t>
                      </w:r>
                      <w:r w:rsidRPr="009B720F">
                        <w:rPr>
                          <w:sz w:val="17"/>
                          <w:szCs w:val="17"/>
                        </w:rPr>
                        <w:t>Hence, each</w:t>
                      </w:r>
                      <w:r w:rsidRPr="009B720F">
                        <w:rPr>
                          <w:i/>
                          <w:sz w:val="17"/>
                          <w:szCs w:val="17"/>
                        </w:rPr>
                        <w:t xml:space="preserve"> Option</w:t>
                      </w:r>
                      <w:r w:rsidRPr="009B720F">
                        <w:rPr>
                          <w:sz w:val="17"/>
                          <w:szCs w:val="17"/>
                        </w:rPr>
                        <w:t xml:space="preserve"> is </w:t>
                      </w:r>
                      <w:r w:rsidRPr="009B720F">
                        <w:rPr>
                          <w:i/>
                          <w:sz w:val="17"/>
                          <w:szCs w:val="17"/>
                        </w:rPr>
                        <w:t>made up of sequenced portfolios over time</w:t>
                      </w:r>
                      <w:r w:rsidRPr="009B720F">
                        <w:rPr>
                          <w:sz w:val="17"/>
                          <w:szCs w:val="17"/>
                        </w:rPr>
                        <w:t xml:space="preserve"> (each portfolio reduces flood risk so that it stays below the target level), as illustrated in the scheme of the </w:t>
                      </w:r>
                      <w:r w:rsidRPr="009B720F">
                        <w:rPr>
                          <w:i/>
                          <w:sz w:val="17"/>
                          <w:szCs w:val="17"/>
                        </w:rPr>
                        <w:t xml:space="preserve">Managed Adaptive approach </w:t>
                      </w:r>
                      <w:r w:rsidRPr="009B720F">
                        <w:rPr>
                          <w:sz w:val="17"/>
                          <w:szCs w:val="17"/>
                        </w:rPr>
                        <w:t>of the TE2100</w:t>
                      </w:r>
                      <w:r w:rsidRPr="009B720F">
                        <w:rPr>
                          <w:i/>
                          <w:sz w:val="17"/>
                          <w:szCs w:val="17"/>
                        </w:rPr>
                        <w:t xml:space="preserve"> </w:t>
                      </w:r>
                      <w:r w:rsidRPr="009B720F">
                        <w:rPr>
                          <w:sz w:val="17"/>
                          <w:szCs w:val="17"/>
                        </w:rPr>
                        <w:t>(</w:t>
                      </w:r>
                      <w:r w:rsidRPr="009B720F">
                        <w:rPr>
                          <w:color w:val="7F7F7F" w:themeColor="text1" w:themeTint="80"/>
                          <w:sz w:val="17"/>
                          <w:szCs w:val="17"/>
                        </w:rPr>
                        <w:t>EA 2009A, p.139, 149-150, xi-xii</w:t>
                      </w:r>
                      <w:r w:rsidRPr="009B720F">
                        <w:rPr>
                          <w:sz w:val="17"/>
                          <w:szCs w:val="17"/>
                        </w:rPr>
                        <w:t>).</w:t>
                      </w:r>
                      <w:r w:rsidRPr="009B720F">
                        <w:rPr>
                          <w:bCs/>
                          <w:sz w:val="17"/>
                          <w:szCs w:val="17"/>
                        </w:rPr>
                        <w:t xml:space="preserve"> </w:t>
                      </w:r>
                      <w:r w:rsidRPr="009B720F">
                        <w:rPr>
                          <w:i/>
                          <w:sz w:val="17"/>
                          <w:szCs w:val="17"/>
                        </w:rPr>
                        <w:t>Each Option</w:t>
                      </w:r>
                      <w:r w:rsidRPr="009B720F">
                        <w:rPr>
                          <w:sz w:val="17"/>
                          <w:szCs w:val="17"/>
                        </w:rPr>
                        <w:t xml:space="preserve"> </w:t>
                      </w:r>
                      <w:r w:rsidRPr="009B720F">
                        <w:rPr>
                          <w:i/>
                          <w:iCs/>
                          <w:sz w:val="17"/>
                          <w:szCs w:val="17"/>
                        </w:rPr>
                        <w:t>includes</w:t>
                      </w:r>
                      <w:r w:rsidRPr="009B720F">
                        <w:rPr>
                          <w:sz w:val="17"/>
                          <w:szCs w:val="17"/>
                        </w:rPr>
                        <w:t xml:space="preserve"> (comprises) </w:t>
                      </w:r>
                      <w:r w:rsidRPr="009B720F">
                        <w:rPr>
                          <w:i/>
                          <w:iCs/>
                          <w:sz w:val="17"/>
                          <w:szCs w:val="17"/>
                        </w:rPr>
                        <w:t>a sequence of interventions</w:t>
                      </w:r>
                      <w:r w:rsidRPr="009B720F">
                        <w:rPr>
                          <w:sz w:val="17"/>
                          <w:szCs w:val="17"/>
                        </w:rPr>
                        <w:t xml:space="preserve"> or </w:t>
                      </w:r>
                      <w:r w:rsidRPr="009B720F">
                        <w:rPr>
                          <w:i/>
                          <w:sz w:val="17"/>
                          <w:szCs w:val="17"/>
                        </w:rPr>
                        <w:t>portfolios</w:t>
                      </w:r>
                      <w:r w:rsidRPr="009B720F">
                        <w:rPr>
                          <w:sz w:val="17"/>
                          <w:szCs w:val="17"/>
                        </w:rPr>
                        <w:t xml:space="preserve"> over the next 100 years; and the</w:t>
                      </w:r>
                      <w:r w:rsidRPr="009B720F">
                        <w:rPr>
                          <w:i/>
                          <w:sz w:val="17"/>
                          <w:szCs w:val="17"/>
                        </w:rPr>
                        <w:t xml:space="preserve"> dates </w:t>
                      </w:r>
                      <w:r w:rsidRPr="009B720F">
                        <w:rPr>
                          <w:sz w:val="17"/>
                          <w:szCs w:val="17"/>
                        </w:rPr>
                        <w:t>(points)</w:t>
                      </w:r>
                      <w:r w:rsidRPr="009B720F">
                        <w:rPr>
                          <w:i/>
                          <w:sz w:val="17"/>
                          <w:szCs w:val="17"/>
                        </w:rPr>
                        <w:t xml:space="preserve"> at which one portfolio changes to another portfolio depend on key thresholds for FRM assumed </w:t>
                      </w:r>
                      <w:r w:rsidRPr="009B720F">
                        <w:rPr>
                          <w:sz w:val="17"/>
                          <w:szCs w:val="17"/>
                        </w:rPr>
                        <w:t>(</w:t>
                      </w:r>
                      <w:r w:rsidRPr="009B720F">
                        <w:rPr>
                          <w:color w:val="7F7F7F" w:themeColor="text1" w:themeTint="80"/>
                          <w:sz w:val="17"/>
                          <w:szCs w:val="17"/>
                        </w:rPr>
                        <w:t>EA 2009A, p.277, 297, 149-150; 262</w:t>
                      </w:r>
                      <w:r w:rsidRPr="009B720F">
                        <w:rPr>
                          <w:sz w:val="17"/>
                          <w:szCs w:val="17"/>
                        </w:rPr>
                        <w:t>).</w:t>
                      </w:r>
                    </w:p>
                    <w:p w14:paraId="139C0E70" w14:textId="77777777" w:rsidR="00AD22FD" w:rsidRPr="009B720F" w:rsidRDefault="00AD22FD" w:rsidP="00AD22FD">
                      <w:pPr>
                        <w:pStyle w:val="TEXTBODY"/>
                        <w:spacing w:line="240" w:lineRule="auto"/>
                        <w:jc w:val="left"/>
                        <w:rPr>
                          <w:rFonts w:eastAsia="Frutiger-Roman"/>
                          <w:iCs/>
                          <w:sz w:val="17"/>
                          <w:szCs w:val="17"/>
                        </w:rPr>
                      </w:pPr>
                      <w:r w:rsidRPr="009B720F">
                        <w:rPr>
                          <w:sz w:val="17"/>
                          <w:szCs w:val="17"/>
                        </w:rPr>
                        <w:t>Five HLOs/pathways were drawn up in the route-map of the TE2100 (</w:t>
                      </w:r>
                      <w:r w:rsidRPr="009B720F">
                        <w:rPr>
                          <w:color w:val="7F7F7F" w:themeColor="text1" w:themeTint="80"/>
                          <w:sz w:val="17"/>
                          <w:szCs w:val="17"/>
                        </w:rPr>
                        <w:t>EA 2009A, p.149</w:t>
                      </w:r>
                      <w:r w:rsidRPr="009B720F">
                        <w:rPr>
                          <w:sz w:val="17"/>
                          <w:szCs w:val="17"/>
                        </w:rPr>
                        <w:t>). The</w:t>
                      </w:r>
                      <w:r w:rsidRPr="009B720F">
                        <w:rPr>
                          <w:rFonts w:cs="Arial"/>
                          <w:sz w:val="17"/>
                          <w:szCs w:val="17"/>
                        </w:rPr>
                        <w:t xml:space="preserve"> route-map shows</w:t>
                      </w:r>
                      <w:r w:rsidRPr="009B720F">
                        <w:rPr>
                          <w:rFonts w:cs="Arial"/>
                          <w:color w:val="C00000"/>
                          <w:sz w:val="17"/>
                          <w:szCs w:val="17"/>
                        </w:rPr>
                        <w:t xml:space="preserve"> </w:t>
                      </w:r>
                      <w:r w:rsidRPr="009B720F">
                        <w:rPr>
                          <w:rFonts w:cs="Arial"/>
                          <w:sz w:val="17"/>
                          <w:szCs w:val="17"/>
                        </w:rPr>
                        <w:t xml:space="preserve">a </w:t>
                      </w:r>
                      <w:r w:rsidRPr="009B720F">
                        <w:rPr>
                          <w:rFonts w:cs="Arial"/>
                          <w:b/>
                          <w:bCs/>
                          <w:sz w:val="17"/>
                          <w:szCs w:val="17"/>
                        </w:rPr>
                        <w:t>set / range / series / suite of</w:t>
                      </w:r>
                      <w:r w:rsidRPr="009B720F">
                        <w:rPr>
                          <w:rFonts w:cs="Arial"/>
                          <w:sz w:val="17"/>
                          <w:szCs w:val="17"/>
                        </w:rPr>
                        <w:t xml:space="preserve"> five different possible pathways (</w:t>
                      </w:r>
                      <w:r w:rsidRPr="009B720F">
                        <w:rPr>
                          <w:rFonts w:cs="Arial"/>
                          <w:i/>
                          <w:iCs/>
                          <w:sz w:val="17"/>
                          <w:szCs w:val="17"/>
                        </w:rPr>
                        <w:t>HLOs</w:t>
                      </w:r>
                      <w:r w:rsidRPr="009B720F">
                        <w:rPr>
                          <w:sz w:val="17"/>
                          <w:szCs w:val="17"/>
                        </w:rPr>
                        <w:t>) (</w:t>
                      </w:r>
                      <w:r w:rsidRPr="009B720F">
                        <w:rPr>
                          <w:color w:val="7F7F7F" w:themeColor="text1" w:themeTint="80"/>
                          <w:sz w:val="17"/>
                          <w:szCs w:val="17"/>
                        </w:rPr>
                        <w:t>EA 2009A, p.149</w:t>
                      </w:r>
                      <w:r w:rsidRPr="009B720F">
                        <w:rPr>
                          <w:sz w:val="17"/>
                          <w:szCs w:val="17"/>
                        </w:rPr>
                        <w:t xml:space="preserve">). By using the APs approach, the Team has developed </w:t>
                      </w:r>
                      <w:r w:rsidRPr="009B720F">
                        <w:rPr>
                          <w:b/>
                          <w:bCs/>
                          <w:i/>
                          <w:iCs/>
                          <w:sz w:val="17"/>
                          <w:szCs w:val="17"/>
                        </w:rPr>
                        <w:t>a set of Options</w:t>
                      </w:r>
                      <w:r w:rsidRPr="009B720F">
                        <w:rPr>
                          <w:sz w:val="17"/>
                          <w:szCs w:val="17"/>
                        </w:rPr>
                        <w:t xml:space="preserve">, i.e. </w:t>
                      </w:r>
                      <w:r w:rsidRPr="009B720F">
                        <w:rPr>
                          <w:b/>
                          <w:bCs/>
                          <w:i/>
                          <w:iCs/>
                          <w:sz w:val="17"/>
                          <w:szCs w:val="17"/>
                        </w:rPr>
                        <w:t>a range of options to manage flood risk</w:t>
                      </w:r>
                      <w:r w:rsidRPr="009B720F">
                        <w:rPr>
                          <w:sz w:val="17"/>
                          <w:szCs w:val="17"/>
                        </w:rPr>
                        <w:t xml:space="preserve"> (a range of different FRM options) (</w:t>
                      </w:r>
                      <w:r w:rsidRPr="009B720F">
                        <w:rPr>
                          <w:color w:val="7F7F7F" w:themeColor="text1" w:themeTint="80"/>
                          <w:sz w:val="17"/>
                          <w:szCs w:val="17"/>
                        </w:rPr>
                        <w:t xml:space="preserve">EA 2009A, </w:t>
                      </w:r>
                      <w:proofErr w:type="spellStart"/>
                      <w:r w:rsidRPr="009B720F">
                        <w:rPr>
                          <w:color w:val="7F7F7F" w:themeColor="text1" w:themeTint="80"/>
                          <w:sz w:val="17"/>
                          <w:szCs w:val="17"/>
                        </w:rPr>
                        <w:t>p.x</w:t>
                      </w:r>
                      <w:proofErr w:type="spellEnd"/>
                      <w:r w:rsidRPr="009B720F">
                        <w:rPr>
                          <w:color w:val="7F7F7F" w:themeColor="text1" w:themeTint="80"/>
                          <w:sz w:val="17"/>
                          <w:szCs w:val="17"/>
                        </w:rPr>
                        <w:t xml:space="preserve">, 8, 72, 142, 149, 259, 279, 290; EA 2012, p.32, 34, 6, 32; </w:t>
                      </w:r>
                      <w:r w:rsidRPr="009B720F">
                        <w:rPr>
                          <w:rFonts w:eastAsia="Frutiger-Roman"/>
                          <w:color w:val="7F7F7F" w:themeColor="text1" w:themeTint="80"/>
                          <w:sz w:val="17"/>
                          <w:szCs w:val="17"/>
                        </w:rPr>
                        <w:t>2009</w:t>
                      </w:r>
                      <w:r>
                        <w:rPr>
                          <w:rFonts w:eastAsia="Frutiger-Roman"/>
                          <w:color w:val="7F7F7F" w:themeColor="text1" w:themeTint="80"/>
                          <w:sz w:val="17"/>
                          <w:szCs w:val="17"/>
                        </w:rPr>
                        <w:t>b</w:t>
                      </w:r>
                      <w:r w:rsidRPr="009B720F">
                        <w:rPr>
                          <w:rFonts w:eastAsia="Frutiger-Roman"/>
                          <w:color w:val="7F7F7F" w:themeColor="text1" w:themeTint="80"/>
                          <w:sz w:val="17"/>
                          <w:szCs w:val="17"/>
                        </w:rPr>
                        <w:t xml:space="preserve">, p.2; </w:t>
                      </w:r>
                      <w:r w:rsidRPr="009B720F">
                        <w:rPr>
                          <w:rFonts w:eastAsia="Frutiger-Roman"/>
                          <w:iCs/>
                          <w:color w:val="7F7F7F" w:themeColor="text1" w:themeTint="80"/>
                          <w:sz w:val="17"/>
                          <w:szCs w:val="17"/>
                        </w:rPr>
                        <w:t>Bloemen et al. 2018, p.7</w:t>
                      </w:r>
                      <w:r w:rsidRPr="009B720F">
                        <w:rPr>
                          <w:sz w:val="17"/>
                          <w:szCs w:val="17"/>
                        </w:rPr>
                        <w:t xml:space="preserve">). The </w:t>
                      </w:r>
                      <w:r w:rsidRPr="009B720F">
                        <w:rPr>
                          <w:rFonts w:eastAsiaTheme="minorHAnsi"/>
                          <w:sz w:val="17"/>
                          <w:szCs w:val="17"/>
                          <w:lang w:eastAsia="en-US"/>
                        </w:rPr>
                        <w:t xml:space="preserve">Team has developed </w:t>
                      </w:r>
                      <w:r w:rsidRPr="009B720F">
                        <w:rPr>
                          <w:rFonts w:eastAsiaTheme="minorHAnsi"/>
                          <w:b/>
                          <w:bCs/>
                          <w:i/>
                          <w:iCs/>
                          <w:sz w:val="17"/>
                          <w:szCs w:val="17"/>
                          <w:lang w:eastAsia="en-US"/>
                        </w:rPr>
                        <w:t xml:space="preserve">a series of generic Estuary-wide options </w:t>
                      </w:r>
                      <w:r w:rsidRPr="009B720F">
                        <w:rPr>
                          <w:rFonts w:eastAsiaTheme="minorHAnsi"/>
                          <w:i/>
                          <w:iCs/>
                          <w:sz w:val="17"/>
                          <w:szCs w:val="17"/>
                          <w:lang w:eastAsia="en-US"/>
                        </w:rPr>
                        <w:t>which can successfully manage flood risk through the century</w:t>
                      </w:r>
                      <w:r w:rsidRPr="009B720F">
                        <w:rPr>
                          <w:rFonts w:eastAsia="Frutiger-Roman"/>
                          <w:sz w:val="17"/>
                          <w:szCs w:val="17"/>
                        </w:rPr>
                        <w:t xml:space="preserve">; the Plan sets out </w:t>
                      </w:r>
                      <w:r w:rsidRPr="009B720F">
                        <w:rPr>
                          <w:rFonts w:eastAsia="Frutiger-Roman"/>
                          <w:b/>
                          <w:bCs/>
                          <w:i/>
                          <w:iCs/>
                          <w:sz w:val="17"/>
                          <w:szCs w:val="17"/>
                        </w:rPr>
                        <w:t>the range of options</w:t>
                      </w:r>
                      <w:r w:rsidRPr="009B720F">
                        <w:rPr>
                          <w:rFonts w:eastAsia="Frutiger-Roman"/>
                          <w:i/>
                          <w:iCs/>
                          <w:sz w:val="17"/>
                          <w:szCs w:val="17"/>
                        </w:rPr>
                        <w:t xml:space="preserve"> which can manage a change in water levels through this century </w:t>
                      </w:r>
                      <w:r w:rsidRPr="009B720F">
                        <w:rPr>
                          <w:rFonts w:eastAsia="Frutiger-Roman"/>
                          <w:sz w:val="17"/>
                          <w:szCs w:val="17"/>
                        </w:rPr>
                        <w:t>(</w:t>
                      </w:r>
                      <w:r w:rsidRPr="009B720F">
                        <w:rPr>
                          <w:rFonts w:eastAsia="Frutiger-Roman"/>
                          <w:color w:val="7F7F7F" w:themeColor="text1" w:themeTint="80"/>
                          <w:sz w:val="17"/>
                          <w:szCs w:val="17"/>
                        </w:rPr>
                        <w:t>EA 2012, p.34, 6</w:t>
                      </w:r>
                      <w:r w:rsidRPr="009B720F">
                        <w:rPr>
                          <w:rFonts w:eastAsia="Frutiger-Roman"/>
                          <w:sz w:val="17"/>
                          <w:szCs w:val="17"/>
                        </w:rPr>
                        <w:t>).</w:t>
                      </w:r>
                      <w:r w:rsidRPr="009B720F">
                        <w:rPr>
                          <w:sz w:val="17"/>
                          <w:szCs w:val="17"/>
                        </w:rPr>
                        <w:t xml:space="preserve"> The Team could identify </w:t>
                      </w:r>
                      <w:r w:rsidRPr="009B720F">
                        <w:rPr>
                          <w:b/>
                          <w:bCs/>
                          <w:i/>
                          <w:iCs/>
                          <w:sz w:val="17"/>
                          <w:szCs w:val="17"/>
                        </w:rPr>
                        <w:t>a series of adaptation pathways</w:t>
                      </w:r>
                      <w:r w:rsidRPr="009B720F">
                        <w:rPr>
                          <w:sz w:val="17"/>
                          <w:szCs w:val="17"/>
                        </w:rPr>
                        <w:t>, a route-map, that are appropriate to cope with the plausible range of climatic changes that could be seen by 2100 (</w:t>
                      </w:r>
                      <w:r w:rsidRPr="009B720F">
                        <w:rPr>
                          <w:color w:val="7F7F7F" w:themeColor="text1" w:themeTint="80"/>
                          <w:sz w:val="17"/>
                          <w:szCs w:val="17"/>
                        </w:rPr>
                        <w:t>Reeder and Ranger 2011, p.5</w:t>
                      </w:r>
                      <w:r w:rsidRPr="009B720F">
                        <w:rPr>
                          <w:sz w:val="17"/>
                          <w:szCs w:val="17"/>
                        </w:rPr>
                        <w:t xml:space="preserve">). </w:t>
                      </w:r>
                      <w:r w:rsidRPr="009B720F">
                        <w:rPr>
                          <w:bCs/>
                          <w:i/>
                          <w:sz w:val="17"/>
                          <w:szCs w:val="17"/>
                        </w:rPr>
                        <w:t xml:space="preserve"> </w:t>
                      </w:r>
                      <w:r w:rsidRPr="009B720F">
                        <w:rPr>
                          <w:rFonts w:eastAsia="Frutiger-Roman"/>
                          <w:bCs/>
                          <w:iCs/>
                          <w:sz w:val="17"/>
                          <w:szCs w:val="17"/>
                        </w:rPr>
                        <w:t>The TE2100 Plan has</w:t>
                      </w:r>
                      <w:r w:rsidRPr="009B720F">
                        <w:rPr>
                          <w:rFonts w:eastAsia="Frutiger-Roman"/>
                          <w:bCs/>
                          <w:i/>
                          <w:sz w:val="17"/>
                          <w:szCs w:val="17"/>
                        </w:rPr>
                        <w:t xml:space="preserve"> </w:t>
                      </w:r>
                      <w:r w:rsidRPr="009B720F">
                        <w:rPr>
                          <w:rFonts w:eastAsia="Frutiger-Roman"/>
                          <w:b/>
                          <w:i/>
                          <w:sz w:val="17"/>
                          <w:szCs w:val="17"/>
                        </w:rPr>
                        <w:t>a set of options</w:t>
                      </w:r>
                      <w:r w:rsidRPr="009B720F">
                        <w:rPr>
                          <w:rFonts w:eastAsia="Frutiger-Roman"/>
                          <w:bCs/>
                          <w:i/>
                          <w:sz w:val="17"/>
                          <w:szCs w:val="17"/>
                        </w:rPr>
                        <w:t xml:space="preserve"> (adaptation pathways) </w:t>
                      </w:r>
                      <w:r w:rsidRPr="009B720F">
                        <w:rPr>
                          <w:rFonts w:eastAsia="Frutiger-Roman"/>
                          <w:bCs/>
                          <w:iCs/>
                          <w:sz w:val="17"/>
                          <w:szCs w:val="17"/>
                        </w:rPr>
                        <w:t>(</w:t>
                      </w:r>
                      <w:r w:rsidRPr="009B720F">
                        <w:rPr>
                          <w:rFonts w:eastAsia="Frutiger-Roman"/>
                          <w:iCs/>
                          <w:color w:val="7F7F7F" w:themeColor="text1" w:themeTint="80"/>
                          <w:sz w:val="17"/>
                          <w:szCs w:val="17"/>
                        </w:rPr>
                        <w:t>Bloemen et al. 2018, p.7</w:t>
                      </w:r>
                      <w:r w:rsidRPr="009B720F">
                        <w:rPr>
                          <w:rFonts w:eastAsia="Frutiger-Roman"/>
                          <w:iCs/>
                          <w:sz w:val="17"/>
                          <w:szCs w:val="17"/>
                        </w:rPr>
                        <w:t xml:space="preserve">). </w:t>
                      </w:r>
                    </w:p>
                    <w:p w14:paraId="64E296A8" w14:textId="77777777" w:rsidR="00AD22FD" w:rsidRPr="009B720F" w:rsidRDefault="00AD22FD" w:rsidP="00AD22FD">
                      <w:pPr>
                        <w:spacing w:line="240" w:lineRule="auto"/>
                        <w:jc w:val="left"/>
                        <w:rPr>
                          <w:sz w:val="17"/>
                          <w:szCs w:val="17"/>
                        </w:rPr>
                      </w:pPr>
                    </w:p>
                  </w:txbxContent>
                </v:textbox>
                <w10:wrap anchorx="margin"/>
              </v:shape>
            </w:pict>
          </mc:Fallback>
        </mc:AlternateContent>
      </w:r>
    </w:p>
    <w:p w14:paraId="3CD1F05A" w14:textId="77777777" w:rsidR="00AD22FD" w:rsidRPr="009B720F" w:rsidRDefault="00AD22FD" w:rsidP="00AD22FD">
      <w:pPr>
        <w:pStyle w:val="TEXTBODY"/>
        <w:spacing w:line="276" w:lineRule="auto"/>
        <w:rPr>
          <w:bCs/>
          <w:highlight w:val="green"/>
        </w:rPr>
      </w:pPr>
    </w:p>
    <w:p w14:paraId="5CFE8B7A" w14:textId="77777777" w:rsidR="00AD22FD" w:rsidRPr="009B720F" w:rsidRDefault="00AD22FD" w:rsidP="00AD22FD">
      <w:pPr>
        <w:pStyle w:val="TEXTBODY"/>
        <w:spacing w:line="276" w:lineRule="auto"/>
        <w:rPr>
          <w:bCs/>
          <w:highlight w:val="green"/>
        </w:rPr>
      </w:pPr>
    </w:p>
    <w:p w14:paraId="2C39BEE8" w14:textId="77777777" w:rsidR="00AD22FD" w:rsidRPr="009B720F" w:rsidRDefault="00AD22FD" w:rsidP="00AD22FD">
      <w:pPr>
        <w:pStyle w:val="TEXTBODY"/>
        <w:spacing w:line="276" w:lineRule="auto"/>
        <w:rPr>
          <w:bCs/>
          <w:highlight w:val="green"/>
        </w:rPr>
      </w:pPr>
    </w:p>
    <w:p w14:paraId="3E5DA039" w14:textId="77777777" w:rsidR="00AD22FD" w:rsidRPr="009B720F" w:rsidRDefault="00AD22FD" w:rsidP="00AD22FD">
      <w:pPr>
        <w:pStyle w:val="TEXTBODY"/>
        <w:spacing w:line="276" w:lineRule="auto"/>
        <w:rPr>
          <w:bCs/>
          <w:highlight w:val="green"/>
        </w:rPr>
      </w:pPr>
    </w:p>
    <w:p w14:paraId="28D891A9" w14:textId="77777777" w:rsidR="00AD22FD" w:rsidRPr="009B720F" w:rsidRDefault="00AD22FD" w:rsidP="00AD22FD">
      <w:pPr>
        <w:pStyle w:val="TEXTBODY"/>
        <w:spacing w:line="276" w:lineRule="auto"/>
        <w:rPr>
          <w:bCs/>
          <w:highlight w:val="green"/>
        </w:rPr>
      </w:pPr>
    </w:p>
    <w:p w14:paraId="1758C9E7" w14:textId="77777777" w:rsidR="00AD22FD" w:rsidRPr="009B720F" w:rsidRDefault="00AD22FD" w:rsidP="00AD22FD">
      <w:pPr>
        <w:pStyle w:val="TEXTBODY"/>
        <w:spacing w:line="276" w:lineRule="auto"/>
        <w:rPr>
          <w:bCs/>
          <w:highlight w:val="green"/>
        </w:rPr>
      </w:pPr>
    </w:p>
    <w:p w14:paraId="44465DA9" w14:textId="77777777" w:rsidR="00AD22FD" w:rsidRPr="009B720F" w:rsidRDefault="00AD22FD" w:rsidP="00AD22FD">
      <w:pPr>
        <w:pStyle w:val="TEXTBODY"/>
        <w:spacing w:line="276" w:lineRule="auto"/>
        <w:rPr>
          <w:bCs/>
          <w:highlight w:val="green"/>
        </w:rPr>
      </w:pPr>
    </w:p>
    <w:p w14:paraId="5A8405D1" w14:textId="77777777" w:rsidR="00AD22FD" w:rsidRPr="009B720F" w:rsidRDefault="00AD22FD" w:rsidP="00AD22FD">
      <w:pPr>
        <w:pStyle w:val="TEXTBODY"/>
        <w:spacing w:line="276" w:lineRule="auto"/>
        <w:rPr>
          <w:bCs/>
          <w:highlight w:val="green"/>
        </w:rPr>
      </w:pPr>
    </w:p>
    <w:p w14:paraId="15E01292" w14:textId="77777777" w:rsidR="00AD22FD" w:rsidRPr="009B720F" w:rsidRDefault="00AD22FD" w:rsidP="00AD22FD">
      <w:pPr>
        <w:pStyle w:val="TEXTBODY"/>
        <w:spacing w:line="276" w:lineRule="auto"/>
        <w:rPr>
          <w:bCs/>
          <w:highlight w:val="green"/>
        </w:rPr>
      </w:pPr>
    </w:p>
    <w:p w14:paraId="5035373E" w14:textId="77777777" w:rsidR="00AD22FD" w:rsidRPr="009B720F" w:rsidRDefault="00AD22FD" w:rsidP="00AD22FD">
      <w:pPr>
        <w:pStyle w:val="TEXTBODY"/>
        <w:spacing w:line="276" w:lineRule="auto"/>
        <w:rPr>
          <w:bCs/>
          <w:highlight w:val="green"/>
        </w:rPr>
      </w:pPr>
    </w:p>
    <w:p w14:paraId="249514F3" w14:textId="77777777" w:rsidR="00AD22FD" w:rsidRPr="009B720F" w:rsidRDefault="00AD22FD" w:rsidP="00AD22FD">
      <w:pPr>
        <w:pStyle w:val="TEXTBODY"/>
        <w:spacing w:line="276" w:lineRule="auto"/>
        <w:rPr>
          <w:bCs/>
          <w:highlight w:val="green"/>
        </w:rPr>
      </w:pPr>
    </w:p>
    <w:p w14:paraId="06517670" w14:textId="77777777" w:rsidR="00AD22FD" w:rsidRPr="009B720F" w:rsidRDefault="00AD22FD" w:rsidP="00AD22FD">
      <w:pPr>
        <w:pStyle w:val="TEXTBODY"/>
        <w:spacing w:line="276" w:lineRule="auto"/>
        <w:rPr>
          <w:bCs/>
          <w:highlight w:val="lightGray"/>
        </w:rPr>
      </w:pPr>
    </w:p>
    <w:p w14:paraId="7E395716" w14:textId="77777777" w:rsidR="00AD22FD" w:rsidRPr="009B720F" w:rsidRDefault="00AD22FD" w:rsidP="00AD22FD">
      <w:pPr>
        <w:pStyle w:val="TEXTBODY"/>
        <w:spacing w:line="276" w:lineRule="auto"/>
        <w:rPr>
          <w:bCs/>
          <w:highlight w:val="lightGray"/>
        </w:rPr>
      </w:pPr>
    </w:p>
    <w:p w14:paraId="78CEF43B" w14:textId="77777777" w:rsidR="00AD22FD" w:rsidRPr="009B720F" w:rsidRDefault="00AD22FD" w:rsidP="00AD22FD">
      <w:pPr>
        <w:pStyle w:val="TEXTBODY"/>
        <w:spacing w:line="276" w:lineRule="auto"/>
        <w:rPr>
          <w:bCs/>
        </w:rPr>
      </w:pPr>
      <w:r w:rsidRPr="009B720F">
        <w:rPr>
          <w:bCs/>
        </w:rPr>
        <w:t xml:space="preserve">Using the APs approach, the TE2100 Team has designed different possible pathways (the five </w:t>
      </w:r>
      <w:r w:rsidRPr="009B720F">
        <w:rPr>
          <w:bCs/>
          <w:i/>
          <w:iCs/>
        </w:rPr>
        <w:t>HLOs</w:t>
      </w:r>
      <w:r w:rsidRPr="009B720F">
        <w:rPr>
          <w:bCs/>
        </w:rPr>
        <w:t xml:space="preserve">, later refined and named </w:t>
      </w:r>
      <w:r w:rsidRPr="009B720F">
        <w:rPr>
          <w:bCs/>
          <w:i/>
          <w:iCs/>
        </w:rPr>
        <w:t>Options</w:t>
      </w:r>
      <w:r w:rsidRPr="009B720F">
        <w:rPr>
          <w:bCs/>
        </w:rPr>
        <w:t>) (</w:t>
      </w:r>
      <w:proofErr w:type="spellStart"/>
      <w:r w:rsidRPr="009B720F">
        <w:rPr>
          <w:bCs/>
          <w:color w:val="7F7F7F" w:themeColor="text1" w:themeTint="80"/>
        </w:rPr>
        <w:t>Jeuken</w:t>
      </w:r>
      <w:proofErr w:type="spellEnd"/>
      <w:r w:rsidRPr="009B720F">
        <w:rPr>
          <w:bCs/>
          <w:color w:val="7F7F7F" w:themeColor="text1" w:themeTint="80"/>
        </w:rPr>
        <w:t xml:space="preserve"> and Reeder 2011, p.4</w:t>
      </w:r>
      <w:r w:rsidRPr="009B720F">
        <w:rPr>
          <w:bCs/>
        </w:rPr>
        <w:t xml:space="preserve">), where each pathway is itself a </w:t>
      </w:r>
      <w:r w:rsidRPr="009B720F">
        <w:rPr>
          <w:bCs/>
          <w:i/>
          <w:iCs/>
        </w:rPr>
        <w:t>robust flexible set of measures</w:t>
      </w:r>
      <w:r w:rsidRPr="009B720F">
        <w:rPr>
          <w:bCs/>
        </w:rPr>
        <w:t xml:space="preserve">.  The APs </w:t>
      </w:r>
      <w:r w:rsidRPr="009B720F">
        <w:rPr>
          <w:rFonts w:eastAsiaTheme="minorHAnsi"/>
          <w:bCs/>
          <w:lang w:eastAsia="en-US"/>
        </w:rPr>
        <w:t xml:space="preserve">approach was used for identifying possible (FRM/adaptation) measures and exploring their timing and sequencing over time, and, in this way, designing several different possible pathways of adaptation, which were then tested on their suitability under different scenarios and refined </w:t>
      </w:r>
      <w:r w:rsidRPr="009B720F">
        <w:rPr>
          <w:bCs/>
        </w:rPr>
        <w:t>(</w:t>
      </w:r>
      <w:r w:rsidRPr="009B720F">
        <w:rPr>
          <w:bCs/>
          <w:color w:val="7F7F7F" w:themeColor="text1" w:themeTint="80"/>
        </w:rPr>
        <w:t>Ranger et al. 2013, p.249</w:t>
      </w:r>
      <w:r w:rsidRPr="009B720F">
        <w:rPr>
          <w:bCs/>
        </w:rPr>
        <w:t xml:space="preserve">). In this way, the APs allowed the design of a route-map of </w:t>
      </w:r>
      <w:r w:rsidRPr="009B720F">
        <w:rPr>
          <w:bCs/>
          <w:i/>
          <w:iCs/>
        </w:rPr>
        <w:t>Options</w:t>
      </w:r>
      <w:r w:rsidRPr="009B720F">
        <w:rPr>
          <w:bCs/>
        </w:rPr>
        <w:t xml:space="preserve"> (pathways), i.e. a route-map showing a </w:t>
      </w:r>
      <w:r w:rsidRPr="009B720F">
        <w:rPr>
          <w:bCs/>
          <w:i/>
          <w:iCs/>
        </w:rPr>
        <w:t>robust flexible set</w:t>
      </w:r>
      <w:r w:rsidRPr="009B720F">
        <w:rPr>
          <w:bCs/>
        </w:rPr>
        <w:t xml:space="preserve"> of </w:t>
      </w:r>
      <w:r w:rsidRPr="009B720F">
        <w:rPr>
          <w:bCs/>
          <w:i/>
          <w:iCs/>
        </w:rPr>
        <w:t>Options</w:t>
      </w:r>
      <w:r w:rsidRPr="009B720F">
        <w:rPr>
          <w:bCs/>
          <w:color w:val="C00000"/>
        </w:rPr>
        <w:t>.</w:t>
      </w:r>
    </w:p>
    <w:p w14:paraId="367C6469" w14:textId="77777777" w:rsidR="00AD22FD" w:rsidRPr="009B720F" w:rsidRDefault="00AD22FD" w:rsidP="00AD22FD">
      <w:pPr>
        <w:pStyle w:val="TEXTBODY"/>
        <w:spacing w:line="276" w:lineRule="auto"/>
        <w:rPr>
          <w:bCs/>
        </w:rPr>
      </w:pPr>
      <w:r w:rsidRPr="009B720F">
        <w:rPr>
          <w:bCs/>
        </w:rPr>
        <w:t>The APs approach involved sequencing the implementation of diverse measures in a way that allows the FRM system to be adapted to changes over time (e.g. SLR), and at the same time keeping alternatives (options) open to cope with plausible different future climate scenarios (</w:t>
      </w:r>
      <w:r w:rsidRPr="009B720F">
        <w:rPr>
          <w:bCs/>
          <w:color w:val="7F7F7F" w:themeColor="text1" w:themeTint="80"/>
        </w:rPr>
        <w:t>Reeder and Ranger 2011, p.3</w:t>
      </w:r>
      <w:r w:rsidRPr="009B720F">
        <w:rPr>
          <w:bCs/>
        </w:rPr>
        <w:t xml:space="preserve">). </w:t>
      </w:r>
      <w:r w:rsidRPr="009B720F">
        <w:rPr>
          <w:bCs/>
          <w:szCs w:val="22"/>
        </w:rPr>
        <w:t>The approach focused on</w:t>
      </w:r>
      <w:r w:rsidRPr="009B720F">
        <w:rPr>
          <w:bCs/>
          <w:i/>
          <w:iCs/>
          <w:szCs w:val="22"/>
        </w:rPr>
        <w:t xml:space="preserve"> sequencing a suite of measures </w:t>
      </w:r>
      <w:proofErr w:type="gramStart"/>
      <w:r w:rsidRPr="009B720F">
        <w:rPr>
          <w:bCs/>
          <w:i/>
          <w:iCs/>
          <w:szCs w:val="22"/>
        </w:rPr>
        <w:t>in order to</w:t>
      </w:r>
      <w:proofErr w:type="gramEnd"/>
      <w:r w:rsidRPr="009B720F">
        <w:rPr>
          <w:bCs/>
          <w:i/>
          <w:iCs/>
          <w:szCs w:val="22"/>
        </w:rPr>
        <w:t xml:space="preserve"> cost-effectively manage current risk while maintaining the flexibility to cope with the range of possible future SLR</w:t>
      </w:r>
      <w:r w:rsidRPr="009B720F">
        <w:rPr>
          <w:bCs/>
          <w:szCs w:val="22"/>
        </w:rPr>
        <w:t xml:space="preserve"> </w:t>
      </w:r>
      <w:r w:rsidRPr="009B720F">
        <w:rPr>
          <w:bCs/>
        </w:rPr>
        <w:t>(</w:t>
      </w:r>
      <w:r w:rsidRPr="009B720F">
        <w:rPr>
          <w:bCs/>
          <w:color w:val="7F7F7F" w:themeColor="text1" w:themeTint="80"/>
        </w:rPr>
        <w:t>Reeder and Ranger 2011, p.13</w:t>
      </w:r>
      <w:r w:rsidRPr="009B720F">
        <w:rPr>
          <w:bCs/>
        </w:rPr>
        <w:t xml:space="preserve">). </w:t>
      </w:r>
    </w:p>
    <w:p w14:paraId="5D24D60D" w14:textId="77777777" w:rsidR="00AD22FD" w:rsidRPr="009B720F" w:rsidRDefault="00AD22FD" w:rsidP="00AD22FD">
      <w:pPr>
        <w:pStyle w:val="TEXTBODY"/>
        <w:spacing w:line="276" w:lineRule="auto"/>
        <w:rPr>
          <w:bCs/>
        </w:rPr>
      </w:pPr>
      <w:r w:rsidRPr="009B720F">
        <w:rPr>
          <w:bCs/>
        </w:rPr>
        <w:t>The design of pathways (</w:t>
      </w:r>
      <w:r w:rsidRPr="009B720F">
        <w:rPr>
          <w:bCs/>
          <w:i/>
          <w:iCs/>
        </w:rPr>
        <w:t>Options</w:t>
      </w:r>
      <w:r w:rsidRPr="009B720F">
        <w:rPr>
          <w:bCs/>
        </w:rPr>
        <w:t xml:space="preserve">) required a </w:t>
      </w:r>
      <w:r w:rsidRPr="009B720F">
        <w:rPr>
          <w:bCs/>
          <w:i/>
          <w:iCs/>
        </w:rPr>
        <w:t>threshold analysis</w:t>
      </w:r>
      <w:r w:rsidRPr="009B720F">
        <w:rPr>
          <w:bCs/>
        </w:rPr>
        <w:t xml:space="preserve"> – i.e. identifying points under which a measure no longer meets the predefined decision-</w:t>
      </w:r>
      <w:proofErr w:type="gramStart"/>
      <w:r w:rsidRPr="009B720F">
        <w:rPr>
          <w:bCs/>
        </w:rPr>
        <w:t>criteria</w:t>
      </w:r>
      <w:proofErr w:type="gramEnd"/>
      <w:r w:rsidRPr="009B720F">
        <w:rPr>
          <w:bCs/>
        </w:rPr>
        <w:t xml:space="preserve"> and it is necessary to either take a new measure or switch to other pathway; and, more broadly, examining under what conditions the Plan might fail and preparing actions to safeguard against this (</w:t>
      </w:r>
      <w:r w:rsidRPr="009B720F">
        <w:rPr>
          <w:bCs/>
          <w:color w:val="7F7F7F" w:themeColor="text1" w:themeTint="80"/>
        </w:rPr>
        <w:t>Ranger et al. 2013, p.250</w:t>
      </w:r>
      <w:r w:rsidRPr="009B720F">
        <w:rPr>
          <w:bCs/>
        </w:rPr>
        <w:t>).</w:t>
      </w:r>
    </w:p>
    <w:p w14:paraId="69349C9E" w14:textId="77777777" w:rsidR="00AD22FD" w:rsidRPr="009B720F" w:rsidRDefault="00AD22FD" w:rsidP="00AD22FD">
      <w:pPr>
        <w:pStyle w:val="TEXTBODY"/>
        <w:spacing w:line="276" w:lineRule="auto"/>
        <w:rPr>
          <w:bCs/>
        </w:rPr>
      </w:pPr>
      <w:bookmarkStart w:id="75" w:name="_Hlk137738920"/>
      <w:bookmarkEnd w:id="74"/>
      <w:r w:rsidRPr="009B720F">
        <w:rPr>
          <w:bCs/>
        </w:rPr>
        <w:t xml:space="preserve">The </w:t>
      </w:r>
      <w:r w:rsidRPr="009B720F">
        <w:rPr>
          <w:bCs/>
          <w:i/>
          <w:iCs/>
        </w:rPr>
        <w:t>HLOs</w:t>
      </w:r>
      <w:r w:rsidRPr="009B720F">
        <w:rPr>
          <w:bCs/>
        </w:rPr>
        <w:t>/pathways were designed to cope with the estimated plausible rises in water level until 2100 up to a 4,2m SLR (providing a FRM solution throughout the Plan’s life) (</w:t>
      </w:r>
      <w:r w:rsidRPr="009B720F">
        <w:rPr>
          <w:bCs/>
          <w:color w:val="595959" w:themeColor="text1" w:themeTint="A6"/>
        </w:rPr>
        <w:t>Bloemen et al. 2018, p.7</w:t>
      </w:r>
      <w:r w:rsidRPr="009B720F">
        <w:rPr>
          <w:bCs/>
        </w:rPr>
        <w:t>).</w:t>
      </w:r>
      <w:r w:rsidRPr="009B720F">
        <w:rPr>
          <w:bCs/>
          <w:color w:val="C00000"/>
        </w:rPr>
        <w:t xml:space="preserve"> </w:t>
      </w:r>
      <w:r w:rsidRPr="009B720F">
        <w:rPr>
          <w:bCs/>
        </w:rPr>
        <w:t xml:space="preserve">Together, the </w:t>
      </w:r>
      <w:r w:rsidRPr="009B720F">
        <w:rPr>
          <w:bCs/>
          <w:i/>
          <w:iCs/>
        </w:rPr>
        <w:t>HLOs</w:t>
      </w:r>
      <w:r w:rsidRPr="009B720F">
        <w:rPr>
          <w:bCs/>
        </w:rPr>
        <w:t xml:space="preserve"> were designed to span (cover) the estimated range of plausible future water level rises in the TE until 2100 (up to a 4,2m)</w:t>
      </w:r>
      <w:r w:rsidRPr="009B720F">
        <w:rPr>
          <w:rFonts w:cs="Arial"/>
          <w:bCs/>
          <w:szCs w:val="18"/>
        </w:rPr>
        <w:t xml:space="preserve"> </w:t>
      </w:r>
      <w:r w:rsidRPr="009B720F">
        <w:rPr>
          <w:bCs/>
        </w:rPr>
        <w:t>(</w:t>
      </w:r>
      <w:proofErr w:type="spellStart"/>
      <w:r w:rsidRPr="009B720F">
        <w:rPr>
          <w:bCs/>
          <w:color w:val="7F7F7F" w:themeColor="text1" w:themeTint="80"/>
        </w:rPr>
        <w:t>Jeuken</w:t>
      </w:r>
      <w:proofErr w:type="spellEnd"/>
      <w:r w:rsidRPr="009B720F">
        <w:rPr>
          <w:bCs/>
          <w:color w:val="7F7F7F" w:themeColor="text1" w:themeTint="80"/>
        </w:rPr>
        <w:t xml:space="preserve"> and Reeder 2011, p.4; Ranger et al. 2013, p.250; Reeder and Ranger 2011, p.8</w:t>
      </w:r>
      <w:r w:rsidRPr="009B720F">
        <w:rPr>
          <w:bCs/>
        </w:rPr>
        <w:t>). Each pathway (</w:t>
      </w:r>
      <w:r w:rsidRPr="009B720F">
        <w:rPr>
          <w:rFonts w:cs="Arial"/>
          <w:bCs/>
          <w:i/>
          <w:iCs/>
          <w:szCs w:val="18"/>
        </w:rPr>
        <w:t>HLO</w:t>
      </w:r>
      <w:r w:rsidRPr="009B720F">
        <w:rPr>
          <w:rFonts w:cs="Arial"/>
          <w:bCs/>
          <w:szCs w:val="18"/>
        </w:rPr>
        <w:t xml:space="preserve">) </w:t>
      </w:r>
      <w:proofErr w:type="gramStart"/>
      <w:r w:rsidRPr="009B720F">
        <w:rPr>
          <w:rFonts w:cs="Arial"/>
          <w:bCs/>
          <w:szCs w:val="18"/>
        </w:rPr>
        <w:t>is able to</w:t>
      </w:r>
      <w:proofErr w:type="gramEnd"/>
      <w:r w:rsidRPr="009B720F">
        <w:rPr>
          <w:rFonts w:cs="Arial"/>
          <w:bCs/>
          <w:szCs w:val="18"/>
        </w:rPr>
        <w:t xml:space="preserve"> cope with a certain level of water level rise (</w:t>
      </w:r>
      <w:r w:rsidRPr="009B720F">
        <w:rPr>
          <w:bCs/>
        </w:rPr>
        <w:t>each pathway was tested under various scenarios to assess its robustness) (</w:t>
      </w:r>
      <w:proofErr w:type="spellStart"/>
      <w:r w:rsidRPr="009B720F">
        <w:rPr>
          <w:bCs/>
          <w:color w:val="7F7F7F" w:themeColor="text1" w:themeTint="80"/>
        </w:rPr>
        <w:t>Jeuken</w:t>
      </w:r>
      <w:proofErr w:type="spellEnd"/>
      <w:r w:rsidRPr="009B720F">
        <w:rPr>
          <w:bCs/>
          <w:color w:val="7F7F7F" w:themeColor="text1" w:themeTint="80"/>
        </w:rPr>
        <w:t xml:space="preserve"> and Reeder 2011, p.4</w:t>
      </w:r>
      <w:r w:rsidRPr="009B720F">
        <w:rPr>
          <w:bCs/>
        </w:rPr>
        <w:t xml:space="preserve">). </w:t>
      </w:r>
    </w:p>
    <w:p w14:paraId="226948D2" w14:textId="77777777" w:rsidR="00AD22FD" w:rsidRPr="009B720F" w:rsidRDefault="00AD22FD" w:rsidP="00AD22FD">
      <w:pPr>
        <w:pStyle w:val="TEXTBODY"/>
        <w:spacing w:line="276" w:lineRule="auto"/>
        <w:ind w:left="284"/>
        <w:rPr>
          <w:bCs/>
        </w:rPr>
      </w:pPr>
      <w:r w:rsidRPr="009B720F">
        <w:rPr>
          <w:bCs/>
        </w:rPr>
        <w:t xml:space="preserve">The development of </w:t>
      </w:r>
      <w:r w:rsidRPr="009B720F">
        <w:rPr>
          <w:bCs/>
          <w:i/>
          <w:iCs/>
        </w:rPr>
        <w:t>robust flexible strategies</w:t>
      </w:r>
      <w:r w:rsidRPr="009B720F">
        <w:rPr>
          <w:bCs/>
        </w:rPr>
        <w:t xml:space="preserve"> with the APs method is considered one of the main elements of the TE2100’s </w:t>
      </w:r>
      <w:r w:rsidRPr="009B720F">
        <w:rPr>
          <w:bCs/>
          <w:i/>
          <w:iCs/>
        </w:rPr>
        <w:t>Dynamic Adaptive Planning approach</w:t>
      </w:r>
      <w:r w:rsidRPr="009B720F">
        <w:rPr>
          <w:bCs/>
        </w:rPr>
        <w:t xml:space="preserve"> (</w:t>
      </w:r>
      <w:proofErr w:type="spellStart"/>
      <w:r w:rsidRPr="009B720F">
        <w:rPr>
          <w:bCs/>
          <w:color w:val="7F7F7F" w:themeColor="text1" w:themeTint="80"/>
        </w:rPr>
        <w:t>Jeuken</w:t>
      </w:r>
      <w:proofErr w:type="spellEnd"/>
      <w:r w:rsidRPr="009B720F">
        <w:rPr>
          <w:bCs/>
          <w:color w:val="7F7F7F" w:themeColor="text1" w:themeTint="80"/>
        </w:rPr>
        <w:t xml:space="preserve"> and Reeder 2011, p.2, 4</w:t>
      </w:r>
      <w:r w:rsidRPr="009B720F">
        <w:rPr>
          <w:bCs/>
        </w:rPr>
        <w:t xml:space="preserve">). The TE2100 used the APs approach as a method of designing </w:t>
      </w:r>
      <w:r w:rsidRPr="009B720F">
        <w:rPr>
          <w:bCs/>
          <w:i/>
          <w:iCs/>
        </w:rPr>
        <w:t>robust flexible strategies</w:t>
      </w:r>
      <w:r w:rsidRPr="009B720F">
        <w:rPr>
          <w:bCs/>
        </w:rPr>
        <w:t xml:space="preserve">, where </w:t>
      </w:r>
      <w:r w:rsidRPr="009B720F">
        <w:rPr>
          <w:bCs/>
          <w:i/>
          <w:iCs/>
        </w:rPr>
        <w:t>robustness</w:t>
      </w:r>
      <w:r w:rsidRPr="009B720F">
        <w:rPr>
          <w:bCs/>
        </w:rPr>
        <w:t xml:space="preserve"> to uncertain future changes and </w:t>
      </w:r>
      <w:r w:rsidRPr="009B720F">
        <w:rPr>
          <w:bCs/>
          <w:i/>
          <w:iCs/>
        </w:rPr>
        <w:t>flexibility</w:t>
      </w:r>
      <w:r w:rsidRPr="009B720F">
        <w:rPr>
          <w:bCs/>
        </w:rPr>
        <w:t xml:space="preserve"> could be ‘built-in’ in the adaptation strategy itself (</w:t>
      </w:r>
      <w:proofErr w:type="spellStart"/>
      <w:r w:rsidRPr="009B720F">
        <w:rPr>
          <w:bCs/>
          <w:color w:val="7F7F7F" w:themeColor="text1" w:themeTint="80"/>
        </w:rPr>
        <w:t>Jeuken</w:t>
      </w:r>
      <w:proofErr w:type="spellEnd"/>
      <w:r w:rsidRPr="009B720F">
        <w:rPr>
          <w:bCs/>
          <w:color w:val="7F7F7F" w:themeColor="text1" w:themeTint="80"/>
        </w:rPr>
        <w:t xml:space="preserve"> and Reeder 2011, p.4, 2; Reeder and Ranger 2011, p.3, 8, 11</w:t>
      </w:r>
      <w:r w:rsidRPr="009B720F">
        <w:rPr>
          <w:bCs/>
        </w:rPr>
        <w:t xml:space="preserve">). Thus, it can be argued/postulated that using the APs approach was crucial for designing </w:t>
      </w:r>
      <w:r w:rsidRPr="009B720F">
        <w:rPr>
          <w:bCs/>
          <w:i/>
          <w:iCs/>
        </w:rPr>
        <w:t xml:space="preserve">robust flexible strategies </w:t>
      </w:r>
      <w:r w:rsidRPr="009B720F">
        <w:rPr>
          <w:bCs/>
        </w:rPr>
        <w:t xml:space="preserve">as pathways (also named </w:t>
      </w:r>
      <w:r w:rsidRPr="009B720F">
        <w:rPr>
          <w:bCs/>
          <w:i/>
          <w:iCs/>
        </w:rPr>
        <w:t>flexible adaptable Options</w:t>
      </w:r>
      <w:r w:rsidRPr="009B720F">
        <w:rPr>
          <w:bCs/>
        </w:rPr>
        <w:t>). Using the APs method, a series of pathways – a robust flexible set of pathways/</w:t>
      </w:r>
      <w:r w:rsidRPr="009B720F">
        <w:rPr>
          <w:bCs/>
          <w:i/>
          <w:iCs/>
        </w:rPr>
        <w:t>Options</w:t>
      </w:r>
      <w:r w:rsidRPr="009B720F">
        <w:rPr>
          <w:bCs/>
        </w:rPr>
        <w:t xml:space="preserve"> – could be designed, where each pathway is itself a </w:t>
      </w:r>
      <w:r w:rsidRPr="009B720F">
        <w:rPr>
          <w:bCs/>
          <w:i/>
          <w:iCs/>
        </w:rPr>
        <w:t>robust flexible set of measures</w:t>
      </w:r>
      <w:r w:rsidRPr="009B720F">
        <w:rPr>
          <w:bCs/>
        </w:rPr>
        <w:t>.</w:t>
      </w:r>
    </w:p>
    <w:p w14:paraId="3C1B5796" w14:textId="77777777" w:rsidR="00AD22FD" w:rsidRPr="009B720F" w:rsidRDefault="00AD22FD" w:rsidP="00AD22FD">
      <w:pPr>
        <w:pStyle w:val="TEXTBODY"/>
        <w:spacing w:line="276" w:lineRule="auto"/>
        <w:ind w:left="284"/>
        <w:rPr>
          <w:bCs/>
        </w:rPr>
      </w:pPr>
      <w:r w:rsidRPr="009B720F">
        <w:rPr>
          <w:bCs/>
        </w:rPr>
        <w:t xml:space="preserve">With the APs approach, it was possible to make the plan more robust to deep uncertainties about future climate; the APs offered a way of incorporating robustness to CC uncertainties into the adaptation Plan itself and its strategies / </w:t>
      </w:r>
      <w:r w:rsidRPr="009B720F">
        <w:rPr>
          <w:bCs/>
          <w:i/>
          <w:iCs/>
        </w:rPr>
        <w:t>Options</w:t>
      </w:r>
      <w:r w:rsidRPr="009B720F">
        <w:rPr>
          <w:bCs/>
        </w:rPr>
        <w:t xml:space="preserve"> (to assess the robustness of each pathway, the Team tested its suitability under different scenarios) (</w:t>
      </w:r>
      <w:proofErr w:type="spellStart"/>
      <w:r w:rsidRPr="009B720F">
        <w:rPr>
          <w:bCs/>
          <w:color w:val="7F7F7F" w:themeColor="text1" w:themeTint="80"/>
        </w:rPr>
        <w:t>Jeuken</w:t>
      </w:r>
      <w:proofErr w:type="spellEnd"/>
      <w:r w:rsidRPr="009B720F">
        <w:rPr>
          <w:bCs/>
          <w:color w:val="7F7F7F" w:themeColor="text1" w:themeTint="80"/>
        </w:rPr>
        <w:t xml:space="preserve"> and Reeder 2011, p.4</w:t>
      </w:r>
      <w:r w:rsidRPr="009B720F">
        <w:rPr>
          <w:bCs/>
        </w:rPr>
        <w:t xml:space="preserve">). Importantly, all the </w:t>
      </w:r>
      <w:r w:rsidRPr="009B720F">
        <w:rPr>
          <w:bCs/>
          <w:i/>
          <w:iCs/>
        </w:rPr>
        <w:t>HLOs</w:t>
      </w:r>
      <w:r w:rsidRPr="009B720F">
        <w:rPr>
          <w:bCs/>
        </w:rPr>
        <w:t xml:space="preserve"> will remain under consideration, and a decision between them will only be made in the future when there is better information </w:t>
      </w:r>
      <w:proofErr w:type="gramStart"/>
      <w:r w:rsidRPr="009B720F">
        <w:rPr>
          <w:bCs/>
        </w:rPr>
        <w:t>as a result of</w:t>
      </w:r>
      <w:proofErr w:type="gramEnd"/>
      <w:r w:rsidRPr="009B720F">
        <w:rPr>
          <w:bCs/>
        </w:rPr>
        <w:t xml:space="preserve"> continued monitoring and new insights into SLR (</w:t>
      </w:r>
      <w:r w:rsidRPr="009B720F">
        <w:rPr>
          <w:bCs/>
          <w:color w:val="7F7F7F" w:themeColor="text1" w:themeTint="80"/>
        </w:rPr>
        <w:t>Ranger et al. 2013, p.251</w:t>
      </w:r>
      <w:r w:rsidRPr="009B720F">
        <w:rPr>
          <w:bCs/>
        </w:rPr>
        <w:t>).</w:t>
      </w:r>
    </w:p>
    <w:p w14:paraId="7FFBF147" w14:textId="77777777" w:rsidR="00AD22FD" w:rsidRPr="009B720F" w:rsidRDefault="00AD22FD" w:rsidP="00AD22FD">
      <w:pPr>
        <w:pStyle w:val="TEXTBODY"/>
        <w:spacing w:line="276" w:lineRule="auto"/>
        <w:rPr>
          <w:bCs/>
        </w:rPr>
      </w:pPr>
      <w:bookmarkStart w:id="76" w:name="_Hlk137738750"/>
      <w:bookmarkEnd w:id="75"/>
      <w:r w:rsidRPr="009B720F">
        <w:rPr>
          <w:bCs/>
        </w:rPr>
        <w:lastRenderedPageBreak/>
        <w:t xml:space="preserve">Overall, the TE2100 Team sought to </w:t>
      </w:r>
      <w:r w:rsidRPr="009B720F">
        <w:rPr>
          <w:bCs/>
          <w:i/>
          <w:iCs/>
        </w:rPr>
        <w:t>build-in</w:t>
      </w:r>
      <w:r w:rsidRPr="009B720F">
        <w:rPr>
          <w:bCs/>
        </w:rPr>
        <w:t xml:space="preserve"> (incorporate)</w:t>
      </w:r>
      <w:r w:rsidRPr="009B720F">
        <w:rPr>
          <w:bCs/>
          <w:i/>
          <w:iCs/>
        </w:rPr>
        <w:t xml:space="preserve"> dynamic robustness</w:t>
      </w:r>
      <w:r w:rsidRPr="009B720F">
        <w:rPr>
          <w:bCs/>
        </w:rPr>
        <w:t xml:space="preserve">, </w:t>
      </w:r>
      <w:r w:rsidRPr="009B720F">
        <w:rPr>
          <w:bCs/>
          <w:i/>
          <w:iCs/>
        </w:rPr>
        <w:t>flexibility</w:t>
      </w:r>
      <w:r w:rsidRPr="009B720F">
        <w:rPr>
          <w:bCs/>
        </w:rPr>
        <w:t xml:space="preserve"> and </w:t>
      </w:r>
      <w:r w:rsidRPr="009B720F">
        <w:rPr>
          <w:bCs/>
          <w:i/>
          <w:iCs/>
        </w:rPr>
        <w:t>adaptability</w:t>
      </w:r>
      <w:r w:rsidRPr="009B720F">
        <w:rPr>
          <w:bCs/>
        </w:rPr>
        <w:t xml:space="preserve">, into the general Plan and its strategies, </w:t>
      </w:r>
      <w:proofErr w:type="gramStart"/>
      <w:r w:rsidRPr="009B720F">
        <w:rPr>
          <w:bCs/>
        </w:rPr>
        <w:t>in order to</w:t>
      </w:r>
      <w:proofErr w:type="gramEnd"/>
      <w:r w:rsidRPr="009B720F">
        <w:rPr>
          <w:bCs/>
        </w:rPr>
        <w:t xml:space="preserve"> deal with uncertain future changes (</w:t>
      </w:r>
      <w:r w:rsidRPr="009B720F">
        <w:rPr>
          <w:bCs/>
          <w:color w:val="7F7F7F" w:themeColor="text1" w:themeTint="80"/>
        </w:rPr>
        <w:t>Ranger et al. 2013, p.249</w:t>
      </w:r>
      <w:r w:rsidRPr="009B720F">
        <w:rPr>
          <w:bCs/>
        </w:rPr>
        <w:t xml:space="preserve">), which was done through the APs approach. By using the APs, the Team sought to safeguard and enhance the </w:t>
      </w:r>
      <w:r w:rsidRPr="009B720F">
        <w:rPr>
          <w:bCs/>
          <w:i/>
          <w:iCs/>
        </w:rPr>
        <w:t>robustness</w:t>
      </w:r>
      <w:r w:rsidRPr="009B720F">
        <w:rPr>
          <w:bCs/>
        </w:rPr>
        <w:t xml:space="preserve"> and </w:t>
      </w:r>
      <w:r w:rsidRPr="009B720F">
        <w:rPr>
          <w:bCs/>
          <w:i/>
          <w:iCs/>
        </w:rPr>
        <w:t>flexibility</w:t>
      </w:r>
      <w:r w:rsidRPr="009B720F">
        <w:rPr>
          <w:bCs/>
        </w:rPr>
        <w:t xml:space="preserve"> of the Plan (</w:t>
      </w:r>
      <w:proofErr w:type="spellStart"/>
      <w:r w:rsidRPr="009B720F">
        <w:rPr>
          <w:bCs/>
          <w:color w:val="7F7F7F" w:themeColor="text1" w:themeTint="80"/>
        </w:rPr>
        <w:t>Jeuken</w:t>
      </w:r>
      <w:proofErr w:type="spellEnd"/>
      <w:r w:rsidRPr="009B720F">
        <w:rPr>
          <w:bCs/>
          <w:color w:val="7F7F7F" w:themeColor="text1" w:themeTint="80"/>
        </w:rPr>
        <w:t xml:space="preserve"> et al. 2014, p.10</w:t>
      </w:r>
      <w:r w:rsidRPr="009B720F">
        <w:rPr>
          <w:bCs/>
        </w:rPr>
        <w:t xml:space="preserve">), (i.e. in the TE2100, the </w:t>
      </w:r>
      <w:r w:rsidRPr="009B720F">
        <w:rPr>
          <w:bCs/>
          <w:i/>
          <w:iCs/>
        </w:rPr>
        <w:t>robustness</w:t>
      </w:r>
      <w:r w:rsidRPr="009B720F">
        <w:rPr>
          <w:bCs/>
        </w:rPr>
        <w:t xml:space="preserve"> and </w:t>
      </w:r>
      <w:r w:rsidRPr="009B720F">
        <w:rPr>
          <w:bCs/>
          <w:i/>
          <w:iCs/>
        </w:rPr>
        <w:t>flexibility</w:t>
      </w:r>
      <w:r w:rsidRPr="009B720F">
        <w:rPr>
          <w:bCs/>
        </w:rPr>
        <w:t xml:space="preserve"> of the Plan were built-in and safeguarded by using the APs method). The APs </w:t>
      </w:r>
      <w:r w:rsidRPr="009B720F">
        <w:rPr>
          <w:bCs/>
          <w:color w:val="C00000"/>
        </w:rPr>
        <w:t>/</w:t>
      </w:r>
      <w:r w:rsidRPr="009B720F">
        <w:rPr>
          <w:bCs/>
        </w:rPr>
        <w:t xml:space="preserve">helped to incorporate and enhance </w:t>
      </w:r>
      <w:r w:rsidRPr="009B720F">
        <w:rPr>
          <w:bCs/>
          <w:i/>
          <w:iCs/>
        </w:rPr>
        <w:t>robustness</w:t>
      </w:r>
      <w:r w:rsidRPr="009B720F">
        <w:rPr>
          <w:bCs/>
        </w:rPr>
        <w:t xml:space="preserve"> to uncertain future changes and </w:t>
      </w:r>
      <w:r w:rsidRPr="009B720F">
        <w:rPr>
          <w:bCs/>
          <w:i/>
          <w:iCs/>
        </w:rPr>
        <w:t xml:space="preserve">flexibility </w:t>
      </w:r>
      <w:r w:rsidRPr="009B720F">
        <w:rPr>
          <w:bCs/>
        </w:rPr>
        <w:t xml:space="preserve">to cope with change, into the Plan and its </w:t>
      </w:r>
      <w:r w:rsidRPr="009B720F">
        <w:rPr>
          <w:bCs/>
          <w:i/>
          <w:iCs/>
        </w:rPr>
        <w:t>strategies</w:t>
      </w:r>
      <w:r w:rsidRPr="009B720F">
        <w:rPr>
          <w:bCs/>
        </w:rPr>
        <w:t xml:space="preserve"> (pathways). </w:t>
      </w:r>
    </w:p>
    <w:p w14:paraId="7F641E2F" w14:textId="77777777" w:rsidR="00AD22FD" w:rsidRPr="009B720F" w:rsidRDefault="00AD22FD" w:rsidP="00AD22FD">
      <w:pPr>
        <w:pStyle w:val="TEXTBODY"/>
        <w:spacing w:line="276" w:lineRule="auto"/>
        <w:rPr>
          <w:bCs/>
        </w:rPr>
      </w:pPr>
      <w:r w:rsidRPr="009B720F">
        <w:rPr>
          <w:bCs/>
        </w:rPr>
        <w:t xml:space="preserve">In the TE2100’s APs approach, </w:t>
      </w:r>
      <w:r w:rsidRPr="009B720F">
        <w:rPr>
          <w:bCs/>
          <w:i/>
          <w:iCs/>
        </w:rPr>
        <w:t xml:space="preserve">robustness </w:t>
      </w:r>
      <w:r w:rsidRPr="009B720F">
        <w:rPr>
          <w:bCs/>
        </w:rPr>
        <w:t xml:space="preserve">and </w:t>
      </w:r>
      <w:r w:rsidRPr="009B720F">
        <w:rPr>
          <w:bCs/>
          <w:i/>
          <w:iCs/>
        </w:rPr>
        <w:t>flexibility</w:t>
      </w:r>
      <w:r w:rsidRPr="009B720F">
        <w:rPr>
          <w:bCs/>
        </w:rPr>
        <w:t xml:space="preserve"> were built-in / ensured in the following ways: </w:t>
      </w:r>
    </w:p>
    <w:p w14:paraId="3EE6F8C5" w14:textId="77777777" w:rsidR="00AD22FD" w:rsidRPr="009B720F" w:rsidRDefault="00AD22FD" w:rsidP="00AD22FD">
      <w:pPr>
        <w:pStyle w:val="TEXTBODY"/>
        <w:numPr>
          <w:ilvl w:val="0"/>
          <w:numId w:val="11"/>
        </w:numPr>
        <w:spacing w:line="276" w:lineRule="auto"/>
        <w:ind w:left="284" w:hanging="284"/>
        <w:rPr>
          <w:bCs/>
        </w:rPr>
      </w:pPr>
      <w:bookmarkStart w:id="77" w:name="_Hlk137739585"/>
      <w:bookmarkEnd w:id="76"/>
      <w:r w:rsidRPr="009B720F">
        <w:rPr>
          <w:bCs/>
        </w:rPr>
        <w:t xml:space="preserve">Through the ability to change between measures and between </w:t>
      </w:r>
      <w:r w:rsidRPr="009B720F">
        <w:rPr>
          <w:bCs/>
          <w:i/>
          <w:iCs/>
        </w:rPr>
        <w:t>Options</w:t>
      </w:r>
      <w:r w:rsidRPr="009B720F">
        <w:rPr>
          <w:bCs/>
          <w:color w:val="000000"/>
        </w:rPr>
        <w:t xml:space="preserve"> (i.e. pathways’ flexibility)</w:t>
      </w:r>
      <w:r w:rsidRPr="009B720F">
        <w:rPr>
          <w:bCs/>
        </w:rPr>
        <w:t xml:space="preserve">. </w:t>
      </w:r>
      <w:bookmarkEnd w:id="77"/>
      <w:r w:rsidRPr="009B720F">
        <w:rPr>
          <w:bCs/>
        </w:rPr>
        <w:t xml:space="preserve">In the TE2100’s route-map, </w:t>
      </w:r>
      <w:bookmarkStart w:id="78" w:name="_Hlk137739368"/>
      <w:r w:rsidRPr="009B720F">
        <w:rPr>
          <w:bCs/>
        </w:rPr>
        <w:t>each</w:t>
      </w:r>
      <w:r w:rsidRPr="009B720F">
        <w:rPr>
          <w:bCs/>
          <w:i/>
          <w:iCs/>
        </w:rPr>
        <w:t xml:space="preserve"> HLO</w:t>
      </w:r>
      <w:r w:rsidRPr="009B720F">
        <w:rPr>
          <w:bCs/>
        </w:rPr>
        <w:t xml:space="preserve">/pathway is </w:t>
      </w:r>
      <w:r w:rsidRPr="009B720F">
        <w:rPr>
          <w:bCs/>
          <w:i/>
          <w:iCs/>
        </w:rPr>
        <w:t>flexible</w:t>
      </w:r>
      <w:r w:rsidRPr="009B720F">
        <w:rPr>
          <w:bCs/>
        </w:rPr>
        <w:t xml:space="preserve"> as it is, e.g., possible to move from a measure to another, and it is also possible to move from a </w:t>
      </w:r>
      <w:r w:rsidRPr="009B720F">
        <w:rPr>
          <w:bCs/>
          <w:i/>
          <w:iCs/>
        </w:rPr>
        <w:t xml:space="preserve">HLO </w:t>
      </w:r>
      <w:r w:rsidRPr="009B720F">
        <w:rPr>
          <w:bCs/>
        </w:rPr>
        <w:t>to another one, depending on the rate of change experienced (</w:t>
      </w:r>
      <w:r w:rsidRPr="009B720F">
        <w:rPr>
          <w:bCs/>
          <w:color w:val="7F7F7F" w:themeColor="text1" w:themeTint="80"/>
        </w:rPr>
        <w:t xml:space="preserve">EA 2009b, p.4; Reeder and Ranger 2011, p.9; Lowe et al. 2009, p.89; </w:t>
      </w:r>
      <w:proofErr w:type="spellStart"/>
      <w:r w:rsidRPr="009B720F">
        <w:rPr>
          <w:bCs/>
          <w:color w:val="7F7F7F" w:themeColor="text1" w:themeTint="80"/>
        </w:rPr>
        <w:t>Jeuken</w:t>
      </w:r>
      <w:proofErr w:type="spellEnd"/>
      <w:r w:rsidRPr="009B720F">
        <w:rPr>
          <w:bCs/>
          <w:color w:val="7F7F7F" w:themeColor="text1" w:themeTint="80"/>
        </w:rPr>
        <w:t xml:space="preserve"> and Reeder 2011, p.4</w:t>
      </w:r>
      <w:r w:rsidRPr="009B720F">
        <w:rPr>
          <w:bCs/>
        </w:rPr>
        <w:t xml:space="preserve">). </w:t>
      </w:r>
      <w:bookmarkEnd w:id="78"/>
      <w:r w:rsidRPr="009B720F">
        <w:rPr>
          <w:bCs/>
        </w:rPr>
        <w:t>The APs approach allows the switching between different measures, but also between different pathways (</w:t>
      </w:r>
      <w:r w:rsidRPr="009B720F">
        <w:rPr>
          <w:bCs/>
          <w:i/>
          <w:iCs/>
        </w:rPr>
        <w:t>HLOs</w:t>
      </w:r>
      <w:r w:rsidRPr="009B720F">
        <w:rPr>
          <w:bCs/>
        </w:rPr>
        <w:t>) (</w:t>
      </w:r>
      <w:proofErr w:type="spellStart"/>
      <w:r w:rsidRPr="009B720F">
        <w:rPr>
          <w:bCs/>
          <w:color w:val="7F7F7F" w:themeColor="text1" w:themeTint="80"/>
        </w:rPr>
        <w:t>Jeuken</w:t>
      </w:r>
      <w:proofErr w:type="spellEnd"/>
      <w:r w:rsidRPr="009B720F">
        <w:rPr>
          <w:bCs/>
          <w:color w:val="7F7F7F" w:themeColor="text1" w:themeTint="80"/>
        </w:rPr>
        <w:t xml:space="preserve"> and Reeder 2011, p.4; </w:t>
      </w:r>
      <w:proofErr w:type="spellStart"/>
      <w:r w:rsidRPr="009B720F">
        <w:rPr>
          <w:bCs/>
          <w:color w:val="7F7F7F" w:themeColor="text1" w:themeTint="80"/>
        </w:rPr>
        <w:t>Jeuken</w:t>
      </w:r>
      <w:proofErr w:type="spellEnd"/>
      <w:r w:rsidRPr="009B720F">
        <w:rPr>
          <w:bCs/>
          <w:color w:val="7F7F7F" w:themeColor="text1" w:themeTint="80"/>
        </w:rPr>
        <w:t xml:space="preserve"> et al. 2014, p.18</w:t>
      </w:r>
      <w:r w:rsidRPr="009B720F">
        <w:rPr>
          <w:bCs/>
        </w:rPr>
        <w:t>).</w:t>
      </w:r>
      <w:r w:rsidRPr="009B720F">
        <w:rPr>
          <w:rStyle w:val="Refdenotaderodap"/>
          <w:bCs/>
        </w:rPr>
        <w:footnoteReference w:id="53"/>
      </w:r>
      <w:r w:rsidRPr="009B720F">
        <w:rPr>
          <w:bCs/>
        </w:rPr>
        <w:t xml:space="preserve"> More precisely, </w:t>
      </w:r>
      <w:bookmarkStart w:id="79" w:name="_Hlk137739238"/>
      <w:r w:rsidRPr="009B720F">
        <w:rPr>
          <w:bCs/>
        </w:rPr>
        <w:t xml:space="preserve">the APs approach allows switching from a measure to a new one (within the same pathway) or switching to a different pathway, but also adjusting (adapting) the pathways, their measures, or their timing, if necessary. </w:t>
      </w:r>
      <w:bookmarkEnd w:id="79"/>
      <w:r w:rsidRPr="0051298E">
        <w:rPr>
          <w:bCs/>
        </w:rPr>
        <w:t xml:space="preserve">As mentioned, </w:t>
      </w:r>
      <w:r w:rsidRPr="009B720F">
        <w:rPr>
          <w:bCs/>
        </w:rPr>
        <w:t>in the TE2100,</w:t>
      </w:r>
      <w:r w:rsidRPr="009B720F">
        <w:rPr>
          <w:bCs/>
          <w:color w:val="000000"/>
        </w:rPr>
        <w:t xml:space="preserve"> </w:t>
      </w:r>
      <w:r w:rsidRPr="009B720F">
        <w:rPr>
          <w:bCs/>
        </w:rPr>
        <w:t>strategies (</w:t>
      </w:r>
      <w:r w:rsidRPr="009B720F">
        <w:rPr>
          <w:bCs/>
          <w:i/>
          <w:iCs/>
        </w:rPr>
        <w:t>Options</w:t>
      </w:r>
      <w:r w:rsidRPr="009B720F">
        <w:rPr>
          <w:bCs/>
        </w:rPr>
        <w:t xml:space="preserve"> / pathways) were designed to be adjustable as changes occur or new information arises (</w:t>
      </w:r>
      <w:r w:rsidRPr="009B720F">
        <w:rPr>
          <w:bCs/>
          <w:color w:val="7F7F7F" w:themeColor="text1" w:themeTint="80"/>
        </w:rPr>
        <w:t>Ranger et al. 2013, p. 249, 233, 227</w:t>
      </w:r>
      <w:r w:rsidRPr="009B720F">
        <w:rPr>
          <w:bCs/>
        </w:rPr>
        <w:t xml:space="preserve">). The APs approach carry the ability to change between measures and/or </w:t>
      </w:r>
      <w:r w:rsidRPr="009B720F">
        <w:rPr>
          <w:bCs/>
          <w:i/>
          <w:iCs/>
        </w:rPr>
        <w:t>Options</w:t>
      </w:r>
      <w:r w:rsidRPr="009B720F">
        <w:rPr>
          <w:bCs/>
        </w:rPr>
        <w:t xml:space="preserve">, for instance: if the observed rate of change in an indicator differs significantly from the expected rate, it may be necessary to switch to an alternative </w:t>
      </w:r>
      <w:r w:rsidRPr="009B720F">
        <w:rPr>
          <w:bCs/>
          <w:i/>
          <w:iCs/>
        </w:rPr>
        <w:t>Option</w:t>
      </w:r>
      <w:r w:rsidRPr="009B720F">
        <w:rPr>
          <w:bCs/>
        </w:rPr>
        <w:t xml:space="preserve"> that can cope better with the </w:t>
      </w:r>
      <w:r w:rsidRPr="009B720F">
        <w:rPr>
          <w:bCs/>
          <w:szCs w:val="22"/>
        </w:rPr>
        <w:t>new conditions (</w:t>
      </w:r>
      <w:r w:rsidRPr="009B720F">
        <w:rPr>
          <w:bCs/>
          <w:color w:val="7F7F7F" w:themeColor="text1" w:themeTint="80"/>
          <w:szCs w:val="22"/>
        </w:rPr>
        <w:t xml:space="preserve">EA 2012, p.35, 36, 38-39; EA 2009A, </w:t>
      </w:r>
      <w:proofErr w:type="spellStart"/>
      <w:r w:rsidRPr="009B720F">
        <w:rPr>
          <w:bCs/>
          <w:color w:val="7F7F7F" w:themeColor="text1" w:themeTint="80"/>
          <w:szCs w:val="22"/>
        </w:rPr>
        <w:t>p.xvi</w:t>
      </w:r>
      <w:proofErr w:type="spellEnd"/>
      <w:r w:rsidRPr="009B720F">
        <w:rPr>
          <w:bCs/>
          <w:color w:val="7F7F7F" w:themeColor="text1" w:themeTint="80"/>
          <w:szCs w:val="22"/>
        </w:rPr>
        <w:t>, 267, 278-279</w:t>
      </w:r>
      <w:r w:rsidRPr="009B720F">
        <w:rPr>
          <w:bCs/>
          <w:szCs w:val="22"/>
        </w:rPr>
        <w:t>).</w:t>
      </w:r>
      <w:r w:rsidRPr="009B720F">
        <w:rPr>
          <w:rStyle w:val="Refdenotaderodap"/>
          <w:bCs/>
          <w:szCs w:val="22"/>
        </w:rPr>
        <w:footnoteReference w:id="54"/>
      </w:r>
      <w:r w:rsidRPr="009B720F">
        <w:rPr>
          <w:bCs/>
        </w:rPr>
        <w:t xml:space="preserve"> </w:t>
      </w:r>
      <w:bookmarkStart w:id="80" w:name="_Hlk137644173"/>
      <w:r w:rsidRPr="009B720F">
        <w:rPr>
          <w:bCs/>
          <w:szCs w:val="22"/>
        </w:rPr>
        <w:t xml:space="preserve">By allowing switching to another measure or pathway (i.e. shifting of measure or pathway) or altering the measures themselves, or their timing, </w:t>
      </w:r>
      <w:bookmarkEnd w:id="80"/>
      <w:r w:rsidRPr="009B720F">
        <w:rPr>
          <w:bCs/>
          <w:szCs w:val="22"/>
        </w:rPr>
        <w:t>the APs approach contributed to increase the overall Plan’s flexibility.</w:t>
      </w:r>
      <w:bookmarkStart w:id="81" w:name="_Hlk137643780"/>
      <w:r w:rsidRPr="009B720F">
        <w:rPr>
          <w:bCs/>
        </w:rPr>
        <w:t xml:space="preserve"> </w:t>
      </w:r>
    </w:p>
    <w:p w14:paraId="3DE2759C" w14:textId="77777777" w:rsidR="00AD22FD" w:rsidRPr="009B720F" w:rsidRDefault="00AD22FD" w:rsidP="00AD22FD">
      <w:pPr>
        <w:pStyle w:val="TEXTBODY"/>
        <w:spacing w:line="276" w:lineRule="auto"/>
        <w:ind w:left="284"/>
        <w:rPr>
          <w:bCs/>
          <w:szCs w:val="22"/>
        </w:rPr>
      </w:pPr>
      <w:r w:rsidRPr="009B720F">
        <w:rPr>
          <w:bCs/>
        </w:rPr>
        <w:t>As noted in the Technical Report,</w:t>
      </w:r>
      <w:r w:rsidRPr="009B720F">
        <w:rPr>
          <w:bCs/>
          <w:i/>
          <w:iCs/>
        </w:rPr>
        <w:t xml:space="preserve"> </w:t>
      </w:r>
      <w:bookmarkStart w:id="82" w:name="_Hlk137739646"/>
      <w:r w:rsidRPr="009B720F">
        <w:rPr>
          <w:bCs/>
          <w:i/>
          <w:iCs/>
        </w:rPr>
        <w:t>a</w:t>
      </w:r>
      <w:r w:rsidRPr="009B720F">
        <w:rPr>
          <w:bCs/>
        </w:rPr>
        <w:t xml:space="preserve"> </w:t>
      </w:r>
      <w:r w:rsidRPr="009B720F">
        <w:rPr>
          <w:bCs/>
          <w:i/>
          <w:iCs/>
        </w:rPr>
        <w:t xml:space="preserve">key feature of the Options is that they can be adapted to respond to change </w:t>
      </w:r>
      <w:r w:rsidRPr="009B720F">
        <w:rPr>
          <w:bCs/>
        </w:rPr>
        <w:t>(</w:t>
      </w:r>
      <w:r w:rsidRPr="009B720F">
        <w:rPr>
          <w:bCs/>
          <w:color w:val="7F7F7F" w:themeColor="text1" w:themeTint="80"/>
        </w:rPr>
        <w:t>EA 2009A, p.11</w:t>
      </w:r>
      <w:r w:rsidRPr="009B720F">
        <w:rPr>
          <w:bCs/>
        </w:rPr>
        <w:t xml:space="preserve">): </w:t>
      </w:r>
      <w:bookmarkEnd w:id="82"/>
      <w:r w:rsidRPr="009B720F">
        <w:rPr>
          <w:rFonts w:cs="Arial"/>
          <w:bCs/>
          <w:szCs w:val="18"/>
        </w:rPr>
        <w:t>each</w:t>
      </w:r>
      <w:r w:rsidRPr="009B720F">
        <w:rPr>
          <w:rFonts w:cs="Arial"/>
          <w:bCs/>
          <w:i/>
          <w:iCs/>
          <w:szCs w:val="18"/>
        </w:rPr>
        <w:t xml:space="preserve"> HLO</w:t>
      </w:r>
      <w:r w:rsidRPr="009B720F">
        <w:rPr>
          <w:rFonts w:cs="Arial"/>
          <w:bCs/>
          <w:szCs w:val="18"/>
        </w:rPr>
        <w:t xml:space="preserve"> can be adapted (according) to the rate of change (water level rise) that is experienced, </w:t>
      </w:r>
      <w:r w:rsidRPr="009B720F">
        <w:rPr>
          <w:bCs/>
        </w:rPr>
        <w:t xml:space="preserve">e.g.: in </w:t>
      </w:r>
      <w:r w:rsidRPr="009B720F">
        <w:rPr>
          <w:bCs/>
          <w:i/>
          <w:iCs/>
        </w:rPr>
        <w:t>HLO1</w:t>
      </w:r>
      <w:r w:rsidRPr="009B720F">
        <w:rPr>
          <w:bCs/>
        </w:rPr>
        <w:t>, a 0,20m SLR implies raising small defences; a 0,6m SLR implies over-rotating the TB and restoring interim defences; a 0,9m SLR implies improving the TB and raising downstream defences</w:t>
      </w:r>
      <w:r w:rsidRPr="009B720F">
        <w:rPr>
          <w:rFonts w:cs="Arial"/>
          <w:bCs/>
          <w:szCs w:val="18"/>
        </w:rPr>
        <w:t xml:space="preserve"> (</w:t>
      </w:r>
      <w:r w:rsidRPr="009B720F">
        <w:rPr>
          <w:rFonts w:cs="Arial"/>
          <w:bCs/>
          <w:iCs/>
          <w:color w:val="7F7F7F" w:themeColor="text1" w:themeTint="80"/>
          <w:szCs w:val="18"/>
        </w:rPr>
        <w:t xml:space="preserve">EA 2009b, p.3; 2009a, p.11; Reeder and Ranger 2011, p.9; Ranger et al. 2013, p.250; Lowe et al. 2009, p.89; </w:t>
      </w:r>
      <w:proofErr w:type="spellStart"/>
      <w:r w:rsidRPr="009B720F">
        <w:rPr>
          <w:rFonts w:cs="Arial"/>
          <w:bCs/>
          <w:iCs/>
          <w:color w:val="7F7F7F" w:themeColor="text1" w:themeTint="80"/>
          <w:szCs w:val="18"/>
        </w:rPr>
        <w:t>Jeuken</w:t>
      </w:r>
      <w:proofErr w:type="spellEnd"/>
      <w:r w:rsidRPr="009B720F">
        <w:rPr>
          <w:rFonts w:cs="Arial"/>
          <w:bCs/>
          <w:iCs/>
          <w:color w:val="7F7F7F" w:themeColor="text1" w:themeTint="80"/>
          <w:szCs w:val="18"/>
        </w:rPr>
        <w:t xml:space="preserve"> and Reeder 2011, p.5</w:t>
      </w:r>
      <w:r w:rsidRPr="009B720F">
        <w:rPr>
          <w:rFonts w:cs="Arial"/>
          <w:bCs/>
          <w:szCs w:val="18"/>
        </w:rPr>
        <w:t xml:space="preserve">). </w:t>
      </w:r>
      <w:r w:rsidRPr="009B720F">
        <w:rPr>
          <w:bCs/>
          <w:szCs w:val="22"/>
        </w:rPr>
        <w:t xml:space="preserve">A key characteristic of the </w:t>
      </w:r>
      <w:r w:rsidRPr="009B720F">
        <w:rPr>
          <w:bCs/>
          <w:i/>
          <w:iCs/>
          <w:szCs w:val="22"/>
        </w:rPr>
        <w:t>Options</w:t>
      </w:r>
      <w:r w:rsidRPr="009B720F">
        <w:rPr>
          <w:bCs/>
          <w:szCs w:val="22"/>
        </w:rPr>
        <w:t xml:space="preserve"> is that they can be adapted to address changes over time, for instance: </w:t>
      </w:r>
      <w:r w:rsidRPr="009B720F">
        <w:rPr>
          <w:bCs/>
          <w:i/>
          <w:iCs/>
          <w:szCs w:val="22"/>
        </w:rPr>
        <w:t>if the amount of change is relatively small, the number of interventions required during the century would also be small</w:t>
      </w:r>
      <w:r w:rsidRPr="009B720F">
        <w:rPr>
          <w:bCs/>
          <w:szCs w:val="22"/>
        </w:rPr>
        <w:t xml:space="preserve">, but </w:t>
      </w:r>
      <w:r w:rsidRPr="009B720F">
        <w:rPr>
          <w:bCs/>
          <w:i/>
          <w:iCs/>
          <w:szCs w:val="22"/>
        </w:rPr>
        <w:t xml:space="preserve">if change occurred more rapidly, the frequency and magnitude of interventions would increase </w:t>
      </w:r>
      <w:r w:rsidRPr="009B720F">
        <w:rPr>
          <w:bCs/>
          <w:szCs w:val="22"/>
        </w:rPr>
        <w:t>(</w:t>
      </w:r>
      <w:r w:rsidRPr="009B720F">
        <w:rPr>
          <w:bCs/>
          <w:color w:val="7F7F7F" w:themeColor="text1" w:themeTint="80"/>
          <w:szCs w:val="22"/>
        </w:rPr>
        <w:t>EA 2009A, p.11</w:t>
      </w:r>
      <w:r w:rsidRPr="009B720F">
        <w:rPr>
          <w:bCs/>
          <w:szCs w:val="22"/>
        </w:rPr>
        <w:t>).</w:t>
      </w:r>
    </w:p>
    <w:p w14:paraId="33C6A58F" w14:textId="77777777" w:rsidR="00AD22FD" w:rsidRPr="009B720F" w:rsidRDefault="00AD22FD" w:rsidP="00AD22FD">
      <w:pPr>
        <w:pStyle w:val="TEXTBODY"/>
        <w:numPr>
          <w:ilvl w:val="0"/>
          <w:numId w:val="11"/>
        </w:numPr>
        <w:spacing w:line="276" w:lineRule="auto"/>
        <w:ind w:left="284" w:hanging="284"/>
        <w:rPr>
          <w:bCs/>
        </w:rPr>
      </w:pPr>
      <w:bookmarkStart w:id="83" w:name="_Hlk137739664"/>
      <w:bookmarkEnd w:id="81"/>
      <w:r w:rsidRPr="009B720F">
        <w:rPr>
          <w:bCs/>
        </w:rPr>
        <w:t>By changing the timing of new measures/interventions (by allowing adjusting the timing for new measures</w:t>
      </w:r>
      <w:proofErr w:type="gramStart"/>
      <w:r w:rsidRPr="009B720F">
        <w:rPr>
          <w:bCs/>
        </w:rPr>
        <w:t>), or</w:t>
      </w:r>
      <w:proofErr w:type="gramEnd"/>
      <w:r w:rsidRPr="009B720F">
        <w:rPr>
          <w:bCs/>
        </w:rPr>
        <w:t xml:space="preserve"> adjusting measures or Options themselves. </w:t>
      </w:r>
      <w:bookmarkEnd w:id="83"/>
      <w:r w:rsidRPr="009B720F">
        <w:rPr>
          <w:bCs/>
        </w:rPr>
        <w:t>The Plan allows changing the timing of new interventions (e.g. if rates of change increase, interventions will be brought forward; if they are slower, then interventions will be delayed) (</w:t>
      </w:r>
      <w:r w:rsidRPr="009B720F">
        <w:rPr>
          <w:bCs/>
          <w:color w:val="7F7F7F" w:themeColor="text1" w:themeTint="80"/>
        </w:rPr>
        <w:t xml:space="preserve">EA 2012, p.35, 36, 38-39; EA 2009A, </w:t>
      </w:r>
      <w:proofErr w:type="spellStart"/>
      <w:r w:rsidRPr="009B720F">
        <w:rPr>
          <w:bCs/>
          <w:color w:val="7F7F7F" w:themeColor="text1" w:themeTint="80"/>
        </w:rPr>
        <w:t>p.xvi</w:t>
      </w:r>
      <w:proofErr w:type="spellEnd"/>
      <w:r w:rsidRPr="009B720F">
        <w:rPr>
          <w:bCs/>
          <w:color w:val="7F7F7F" w:themeColor="text1" w:themeTint="80"/>
        </w:rPr>
        <w:t>, 267, 278-279</w:t>
      </w:r>
      <w:r w:rsidRPr="009B720F">
        <w:rPr>
          <w:bCs/>
        </w:rPr>
        <w:t xml:space="preserve">). The timing of new measures, and measures themselves, can be changed (adjusted) over time, which builds-in and enhances </w:t>
      </w:r>
      <w:r w:rsidRPr="009B720F">
        <w:rPr>
          <w:bCs/>
          <w:i/>
          <w:iCs/>
        </w:rPr>
        <w:t>flexibility</w:t>
      </w:r>
      <w:r w:rsidRPr="009B720F">
        <w:rPr>
          <w:bCs/>
        </w:rPr>
        <w:t xml:space="preserve"> of the long-term strategy (</w:t>
      </w:r>
      <w:r w:rsidRPr="009B720F">
        <w:rPr>
          <w:bCs/>
          <w:color w:val="7F7F7F" w:themeColor="text1" w:themeTint="80"/>
        </w:rPr>
        <w:t>Ranger et al. 2013, p.249</w:t>
      </w:r>
      <w:r w:rsidRPr="009B720F">
        <w:rPr>
          <w:bCs/>
        </w:rPr>
        <w:t xml:space="preserve">). In the APs approach, it is possible to adjust the timing for implementing a measure as new information emerges </w:t>
      </w:r>
      <w:r w:rsidRPr="009B720F">
        <w:rPr>
          <w:bCs/>
          <w:sz w:val="23"/>
          <w:szCs w:val="23"/>
        </w:rPr>
        <w:t>(</w:t>
      </w:r>
      <w:proofErr w:type="spellStart"/>
      <w:r w:rsidRPr="009B720F">
        <w:rPr>
          <w:bCs/>
          <w:color w:val="7F7F7F" w:themeColor="text1" w:themeTint="80"/>
        </w:rPr>
        <w:t>Jeuken</w:t>
      </w:r>
      <w:proofErr w:type="spellEnd"/>
      <w:r w:rsidRPr="009B720F">
        <w:rPr>
          <w:bCs/>
          <w:color w:val="7F7F7F" w:themeColor="text1" w:themeTint="80"/>
        </w:rPr>
        <w:t xml:space="preserve"> et al. 2014, p.18</w:t>
      </w:r>
      <w:r w:rsidRPr="009B720F">
        <w:rPr>
          <w:bCs/>
        </w:rPr>
        <w:t>), and it also is possible to adjust (adapt) a given measure, or switch to other measure, if necessary. The Plan itself explains how planned measures can be adapted, or new measures adopted, if critical indicators (e.g. SLR rate) change significantly or differ from the estimated in the Plan (</w:t>
      </w:r>
      <w:proofErr w:type="spellStart"/>
      <w:r w:rsidRPr="009B720F">
        <w:rPr>
          <w:bCs/>
          <w:color w:val="7F7F7F" w:themeColor="text1" w:themeTint="80"/>
        </w:rPr>
        <w:t>Jeuken</w:t>
      </w:r>
      <w:proofErr w:type="spellEnd"/>
      <w:r w:rsidRPr="009B720F">
        <w:rPr>
          <w:bCs/>
          <w:color w:val="7F7F7F" w:themeColor="text1" w:themeTint="80"/>
        </w:rPr>
        <w:t xml:space="preserve"> et al. 2014, p.18, 6</w:t>
      </w:r>
      <w:r w:rsidRPr="009B720F">
        <w:rPr>
          <w:bCs/>
        </w:rPr>
        <w:t xml:space="preserve">). The TE2100 Plan considers the possibility of altering the timing for new measures or measures themselves, e.g. a measure can be postponed or advanced in time according to changes observed. </w:t>
      </w:r>
      <w:r w:rsidRPr="009B720F">
        <w:rPr>
          <w:bCs/>
          <w:szCs w:val="22"/>
        </w:rPr>
        <w:t>The Plan not only allows adjusting the timing of interventions (actions), but also of decisions (</w:t>
      </w:r>
      <w:r w:rsidRPr="009B720F">
        <w:rPr>
          <w:bCs/>
          <w:i/>
          <w:iCs/>
          <w:szCs w:val="22"/>
        </w:rPr>
        <w:t>implementation-points</w:t>
      </w:r>
      <w:r w:rsidRPr="009B720F">
        <w:rPr>
          <w:bCs/>
          <w:szCs w:val="22"/>
        </w:rPr>
        <w:t xml:space="preserve"> and </w:t>
      </w:r>
      <w:r w:rsidRPr="009B720F">
        <w:rPr>
          <w:bCs/>
          <w:i/>
          <w:iCs/>
          <w:szCs w:val="22"/>
        </w:rPr>
        <w:t>decision-points</w:t>
      </w:r>
      <w:r w:rsidRPr="009B720F">
        <w:rPr>
          <w:bCs/>
          <w:szCs w:val="22"/>
        </w:rPr>
        <w:t>, respectively). The</w:t>
      </w:r>
      <w:r w:rsidRPr="009B720F">
        <w:rPr>
          <w:bCs/>
          <w:iCs/>
          <w:szCs w:val="22"/>
        </w:rPr>
        <w:t xml:space="preserve"> Plan’s reviews must be informed by monitoring outputs, and i</w:t>
      </w:r>
      <w:r w:rsidRPr="009B720F">
        <w:rPr>
          <w:bCs/>
          <w:szCs w:val="22"/>
        </w:rPr>
        <w:t>f a relevant change happens in one or more indicators, it may be necessary to anticipate or postpone a decision or a measure (c</w:t>
      </w:r>
      <w:r w:rsidRPr="009B720F">
        <w:rPr>
          <w:bCs/>
          <w:iCs/>
          <w:szCs w:val="22"/>
        </w:rPr>
        <w:t>ertain values in the indicators will act as triggers of changes, e.g. a rapid change in an indicator may trigger an</w:t>
      </w:r>
      <w:r w:rsidRPr="009B720F">
        <w:rPr>
          <w:bCs/>
          <w:iCs/>
          <w:color w:val="C00000"/>
          <w:szCs w:val="22"/>
        </w:rPr>
        <w:t xml:space="preserve"> </w:t>
      </w:r>
      <w:r w:rsidRPr="009B720F">
        <w:rPr>
          <w:bCs/>
          <w:iCs/>
          <w:szCs w:val="22"/>
        </w:rPr>
        <w:t xml:space="preserve">earlier decision) </w:t>
      </w:r>
      <w:r w:rsidRPr="009B720F">
        <w:rPr>
          <w:bCs/>
          <w:szCs w:val="22"/>
        </w:rPr>
        <w:t>(</w:t>
      </w:r>
      <w:r w:rsidRPr="009B720F">
        <w:rPr>
          <w:bCs/>
          <w:color w:val="7F7F7F" w:themeColor="text1" w:themeTint="80"/>
          <w:szCs w:val="22"/>
        </w:rPr>
        <w:t>EA 2012, p.35, 36, 38-39</w:t>
      </w:r>
      <w:r w:rsidRPr="009B720F">
        <w:rPr>
          <w:bCs/>
          <w:szCs w:val="22"/>
        </w:rPr>
        <w:t>).</w:t>
      </w:r>
      <w:r w:rsidRPr="009B720F">
        <w:rPr>
          <w:rStyle w:val="Refdenotaderodap"/>
          <w:bCs/>
          <w:szCs w:val="22"/>
        </w:rPr>
        <w:footnoteReference w:id="55"/>
      </w:r>
      <w:r w:rsidRPr="009B720F">
        <w:rPr>
          <w:bCs/>
          <w:szCs w:val="22"/>
        </w:rPr>
        <w:t xml:space="preserve"> Thus, the date of an </w:t>
      </w:r>
      <w:r w:rsidRPr="009B720F">
        <w:rPr>
          <w:bCs/>
          <w:i/>
          <w:iCs/>
          <w:szCs w:val="22"/>
        </w:rPr>
        <w:t>implementation-point</w:t>
      </w:r>
      <w:r w:rsidRPr="009B720F">
        <w:rPr>
          <w:bCs/>
          <w:szCs w:val="22"/>
        </w:rPr>
        <w:t xml:space="preserve"> and</w:t>
      </w:r>
      <w:r w:rsidRPr="009B720F">
        <w:rPr>
          <w:bCs/>
          <w:i/>
          <w:iCs/>
          <w:szCs w:val="22"/>
        </w:rPr>
        <w:t xml:space="preserve"> decision-point </w:t>
      </w:r>
      <w:r w:rsidRPr="009B720F">
        <w:rPr>
          <w:bCs/>
          <w:szCs w:val="22"/>
        </w:rPr>
        <w:t xml:space="preserve">for a given measure or </w:t>
      </w:r>
      <w:r w:rsidRPr="009B720F">
        <w:rPr>
          <w:bCs/>
          <w:i/>
          <w:iCs/>
          <w:szCs w:val="22"/>
        </w:rPr>
        <w:t>portfolio</w:t>
      </w:r>
      <w:r w:rsidRPr="009B720F">
        <w:rPr>
          <w:bCs/>
          <w:szCs w:val="22"/>
        </w:rPr>
        <w:t xml:space="preserve"> can be adjusted. As mentioned in the Technical Report,</w:t>
      </w:r>
      <w:r w:rsidRPr="009B720F">
        <w:rPr>
          <w:bCs/>
          <w:i/>
          <w:iCs/>
          <w:szCs w:val="22"/>
        </w:rPr>
        <w:t xml:space="preserve"> the Estuary-wide Options can be adapted to different amounts of future change by changing the dates when the ‘portfolios’ are implemented; and, if at some point in the future, physical, environmental or socio-economic changes in the TE are outside the limits which can be accommodated by a chosen Option, an alternative Option will be implemented </w:t>
      </w:r>
      <w:r w:rsidRPr="009B720F">
        <w:rPr>
          <w:bCs/>
          <w:szCs w:val="22"/>
        </w:rPr>
        <w:t>(</w:t>
      </w:r>
      <w:r w:rsidRPr="009B720F">
        <w:rPr>
          <w:bCs/>
          <w:color w:val="7F7F7F" w:themeColor="text1" w:themeTint="80"/>
          <w:szCs w:val="22"/>
        </w:rPr>
        <w:t>EA 2009A, p.297</w:t>
      </w:r>
      <w:r w:rsidRPr="009B720F">
        <w:rPr>
          <w:bCs/>
          <w:szCs w:val="22"/>
        </w:rPr>
        <w:t>).</w:t>
      </w:r>
      <w:r w:rsidRPr="009B720F">
        <w:rPr>
          <w:bCs/>
          <w:color w:val="C00000"/>
          <w:szCs w:val="22"/>
        </w:rPr>
        <w:t xml:space="preserve"> </w:t>
      </w:r>
      <w:r w:rsidRPr="009B720F">
        <w:rPr>
          <w:bCs/>
          <w:szCs w:val="22"/>
        </w:rPr>
        <w:t>Importantly, the preferred Options and the alternative Options must be re-appraised, using the updated best estimates of future change, which may lead to a change in the selected Option. Moreover, while alternative Options are included in the Plan, it is necessary to consider whether there are any other alternative Options whenever the Options are reviewed (</w:t>
      </w:r>
      <w:r w:rsidRPr="009B720F">
        <w:rPr>
          <w:bCs/>
          <w:color w:val="7F7F7F" w:themeColor="text1" w:themeTint="80"/>
          <w:szCs w:val="22"/>
        </w:rPr>
        <w:t>EA 2009A, p.280</w:t>
      </w:r>
      <w:r w:rsidRPr="009B720F">
        <w:rPr>
          <w:bCs/>
          <w:szCs w:val="22"/>
        </w:rPr>
        <w:t>).</w:t>
      </w:r>
      <w:r w:rsidRPr="009B720F">
        <w:rPr>
          <w:bCs/>
          <w:sz w:val="16"/>
          <w:szCs w:val="16"/>
          <w:lang w:val="en-US"/>
        </w:rPr>
        <w:t xml:space="preserve"> </w:t>
      </w:r>
      <w:r w:rsidRPr="009B720F">
        <w:rPr>
          <w:bCs/>
          <w:szCs w:val="22"/>
          <w:lang w:val="en-US"/>
        </w:rPr>
        <w:t xml:space="preserve">The final Plan’s recommendations are based on 2009 Government guidance on CC; however, if CC predictions (or other pressures) worsen, </w:t>
      </w:r>
      <w:r w:rsidRPr="009B720F">
        <w:rPr>
          <w:bCs/>
          <w:szCs w:val="22"/>
          <w:lang w:val="en-US"/>
        </w:rPr>
        <w:lastRenderedPageBreak/>
        <w:t xml:space="preserve">then the date of an intervention might be changed – this was allowed for in the Plan </w:t>
      </w:r>
      <w:r w:rsidRPr="009B720F">
        <w:rPr>
          <w:bCs/>
          <w:szCs w:val="22"/>
        </w:rPr>
        <w:t>(</w:t>
      </w:r>
      <w:r w:rsidRPr="009B720F">
        <w:rPr>
          <w:bCs/>
          <w:color w:val="7F7F7F" w:themeColor="text1" w:themeTint="80"/>
          <w:szCs w:val="22"/>
        </w:rPr>
        <w:t xml:space="preserve">EA 2009A, </w:t>
      </w:r>
      <w:proofErr w:type="spellStart"/>
      <w:r w:rsidRPr="009B720F">
        <w:rPr>
          <w:bCs/>
          <w:color w:val="7F7F7F" w:themeColor="text1" w:themeTint="80"/>
          <w:szCs w:val="22"/>
        </w:rPr>
        <w:t>p.xiii</w:t>
      </w:r>
      <w:proofErr w:type="spellEnd"/>
      <w:r w:rsidRPr="009B720F">
        <w:rPr>
          <w:bCs/>
          <w:szCs w:val="22"/>
        </w:rPr>
        <w:t xml:space="preserve">). Moreover, </w:t>
      </w:r>
      <w:proofErr w:type="spellStart"/>
      <w:r w:rsidRPr="009B720F">
        <w:rPr>
          <w:bCs/>
          <w:szCs w:val="22"/>
        </w:rPr>
        <w:t>i</w:t>
      </w:r>
      <w:proofErr w:type="spellEnd"/>
      <w:r w:rsidRPr="009B720F">
        <w:rPr>
          <w:bCs/>
          <w:szCs w:val="22"/>
          <w:lang w:val="en-US"/>
        </w:rPr>
        <w:t>f the10-yearly review of the Plan identifies that a different</w:t>
      </w:r>
      <w:r w:rsidRPr="009B720F">
        <w:rPr>
          <w:bCs/>
          <w:i/>
          <w:iCs/>
          <w:szCs w:val="22"/>
          <w:lang w:val="en-US"/>
        </w:rPr>
        <w:t xml:space="preserve"> Option</w:t>
      </w:r>
      <w:r w:rsidRPr="009B720F">
        <w:rPr>
          <w:bCs/>
          <w:szCs w:val="22"/>
          <w:lang w:val="en-US"/>
        </w:rPr>
        <w:t xml:space="preserve"> is then preferred, this is possible as long as the final decision is made with sufficient lead-in time to implement it (e.g. an act of parliament may be required); whatever the current </w:t>
      </w:r>
      <w:r w:rsidRPr="009B720F">
        <w:rPr>
          <w:bCs/>
          <w:i/>
          <w:iCs/>
          <w:szCs w:val="22"/>
          <w:lang w:val="en-US"/>
        </w:rPr>
        <w:t>end-of-the-century Option</w:t>
      </w:r>
      <w:r w:rsidRPr="009B720F">
        <w:rPr>
          <w:bCs/>
          <w:szCs w:val="22"/>
          <w:lang w:val="en-US"/>
        </w:rPr>
        <w:t xml:space="preserve"> is recommended, it was important to have a preferred Plan (</w:t>
      </w:r>
      <w:r w:rsidRPr="009B720F">
        <w:rPr>
          <w:bCs/>
          <w:i/>
          <w:iCs/>
          <w:szCs w:val="22"/>
          <w:lang w:val="en-US"/>
        </w:rPr>
        <w:t>preferred Option(s)</w:t>
      </w:r>
      <w:r w:rsidRPr="009B720F">
        <w:rPr>
          <w:bCs/>
          <w:szCs w:val="22"/>
          <w:lang w:val="en-US"/>
        </w:rPr>
        <w:t xml:space="preserve">) as a basis from which stakeholders could plan for the future </w:t>
      </w:r>
      <w:r w:rsidRPr="009B720F">
        <w:rPr>
          <w:bCs/>
          <w:szCs w:val="22"/>
        </w:rPr>
        <w:t>(</w:t>
      </w:r>
      <w:r w:rsidRPr="009B720F">
        <w:rPr>
          <w:bCs/>
          <w:color w:val="7F7F7F" w:themeColor="text1" w:themeTint="80"/>
          <w:szCs w:val="22"/>
        </w:rPr>
        <w:t xml:space="preserve">EA 2009A, </w:t>
      </w:r>
      <w:proofErr w:type="spellStart"/>
      <w:r w:rsidRPr="009B720F">
        <w:rPr>
          <w:bCs/>
          <w:color w:val="7F7F7F" w:themeColor="text1" w:themeTint="80"/>
          <w:szCs w:val="22"/>
        </w:rPr>
        <w:t>p.xiii</w:t>
      </w:r>
      <w:proofErr w:type="spellEnd"/>
      <w:r w:rsidRPr="009B720F">
        <w:rPr>
          <w:bCs/>
          <w:szCs w:val="22"/>
        </w:rPr>
        <w:t>).</w:t>
      </w:r>
    </w:p>
    <w:p w14:paraId="66CA2827" w14:textId="77777777" w:rsidR="00AD22FD" w:rsidRPr="009B720F" w:rsidRDefault="00AD22FD" w:rsidP="00AD22FD">
      <w:pPr>
        <w:pStyle w:val="TEXTBODY"/>
        <w:numPr>
          <w:ilvl w:val="0"/>
          <w:numId w:val="11"/>
        </w:numPr>
        <w:spacing w:line="276" w:lineRule="auto"/>
        <w:ind w:left="284" w:hanging="284"/>
        <w:rPr>
          <w:bCs/>
        </w:rPr>
      </w:pPr>
      <w:bookmarkStart w:id="84" w:name="_Hlk137739700"/>
      <w:r w:rsidRPr="00E74925">
        <w:rPr>
          <w:bCs/>
        </w:rPr>
        <w:t xml:space="preserve">Availability of alternative </w:t>
      </w:r>
      <w:r w:rsidRPr="00E74925">
        <w:rPr>
          <w:bCs/>
          <w:i/>
          <w:iCs/>
        </w:rPr>
        <w:t xml:space="preserve">Options </w:t>
      </w:r>
      <w:r w:rsidRPr="00E74925">
        <w:rPr>
          <w:bCs/>
        </w:rPr>
        <w:t xml:space="preserve">(multiplicity / diversity of </w:t>
      </w:r>
      <w:r w:rsidRPr="00E74925">
        <w:rPr>
          <w:bCs/>
          <w:i/>
          <w:iCs/>
        </w:rPr>
        <w:t>Options</w:t>
      </w:r>
      <w:r w:rsidRPr="00E74925">
        <w:rPr>
          <w:bCs/>
        </w:rPr>
        <w:t>).</w:t>
      </w:r>
      <w:bookmarkEnd w:id="84"/>
      <w:r w:rsidRPr="00E74925">
        <w:rPr>
          <w:bCs/>
        </w:rPr>
        <w:t xml:space="preserve"> </w:t>
      </w:r>
      <w:r w:rsidRPr="009B720F">
        <w:rPr>
          <w:bCs/>
        </w:rPr>
        <w:t>Th</w:t>
      </w:r>
      <w:r w:rsidRPr="009B720F">
        <w:rPr>
          <w:bCs/>
          <w:szCs w:val="22"/>
        </w:rPr>
        <w:t xml:space="preserve">e Plan provides various </w:t>
      </w:r>
      <w:r w:rsidRPr="009B720F">
        <w:rPr>
          <w:bCs/>
          <w:i/>
          <w:iCs/>
          <w:szCs w:val="22"/>
        </w:rPr>
        <w:t xml:space="preserve">Options </w:t>
      </w:r>
      <w:r w:rsidRPr="009B720F">
        <w:rPr>
          <w:bCs/>
          <w:szCs w:val="22"/>
        </w:rPr>
        <w:t>(pathways); its</w:t>
      </w:r>
      <w:r w:rsidRPr="009B720F">
        <w:rPr>
          <w:bCs/>
        </w:rPr>
        <w:t xml:space="preserve"> route-map shows various </w:t>
      </w:r>
      <w:r w:rsidRPr="009B720F">
        <w:rPr>
          <w:bCs/>
          <w:i/>
          <w:iCs/>
        </w:rPr>
        <w:t>HLOs</w:t>
      </w:r>
      <w:r w:rsidRPr="009B720F">
        <w:rPr>
          <w:bCs/>
        </w:rPr>
        <w:t xml:space="preserve">/pathways </w:t>
      </w:r>
      <w:r w:rsidRPr="009B720F">
        <w:rPr>
          <w:bCs/>
          <w:szCs w:val="22"/>
        </w:rPr>
        <w:t>and allows for switching between them in the future</w:t>
      </w:r>
      <w:r w:rsidRPr="009B720F">
        <w:rPr>
          <w:bCs/>
          <w:sz w:val="23"/>
          <w:szCs w:val="23"/>
        </w:rPr>
        <w:t xml:space="preserve"> (</w:t>
      </w:r>
      <w:proofErr w:type="spellStart"/>
      <w:r w:rsidRPr="009B720F">
        <w:rPr>
          <w:bCs/>
          <w:color w:val="7F7F7F" w:themeColor="text1" w:themeTint="80"/>
        </w:rPr>
        <w:t>Jeuken</w:t>
      </w:r>
      <w:proofErr w:type="spellEnd"/>
      <w:r w:rsidRPr="009B720F">
        <w:rPr>
          <w:bCs/>
          <w:color w:val="7F7F7F" w:themeColor="text1" w:themeTint="80"/>
        </w:rPr>
        <w:t xml:space="preserve"> and Reeder 2011, p.4; </w:t>
      </w:r>
      <w:proofErr w:type="spellStart"/>
      <w:r w:rsidRPr="009B720F">
        <w:rPr>
          <w:bCs/>
          <w:color w:val="7F7F7F" w:themeColor="text1" w:themeTint="80"/>
        </w:rPr>
        <w:t>Jeuken</w:t>
      </w:r>
      <w:proofErr w:type="spellEnd"/>
      <w:r w:rsidRPr="009B720F">
        <w:rPr>
          <w:bCs/>
          <w:color w:val="7F7F7F" w:themeColor="text1" w:themeTint="80"/>
        </w:rPr>
        <w:t xml:space="preserve"> et al. 2014, p.18</w:t>
      </w:r>
      <w:r w:rsidRPr="009B720F">
        <w:rPr>
          <w:bCs/>
        </w:rPr>
        <w:t>). The Plan identifies</w:t>
      </w:r>
      <w:r w:rsidRPr="009B720F">
        <w:rPr>
          <w:bCs/>
          <w:color w:val="C00000"/>
        </w:rPr>
        <w:t xml:space="preserve"> </w:t>
      </w:r>
      <w:r w:rsidRPr="009B720F">
        <w:rPr>
          <w:bCs/>
        </w:rPr>
        <w:t xml:space="preserve">different possible </w:t>
      </w:r>
      <w:r w:rsidRPr="009B720F">
        <w:rPr>
          <w:bCs/>
          <w:i/>
          <w:iCs/>
        </w:rPr>
        <w:t xml:space="preserve">Options </w:t>
      </w:r>
      <w:r w:rsidRPr="009B720F">
        <w:rPr>
          <w:bCs/>
        </w:rPr>
        <w:t xml:space="preserve">(distinct alternative pathways), which can cope with different levels of SLR, and the thresholds at which each </w:t>
      </w:r>
      <w:r w:rsidRPr="009B720F">
        <w:rPr>
          <w:bCs/>
          <w:i/>
          <w:iCs/>
        </w:rPr>
        <w:t>Option</w:t>
      </w:r>
      <w:r w:rsidRPr="009B720F">
        <w:rPr>
          <w:bCs/>
        </w:rPr>
        <w:t xml:space="preserve"> will be needed (</w:t>
      </w:r>
      <w:r w:rsidRPr="009B720F">
        <w:rPr>
          <w:bCs/>
          <w:color w:val="7F7F7F" w:themeColor="text1" w:themeTint="80"/>
        </w:rPr>
        <w:t>HM Treasury 2009, p.13</w:t>
      </w:r>
      <w:r w:rsidRPr="009B720F">
        <w:rPr>
          <w:bCs/>
        </w:rPr>
        <w:t xml:space="preserve">); together, the </w:t>
      </w:r>
      <w:r w:rsidRPr="009B720F">
        <w:rPr>
          <w:bCs/>
          <w:i/>
          <w:iCs/>
        </w:rPr>
        <w:t>Options</w:t>
      </w:r>
      <w:r w:rsidRPr="009B720F">
        <w:rPr>
          <w:bCs/>
        </w:rPr>
        <w:t xml:space="preserve"> can cover a water level </w:t>
      </w:r>
      <w:proofErr w:type="gramStart"/>
      <w:r w:rsidRPr="009B720F">
        <w:rPr>
          <w:bCs/>
        </w:rPr>
        <w:t>rise up</w:t>
      </w:r>
      <w:proofErr w:type="gramEnd"/>
      <w:r w:rsidRPr="009B720F">
        <w:rPr>
          <w:bCs/>
        </w:rPr>
        <w:t xml:space="preserve"> to 4,2m. </w:t>
      </w:r>
      <w:bookmarkStart w:id="85" w:name="_Hlk137741647"/>
      <w:r w:rsidRPr="009B720F">
        <w:rPr>
          <w:bCs/>
          <w:szCs w:val="22"/>
        </w:rPr>
        <w:t xml:space="preserve">The </w:t>
      </w:r>
      <w:r w:rsidRPr="009B720F">
        <w:rPr>
          <w:bCs/>
          <w:i/>
          <w:szCs w:val="22"/>
        </w:rPr>
        <w:t>Options</w:t>
      </w:r>
      <w:r w:rsidRPr="009B720F">
        <w:rPr>
          <w:bCs/>
          <w:szCs w:val="22"/>
        </w:rPr>
        <w:t xml:space="preserve"> consist of </w:t>
      </w:r>
      <w:r w:rsidRPr="009B720F">
        <w:rPr>
          <w:bCs/>
          <w:i/>
          <w:szCs w:val="22"/>
        </w:rPr>
        <w:t>alternative ways of managing flood risk</w:t>
      </w:r>
      <w:r w:rsidRPr="009B720F">
        <w:rPr>
          <w:bCs/>
          <w:szCs w:val="22"/>
        </w:rPr>
        <w:t xml:space="preserve"> on the TE (</w:t>
      </w:r>
      <w:r w:rsidRPr="009B720F">
        <w:rPr>
          <w:bCs/>
          <w:color w:val="7F7F7F" w:themeColor="text1" w:themeTint="80"/>
          <w:szCs w:val="22"/>
        </w:rPr>
        <w:t>EA 2009A, p.138</w:t>
      </w:r>
      <w:r w:rsidRPr="009B720F">
        <w:rPr>
          <w:bCs/>
          <w:szCs w:val="22"/>
        </w:rPr>
        <w:t xml:space="preserve">). </w:t>
      </w:r>
      <w:bookmarkEnd w:id="85"/>
      <w:r w:rsidRPr="009B720F">
        <w:rPr>
          <w:bCs/>
          <w:szCs w:val="22"/>
        </w:rPr>
        <w:t>The final Plan provides</w:t>
      </w:r>
      <w:r w:rsidRPr="009B720F">
        <w:rPr>
          <w:bCs/>
          <w:i/>
          <w:iCs/>
          <w:szCs w:val="22"/>
        </w:rPr>
        <w:t xml:space="preserve"> </w:t>
      </w:r>
      <w:r w:rsidRPr="009B720F">
        <w:rPr>
          <w:bCs/>
          <w:szCs w:val="22"/>
        </w:rPr>
        <w:t>‘</w:t>
      </w:r>
      <w:r w:rsidRPr="009B720F">
        <w:rPr>
          <w:bCs/>
          <w:i/>
          <w:iCs/>
          <w:szCs w:val="22"/>
        </w:rPr>
        <w:t>a set of Options</w:t>
      </w:r>
      <w:r w:rsidRPr="009B720F">
        <w:rPr>
          <w:bCs/>
          <w:szCs w:val="22"/>
        </w:rPr>
        <w:t>’ which includes the</w:t>
      </w:r>
      <w:r w:rsidRPr="009B720F">
        <w:rPr>
          <w:bCs/>
          <w:i/>
          <w:iCs/>
          <w:szCs w:val="22"/>
        </w:rPr>
        <w:t xml:space="preserve"> preferred Estuary-wide Options</w:t>
      </w:r>
      <w:r w:rsidRPr="009B720F">
        <w:rPr>
          <w:bCs/>
          <w:szCs w:val="22"/>
        </w:rPr>
        <w:t xml:space="preserve"> (</w:t>
      </w:r>
      <w:r w:rsidRPr="009B720F">
        <w:rPr>
          <w:bCs/>
          <w:i/>
          <w:iCs/>
          <w:szCs w:val="22"/>
        </w:rPr>
        <w:t>needed to set the direction for FRM</w:t>
      </w:r>
      <w:r w:rsidRPr="009B720F">
        <w:rPr>
          <w:bCs/>
          <w:szCs w:val="22"/>
        </w:rPr>
        <w:t xml:space="preserve">) and </w:t>
      </w:r>
      <w:r w:rsidRPr="009B720F">
        <w:rPr>
          <w:bCs/>
          <w:i/>
          <w:iCs/>
          <w:szCs w:val="22"/>
        </w:rPr>
        <w:t xml:space="preserve">alternative Options </w:t>
      </w:r>
      <w:r w:rsidRPr="009B720F">
        <w:rPr>
          <w:bCs/>
          <w:szCs w:val="22"/>
        </w:rPr>
        <w:t>(</w:t>
      </w:r>
      <w:r w:rsidRPr="009B720F">
        <w:rPr>
          <w:bCs/>
          <w:i/>
          <w:iCs/>
          <w:szCs w:val="22"/>
        </w:rPr>
        <w:t>needed in case the preferred Options are no longer able to manage flood risk because the actual rates of future change are different from the rates assumed in the Plan</w:t>
      </w:r>
      <w:r w:rsidRPr="009B720F">
        <w:rPr>
          <w:bCs/>
          <w:szCs w:val="22"/>
        </w:rPr>
        <w:t xml:space="preserve">) – this is </w:t>
      </w:r>
      <w:r w:rsidRPr="009B720F">
        <w:rPr>
          <w:bCs/>
          <w:i/>
          <w:iCs/>
          <w:szCs w:val="22"/>
        </w:rPr>
        <w:t xml:space="preserve">a key output of the TE2100 Plan </w:t>
      </w:r>
      <w:r w:rsidRPr="009B720F">
        <w:rPr>
          <w:bCs/>
          <w:szCs w:val="22"/>
        </w:rPr>
        <w:t>(</w:t>
      </w:r>
      <w:r w:rsidRPr="009B720F">
        <w:rPr>
          <w:bCs/>
          <w:color w:val="7F7F7F" w:themeColor="text1" w:themeTint="80"/>
          <w:szCs w:val="22"/>
        </w:rPr>
        <w:t>EA 2009A, p.279</w:t>
      </w:r>
      <w:r w:rsidRPr="009B720F">
        <w:rPr>
          <w:bCs/>
          <w:szCs w:val="22"/>
        </w:rPr>
        <w:t>).</w:t>
      </w:r>
      <w:r w:rsidRPr="009B720F">
        <w:rPr>
          <w:bCs/>
          <w:i/>
          <w:iCs/>
          <w:szCs w:val="22"/>
        </w:rPr>
        <w:t xml:space="preserve"> </w:t>
      </w:r>
    </w:p>
    <w:p w14:paraId="74734BC3" w14:textId="77777777" w:rsidR="00AD22FD" w:rsidRPr="009B720F" w:rsidRDefault="00AD22FD" w:rsidP="00AD22FD">
      <w:pPr>
        <w:pStyle w:val="TEXTBODY"/>
        <w:numPr>
          <w:ilvl w:val="0"/>
          <w:numId w:val="11"/>
        </w:numPr>
        <w:spacing w:after="0" w:line="276" w:lineRule="auto"/>
        <w:ind w:left="284" w:hanging="284"/>
        <w:rPr>
          <w:bCs/>
        </w:rPr>
      </w:pPr>
      <w:bookmarkStart w:id="86" w:name="_Hlk137739734"/>
      <w:r w:rsidRPr="009B720F">
        <w:rPr>
          <w:bCs/>
        </w:rPr>
        <w:t>By sequencing the implementation of several measures over time (i.e. through a stepwise implementation of diverse measures throughout time), and by keeping open possibilities to switch to other measures</w:t>
      </w:r>
      <w:r w:rsidRPr="009B720F">
        <w:rPr>
          <w:bCs/>
          <w:color w:val="C00000"/>
        </w:rPr>
        <w:t xml:space="preserve">. </w:t>
      </w:r>
      <w:bookmarkEnd w:id="86"/>
      <w:r w:rsidRPr="009B720F">
        <w:rPr>
          <w:bCs/>
        </w:rPr>
        <w:t xml:space="preserve">In the TE2100, flood risk is managed iteratively: the route-map displays short-term measures linked to possible future measures (alternatives), thus, fostering </w:t>
      </w:r>
      <w:r w:rsidRPr="009B720F">
        <w:rPr>
          <w:bCs/>
          <w:i/>
          <w:iCs/>
        </w:rPr>
        <w:t xml:space="preserve">flexibility </w:t>
      </w:r>
      <w:r w:rsidRPr="009B720F">
        <w:rPr>
          <w:bCs/>
        </w:rPr>
        <w:t>(</w:t>
      </w:r>
      <w:r w:rsidRPr="009B720F">
        <w:rPr>
          <w:bCs/>
          <w:color w:val="7F7F7F" w:themeColor="text1" w:themeTint="80"/>
        </w:rPr>
        <w:t>Ranger et al. 2013, p.248-249</w:t>
      </w:r>
      <w:r w:rsidRPr="009B720F">
        <w:rPr>
          <w:bCs/>
        </w:rPr>
        <w:t xml:space="preserve">). In this APs approach, measures are implemented stepwise over time (as each pathway is itself a </w:t>
      </w:r>
      <w:r w:rsidRPr="009B720F">
        <w:rPr>
          <w:bCs/>
          <w:i/>
          <w:iCs/>
        </w:rPr>
        <w:t>package</w:t>
      </w:r>
      <w:r w:rsidRPr="009B720F">
        <w:rPr>
          <w:bCs/>
        </w:rPr>
        <w:t>/</w:t>
      </w:r>
      <w:r w:rsidRPr="009B720F">
        <w:rPr>
          <w:bCs/>
          <w:i/>
          <w:iCs/>
        </w:rPr>
        <w:t>set</w:t>
      </w:r>
      <w:r w:rsidRPr="009B720F">
        <w:rPr>
          <w:bCs/>
        </w:rPr>
        <w:t xml:space="preserve"> of several sequenced measures); therefore, rather than</w:t>
      </w:r>
      <w:r w:rsidRPr="009B720F">
        <w:rPr>
          <w:rFonts w:eastAsiaTheme="minorHAnsi"/>
          <w:bCs/>
          <w:lang w:eastAsia="en-US"/>
        </w:rPr>
        <w:t xml:space="preserve"> making a decision</w:t>
      </w:r>
      <w:r w:rsidRPr="009B720F">
        <w:rPr>
          <w:bCs/>
        </w:rPr>
        <w:t xml:space="preserve"> now on the ‘best’ measure for a particular future scenario (which could result in maladaptation if this scenario did not occur), the APs encouraged the Team to consider multiple plausible scenarios and adopt </w:t>
      </w:r>
      <w:r w:rsidRPr="009B720F">
        <w:rPr>
          <w:bCs/>
          <w:iCs/>
        </w:rPr>
        <w:t>a more flexible stance in which decisions and measures are taken over time</w:t>
      </w:r>
      <w:r w:rsidRPr="009B720F">
        <w:rPr>
          <w:bCs/>
          <w:i/>
          <w:iCs/>
        </w:rPr>
        <w:t xml:space="preserve"> </w:t>
      </w:r>
      <w:r w:rsidRPr="009B720F">
        <w:rPr>
          <w:bCs/>
        </w:rPr>
        <w:t>to continuously adapt</w:t>
      </w:r>
      <w:r w:rsidRPr="009B720F">
        <w:rPr>
          <w:bCs/>
          <w:i/>
          <w:iCs/>
        </w:rPr>
        <w:t xml:space="preserve"> </w:t>
      </w:r>
      <w:r w:rsidRPr="009B720F">
        <w:rPr>
          <w:bCs/>
        </w:rPr>
        <w:t xml:space="preserve">while maintaining as much flexibility as possible about future measures and </w:t>
      </w:r>
      <w:r w:rsidRPr="009B720F">
        <w:rPr>
          <w:bCs/>
          <w:i/>
          <w:iCs/>
        </w:rPr>
        <w:t>Options</w:t>
      </w:r>
      <w:r w:rsidRPr="009B720F">
        <w:rPr>
          <w:bCs/>
        </w:rPr>
        <w:t xml:space="preserve"> (</w:t>
      </w:r>
      <w:proofErr w:type="spellStart"/>
      <w:r w:rsidRPr="009B720F">
        <w:rPr>
          <w:bCs/>
          <w:color w:val="7F7F7F" w:themeColor="text1" w:themeTint="80"/>
        </w:rPr>
        <w:t>Jeuken</w:t>
      </w:r>
      <w:proofErr w:type="spellEnd"/>
      <w:r w:rsidRPr="009B720F">
        <w:rPr>
          <w:bCs/>
          <w:color w:val="7F7F7F" w:themeColor="text1" w:themeTint="80"/>
        </w:rPr>
        <w:t xml:space="preserve"> and Reeder 2011, p.4; Ranger et al. 2013, p.250; </w:t>
      </w:r>
      <w:proofErr w:type="spellStart"/>
      <w:r w:rsidRPr="009B720F">
        <w:rPr>
          <w:bCs/>
          <w:color w:val="7F7F7F" w:themeColor="text1" w:themeTint="80"/>
        </w:rPr>
        <w:t>Isoard</w:t>
      </w:r>
      <w:proofErr w:type="spellEnd"/>
      <w:r w:rsidRPr="009B720F">
        <w:rPr>
          <w:bCs/>
          <w:color w:val="7F7F7F" w:themeColor="text1" w:themeTint="80"/>
        </w:rPr>
        <w:t xml:space="preserve"> and Winograd 2013</w:t>
      </w:r>
      <w:r w:rsidRPr="009B720F">
        <w:rPr>
          <w:bCs/>
        </w:rPr>
        <w:t>).</w:t>
      </w:r>
      <w:r w:rsidRPr="009B720F">
        <w:rPr>
          <w:rStyle w:val="Refdenotaderodap"/>
          <w:bCs/>
        </w:rPr>
        <w:footnoteReference w:id="56"/>
      </w:r>
      <w:r w:rsidRPr="009B720F">
        <w:rPr>
          <w:bCs/>
        </w:rPr>
        <w:t xml:space="preserve"> The APs approach</w:t>
      </w:r>
      <w:r w:rsidRPr="009B720F">
        <w:rPr>
          <w:bCs/>
          <w:strike/>
        </w:rPr>
        <w:t xml:space="preserve"> </w:t>
      </w:r>
      <w:r w:rsidRPr="009B720F">
        <w:rPr>
          <w:bCs/>
        </w:rPr>
        <w:t xml:space="preserve">ensured a stepwise implementation of measures throughout time, </w:t>
      </w:r>
      <w:r w:rsidRPr="009B720F">
        <w:rPr>
          <w:bCs/>
          <w:strike/>
        </w:rPr>
        <w:t xml:space="preserve">but also </w:t>
      </w:r>
      <w:r w:rsidRPr="009B720F">
        <w:rPr>
          <w:bCs/>
        </w:rPr>
        <w:t>keeps open the possibility to switch to other measures.</w:t>
      </w:r>
      <w:r w:rsidRPr="009B720F">
        <w:rPr>
          <w:rFonts w:eastAsiaTheme="minorHAnsi"/>
          <w:bCs/>
          <w:lang w:eastAsia="en-US"/>
        </w:rPr>
        <w:t xml:space="preserve"> </w:t>
      </w:r>
      <w:r w:rsidRPr="009B720F">
        <w:rPr>
          <w:bCs/>
        </w:rPr>
        <w:t>Actually, one way of building-in</w:t>
      </w:r>
      <w:r w:rsidRPr="009B720F">
        <w:rPr>
          <w:bCs/>
          <w:i/>
          <w:iCs/>
        </w:rPr>
        <w:t xml:space="preserve"> flexibility</w:t>
      </w:r>
      <w:r w:rsidRPr="009B720F">
        <w:rPr>
          <w:bCs/>
        </w:rPr>
        <w:t xml:space="preserve"> into the Plan was keeping options open to manage future risk (alternatives available) (</w:t>
      </w:r>
      <w:r w:rsidRPr="009B720F">
        <w:rPr>
          <w:bCs/>
          <w:color w:val="7F7F7F" w:themeColor="text1" w:themeTint="80"/>
        </w:rPr>
        <w:t>Ranger et al. 2013, p.249</w:t>
      </w:r>
      <w:r w:rsidRPr="009B720F">
        <w:rPr>
          <w:bCs/>
        </w:rPr>
        <w:t>) and not foreclosing or constraining possible future options unnecessarily (</w:t>
      </w:r>
      <w:proofErr w:type="spellStart"/>
      <w:r w:rsidRPr="009B720F">
        <w:rPr>
          <w:bCs/>
          <w:color w:val="7F7F7F" w:themeColor="text1" w:themeTint="80"/>
        </w:rPr>
        <w:t>Jeuken</w:t>
      </w:r>
      <w:proofErr w:type="spellEnd"/>
      <w:r w:rsidRPr="009B720F">
        <w:rPr>
          <w:bCs/>
          <w:color w:val="7F7F7F" w:themeColor="text1" w:themeTint="80"/>
        </w:rPr>
        <w:t xml:space="preserve"> et al. 2014, p.3; Sayers et al. 2012</w:t>
      </w:r>
      <w:r w:rsidRPr="009B720F">
        <w:rPr>
          <w:bCs/>
        </w:rPr>
        <w:t>), which required finding measures that do not block further measures that might be needed in the future and avoiding irreversible investments as much as possible (</w:t>
      </w:r>
      <w:proofErr w:type="spellStart"/>
      <w:r w:rsidRPr="009B720F">
        <w:rPr>
          <w:bCs/>
          <w:color w:val="7F7F7F" w:themeColor="text1" w:themeTint="80"/>
        </w:rPr>
        <w:t>Jeuken</w:t>
      </w:r>
      <w:proofErr w:type="spellEnd"/>
      <w:r w:rsidRPr="009B720F">
        <w:rPr>
          <w:bCs/>
          <w:color w:val="7F7F7F" w:themeColor="text1" w:themeTint="80"/>
        </w:rPr>
        <w:t xml:space="preserve"> and Reeder 2011, p.2; Ramsbottom and Sheppard 2017, p.5</w:t>
      </w:r>
      <w:r w:rsidRPr="009B720F">
        <w:rPr>
          <w:bCs/>
        </w:rPr>
        <w:t>). The possibility of implementing certain measures or pathways should not be prematurely closed-off, e.g. by actions of third parties (</w:t>
      </w:r>
      <w:r w:rsidRPr="009B720F">
        <w:rPr>
          <w:bCs/>
          <w:color w:val="7F7F7F" w:themeColor="text1" w:themeTint="80"/>
        </w:rPr>
        <w:t>HM Treasury 2009, p.28</w:t>
      </w:r>
      <w:r w:rsidRPr="009B720F">
        <w:rPr>
          <w:bCs/>
        </w:rPr>
        <w:t xml:space="preserve">). </w:t>
      </w:r>
      <w:r w:rsidRPr="009B720F">
        <w:rPr>
          <w:rFonts w:cs="Arial"/>
          <w:bCs/>
          <w:iCs/>
        </w:rPr>
        <w:t xml:space="preserve">As an example, although the final Plan was developed based the </w:t>
      </w:r>
      <w:r w:rsidRPr="009B720F">
        <w:rPr>
          <w:rFonts w:cs="Arial"/>
          <w:bCs/>
          <w:i/>
        </w:rPr>
        <w:t>most probable scenario</w:t>
      </w:r>
      <w:r w:rsidRPr="009B720F">
        <w:rPr>
          <w:rFonts w:cs="Arial"/>
          <w:bCs/>
          <w:iCs/>
        </w:rPr>
        <w:t xml:space="preserve"> assumed in 2009 Government guidance, it did not reduce the available </w:t>
      </w:r>
      <w:r w:rsidRPr="009B720F">
        <w:rPr>
          <w:rFonts w:cs="Arial"/>
          <w:bCs/>
          <w:i/>
        </w:rPr>
        <w:t>Options</w:t>
      </w:r>
      <w:r w:rsidRPr="009B720F">
        <w:rPr>
          <w:rFonts w:cs="Arial"/>
          <w:bCs/>
          <w:iCs/>
        </w:rPr>
        <w:t xml:space="preserve"> for the case the future evolves </w:t>
      </w:r>
      <w:proofErr w:type="gramStart"/>
      <w:r w:rsidRPr="009B720F">
        <w:rPr>
          <w:rFonts w:cs="Arial"/>
          <w:bCs/>
          <w:iCs/>
        </w:rPr>
        <w:t>differently;</w:t>
      </w:r>
      <w:proofErr w:type="gramEnd"/>
      <w:r w:rsidRPr="009B720F">
        <w:rPr>
          <w:rFonts w:cs="Arial"/>
          <w:bCs/>
          <w:iCs/>
        </w:rPr>
        <w:t xml:space="preserve"> i.e. while the </w:t>
      </w:r>
      <w:r w:rsidRPr="009B720F">
        <w:rPr>
          <w:bCs/>
        </w:rPr>
        <w:t xml:space="preserve">final Plan is based on the expected </w:t>
      </w:r>
      <w:r w:rsidRPr="009B720F">
        <w:rPr>
          <w:bCs/>
          <w:i/>
          <w:iCs/>
        </w:rPr>
        <w:t>most likely envelope of change</w:t>
      </w:r>
      <w:r w:rsidRPr="009B720F">
        <w:rPr>
          <w:bCs/>
        </w:rPr>
        <w:t xml:space="preserve">, it is flexible and adaptable to an uncertain future </w:t>
      </w:r>
      <w:r w:rsidRPr="009B720F">
        <w:rPr>
          <w:rFonts w:cs="Arial"/>
          <w:bCs/>
          <w:iCs/>
        </w:rPr>
        <w:t>(</w:t>
      </w:r>
      <w:r w:rsidRPr="009B720F">
        <w:rPr>
          <w:bCs/>
          <w:color w:val="7F7F7F" w:themeColor="text1" w:themeTint="80"/>
        </w:rPr>
        <w:t>EA 2009b, p.3,4</w:t>
      </w:r>
      <w:r w:rsidRPr="009B720F">
        <w:rPr>
          <w:bCs/>
        </w:rPr>
        <w:t xml:space="preserve">). </w:t>
      </w:r>
      <w:r w:rsidRPr="009B720F">
        <w:rPr>
          <w:bCs/>
          <w:szCs w:val="18"/>
        </w:rPr>
        <w:t xml:space="preserve">The final Plan’s </w:t>
      </w:r>
      <w:r w:rsidRPr="009B720F">
        <w:rPr>
          <w:bCs/>
          <w:i/>
          <w:iCs/>
          <w:szCs w:val="18"/>
        </w:rPr>
        <w:t xml:space="preserve">Options </w:t>
      </w:r>
      <w:r w:rsidRPr="009B720F">
        <w:rPr>
          <w:bCs/>
          <w:szCs w:val="18"/>
        </w:rPr>
        <w:t>were developed based on the</w:t>
      </w:r>
      <w:r w:rsidRPr="009B720F">
        <w:rPr>
          <w:bCs/>
          <w:i/>
          <w:iCs/>
          <w:szCs w:val="18"/>
        </w:rPr>
        <w:t xml:space="preserve"> Defra06 scenario</w:t>
      </w:r>
      <w:r w:rsidRPr="009B720F">
        <w:rPr>
          <w:bCs/>
          <w:szCs w:val="18"/>
        </w:rPr>
        <w:t xml:space="preserve">, but such </w:t>
      </w:r>
      <w:r w:rsidRPr="009B720F">
        <w:rPr>
          <w:bCs/>
          <w:i/>
          <w:iCs/>
          <w:szCs w:val="18"/>
        </w:rPr>
        <w:t>Options</w:t>
      </w:r>
      <w:r w:rsidRPr="009B720F">
        <w:rPr>
          <w:bCs/>
          <w:szCs w:val="18"/>
        </w:rPr>
        <w:t xml:space="preserve"> were tested under other (more severe) CC scenarios to ensure their ‘</w:t>
      </w:r>
      <w:r w:rsidRPr="009B720F">
        <w:rPr>
          <w:bCs/>
          <w:i/>
          <w:iCs/>
          <w:szCs w:val="18"/>
        </w:rPr>
        <w:t>robustness and adaptability to future CC</w:t>
      </w:r>
      <w:r w:rsidRPr="009B720F">
        <w:rPr>
          <w:bCs/>
          <w:szCs w:val="18"/>
        </w:rPr>
        <w:t xml:space="preserve">’; the overall approach resulted in </w:t>
      </w:r>
      <w:r w:rsidRPr="009B720F">
        <w:rPr>
          <w:bCs/>
          <w:i/>
          <w:iCs/>
          <w:szCs w:val="18"/>
        </w:rPr>
        <w:t>a set of FRM Options that are resilient and adaptable to the uncertainty surrounding CC</w:t>
      </w:r>
      <w:r w:rsidRPr="009B720F">
        <w:rPr>
          <w:bCs/>
          <w:szCs w:val="18"/>
        </w:rPr>
        <w:t xml:space="preserve"> (</w:t>
      </w:r>
      <w:r w:rsidRPr="009B720F">
        <w:rPr>
          <w:bCs/>
          <w:color w:val="7F7F7F" w:themeColor="text1" w:themeTint="80"/>
          <w:szCs w:val="18"/>
        </w:rPr>
        <w:t>EA 2009A, p.72</w:t>
      </w:r>
      <w:r w:rsidRPr="009B720F">
        <w:rPr>
          <w:bCs/>
          <w:szCs w:val="18"/>
        </w:rPr>
        <w:t>).</w:t>
      </w:r>
    </w:p>
    <w:p w14:paraId="062E71C1" w14:textId="77777777" w:rsidR="00AD22FD" w:rsidRPr="009B720F" w:rsidRDefault="00AD22FD" w:rsidP="00AD22FD">
      <w:pPr>
        <w:pStyle w:val="TEXTBODY"/>
        <w:spacing w:line="276" w:lineRule="auto"/>
        <w:ind w:left="284"/>
        <w:rPr>
          <w:bCs/>
          <w:szCs w:val="22"/>
        </w:rPr>
      </w:pPr>
      <w:r w:rsidRPr="009B720F">
        <w:rPr>
          <w:bCs/>
        </w:rPr>
        <w:t>The APs method itself involved sequencing the implementation of diverse measures over time in a way that allows the system to adapt to changes over time (e.g. SLR), and, at the same time, keeping options (alternative measures and pathways) open to cope with different plausible futures (</w:t>
      </w:r>
      <w:r w:rsidRPr="009B720F">
        <w:rPr>
          <w:bCs/>
          <w:color w:val="7F7F7F" w:themeColor="text1" w:themeTint="80"/>
        </w:rPr>
        <w:t>Reeder and Ranger 2011, p.3</w:t>
      </w:r>
      <w:r w:rsidRPr="009B720F">
        <w:rPr>
          <w:bCs/>
        </w:rPr>
        <w:t xml:space="preserve">) – this helped to build-in </w:t>
      </w:r>
      <w:r w:rsidRPr="009B720F">
        <w:rPr>
          <w:bCs/>
          <w:i/>
        </w:rPr>
        <w:t>flexibility</w:t>
      </w:r>
      <w:r w:rsidRPr="009B720F">
        <w:rPr>
          <w:bCs/>
        </w:rPr>
        <w:t xml:space="preserve"> and </w:t>
      </w:r>
      <w:r w:rsidRPr="009B720F">
        <w:rPr>
          <w:bCs/>
          <w:i/>
          <w:iCs/>
        </w:rPr>
        <w:t>adaptability</w:t>
      </w:r>
      <w:r w:rsidRPr="009B720F">
        <w:rPr>
          <w:bCs/>
        </w:rPr>
        <w:t xml:space="preserve"> into the adaptation strategy and the broader plan. The idea underlying the APs</w:t>
      </w:r>
      <w:r w:rsidRPr="009B720F">
        <w:rPr>
          <w:bCs/>
          <w:i/>
        </w:rPr>
        <w:t xml:space="preserve"> </w:t>
      </w:r>
      <w:r w:rsidRPr="009B720F">
        <w:rPr>
          <w:bCs/>
        </w:rPr>
        <w:t>approach</w:t>
      </w:r>
      <w:r w:rsidRPr="009B720F">
        <w:rPr>
          <w:bCs/>
          <w:iCs/>
        </w:rPr>
        <w:t xml:space="preserve"> was</w:t>
      </w:r>
      <w:r w:rsidRPr="009B720F">
        <w:rPr>
          <w:bCs/>
          <w:i/>
        </w:rPr>
        <w:t xml:space="preserve"> to design ‘packages’ of adaptation measures that can be implemented over </w:t>
      </w:r>
      <w:proofErr w:type="gramStart"/>
      <w:r w:rsidRPr="009B720F">
        <w:rPr>
          <w:bCs/>
          <w:i/>
        </w:rPr>
        <w:t>time</w:t>
      </w:r>
      <w:r w:rsidRPr="009B720F">
        <w:rPr>
          <w:bCs/>
        </w:rPr>
        <w:t>, and</w:t>
      </w:r>
      <w:proofErr w:type="gramEnd"/>
      <w:r w:rsidRPr="009B720F">
        <w:rPr>
          <w:bCs/>
        </w:rPr>
        <w:t xml:space="preserve"> ensure that these (pathways) were </w:t>
      </w:r>
      <w:r w:rsidRPr="009B720F">
        <w:rPr>
          <w:bCs/>
          <w:i/>
        </w:rPr>
        <w:t>appropriate to cope with the plausible range of climatic changes that could be seen by 2100</w:t>
      </w:r>
      <w:r w:rsidRPr="009B720F">
        <w:rPr>
          <w:bCs/>
        </w:rPr>
        <w:t xml:space="preserve">, and, at the same time, </w:t>
      </w:r>
      <w:r w:rsidRPr="009B720F">
        <w:rPr>
          <w:bCs/>
          <w:i/>
          <w:iCs/>
        </w:rPr>
        <w:t>being flexible and adaptable to an uncertain future</w:t>
      </w:r>
      <w:r w:rsidRPr="009B720F">
        <w:rPr>
          <w:bCs/>
        </w:rPr>
        <w:t xml:space="preserve"> (</w:t>
      </w:r>
      <w:r w:rsidRPr="009B720F">
        <w:rPr>
          <w:bCs/>
          <w:color w:val="7F7F7F" w:themeColor="text1" w:themeTint="80"/>
        </w:rPr>
        <w:t>Reeder and Ranger 2011, p.8, 5, 13</w:t>
      </w:r>
      <w:r w:rsidRPr="009B720F">
        <w:rPr>
          <w:bCs/>
        </w:rPr>
        <w:t>).</w:t>
      </w:r>
      <w:r w:rsidRPr="009B720F">
        <w:rPr>
          <w:bCs/>
          <w:i/>
        </w:rPr>
        <w:t xml:space="preserve"> </w:t>
      </w:r>
      <w:r w:rsidRPr="009B720F">
        <w:rPr>
          <w:bCs/>
        </w:rPr>
        <w:t xml:space="preserve">The outcome of the APs approach was a plan that provides (a suite of) packages of sequenced measures to manage current risk, which have </w:t>
      </w:r>
      <w:r w:rsidRPr="009B720F">
        <w:rPr>
          <w:bCs/>
          <w:i/>
          <w:iCs/>
        </w:rPr>
        <w:t>flexibility to cope with the range of possible future SLR</w:t>
      </w:r>
      <w:r w:rsidRPr="009B720F">
        <w:rPr>
          <w:bCs/>
        </w:rPr>
        <w:t xml:space="preserve"> (</w:t>
      </w:r>
      <w:r w:rsidRPr="009B720F">
        <w:rPr>
          <w:bCs/>
          <w:color w:val="7F7F7F" w:themeColor="text1" w:themeTint="80"/>
        </w:rPr>
        <w:t>Reeder and Ranger 2011, p.13</w:t>
      </w:r>
      <w:r w:rsidRPr="009B720F">
        <w:rPr>
          <w:bCs/>
        </w:rPr>
        <w:t>). The Plan presents a series of various possible pathways (i.e. a set of</w:t>
      </w:r>
      <w:r w:rsidRPr="009B720F">
        <w:rPr>
          <w:bCs/>
          <w:i/>
          <w:iCs/>
        </w:rPr>
        <w:t xml:space="preserve"> Options</w:t>
      </w:r>
      <w:r w:rsidRPr="009B720F">
        <w:rPr>
          <w:bCs/>
        </w:rPr>
        <w:t xml:space="preserve">) – each pathway as a set of sequenced measures to manage flood risk until 2100. </w:t>
      </w:r>
      <w:r w:rsidRPr="009B720F">
        <w:rPr>
          <w:bCs/>
          <w:szCs w:val="22"/>
        </w:rPr>
        <w:t xml:space="preserve">Each </w:t>
      </w:r>
      <w:r w:rsidRPr="009B720F">
        <w:rPr>
          <w:bCs/>
          <w:i/>
          <w:iCs/>
          <w:szCs w:val="22"/>
        </w:rPr>
        <w:t>HLO</w:t>
      </w:r>
      <w:r w:rsidRPr="009B720F">
        <w:rPr>
          <w:bCs/>
          <w:szCs w:val="22"/>
        </w:rPr>
        <w:t>/pathway was</w:t>
      </w:r>
      <w:r w:rsidRPr="009B720F">
        <w:rPr>
          <w:bCs/>
          <w:i/>
          <w:iCs/>
          <w:szCs w:val="22"/>
        </w:rPr>
        <w:t xml:space="preserve"> </w:t>
      </w:r>
      <w:r w:rsidRPr="009B720F">
        <w:rPr>
          <w:bCs/>
          <w:szCs w:val="22"/>
        </w:rPr>
        <w:t>drawn up</w:t>
      </w:r>
      <w:r w:rsidRPr="009B720F">
        <w:rPr>
          <w:bCs/>
          <w:i/>
          <w:iCs/>
          <w:szCs w:val="22"/>
        </w:rPr>
        <w:t xml:space="preserve"> with interventions sequenced through the century to adapt to future CC </w:t>
      </w:r>
      <w:r w:rsidRPr="009B720F">
        <w:rPr>
          <w:bCs/>
          <w:szCs w:val="22"/>
        </w:rPr>
        <w:t>(</w:t>
      </w:r>
      <w:r w:rsidRPr="009B720F">
        <w:rPr>
          <w:bCs/>
          <w:color w:val="7F7F7F" w:themeColor="text1" w:themeTint="80"/>
          <w:szCs w:val="22"/>
        </w:rPr>
        <w:t>EA 2009A, p.73</w:t>
      </w:r>
      <w:r w:rsidRPr="009B720F">
        <w:rPr>
          <w:bCs/>
          <w:szCs w:val="22"/>
        </w:rPr>
        <w:t>).</w:t>
      </w:r>
      <w:r w:rsidRPr="009B720F">
        <w:rPr>
          <w:rStyle w:val="Refdenotaderodap"/>
          <w:bCs/>
          <w:szCs w:val="22"/>
        </w:rPr>
        <w:footnoteReference w:id="57"/>
      </w:r>
      <w:r w:rsidRPr="009B720F">
        <w:rPr>
          <w:bCs/>
          <w:szCs w:val="22"/>
        </w:rPr>
        <w:t xml:space="preserve"> </w:t>
      </w:r>
    </w:p>
    <w:p w14:paraId="3ECE9A9B" w14:textId="77777777" w:rsidR="00AD22FD" w:rsidRPr="009B720F" w:rsidRDefault="00AD22FD" w:rsidP="00AD22FD">
      <w:pPr>
        <w:pStyle w:val="TEXTBODY"/>
        <w:numPr>
          <w:ilvl w:val="0"/>
          <w:numId w:val="11"/>
        </w:numPr>
        <w:spacing w:line="276" w:lineRule="auto"/>
        <w:ind w:left="284" w:hanging="284"/>
        <w:rPr>
          <w:bCs/>
        </w:rPr>
      </w:pPr>
      <w:r w:rsidRPr="009B720F">
        <w:rPr>
          <w:bCs/>
        </w:rPr>
        <w:lastRenderedPageBreak/>
        <w:t>By using a wide variety of measures</w:t>
      </w:r>
      <w:r w:rsidRPr="009B720F">
        <w:rPr>
          <w:bCs/>
          <w:iCs/>
        </w:rPr>
        <w:t xml:space="preserve">. </w:t>
      </w:r>
      <w:r w:rsidRPr="009B720F">
        <w:rPr>
          <w:bCs/>
        </w:rPr>
        <w:t>The Plan contains different types of adaptation/FRM measures, namely measures to address the probability of flooding (e.g. defence works, managed realignment) and measures to reduce the consequences of flooding (e.g. resilience-building measures) (</w:t>
      </w:r>
      <w:r w:rsidRPr="009B720F">
        <w:rPr>
          <w:bCs/>
          <w:color w:val="7F7F7F" w:themeColor="text1" w:themeTint="80"/>
        </w:rPr>
        <w:t xml:space="preserve">EA 2009A, p. 139, 141-142; </w:t>
      </w:r>
      <w:proofErr w:type="spellStart"/>
      <w:r w:rsidRPr="009B720F">
        <w:rPr>
          <w:bCs/>
          <w:color w:val="7F7F7F" w:themeColor="text1" w:themeTint="80"/>
        </w:rPr>
        <w:t>Jeuken</w:t>
      </w:r>
      <w:proofErr w:type="spellEnd"/>
      <w:r w:rsidRPr="009B720F">
        <w:rPr>
          <w:bCs/>
          <w:color w:val="7F7F7F" w:themeColor="text1" w:themeTint="80"/>
        </w:rPr>
        <w:t xml:space="preserve"> and Reeder 2011</w:t>
      </w:r>
      <w:r w:rsidRPr="009B720F">
        <w:rPr>
          <w:bCs/>
        </w:rPr>
        <w:t xml:space="preserve">). </w:t>
      </w:r>
      <w:r w:rsidRPr="009B720F">
        <w:rPr>
          <w:bCs/>
          <w:iCs/>
        </w:rPr>
        <w:t>This enhanced the Plan’s and system’s flexibility but also the system’s resilience</w:t>
      </w:r>
      <w:r w:rsidRPr="009B720F">
        <w:rPr>
          <w:bCs/>
          <w:i/>
        </w:rPr>
        <w:t xml:space="preserve"> </w:t>
      </w:r>
      <w:r w:rsidRPr="009B720F">
        <w:rPr>
          <w:bCs/>
        </w:rPr>
        <w:t>(</w:t>
      </w:r>
      <w:proofErr w:type="spellStart"/>
      <w:r w:rsidRPr="009B720F">
        <w:rPr>
          <w:bCs/>
          <w:color w:val="7F7F7F" w:themeColor="text1" w:themeTint="80"/>
        </w:rPr>
        <w:t>Jeuken</w:t>
      </w:r>
      <w:proofErr w:type="spellEnd"/>
      <w:r w:rsidRPr="009B720F">
        <w:rPr>
          <w:bCs/>
          <w:color w:val="7F7F7F" w:themeColor="text1" w:themeTint="80"/>
        </w:rPr>
        <w:t xml:space="preserve"> et al. 2014, p.1</w:t>
      </w:r>
      <w:r w:rsidRPr="009B720F">
        <w:rPr>
          <w:bCs/>
        </w:rPr>
        <w:t>).</w:t>
      </w:r>
    </w:p>
    <w:p w14:paraId="170E0D91" w14:textId="77777777" w:rsidR="00AD22FD" w:rsidRPr="009B720F" w:rsidRDefault="00AD22FD" w:rsidP="00AD22FD">
      <w:pPr>
        <w:pStyle w:val="TEXTBODY"/>
        <w:numPr>
          <w:ilvl w:val="0"/>
          <w:numId w:val="11"/>
        </w:numPr>
        <w:spacing w:line="276" w:lineRule="auto"/>
        <w:ind w:left="284" w:hanging="284"/>
        <w:rPr>
          <w:bCs/>
        </w:rPr>
      </w:pPr>
      <w:r w:rsidRPr="009B720F">
        <w:rPr>
          <w:bCs/>
        </w:rPr>
        <w:t xml:space="preserve">By including ‘no-/low-regret’ measures in the route-map </w:t>
      </w:r>
      <w:proofErr w:type="gramStart"/>
      <w:r w:rsidRPr="009B720F">
        <w:rPr>
          <w:bCs/>
        </w:rPr>
        <w:t>in the near future</w:t>
      </w:r>
      <w:proofErr w:type="gramEnd"/>
      <w:r w:rsidRPr="009B720F">
        <w:rPr>
          <w:bCs/>
        </w:rPr>
        <w:t xml:space="preserve">. </w:t>
      </w:r>
      <w:r w:rsidRPr="009B720F">
        <w:rPr>
          <w:bCs/>
          <w:szCs w:val="22"/>
        </w:rPr>
        <w:t xml:space="preserve">In the TE2100, some pathways contain </w:t>
      </w:r>
      <w:r w:rsidRPr="009B720F">
        <w:rPr>
          <w:bCs/>
          <w:i/>
          <w:iCs/>
          <w:szCs w:val="22"/>
        </w:rPr>
        <w:t>low-regrets</w:t>
      </w:r>
      <w:r w:rsidRPr="009B720F">
        <w:rPr>
          <w:bCs/>
          <w:szCs w:val="22"/>
        </w:rPr>
        <w:t xml:space="preserve"> early measures</w:t>
      </w:r>
      <w:r w:rsidRPr="009B720F">
        <w:rPr>
          <w:bCs/>
          <w:color w:val="000000"/>
          <w:highlight w:val="lightGray"/>
          <w:vertAlign w:val="superscript"/>
        </w:rPr>
        <w:footnoteReference w:id="58"/>
      </w:r>
      <w:r w:rsidRPr="009B720F">
        <w:rPr>
          <w:bCs/>
          <w:szCs w:val="22"/>
        </w:rPr>
        <w:t>, e.g. upgrading existing defences</w:t>
      </w:r>
      <w:r w:rsidRPr="009B720F">
        <w:rPr>
          <w:bCs/>
        </w:rPr>
        <w:t xml:space="preserve">, which will cost-effectively reduce risk and, at the same time, </w:t>
      </w:r>
      <w:r w:rsidRPr="009B720F">
        <w:rPr>
          <w:bCs/>
          <w:iCs/>
        </w:rPr>
        <w:t>leave ‘</w:t>
      </w:r>
      <w:r w:rsidRPr="009B720F">
        <w:rPr>
          <w:bCs/>
          <w:i/>
        </w:rPr>
        <w:t>open the possibility to scale up action in the future</w:t>
      </w:r>
      <w:r w:rsidRPr="009B720F">
        <w:rPr>
          <w:bCs/>
        </w:rPr>
        <w:t>’ and ‘buy time’ to monitor and learn before making a major investment (</w:t>
      </w:r>
      <w:r w:rsidRPr="009B720F">
        <w:rPr>
          <w:bCs/>
          <w:color w:val="7F7F7F" w:themeColor="text1" w:themeTint="80"/>
        </w:rPr>
        <w:t>Ranger et al. 2013, p.248-249; Reeder and Ranger 2011, p.6, 9, 11; Ramsbottom and Sheppard 2017, p.5</w:t>
      </w:r>
      <w:r w:rsidRPr="009B720F">
        <w:rPr>
          <w:bCs/>
        </w:rPr>
        <w:t>).</w:t>
      </w:r>
      <w:r w:rsidRPr="009B720F">
        <w:rPr>
          <w:rStyle w:val="Refdenotaderodap"/>
          <w:bCs/>
        </w:rPr>
        <w:footnoteReference w:id="59"/>
      </w:r>
      <w:r w:rsidRPr="009B720F">
        <w:rPr>
          <w:bCs/>
        </w:rPr>
        <w:t xml:space="preserve"> The Team strategically placed ‘low-regret measures’ early in the route-map </w:t>
      </w:r>
      <w:r w:rsidRPr="009B720F">
        <w:rPr>
          <w:rFonts w:cs="Arial"/>
          <w:bCs/>
        </w:rPr>
        <w:t>(</w:t>
      </w:r>
      <w:r w:rsidRPr="009B720F">
        <w:rPr>
          <w:rFonts w:cs="Arial"/>
          <w:bCs/>
          <w:color w:val="7F7F7F" w:themeColor="text1" w:themeTint="80"/>
        </w:rPr>
        <w:t>Reeder and Ranger 2011, p.9</w:t>
      </w:r>
      <w:r w:rsidRPr="009B720F">
        <w:rPr>
          <w:rFonts w:cs="Arial"/>
          <w:bCs/>
        </w:rPr>
        <w:t xml:space="preserve">). </w:t>
      </w:r>
      <w:r w:rsidRPr="009B720F">
        <w:rPr>
          <w:bCs/>
        </w:rPr>
        <w:t xml:space="preserve">All </w:t>
      </w:r>
      <w:r w:rsidRPr="009B720F">
        <w:rPr>
          <w:bCs/>
          <w:i/>
          <w:iCs/>
        </w:rPr>
        <w:t xml:space="preserve">Options </w:t>
      </w:r>
      <w:r w:rsidRPr="009B720F">
        <w:rPr>
          <w:bCs/>
        </w:rPr>
        <w:t xml:space="preserve">(pathways) designed include small incremental measures in the near-term (e.g. upgrades to defences, </w:t>
      </w:r>
      <w:r w:rsidRPr="009B720F">
        <w:rPr>
          <w:bCs/>
          <w:lang w:val="en-US"/>
        </w:rPr>
        <w:t>resilient urban development</w:t>
      </w:r>
      <w:r w:rsidRPr="009B720F">
        <w:rPr>
          <w:bCs/>
        </w:rPr>
        <w:t>) and leave more irreversible measures as far as possible into the distant future, to make the best use of information that will arise (</w:t>
      </w:r>
      <w:r w:rsidRPr="009B720F">
        <w:rPr>
          <w:bCs/>
          <w:color w:val="7F7F7F" w:themeColor="text1" w:themeTint="80"/>
        </w:rPr>
        <w:t>HM Treasury 2009, p.13, 27-28</w:t>
      </w:r>
      <w:r w:rsidRPr="009B720F">
        <w:rPr>
          <w:bCs/>
        </w:rPr>
        <w:t>).</w:t>
      </w:r>
      <w:r w:rsidRPr="009B720F">
        <w:rPr>
          <w:rStyle w:val="Refdenotaderodap"/>
          <w:bCs/>
          <w:highlight w:val="lightGray"/>
        </w:rPr>
        <w:footnoteReference w:id="60"/>
      </w:r>
      <w:r w:rsidRPr="009B720F">
        <w:rPr>
          <w:bCs/>
        </w:rPr>
        <w:t>. The inclusion of ‘</w:t>
      </w:r>
      <w:r w:rsidRPr="009B720F">
        <w:rPr>
          <w:bCs/>
          <w:i/>
          <w:lang w:val="en-US"/>
        </w:rPr>
        <w:t>no / low-regrets’</w:t>
      </w:r>
      <w:r w:rsidRPr="009B720F">
        <w:rPr>
          <w:bCs/>
          <w:lang w:val="en-US"/>
        </w:rPr>
        <w:t xml:space="preserve"> measures and </w:t>
      </w:r>
      <w:r w:rsidRPr="009B720F">
        <w:rPr>
          <w:bCs/>
          <w:i/>
          <w:lang w:val="en-US"/>
        </w:rPr>
        <w:t>win-win</w:t>
      </w:r>
      <w:r w:rsidRPr="009B720F">
        <w:rPr>
          <w:bCs/>
          <w:lang w:val="en-US"/>
        </w:rPr>
        <w:t xml:space="preserve"> measures early </w:t>
      </w:r>
      <w:r w:rsidRPr="009B720F">
        <w:rPr>
          <w:bCs/>
        </w:rPr>
        <w:t>in the route-map</w:t>
      </w:r>
      <w:r w:rsidRPr="009B720F">
        <w:rPr>
          <w:bCs/>
          <w:lang w:val="en-US"/>
        </w:rPr>
        <w:t xml:space="preserve"> helped to increase the </w:t>
      </w:r>
      <w:r w:rsidRPr="009B720F">
        <w:rPr>
          <w:bCs/>
          <w:i/>
          <w:lang w:val="en-US"/>
        </w:rPr>
        <w:t>robustness</w:t>
      </w:r>
      <w:r w:rsidRPr="009B720F">
        <w:rPr>
          <w:bCs/>
          <w:lang w:val="en-US"/>
        </w:rPr>
        <w:t xml:space="preserve"> of the general Plan and its strategies (pathways) – it was a way of</w:t>
      </w:r>
      <w:r w:rsidRPr="009B720F">
        <w:rPr>
          <w:bCs/>
        </w:rPr>
        <w:t xml:space="preserve"> ‘buying time’ before making irreversible decisions or investments (e.g. on a new barrier); it helped to gain time to monitor, learn and make better decisions (</w:t>
      </w:r>
      <w:r w:rsidRPr="009B720F">
        <w:rPr>
          <w:bCs/>
          <w:color w:val="7F7F7F" w:themeColor="text1" w:themeTint="80"/>
        </w:rPr>
        <w:t>Reeder and Ranger 2011, p.11-12; Ranger et al. 2013, p.248-249, 255; Ramsbottom and Sheppard 2017, p.5</w:t>
      </w:r>
      <w:r w:rsidRPr="009B720F">
        <w:rPr>
          <w:bCs/>
        </w:rPr>
        <w:t xml:space="preserve">). Thus, using low-regrets measures (and avoiding irreversible investments as much as possible is an important sub-element / ingredient of this key-element of TE2100’s </w:t>
      </w:r>
      <w:r w:rsidRPr="009B720F">
        <w:rPr>
          <w:bCs/>
          <w:i/>
          <w:iCs/>
        </w:rPr>
        <w:t>Dynamic Adaptive Planning</w:t>
      </w:r>
      <w:r w:rsidRPr="009B720F">
        <w:rPr>
          <w:bCs/>
        </w:rPr>
        <w:t xml:space="preserve"> (</w:t>
      </w:r>
      <w:r w:rsidRPr="009B720F">
        <w:rPr>
          <w:bCs/>
          <w:color w:val="7F7F7F" w:themeColor="text1" w:themeTint="80"/>
        </w:rPr>
        <w:t>Ramsbottom and Sheppard 2017, p.5</w:t>
      </w:r>
      <w:r w:rsidRPr="009B720F">
        <w:rPr>
          <w:bCs/>
        </w:rPr>
        <w:t xml:space="preserve">). However, the Plan’s </w:t>
      </w:r>
      <w:r w:rsidRPr="009B720F">
        <w:rPr>
          <w:bCs/>
          <w:i/>
          <w:iCs/>
        </w:rPr>
        <w:t>flexibility</w:t>
      </w:r>
      <w:r w:rsidRPr="009B720F">
        <w:rPr>
          <w:bCs/>
        </w:rPr>
        <w:t xml:space="preserve"> may also be constrained by the </w:t>
      </w:r>
      <w:r w:rsidRPr="009B720F">
        <w:rPr>
          <w:bCs/>
          <w:i/>
          <w:iCs/>
        </w:rPr>
        <w:t>nature</w:t>
      </w:r>
      <w:r w:rsidRPr="009B720F">
        <w:rPr>
          <w:bCs/>
        </w:rPr>
        <w:t xml:space="preserve"> and </w:t>
      </w:r>
      <w:r w:rsidRPr="009B720F">
        <w:rPr>
          <w:bCs/>
          <w:i/>
          <w:iCs/>
        </w:rPr>
        <w:t>lifespan</w:t>
      </w:r>
      <w:r w:rsidRPr="009B720F">
        <w:rPr>
          <w:bCs/>
        </w:rPr>
        <w:t xml:space="preserve"> of measures applied in the past, (e.g. barriers, which “live” for many decades) (</w:t>
      </w:r>
      <w:proofErr w:type="spellStart"/>
      <w:r w:rsidRPr="009B720F">
        <w:rPr>
          <w:bCs/>
          <w:color w:val="7F7F7F" w:themeColor="text1" w:themeTint="80"/>
        </w:rPr>
        <w:t>Jeuken</w:t>
      </w:r>
      <w:proofErr w:type="spellEnd"/>
      <w:r w:rsidRPr="009B720F">
        <w:rPr>
          <w:bCs/>
          <w:color w:val="7F7F7F" w:themeColor="text1" w:themeTint="80"/>
        </w:rPr>
        <w:t xml:space="preserve"> et al. 2014, p.18</w:t>
      </w:r>
      <w:r w:rsidRPr="009B720F">
        <w:rPr>
          <w:bCs/>
        </w:rPr>
        <w:t xml:space="preserve">). </w:t>
      </w:r>
    </w:p>
    <w:p w14:paraId="112B44AD" w14:textId="77777777" w:rsidR="00AD22FD" w:rsidRPr="009B720F" w:rsidRDefault="00AD22FD" w:rsidP="00AD22FD">
      <w:pPr>
        <w:pStyle w:val="TEXTBODY"/>
        <w:numPr>
          <w:ilvl w:val="0"/>
          <w:numId w:val="11"/>
        </w:numPr>
        <w:spacing w:line="276" w:lineRule="auto"/>
        <w:ind w:left="284" w:hanging="284"/>
        <w:rPr>
          <w:bCs/>
        </w:rPr>
      </w:pPr>
      <w:r w:rsidRPr="009B720F">
        <w:rPr>
          <w:bCs/>
          <w:color w:val="000000"/>
        </w:rPr>
        <w:t xml:space="preserve">Through ‘structural / engineered flexibility’ (i.e. by allowing the </w:t>
      </w:r>
      <w:r w:rsidRPr="009B720F">
        <w:rPr>
          <w:bCs/>
          <w:i/>
          <w:iCs/>
          <w:color w:val="000000"/>
        </w:rPr>
        <w:t xml:space="preserve">adaptation of engineering responses </w:t>
      </w:r>
      <w:r w:rsidRPr="009B720F">
        <w:rPr>
          <w:bCs/>
          <w:color w:val="000000"/>
        </w:rPr>
        <w:t>/ structures).</w:t>
      </w:r>
      <w:r w:rsidRPr="009B720F">
        <w:rPr>
          <w:bCs/>
        </w:rPr>
        <w:t xml:space="preserve"> This type of flexibility involves designing an engineering measure / solution in a way that allows it to be adjusted (adapted, changed) over time, e.g. a seawall with large foundations that can be raised in the future instead of replaced</w:t>
      </w:r>
      <w:r w:rsidRPr="009B720F">
        <w:rPr>
          <w:bCs/>
          <w:lang w:val="en-US"/>
        </w:rPr>
        <w:t xml:space="preserve"> </w:t>
      </w:r>
      <w:r w:rsidRPr="009B720F">
        <w:rPr>
          <w:bCs/>
        </w:rPr>
        <w:t>(</w:t>
      </w:r>
      <w:r w:rsidRPr="009B720F">
        <w:rPr>
          <w:bCs/>
          <w:color w:val="7F7F7F" w:themeColor="text1" w:themeTint="80"/>
        </w:rPr>
        <w:t>Reeder and Ranger 2011, p.3</w:t>
      </w:r>
      <w:r w:rsidRPr="009B720F">
        <w:rPr>
          <w:bCs/>
        </w:rPr>
        <w:t>).</w:t>
      </w:r>
      <w:r w:rsidRPr="009B720F">
        <w:rPr>
          <w:bCs/>
          <w:color w:val="C00000"/>
        </w:rPr>
        <w:t xml:space="preserve"> </w:t>
      </w:r>
      <w:r w:rsidRPr="00EB71B8">
        <w:rPr>
          <w:bCs/>
        </w:rPr>
        <w:t xml:space="preserve">To ensure this, </w:t>
      </w:r>
      <w:r w:rsidRPr="009B720F">
        <w:rPr>
          <w:bCs/>
        </w:rPr>
        <w:t>structures can be designed so that they can be adapted to changing conditions (e.g. foundations of new defences can be designed so that that can take higher future water loadings, or barriers / defences designed so that they can be modified in the future); their initial cost will be higher than responses that do not allow for future adaptation, but this can bring significant savings over tehri whole life (</w:t>
      </w:r>
      <w:r w:rsidRPr="009B720F">
        <w:rPr>
          <w:bCs/>
          <w:color w:val="7F7F7F" w:themeColor="text1" w:themeTint="80"/>
        </w:rPr>
        <w:t xml:space="preserve">EA 2012, p.35, 36, 38-39; EA 2009A, </w:t>
      </w:r>
      <w:proofErr w:type="spellStart"/>
      <w:r w:rsidRPr="009B720F">
        <w:rPr>
          <w:bCs/>
          <w:color w:val="7F7F7F" w:themeColor="text1" w:themeTint="80"/>
        </w:rPr>
        <w:t>p.xvi</w:t>
      </w:r>
      <w:proofErr w:type="spellEnd"/>
      <w:r w:rsidRPr="009B720F">
        <w:rPr>
          <w:bCs/>
          <w:color w:val="7F7F7F" w:themeColor="text1" w:themeTint="80"/>
        </w:rPr>
        <w:t>, 267, 278-279</w:t>
      </w:r>
      <w:r w:rsidRPr="009B720F">
        <w:rPr>
          <w:bCs/>
        </w:rPr>
        <w:t>). This</w:t>
      </w:r>
      <w:r w:rsidRPr="009B720F">
        <w:rPr>
          <w:bCs/>
          <w:lang w:val="en-US"/>
        </w:rPr>
        <w:t xml:space="preserve"> type of flexibility might mean higher initial costs (in many cases, costs are compensated by the benefits, but in others, this flexibility may not be feasible due to financial constraints or not solve the whole problem) </w:t>
      </w:r>
      <w:r w:rsidRPr="009B720F">
        <w:rPr>
          <w:bCs/>
        </w:rPr>
        <w:t>(</w:t>
      </w:r>
      <w:r w:rsidRPr="009B720F">
        <w:rPr>
          <w:bCs/>
          <w:color w:val="7F7F7F" w:themeColor="text1" w:themeTint="80"/>
        </w:rPr>
        <w:t>Reeder and Ranger 2011, p.3</w:t>
      </w:r>
      <w:r w:rsidRPr="009B720F">
        <w:rPr>
          <w:bCs/>
        </w:rPr>
        <w:t>).</w:t>
      </w:r>
      <w:r w:rsidRPr="009B720F">
        <w:rPr>
          <w:bCs/>
          <w:color w:val="000000"/>
        </w:rPr>
        <w:t xml:space="preserve"> ‘Engineered flexibility’ is effective if flood defences can be adjusted in the future at limited additional costs (when its additional cost is low) (</w:t>
      </w:r>
      <w:r w:rsidRPr="009B720F">
        <w:rPr>
          <w:bCs/>
          <w:color w:val="7F7F7F" w:themeColor="text1" w:themeTint="80"/>
        </w:rPr>
        <w:t>Ranger et al. 2013, p.248-249</w:t>
      </w:r>
      <w:r w:rsidRPr="009B720F">
        <w:rPr>
          <w:bCs/>
          <w:color w:val="000000"/>
        </w:rPr>
        <w:t xml:space="preserve">). This type of flexibility was delivered or incorporated in several measures of the TE2100, for example: by over-rotating the TB in case of greater SLR than predicted, using safety margins, over-engineering infrastructures to cope with greater change, purchasing land to </w:t>
      </w:r>
      <w:r w:rsidRPr="009B720F">
        <w:rPr>
          <w:bCs/>
        </w:rPr>
        <w:t>construct future FRM measures.</w:t>
      </w:r>
      <w:r w:rsidRPr="009B720F">
        <w:rPr>
          <w:bCs/>
          <w:color w:val="000000"/>
        </w:rPr>
        <w:t xml:space="preserve"> </w:t>
      </w:r>
    </w:p>
    <w:p w14:paraId="43F661E3" w14:textId="77777777" w:rsidR="00AD22FD" w:rsidRPr="009B720F" w:rsidRDefault="00AD22FD" w:rsidP="00AD22FD">
      <w:pPr>
        <w:pStyle w:val="TEXTBODY"/>
        <w:numPr>
          <w:ilvl w:val="0"/>
          <w:numId w:val="11"/>
        </w:numPr>
        <w:spacing w:line="276" w:lineRule="auto"/>
        <w:ind w:left="284" w:hanging="284"/>
        <w:rPr>
          <w:bCs/>
        </w:rPr>
      </w:pPr>
      <w:r w:rsidRPr="009B720F">
        <w:rPr>
          <w:bCs/>
        </w:rPr>
        <w:t xml:space="preserve">By using </w:t>
      </w:r>
      <w:r w:rsidRPr="009B720F">
        <w:rPr>
          <w:bCs/>
          <w:i/>
        </w:rPr>
        <w:t>robust measures</w:t>
      </w:r>
      <w:r w:rsidRPr="009B720F">
        <w:rPr>
          <w:bCs/>
        </w:rPr>
        <w:t>, i.e. measures that are suitable</w:t>
      </w:r>
      <w:r w:rsidRPr="009B720F">
        <w:rPr>
          <w:bCs/>
          <w:i/>
        </w:rPr>
        <w:t xml:space="preserve"> </w:t>
      </w:r>
      <w:r w:rsidRPr="009B720F">
        <w:rPr>
          <w:bCs/>
        </w:rPr>
        <w:t>over a wide range of plausible future scenarios (e.g. early-warning systems, emergency plans), as well as measures inherently</w:t>
      </w:r>
      <w:r w:rsidRPr="009B720F">
        <w:rPr>
          <w:bCs/>
          <w:i/>
        </w:rPr>
        <w:t xml:space="preserve"> flexible</w:t>
      </w:r>
      <w:r w:rsidRPr="009B720F">
        <w:rPr>
          <w:bCs/>
        </w:rPr>
        <w:t xml:space="preserve"> (easily adjustable, e.g. sand nourishments)</w:t>
      </w:r>
      <w:r w:rsidRPr="009B720F">
        <w:rPr>
          <w:bCs/>
          <w:lang w:val="en-US"/>
        </w:rPr>
        <w:t xml:space="preserve"> </w:t>
      </w:r>
      <w:r w:rsidRPr="009B720F">
        <w:rPr>
          <w:bCs/>
        </w:rPr>
        <w:t>(</w:t>
      </w:r>
      <w:r w:rsidRPr="009B720F">
        <w:rPr>
          <w:bCs/>
          <w:color w:val="7F7F7F" w:themeColor="text1" w:themeTint="80"/>
        </w:rPr>
        <w:t>Reeder and Ranger 2011, p.3, 12</w:t>
      </w:r>
      <w:r w:rsidRPr="009B720F">
        <w:rPr>
          <w:bCs/>
        </w:rPr>
        <w:t>).</w:t>
      </w:r>
    </w:p>
    <w:p w14:paraId="5E160E6A" w14:textId="77777777" w:rsidR="00AD22FD" w:rsidRPr="009B720F" w:rsidRDefault="00AD22FD" w:rsidP="00AD22FD">
      <w:pPr>
        <w:pStyle w:val="TEXTBODY"/>
        <w:numPr>
          <w:ilvl w:val="0"/>
          <w:numId w:val="11"/>
        </w:numPr>
        <w:spacing w:line="276" w:lineRule="auto"/>
        <w:ind w:left="284" w:hanging="284"/>
        <w:rPr>
          <w:bCs/>
        </w:rPr>
      </w:pPr>
      <w:r w:rsidRPr="009B720F">
        <w:rPr>
          <w:bCs/>
          <w:szCs w:val="22"/>
        </w:rPr>
        <w:t>By safeguarding land for future FRM measures</w:t>
      </w:r>
      <w:r w:rsidRPr="009B720F">
        <w:rPr>
          <w:bCs/>
          <w:i/>
          <w:iCs/>
          <w:szCs w:val="22"/>
        </w:rPr>
        <w:t xml:space="preserve"> </w:t>
      </w:r>
      <w:r w:rsidRPr="009B720F">
        <w:rPr>
          <w:bCs/>
          <w:szCs w:val="22"/>
        </w:rPr>
        <w:t>through land use planning. Many FRM/adaptation measures require land (new defences, enlarged defences, new areas for habitat creation, flood storage areas, managed realignment). In the TE2100, the allocation of land via the spatial planning system must be guided by the requirements of the</w:t>
      </w:r>
      <w:r w:rsidRPr="009B720F">
        <w:rPr>
          <w:bCs/>
          <w:i/>
          <w:iCs/>
          <w:szCs w:val="22"/>
        </w:rPr>
        <w:t xml:space="preserve"> Options</w:t>
      </w:r>
      <w:r w:rsidRPr="009B720F">
        <w:rPr>
          <w:bCs/>
          <w:szCs w:val="22"/>
        </w:rPr>
        <w:t xml:space="preserve">, </w:t>
      </w:r>
      <w:proofErr w:type="gramStart"/>
      <w:r w:rsidRPr="009B720F">
        <w:rPr>
          <w:bCs/>
          <w:szCs w:val="22"/>
        </w:rPr>
        <w:t>in order to</w:t>
      </w:r>
      <w:proofErr w:type="gramEnd"/>
      <w:r w:rsidRPr="009B720F">
        <w:rPr>
          <w:bCs/>
          <w:szCs w:val="22"/>
        </w:rPr>
        <w:t xml:space="preserve"> ensure they remain feasible (</w:t>
      </w:r>
      <w:r w:rsidRPr="009B720F">
        <w:rPr>
          <w:bCs/>
          <w:color w:val="7F7F7F" w:themeColor="text1" w:themeTint="80"/>
          <w:szCs w:val="22"/>
        </w:rPr>
        <w:t xml:space="preserve">EA 2012, p.35, 36, 38-39; EA 2009A, </w:t>
      </w:r>
      <w:proofErr w:type="spellStart"/>
      <w:r w:rsidRPr="009B720F">
        <w:rPr>
          <w:bCs/>
          <w:color w:val="7F7F7F" w:themeColor="text1" w:themeTint="80"/>
          <w:szCs w:val="22"/>
        </w:rPr>
        <w:t>p.xvi</w:t>
      </w:r>
      <w:proofErr w:type="spellEnd"/>
      <w:r w:rsidRPr="009B720F">
        <w:rPr>
          <w:bCs/>
          <w:color w:val="7F7F7F" w:themeColor="text1" w:themeTint="80"/>
          <w:szCs w:val="22"/>
        </w:rPr>
        <w:t>, 267, 278-279</w:t>
      </w:r>
      <w:r w:rsidRPr="009B720F">
        <w:rPr>
          <w:bCs/>
          <w:szCs w:val="22"/>
        </w:rPr>
        <w:t>).</w:t>
      </w:r>
    </w:p>
    <w:p w14:paraId="0F33E741" w14:textId="77777777" w:rsidR="00AD22FD" w:rsidRPr="009B720F" w:rsidRDefault="00AD22FD" w:rsidP="00AD22FD">
      <w:pPr>
        <w:pStyle w:val="TEXTBODY"/>
        <w:numPr>
          <w:ilvl w:val="0"/>
          <w:numId w:val="11"/>
        </w:numPr>
        <w:spacing w:line="276" w:lineRule="auto"/>
        <w:ind w:left="284" w:hanging="284"/>
        <w:rPr>
          <w:bCs/>
        </w:rPr>
      </w:pPr>
      <w:r w:rsidRPr="009B720F">
        <w:rPr>
          <w:bCs/>
        </w:rPr>
        <w:t>Through the integration (mainstreaming) of the proposed FRM/adaptation measures with other agendas or multi-objective investments, namely into works of maintenance or upgrade of defences (</w:t>
      </w:r>
      <w:r w:rsidRPr="009B720F">
        <w:rPr>
          <w:bCs/>
          <w:color w:val="7F7F7F" w:themeColor="text1" w:themeTint="80"/>
        </w:rPr>
        <w:t xml:space="preserve">Ramsbottom and Sheppard 2017, p.5; </w:t>
      </w:r>
      <w:proofErr w:type="spellStart"/>
      <w:r w:rsidRPr="009B720F">
        <w:rPr>
          <w:bCs/>
          <w:color w:val="7F7F7F" w:themeColor="text1" w:themeTint="80"/>
        </w:rPr>
        <w:t>Jeuken</w:t>
      </w:r>
      <w:proofErr w:type="spellEnd"/>
      <w:r w:rsidRPr="009B720F">
        <w:rPr>
          <w:bCs/>
          <w:color w:val="7F7F7F" w:themeColor="text1" w:themeTint="80"/>
        </w:rPr>
        <w:t xml:space="preserve"> et al. 2014, p.1</w:t>
      </w:r>
      <w:r w:rsidRPr="009B720F">
        <w:rPr>
          <w:bCs/>
        </w:rPr>
        <w:t xml:space="preserve">), and </w:t>
      </w:r>
      <w:r w:rsidRPr="009B720F">
        <w:rPr>
          <w:bCs/>
          <w:szCs w:val="22"/>
        </w:rPr>
        <w:t>through (by ensuring) the adaptation of new infrastructure</w:t>
      </w:r>
      <w:r w:rsidRPr="009B720F">
        <w:rPr>
          <w:bCs/>
          <w:color w:val="C00000"/>
          <w:szCs w:val="22"/>
        </w:rPr>
        <w:t>s</w:t>
      </w:r>
      <w:r w:rsidRPr="009B720F">
        <w:rPr>
          <w:bCs/>
          <w:szCs w:val="22"/>
        </w:rPr>
        <w:t xml:space="preserve"> in the TE (like new transport links, ports, e.g. the expected </w:t>
      </w:r>
      <w:r w:rsidRPr="009B720F">
        <w:rPr>
          <w:bCs/>
          <w:szCs w:val="22"/>
        </w:rPr>
        <w:lastRenderedPageBreak/>
        <w:t>London Gateway Port at Shell Haven, etc.) that offer opportunities to combine FRM / adaptation measures with these investments and that can bring their implementation forward (if this is justified by synergies and funding opportunities) (</w:t>
      </w:r>
      <w:r w:rsidRPr="009B720F">
        <w:rPr>
          <w:bCs/>
          <w:color w:val="7F7F7F" w:themeColor="text1" w:themeTint="80"/>
          <w:szCs w:val="22"/>
        </w:rPr>
        <w:t xml:space="preserve">EA 2012, p.35, 36, 38-39; EA 2009A, </w:t>
      </w:r>
      <w:proofErr w:type="spellStart"/>
      <w:r w:rsidRPr="009B720F">
        <w:rPr>
          <w:bCs/>
          <w:color w:val="7F7F7F" w:themeColor="text1" w:themeTint="80"/>
          <w:szCs w:val="22"/>
        </w:rPr>
        <w:t>p.xvi</w:t>
      </w:r>
      <w:proofErr w:type="spellEnd"/>
      <w:r w:rsidRPr="009B720F">
        <w:rPr>
          <w:bCs/>
          <w:color w:val="7F7F7F" w:themeColor="text1" w:themeTint="80"/>
          <w:szCs w:val="22"/>
        </w:rPr>
        <w:t>, 267, 278-279</w:t>
      </w:r>
      <w:r w:rsidRPr="009B720F">
        <w:rPr>
          <w:bCs/>
          <w:szCs w:val="22"/>
        </w:rPr>
        <w:t xml:space="preserve">). </w:t>
      </w:r>
    </w:p>
    <w:p w14:paraId="553B6DEC" w14:textId="77777777" w:rsidR="00AD22FD" w:rsidRPr="009B720F" w:rsidRDefault="00AD22FD" w:rsidP="00AD22FD">
      <w:pPr>
        <w:pStyle w:val="TEXTBODY"/>
        <w:spacing w:line="276" w:lineRule="auto"/>
        <w:rPr>
          <w:rFonts w:cs="Arial"/>
          <w:bCs/>
          <w:noProof/>
          <w:szCs w:val="18"/>
        </w:rPr>
      </w:pPr>
      <w:r w:rsidRPr="009B720F">
        <w:rPr>
          <w:bCs/>
        </w:rPr>
        <w:t>These were the main ways of incorporating and enhancing</w:t>
      </w:r>
      <w:r w:rsidRPr="009B720F">
        <w:rPr>
          <w:bCs/>
          <w:i/>
          <w:iCs/>
        </w:rPr>
        <w:t xml:space="preserve"> robustness</w:t>
      </w:r>
      <w:r w:rsidRPr="009B720F">
        <w:rPr>
          <w:bCs/>
        </w:rPr>
        <w:t xml:space="preserve"> and </w:t>
      </w:r>
      <w:r w:rsidRPr="009B720F">
        <w:rPr>
          <w:bCs/>
          <w:i/>
          <w:iCs/>
        </w:rPr>
        <w:t>flexibility</w:t>
      </w:r>
      <w:r w:rsidRPr="009B720F">
        <w:rPr>
          <w:bCs/>
        </w:rPr>
        <w:t xml:space="preserve"> into the TE2100Plan or its pathways</w:t>
      </w:r>
      <w:r w:rsidRPr="00E74925">
        <w:rPr>
          <w:bCs/>
        </w:rPr>
        <w:t xml:space="preserve">. These aspects also correspond to various </w:t>
      </w:r>
      <w:r w:rsidRPr="009B720F">
        <w:rPr>
          <w:bCs/>
        </w:rPr>
        <w:t>ways to address / respond to changes as these are monitored or each time the Plan is reviewed or updated</w:t>
      </w:r>
      <w:r w:rsidRPr="009B720F">
        <w:rPr>
          <w:rStyle w:val="Refdenotaderodap"/>
          <w:bCs/>
        </w:rPr>
        <w:footnoteReference w:id="61"/>
      </w:r>
      <w:r w:rsidRPr="009B720F">
        <w:rPr>
          <w:bCs/>
        </w:rPr>
        <w:t xml:space="preserve">, and thus, reflect diverse ways through which the Plan is </w:t>
      </w:r>
      <w:r w:rsidRPr="009B720F">
        <w:rPr>
          <w:bCs/>
          <w:i/>
          <w:iCs/>
        </w:rPr>
        <w:t xml:space="preserve">robust </w:t>
      </w:r>
      <w:r w:rsidRPr="009B720F">
        <w:rPr>
          <w:bCs/>
        </w:rPr>
        <w:t xml:space="preserve">and </w:t>
      </w:r>
      <w:r w:rsidRPr="009B720F">
        <w:rPr>
          <w:bCs/>
          <w:i/>
          <w:iCs/>
        </w:rPr>
        <w:t>adaptable</w:t>
      </w:r>
      <w:r w:rsidRPr="009B720F">
        <w:rPr>
          <w:bCs/>
        </w:rPr>
        <w:t xml:space="preserve"> to uncertain future changes. Indeed, </w:t>
      </w:r>
      <w:r w:rsidRPr="009B720F">
        <w:rPr>
          <w:bCs/>
          <w:i/>
          <w:iCs/>
        </w:rPr>
        <w:t>adaptability</w:t>
      </w:r>
      <w:r w:rsidRPr="009B720F">
        <w:rPr>
          <w:bCs/>
        </w:rPr>
        <w:t xml:space="preserve"> is a key feature of the TE2100 Plan, which makes it possible to achieve the objectives throughout the next 100 years despite uncertain future conditions and changes</w:t>
      </w:r>
      <w:r w:rsidRPr="009B720F">
        <w:rPr>
          <w:bCs/>
          <w:i/>
          <w:iCs/>
        </w:rPr>
        <w:t xml:space="preserve"> </w:t>
      </w:r>
      <w:r w:rsidRPr="009B720F">
        <w:rPr>
          <w:bCs/>
        </w:rPr>
        <w:t>(</w:t>
      </w:r>
      <w:r w:rsidRPr="009B720F">
        <w:rPr>
          <w:bCs/>
          <w:color w:val="7F7F7F" w:themeColor="text1" w:themeTint="80"/>
        </w:rPr>
        <w:t>EA 2009A, p.84</w:t>
      </w:r>
      <w:r w:rsidRPr="009B720F">
        <w:rPr>
          <w:bCs/>
        </w:rPr>
        <w:t>).</w:t>
      </w:r>
      <w:r w:rsidRPr="009B720F">
        <w:rPr>
          <w:rFonts w:cs="Arial"/>
          <w:bCs/>
          <w:noProof/>
          <w:szCs w:val="18"/>
        </w:rPr>
        <w:t xml:space="preserve"> </w:t>
      </w:r>
    </w:p>
    <w:p w14:paraId="63F4D13F" w14:textId="77777777" w:rsidR="00AD22FD" w:rsidRPr="009B720F" w:rsidRDefault="00AD22FD" w:rsidP="00AD22FD">
      <w:pPr>
        <w:pStyle w:val="TEXTBODY"/>
        <w:spacing w:line="276" w:lineRule="auto"/>
        <w:rPr>
          <w:bCs/>
          <w:i/>
          <w:iCs/>
          <w:szCs w:val="22"/>
        </w:rPr>
      </w:pPr>
      <w:r w:rsidRPr="009B720F">
        <w:rPr>
          <w:bCs/>
          <w:szCs w:val="22"/>
        </w:rPr>
        <w:t xml:space="preserve">As referred in the Technical Report, </w:t>
      </w:r>
      <w:bookmarkStart w:id="87" w:name="_Hlk137739891"/>
      <w:r w:rsidRPr="009B720F">
        <w:rPr>
          <w:bCs/>
          <w:szCs w:val="22"/>
        </w:rPr>
        <w:t>the TE2100 Plan provides</w:t>
      </w:r>
      <w:r w:rsidRPr="009B720F">
        <w:rPr>
          <w:bCs/>
          <w:i/>
          <w:iCs/>
          <w:szCs w:val="22"/>
        </w:rPr>
        <w:t xml:space="preserve"> </w:t>
      </w:r>
      <w:r w:rsidRPr="009B720F">
        <w:rPr>
          <w:bCs/>
          <w:szCs w:val="22"/>
        </w:rPr>
        <w:t>‘</w:t>
      </w:r>
      <w:r w:rsidRPr="009B720F">
        <w:rPr>
          <w:bCs/>
          <w:i/>
          <w:iCs/>
          <w:szCs w:val="22"/>
        </w:rPr>
        <w:t>a set of Options</w:t>
      </w:r>
      <w:r w:rsidRPr="009B720F">
        <w:rPr>
          <w:bCs/>
          <w:szCs w:val="22"/>
        </w:rPr>
        <w:t xml:space="preserve">’ which includes the </w:t>
      </w:r>
      <w:r w:rsidRPr="009B720F">
        <w:rPr>
          <w:bCs/>
          <w:i/>
          <w:iCs/>
          <w:szCs w:val="22"/>
        </w:rPr>
        <w:t>preferred Options</w:t>
      </w:r>
      <w:r w:rsidRPr="009B720F">
        <w:rPr>
          <w:bCs/>
          <w:szCs w:val="22"/>
        </w:rPr>
        <w:t xml:space="preserve"> but also other alternative </w:t>
      </w:r>
      <w:r w:rsidRPr="009B720F">
        <w:rPr>
          <w:bCs/>
          <w:i/>
          <w:iCs/>
          <w:szCs w:val="22"/>
        </w:rPr>
        <w:t>Options</w:t>
      </w:r>
      <w:r w:rsidRPr="009B720F">
        <w:rPr>
          <w:bCs/>
          <w:szCs w:val="22"/>
        </w:rPr>
        <w:t xml:space="preserve"> (which might be necessary if the preferred</w:t>
      </w:r>
      <w:r w:rsidRPr="009B720F">
        <w:rPr>
          <w:bCs/>
          <w:i/>
          <w:iCs/>
          <w:szCs w:val="22"/>
        </w:rPr>
        <w:t xml:space="preserve"> Options</w:t>
      </w:r>
      <w:r w:rsidRPr="009B720F">
        <w:rPr>
          <w:bCs/>
          <w:szCs w:val="22"/>
        </w:rPr>
        <w:t xml:space="preserve"> are no longer effective because the actual rate of change differs from the expected</w:t>
      </w:r>
      <w:r w:rsidRPr="009B720F">
        <w:rPr>
          <w:bCs/>
          <w:i/>
          <w:iCs/>
          <w:szCs w:val="22"/>
        </w:rPr>
        <w:t xml:space="preserve"> </w:t>
      </w:r>
      <w:r w:rsidRPr="009B720F">
        <w:rPr>
          <w:bCs/>
          <w:szCs w:val="22"/>
        </w:rPr>
        <w:t xml:space="preserve">– this is </w:t>
      </w:r>
      <w:r w:rsidRPr="009B720F">
        <w:rPr>
          <w:bCs/>
          <w:i/>
          <w:iCs/>
          <w:szCs w:val="22"/>
        </w:rPr>
        <w:t>a key output of the TE2100 Plan</w:t>
      </w:r>
      <w:r w:rsidRPr="009B720F">
        <w:rPr>
          <w:bCs/>
          <w:szCs w:val="22"/>
        </w:rPr>
        <w:t xml:space="preserve"> (</w:t>
      </w:r>
      <w:r w:rsidRPr="009B720F">
        <w:rPr>
          <w:bCs/>
          <w:color w:val="7F7F7F" w:themeColor="text1" w:themeTint="80"/>
          <w:szCs w:val="22"/>
        </w:rPr>
        <w:t>EA 2009A, p.279</w:t>
      </w:r>
      <w:r w:rsidRPr="009B720F">
        <w:rPr>
          <w:bCs/>
          <w:szCs w:val="22"/>
        </w:rPr>
        <w:t>).</w:t>
      </w:r>
      <w:r w:rsidRPr="009B720F">
        <w:rPr>
          <w:bCs/>
          <w:i/>
          <w:iCs/>
          <w:szCs w:val="22"/>
        </w:rPr>
        <w:t xml:space="preserve"> </w:t>
      </w:r>
      <w:bookmarkEnd w:id="87"/>
    </w:p>
    <w:p w14:paraId="420C47E9" w14:textId="77777777" w:rsidR="00AD22FD" w:rsidRDefault="00AD22FD" w:rsidP="00AD22FD">
      <w:pPr>
        <w:pStyle w:val="TEXTBODY"/>
        <w:spacing w:after="0" w:line="240" w:lineRule="auto"/>
        <w:ind w:left="284"/>
        <w:rPr>
          <w:rFonts w:asciiTheme="minorHAnsi" w:hAnsiTheme="minorHAnsi" w:cstheme="minorHAnsi"/>
          <w:b/>
          <w:sz w:val="16"/>
          <w:szCs w:val="16"/>
          <w:lang w:val="en-US"/>
        </w:rPr>
      </w:pPr>
      <w:r w:rsidRPr="009B720F">
        <w:rPr>
          <w:bCs/>
          <w:noProof/>
        </w:rPr>
        <mc:AlternateContent>
          <mc:Choice Requires="wps">
            <w:drawing>
              <wp:anchor distT="45720" distB="45720" distL="114300" distR="114300" simplePos="0" relativeHeight="252746240" behindDoc="1" locked="0" layoutInCell="1" allowOverlap="1" wp14:anchorId="681C060C" wp14:editId="1620DCD1">
                <wp:simplePos x="0" y="0"/>
                <wp:positionH relativeFrom="page">
                  <wp:posOffset>676275</wp:posOffset>
                </wp:positionH>
                <wp:positionV relativeFrom="paragraph">
                  <wp:posOffset>18415</wp:posOffset>
                </wp:positionV>
                <wp:extent cx="6334125" cy="1962150"/>
                <wp:effectExtent l="0" t="0" r="9525" b="0"/>
                <wp:wrapNone/>
                <wp:docPr id="159220288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125" cy="1962150"/>
                        </a:xfrm>
                        <a:prstGeom prst="rect">
                          <a:avLst/>
                        </a:prstGeom>
                        <a:solidFill>
                          <a:srgbClr val="4F81BD">
                            <a:lumMod val="20000"/>
                            <a:lumOff val="80000"/>
                          </a:srgbClr>
                        </a:solidFill>
                        <a:ln w="9525">
                          <a:noFill/>
                          <a:miter lim="800000"/>
                          <a:headEnd/>
                          <a:tailEnd/>
                        </a:ln>
                      </wps:spPr>
                      <wps:txbx>
                        <w:txbxContent>
                          <w:p w14:paraId="63BA9F2B" w14:textId="77777777" w:rsidR="00AD22FD" w:rsidRPr="009B720F" w:rsidRDefault="00AD22FD" w:rsidP="00AD22FD">
                            <w:pPr>
                              <w:pStyle w:val="TEXTBODY"/>
                              <w:tabs>
                                <w:tab w:val="left" w:pos="284"/>
                              </w:tabs>
                              <w:spacing w:after="0" w:line="240" w:lineRule="auto"/>
                              <w:rPr>
                                <w:b/>
                                <w:i/>
                                <w:iCs/>
                                <w:sz w:val="20"/>
                              </w:rPr>
                            </w:pPr>
                            <w:r w:rsidRPr="009B720F">
                              <w:rPr>
                                <w:rFonts w:asciiTheme="minorHAnsi" w:hAnsiTheme="minorHAnsi" w:cstheme="minorHAnsi"/>
                                <w:b/>
                                <w:sz w:val="16"/>
                                <w:szCs w:val="16"/>
                                <w:lang w:val="en-US"/>
                              </w:rPr>
                              <w:t>Methodological approach</w:t>
                            </w:r>
                            <w:r w:rsidRPr="009B720F">
                              <w:rPr>
                                <w:rFonts w:asciiTheme="minorHAnsi" w:hAnsiTheme="minorHAnsi" w:cstheme="minorHAnsi"/>
                                <w:b/>
                                <w:i/>
                                <w:iCs/>
                                <w:sz w:val="16"/>
                                <w:szCs w:val="16"/>
                              </w:rPr>
                              <w:t xml:space="preserve"> for Option development</w:t>
                            </w:r>
                          </w:p>
                          <w:p w14:paraId="0979234B" w14:textId="77777777" w:rsidR="00AD22FD" w:rsidRPr="009B720F" w:rsidRDefault="00AD22FD" w:rsidP="00AD22FD">
                            <w:pPr>
                              <w:pStyle w:val="TEXTBODY"/>
                              <w:tabs>
                                <w:tab w:val="left" w:pos="284"/>
                              </w:tabs>
                              <w:spacing w:after="0" w:line="240" w:lineRule="auto"/>
                              <w:jc w:val="left"/>
                              <w:rPr>
                                <w:rFonts w:asciiTheme="minorHAnsi" w:hAnsiTheme="minorHAnsi" w:cstheme="minorHAnsi"/>
                                <w:bCs/>
                                <w:color w:val="FF0000"/>
                                <w:sz w:val="16"/>
                                <w:szCs w:val="16"/>
                                <w:lang w:val="en-US"/>
                              </w:rPr>
                            </w:pPr>
                            <w:r w:rsidRPr="009B720F">
                              <w:rPr>
                                <w:rFonts w:asciiTheme="minorHAnsi" w:hAnsiTheme="minorHAnsi" w:cstheme="minorHAnsi"/>
                                <w:bCs/>
                                <w:sz w:val="16"/>
                                <w:szCs w:val="16"/>
                                <w:lang w:val="en-US"/>
                              </w:rPr>
                              <w:t xml:space="preserve">The Team had studied and developed several tools and techniques to develop a range of </w:t>
                            </w:r>
                            <w:r w:rsidRPr="009B720F">
                              <w:rPr>
                                <w:rFonts w:asciiTheme="minorHAnsi" w:hAnsiTheme="minorHAnsi" w:cstheme="minorHAnsi"/>
                                <w:bCs/>
                                <w:i/>
                                <w:iCs/>
                                <w:sz w:val="16"/>
                                <w:szCs w:val="16"/>
                                <w:lang w:val="en-US"/>
                              </w:rPr>
                              <w:t>Options</w:t>
                            </w:r>
                            <w:r w:rsidRPr="009B720F">
                              <w:rPr>
                                <w:rFonts w:asciiTheme="minorHAnsi" w:hAnsiTheme="minorHAnsi" w:cstheme="minorHAnsi"/>
                                <w:bCs/>
                                <w:sz w:val="16"/>
                                <w:szCs w:val="16"/>
                                <w:lang w:val="en-US"/>
                              </w:rPr>
                              <w:t xml:space="preserve"> to manage flood risk </w:t>
                            </w:r>
                            <w:r w:rsidRPr="009B720F">
                              <w:rPr>
                                <w:rFonts w:asciiTheme="minorHAnsi" w:hAnsiTheme="minorHAnsi" w:cstheme="minorHAnsi"/>
                                <w:bCs/>
                                <w:sz w:val="16"/>
                                <w:szCs w:val="16"/>
                              </w:rPr>
                              <w:t>(</w:t>
                            </w:r>
                            <w:r w:rsidRPr="009B720F">
                              <w:rPr>
                                <w:rFonts w:asciiTheme="minorHAnsi" w:hAnsiTheme="minorHAnsi" w:cstheme="minorHAnsi"/>
                                <w:bCs/>
                                <w:color w:val="7F7F7F" w:themeColor="text1" w:themeTint="80"/>
                                <w:sz w:val="16"/>
                                <w:szCs w:val="16"/>
                              </w:rPr>
                              <w:t xml:space="preserve">EA 2009A, </w:t>
                            </w:r>
                            <w:proofErr w:type="spellStart"/>
                            <w:r w:rsidRPr="009B720F">
                              <w:rPr>
                                <w:rFonts w:asciiTheme="minorHAnsi" w:hAnsiTheme="minorHAnsi" w:cstheme="minorHAnsi"/>
                                <w:bCs/>
                                <w:color w:val="7F7F7F" w:themeColor="text1" w:themeTint="80"/>
                                <w:sz w:val="16"/>
                                <w:szCs w:val="16"/>
                              </w:rPr>
                              <w:t>p.x</w:t>
                            </w:r>
                            <w:proofErr w:type="spellEnd"/>
                            <w:r w:rsidRPr="009B720F">
                              <w:rPr>
                                <w:rFonts w:asciiTheme="minorHAnsi" w:hAnsiTheme="minorHAnsi" w:cstheme="minorHAnsi"/>
                                <w:bCs/>
                                <w:sz w:val="16"/>
                                <w:szCs w:val="16"/>
                              </w:rPr>
                              <w:t xml:space="preserve">). </w:t>
                            </w:r>
                            <w:bookmarkStart w:id="88" w:name="_Hlk137741271"/>
                            <w:r w:rsidRPr="009B720F">
                              <w:rPr>
                                <w:rFonts w:asciiTheme="minorHAnsi" w:hAnsiTheme="minorHAnsi" w:cstheme="minorHAnsi"/>
                                <w:bCs/>
                                <w:sz w:val="16"/>
                                <w:szCs w:val="16"/>
                                <w:lang w:val="en-US"/>
                              </w:rPr>
                              <w:t xml:space="preserve">As mentioned in the Technical Report, </w:t>
                            </w:r>
                            <w:bookmarkStart w:id="89" w:name="_Hlk141887909"/>
                            <w:r w:rsidRPr="009B720F">
                              <w:rPr>
                                <w:rFonts w:asciiTheme="minorHAnsi" w:hAnsiTheme="minorHAnsi" w:cstheme="minorHAnsi"/>
                                <w:bCs/>
                                <w:sz w:val="16"/>
                                <w:szCs w:val="16"/>
                                <w:lang w:val="en-US"/>
                              </w:rPr>
                              <w:t>t</w:t>
                            </w:r>
                            <w:r w:rsidRPr="009B720F">
                              <w:rPr>
                                <w:rFonts w:asciiTheme="minorHAnsi" w:hAnsiTheme="minorHAnsi" w:cstheme="minorHAnsi"/>
                                <w:bCs/>
                                <w:sz w:val="16"/>
                                <w:szCs w:val="16"/>
                              </w:rPr>
                              <w:t xml:space="preserve">he Team has developed a </w:t>
                            </w:r>
                            <w:r w:rsidRPr="009B720F">
                              <w:rPr>
                                <w:rFonts w:asciiTheme="minorHAnsi" w:hAnsiTheme="minorHAnsi" w:cstheme="minorHAnsi"/>
                                <w:bCs/>
                                <w:i/>
                                <w:iCs/>
                                <w:sz w:val="16"/>
                                <w:szCs w:val="16"/>
                              </w:rPr>
                              <w:t>methodology to test different FRM measures against differing CC scenarios, which has led to the concept and development of flexible, adaptable Options for FRM</w:t>
                            </w:r>
                            <w:r w:rsidRPr="009B720F">
                              <w:rPr>
                                <w:rFonts w:asciiTheme="minorHAnsi" w:hAnsiTheme="minorHAnsi" w:cstheme="minorHAnsi"/>
                                <w:bCs/>
                                <w:sz w:val="16"/>
                                <w:szCs w:val="16"/>
                              </w:rPr>
                              <w:t xml:space="preserve"> – this has been ‘</w:t>
                            </w:r>
                            <w:r w:rsidRPr="009B720F">
                              <w:rPr>
                                <w:rFonts w:asciiTheme="minorHAnsi" w:hAnsiTheme="minorHAnsi" w:cstheme="minorHAnsi"/>
                                <w:bCs/>
                                <w:i/>
                                <w:iCs/>
                                <w:sz w:val="16"/>
                                <w:szCs w:val="16"/>
                              </w:rPr>
                              <w:t>fundamental to, and the basis of, the adaptability of the TE2100 Plan</w:t>
                            </w:r>
                            <w:r w:rsidRPr="009B720F">
                              <w:rPr>
                                <w:rFonts w:asciiTheme="minorHAnsi" w:hAnsiTheme="minorHAnsi" w:cstheme="minorHAnsi"/>
                                <w:bCs/>
                                <w:sz w:val="16"/>
                                <w:szCs w:val="16"/>
                              </w:rPr>
                              <w:t>’ (</w:t>
                            </w:r>
                            <w:r w:rsidRPr="009B720F">
                              <w:rPr>
                                <w:rFonts w:asciiTheme="minorHAnsi" w:hAnsiTheme="minorHAnsi" w:cstheme="minorHAnsi"/>
                                <w:bCs/>
                                <w:color w:val="7F7F7F" w:themeColor="text1" w:themeTint="80"/>
                                <w:sz w:val="16"/>
                                <w:szCs w:val="16"/>
                              </w:rPr>
                              <w:t xml:space="preserve">EA 2009A, p.71; xv; </w:t>
                            </w:r>
                            <w:r w:rsidRPr="009B720F">
                              <w:rPr>
                                <w:rFonts w:asciiTheme="minorHAnsi" w:eastAsiaTheme="minorHAnsi" w:hAnsiTheme="minorHAnsi" w:cstheme="minorHAnsi"/>
                                <w:bCs/>
                                <w:color w:val="7F7F7F" w:themeColor="text1" w:themeTint="80"/>
                                <w:lang w:eastAsia="en-US"/>
                              </w:rPr>
                              <w:t>EA 2009b, p.1</w:t>
                            </w:r>
                            <w:r w:rsidRPr="009B720F">
                              <w:rPr>
                                <w:rFonts w:asciiTheme="minorHAnsi" w:hAnsiTheme="minorHAnsi" w:cstheme="minorHAnsi"/>
                                <w:bCs/>
                                <w:sz w:val="16"/>
                                <w:szCs w:val="16"/>
                              </w:rPr>
                              <w:t>).</w:t>
                            </w:r>
                            <w:r w:rsidRPr="009B720F">
                              <w:rPr>
                                <w:rStyle w:val="Refdenotaderodap"/>
                                <w:rFonts w:asciiTheme="minorHAnsi" w:hAnsiTheme="minorHAnsi" w:cstheme="minorHAnsi"/>
                                <w:bCs/>
                                <w:sz w:val="16"/>
                                <w:szCs w:val="16"/>
                              </w:rPr>
                              <w:footnoteRef/>
                            </w:r>
                            <w:r w:rsidRPr="009B720F">
                              <w:rPr>
                                <w:rFonts w:asciiTheme="minorHAnsi" w:hAnsiTheme="minorHAnsi" w:cstheme="minorHAnsi"/>
                                <w:bCs/>
                                <w:sz w:val="16"/>
                                <w:szCs w:val="16"/>
                              </w:rPr>
                              <w:t xml:space="preserve"> </w:t>
                            </w:r>
                            <w:bookmarkEnd w:id="88"/>
                            <w:bookmarkEnd w:id="89"/>
                          </w:p>
                          <w:p w14:paraId="074BB297" w14:textId="77777777" w:rsidR="00AD22FD" w:rsidRPr="009B720F" w:rsidRDefault="00AD22FD" w:rsidP="00AD22FD">
                            <w:pPr>
                              <w:tabs>
                                <w:tab w:val="left" w:pos="284"/>
                              </w:tabs>
                              <w:spacing w:after="0" w:line="240" w:lineRule="auto"/>
                              <w:rPr>
                                <w:rFonts w:asciiTheme="minorHAnsi" w:hAnsiTheme="minorHAnsi" w:cstheme="minorHAnsi"/>
                                <w:bCs/>
                                <w:sz w:val="16"/>
                                <w:szCs w:val="16"/>
                              </w:rPr>
                            </w:pPr>
                          </w:p>
                          <w:p w14:paraId="7E0F0320" w14:textId="77777777" w:rsidR="00AD22FD" w:rsidRPr="009B720F" w:rsidRDefault="00AD22FD" w:rsidP="00AD22FD">
                            <w:pPr>
                              <w:pStyle w:val="tablecontenttext"/>
                              <w:tabs>
                                <w:tab w:val="left" w:pos="284"/>
                              </w:tabs>
                              <w:spacing w:line="240" w:lineRule="auto"/>
                              <w:rPr>
                                <w:rFonts w:asciiTheme="minorHAnsi" w:eastAsiaTheme="minorHAnsi" w:hAnsiTheme="minorHAnsi" w:cstheme="minorHAnsi"/>
                                <w:color w:val="215868" w:themeColor="accent5" w:themeShade="80"/>
                                <w:lang w:eastAsia="en-US"/>
                              </w:rPr>
                            </w:pPr>
                            <w:bookmarkStart w:id="90" w:name="_Hlk137741405"/>
                            <w:r w:rsidRPr="009B720F">
                              <w:rPr>
                                <w:rFonts w:asciiTheme="minorHAnsi" w:hAnsiTheme="minorHAnsi" w:cstheme="minorHAnsi"/>
                              </w:rPr>
                              <w:t xml:space="preserve">The TE2100 Team devised an approach for the development of the Plan and its strategies (the so-called </w:t>
                            </w:r>
                            <w:r w:rsidRPr="009B720F">
                              <w:rPr>
                                <w:rFonts w:asciiTheme="minorHAnsi" w:hAnsiTheme="minorHAnsi" w:cstheme="minorHAnsi"/>
                                <w:i/>
                                <w:iCs w:val="0"/>
                              </w:rPr>
                              <w:t>Options</w:t>
                            </w:r>
                            <w:r w:rsidRPr="009B720F">
                              <w:rPr>
                                <w:rFonts w:asciiTheme="minorHAnsi" w:hAnsiTheme="minorHAnsi" w:cstheme="minorHAnsi"/>
                              </w:rPr>
                              <w:t xml:space="preserve">) that aimed to deal with the uncertainties surrounding the projections of future CC and developments in the TE. It devised a method of developing various </w:t>
                            </w:r>
                            <w:r w:rsidRPr="009B720F">
                              <w:rPr>
                                <w:rFonts w:asciiTheme="minorHAnsi" w:hAnsiTheme="minorHAnsi" w:cstheme="minorHAnsi"/>
                                <w:i/>
                                <w:iCs w:val="0"/>
                              </w:rPr>
                              <w:t>FRM Options</w:t>
                            </w:r>
                            <w:r w:rsidRPr="009B720F">
                              <w:rPr>
                                <w:rFonts w:asciiTheme="minorHAnsi" w:hAnsiTheme="minorHAnsi" w:cstheme="minorHAnsi"/>
                              </w:rPr>
                              <w:t xml:space="preserve"> as pathways (each pathway as a ‘</w:t>
                            </w:r>
                            <w:r w:rsidRPr="009B720F">
                              <w:rPr>
                                <w:rFonts w:asciiTheme="minorHAnsi" w:hAnsiTheme="minorHAnsi" w:cstheme="minorHAnsi"/>
                                <w:i/>
                                <w:iCs w:val="0"/>
                              </w:rPr>
                              <w:t>package’</w:t>
                            </w:r>
                            <w:r w:rsidRPr="009B720F">
                              <w:rPr>
                                <w:rFonts w:asciiTheme="minorHAnsi" w:hAnsiTheme="minorHAnsi" w:cstheme="minorHAnsi"/>
                              </w:rPr>
                              <w:t xml:space="preserve"> of sequenced measures, i.e. a set of sequenced measures or portfolios to cope with thresholds over time) </w:t>
                            </w:r>
                            <w:r w:rsidRPr="009B720F">
                              <w:rPr>
                                <w:rFonts w:asciiTheme="minorHAnsi" w:eastAsiaTheme="minorHAnsi" w:hAnsiTheme="minorHAnsi" w:cstheme="minorHAnsi"/>
                                <w:lang w:eastAsia="en-US"/>
                              </w:rPr>
                              <w:t>(</w:t>
                            </w:r>
                            <w:r w:rsidRPr="009B720F">
                              <w:rPr>
                                <w:rFonts w:asciiTheme="minorHAnsi" w:eastAsiaTheme="minorHAnsi" w:hAnsiTheme="minorHAnsi" w:cstheme="minorHAnsi"/>
                                <w:color w:val="7F7F7F" w:themeColor="text1" w:themeTint="80"/>
                                <w:lang w:eastAsia="en-US"/>
                              </w:rPr>
                              <w:t>EA 2009b, p.3; Lowe et al. 2009, p.86</w:t>
                            </w:r>
                            <w:r w:rsidRPr="009B720F">
                              <w:rPr>
                                <w:rFonts w:asciiTheme="minorHAnsi" w:eastAsiaTheme="minorHAnsi" w:hAnsiTheme="minorHAnsi" w:cstheme="minorHAnsi"/>
                                <w:lang w:eastAsia="en-US"/>
                              </w:rPr>
                              <w:t xml:space="preserve">). </w:t>
                            </w:r>
                            <w:r w:rsidRPr="009B720F">
                              <w:rPr>
                                <w:rFonts w:asciiTheme="minorHAnsi" w:hAnsiTheme="minorHAnsi" w:cstheme="minorHAnsi"/>
                              </w:rPr>
                              <w:t xml:space="preserve">Using this approach, the TE2100 Team produced its </w:t>
                            </w:r>
                            <w:r w:rsidRPr="009B720F">
                              <w:rPr>
                                <w:rFonts w:asciiTheme="minorHAnsi" w:hAnsiTheme="minorHAnsi" w:cstheme="minorHAnsi"/>
                                <w:i/>
                                <w:iCs w:val="0"/>
                              </w:rPr>
                              <w:t>High-level Options</w:t>
                            </w:r>
                            <w:r w:rsidRPr="009B720F">
                              <w:rPr>
                                <w:rFonts w:asciiTheme="minorHAnsi" w:hAnsiTheme="minorHAnsi" w:cstheme="minorHAnsi"/>
                              </w:rPr>
                              <w:t xml:space="preserve"> (</w:t>
                            </w:r>
                            <w:r w:rsidRPr="009B720F">
                              <w:rPr>
                                <w:rFonts w:asciiTheme="minorHAnsi" w:hAnsiTheme="minorHAnsi" w:cstheme="minorHAnsi"/>
                                <w:i/>
                                <w:iCs w:val="0"/>
                              </w:rPr>
                              <w:t>HLOs</w:t>
                            </w:r>
                            <w:r w:rsidRPr="009B720F">
                              <w:rPr>
                                <w:rFonts w:asciiTheme="minorHAnsi" w:hAnsiTheme="minorHAnsi" w:cstheme="minorHAnsi"/>
                              </w:rPr>
                              <w:t xml:space="preserve">) in 2007 – these were a set of FRM </w:t>
                            </w:r>
                            <w:r w:rsidRPr="009B720F">
                              <w:rPr>
                                <w:rFonts w:asciiTheme="minorHAnsi" w:hAnsiTheme="minorHAnsi" w:cstheme="minorHAnsi"/>
                                <w:i/>
                                <w:iCs w:val="0"/>
                              </w:rPr>
                              <w:t>Options</w:t>
                            </w:r>
                            <w:r w:rsidRPr="009B720F">
                              <w:rPr>
                                <w:rFonts w:asciiTheme="minorHAnsi" w:hAnsiTheme="minorHAnsi" w:cstheme="minorHAnsi"/>
                              </w:rPr>
                              <w:t xml:space="preserve"> (HLO1, 2, 3a, 3b, and 4) </w:t>
                            </w:r>
                            <w:r w:rsidRPr="009B720F">
                              <w:rPr>
                                <w:rFonts w:asciiTheme="minorHAnsi" w:eastAsiaTheme="minorHAnsi" w:hAnsiTheme="minorHAnsi" w:cstheme="minorHAnsi"/>
                                <w:lang w:eastAsia="en-US"/>
                              </w:rPr>
                              <w:t>(</w:t>
                            </w:r>
                            <w:r w:rsidRPr="009B720F">
                              <w:rPr>
                                <w:rFonts w:asciiTheme="minorHAnsi" w:eastAsiaTheme="minorHAnsi" w:hAnsiTheme="minorHAnsi" w:cstheme="minorHAnsi"/>
                                <w:color w:val="7F7F7F" w:themeColor="text1" w:themeTint="80"/>
                                <w:lang w:eastAsia="en-US"/>
                              </w:rPr>
                              <w:t>EA 2009b, p.3</w:t>
                            </w:r>
                            <w:r w:rsidRPr="009B720F">
                              <w:rPr>
                                <w:rFonts w:asciiTheme="minorHAnsi" w:eastAsiaTheme="minorHAnsi" w:hAnsiTheme="minorHAnsi" w:cstheme="minorHAnsi"/>
                                <w:lang w:eastAsia="en-US"/>
                              </w:rPr>
                              <w:t>).</w:t>
                            </w:r>
                            <w:r w:rsidRPr="009B720F">
                              <w:rPr>
                                <w:rFonts w:asciiTheme="minorHAnsi" w:hAnsiTheme="minorHAnsi" w:cstheme="minorHAnsi"/>
                              </w:rPr>
                              <w:t xml:space="preserve"> </w:t>
                            </w:r>
                          </w:p>
                          <w:p w14:paraId="20F7CC47" w14:textId="77777777" w:rsidR="00AD22FD" w:rsidRPr="009B720F" w:rsidRDefault="00AD22FD" w:rsidP="00AD22FD">
                            <w:pPr>
                              <w:pStyle w:val="tablecontenttext"/>
                              <w:tabs>
                                <w:tab w:val="left" w:pos="284"/>
                              </w:tabs>
                              <w:spacing w:line="240" w:lineRule="auto"/>
                              <w:rPr>
                                <w:rFonts w:asciiTheme="minorHAnsi" w:hAnsiTheme="minorHAnsi" w:cstheme="minorHAnsi"/>
                              </w:rPr>
                            </w:pPr>
                            <w:r w:rsidRPr="009B720F">
                              <w:rPr>
                                <w:rFonts w:asciiTheme="minorHAnsi" w:hAnsiTheme="minorHAnsi" w:cstheme="minorHAnsi"/>
                              </w:rPr>
                              <w:t>Overall, the TE2100 developed a methodology which led to a Plan that is</w:t>
                            </w:r>
                            <w:r w:rsidRPr="009B720F">
                              <w:rPr>
                                <w:rFonts w:asciiTheme="minorHAnsi" w:hAnsiTheme="minorHAnsi" w:cstheme="minorHAnsi"/>
                                <w:i/>
                                <w:iCs w:val="0"/>
                              </w:rPr>
                              <w:t xml:space="preserve"> flexible</w:t>
                            </w:r>
                            <w:r w:rsidRPr="009B720F">
                              <w:rPr>
                                <w:rFonts w:asciiTheme="minorHAnsi" w:hAnsiTheme="minorHAnsi" w:cstheme="minorHAnsi"/>
                              </w:rPr>
                              <w:t xml:space="preserve"> (i.e. dynamically robust) and </w:t>
                            </w:r>
                            <w:r w:rsidRPr="009B720F">
                              <w:rPr>
                                <w:rFonts w:asciiTheme="minorHAnsi" w:hAnsiTheme="minorHAnsi" w:cstheme="minorHAnsi"/>
                                <w:i/>
                                <w:iCs w:val="0"/>
                              </w:rPr>
                              <w:t xml:space="preserve">adaptable </w:t>
                            </w:r>
                            <w:r w:rsidRPr="009B720F">
                              <w:rPr>
                                <w:rFonts w:asciiTheme="minorHAnsi" w:hAnsiTheme="minorHAnsi" w:cstheme="minorHAnsi"/>
                              </w:rPr>
                              <w:t>to an uncertain future (</w:t>
                            </w:r>
                            <w:r w:rsidRPr="009B720F">
                              <w:rPr>
                                <w:rFonts w:asciiTheme="minorHAnsi" w:hAnsiTheme="minorHAnsi" w:cstheme="minorHAnsi"/>
                                <w:color w:val="7F7F7F" w:themeColor="text1" w:themeTint="80"/>
                              </w:rPr>
                              <w:t>EA 2009b, p.4</w:t>
                            </w:r>
                            <w:r w:rsidRPr="009B720F">
                              <w:rPr>
                                <w:rFonts w:asciiTheme="minorHAnsi" w:hAnsiTheme="minorHAnsi" w:cstheme="minorHAnsi"/>
                              </w:rPr>
                              <w:t xml:space="preserve">); this methodology allowed the development of </w:t>
                            </w:r>
                            <w:r w:rsidRPr="009B720F">
                              <w:rPr>
                                <w:rFonts w:asciiTheme="minorHAnsi" w:hAnsiTheme="minorHAnsi" w:cstheme="minorHAnsi"/>
                                <w:i/>
                              </w:rPr>
                              <w:t>flexible adaptable Options</w:t>
                            </w:r>
                            <w:r w:rsidRPr="009B720F">
                              <w:rPr>
                                <w:rFonts w:asciiTheme="minorHAnsi" w:hAnsiTheme="minorHAnsi" w:cstheme="minorHAnsi"/>
                              </w:rPr>
                              <w:t xml:space="preserve"> (</w:t>
                            </w:r>
                            <w:r w:rsidRPr="009B720F">
                              <w:rPr>
                                <w:rFonts w:asciiTheme="minorHAnsi" w:hAnsiTheme="minorHAnsi" w:cstheme="minorHAnsi"/>
                                <w:color w:val="7F7F7F" w:themeColor="text1" w:themeTint="80"/>
                              </w:rPr>
                              <w:t>EA 2009b, p.1</w:t>
                            </w:r>
                            <w:r w:rsidRPr="009B720F">
                              <w:rPr>
                                <w:rFonts w:asciiTheme="minorHAnsi" w:hAnsiTheme="minorHAnsi" w:cstheme="minorHAnsi"/>
                              </w:rPr>
                              <w:t xml:space="preserve">), each </w:t>
                            </w:r>
                            <w:r w:rsidRPr="009B720F">
                              <w:rPr>
                                <w:rFonts w:asciiTheme="minorHAnsi" w:hAnsiTheme="minorHAnsi" w:cstheme="minorHAnsi"/>
                                <w:i/>
                                <w:iCs w:val="0"/>
                              </w:rPr>
                              <w:t>Option</w:t>
                            </w:r>
                            <w:r w:rsidRPr="009B720F">
                              <w:rPr>
                                <w:rFonts w:asciiTheme="minorHAnsi" w:hAnsiTheme="minorHAnsi" w:cstheme="minorHAnsi"/>
                              </w:rPr>
                              <w:t xml:space="preserve"> devised as a pathway. </w:t>
                            </w:r>
                          </w:p>
                          <w:p w14:paraId="5D6477C3" w14:textId="77777777" w:rsidR="00AD22FD" w:rsidRPr="009B720F" w:rsidRDefault="00AD22FD" w:rsidP="00AD22FD">
                            <w:pPr>
                              <w:pStyle w:val="tablecontenttext"/>
                              <w:tabs>
                                <w:tab w:val="left" w:pos="284"/>
                              </w:tabs>
                              <w:spacing w:after="0" w:line="240" w:lineRule="auto"/>
                              <w:rPr>
                                <w:rFonts w:asciiTheme="minorHAnsi" w:hAnsiTheme="minorHAnsi" w:cstheme="minorHAnsi"/>
                              </w:rPr>
                            </w:pPr>
                            <w:r w:rsidRPr="009B720F">
                              <w:rPr>
                                <w:rFonts w:asciiTheme="minorHAnsi" w:hAnsiTheme="minorHAnsi" w:cstheme="minorHAnsi"/>
                              </w:rPr>
                              <w:t xml:space="preserve">The </w:t>
                            </w:r>
                            <w:r w:rsidRPr="009B720F">
                              <w:rPr>
                                <w:rFonts w:asciiTheme="minorHAnsi" w:hAnsiTheme="minorHAnsi" w:cstheme="minorHAnsi"/>
                                <w:i/>
                                <w:iCs w:val="0"/>
                              </w:rPr>
                              <w:t>Decision Pathways approach</w:t>
                            </w:r>
                            <w:r w:rsidRPr="009B720F">
                              <w:rPr>
                                <w:rFonts w:asciiTheme="minorHAnsi" w:hAnsiTheme="minorHAnsi" w:cstheme="minorHAnsi"/>
                              </w:rPr>
                              <w:t xml:space="preserve"> (APs) led to the development of </w:t>
                            </w:r>
                            <w:r w:rsidRPr="009B720F">
                              <w:rPr>
                                <w:rFonts w:asciiTheme="minorHAnsi" w:hAnsiTheme="minorHAnsi" w:cstheme="minorHAnsi"/>
                                <w:i/>
                                <w:iCs w:val="0"/>
                              </w:rPr>
                              <w:t>Options</w:t>
                            </w:r>
                            <w:r w:rsidRPr="009B720F">
                              <w:rPr>
                                <w:rFonts w:asciiTheme="minorHAnsi" w:hAnsiTheme="minorHAnsi" w:cstheme="minorHAnsi"/>
                              </w:rPr>
                              <w:t xml:space="preserve"> as ‘</w:t>
                            </w:r>
                            <w:r w:rsidRPr="009B720F">
                              <w:rPr>
                                <w:rFonts w:asciiTheme="minorHAnsi" w:hAnsiTheme="minorHAnsi" w:cstheme="minorHAnsi"/>
                                <w:i/>
                                <w:iCs w:val="0"/>
                              </w:rPr>
                              <w:t>flexible adaptable decision pathways</w:t>
                            </w:r>
                            <w:r w:rsidRPr="009B720F">
                              <w:rPr>
                                <w:rFonts w:asciiTheme="minorHAnsi" w:hAnsiTheme="minorHAnsi" w:cstheme="minorHAnsi"/>
                              </w:rPr>
                              <w:t xml:space="preserve">’ </w:t>
                            </w:r>
                            <w:r w:rsidRPr="009B720F">
                              <w:rPr>
                                <w:rFonts w:asciiTheme="minorHAnsi" w:eastAsiaTheme="minorHAnsi" w:hAnsiTheme="minorHAnsi" w:cstheme="minorHAnsi"/>
                                <w:color w:val="000000"/>
                              </w:rPr>
                              <w:t>(</w:t>
                            </w:r>
                            <w:r w:rsidRPr="009B720F">
                              <w:rPr>
                                <w:rFonts w:asciiTheme="minorHAnsi" w:hAnsiTheme="minorHAnsi" w:cstheme="minorHAnsi"/>
                                <w:color w:val="7F7F7F" w:themeColor="text1" w:themeTint="80"/>
                              </w:rPr>
                              <w:t>EA 2009b, p.200</w:t>
                            </w:r>
                            <w:r w:rsidRPr="009B720F">
                              <w:rPr>
                                <w:rFonts w:asciiTheme="minorHAnsi" w:hAnsiTheme="minorHAnsi" w:cstheme="minorHAnsi"/>
                              </w:rPr>
                              <w:t xml:space="preserve">). </w:t>
                            </w:r>
                          </w:p>
                          <w:bookmarkEnd w:id="90"/>
                          <w:p w14:paraId="725367FA" w14:textId="77777777" w:rsidR="00AD22FD" w:rsidRPr="00F179E6" w:rsidRDefault="00AD22FD" w:rsidP="00AD22FD">
                            <w:pPr>
                              <w:pStyle w:val="TEXTBODY"/>
                              <w:tabs>
                                <w:tab w:val="left" w:pos="284"/>
                              </w:tabs>
                              <w:spacing w:line="240" w:lineRule="auto"/>
                              <w:jc w:val="left"/>
                              <w:rPr>
                                <w:rFonts w:asciiTheme="minorHAnsi" w:hAnsiTheme="minorHAnsi" w:cstheme="minorHAnsi"/>
                                <w:sz w:val="16"/>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1C060C" id="_x0000_s1031" type="#_x0000_t202" style="position:absolute;left:0;text-align:left;margin-left:53.25pt;margin-top:1.45pt;width:498.75pt;height:154.5pt;z-index:-250570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" fillcolor="#dce6f2" stroked="f">
                <v:textbox>
                  <w:txbxContent>
                    <w:p w14:paraId="63BA9F2B" w14:textId="77777777" w:rsidR="00AD22FD" w:rsidRPr="009B720F" w:rsidRDefault="00AD22FD" w:rsidP="00AD22FD">
                      <w:pPr>
                        <w:pStyle w:val="TEXTBODY"/>
                        <w:tabs>
                          <w:tab w:val="left" w:pos="284"/>
                        </w:tabs>
                        <w:spacing w:after="0" w:line="240" w:lineRule="auto"/>
                        <w:rPr>
                          <w:b/>
                          <w:i/>
                          <w:iCs/>
                          <w:sz w:val="20"/>
                        </w:rPr>
                      </w:pPr>
                      <w:r w:rsidRPr="009B720F">
                        <w:rPr>
                          <w:rFonts w:asciiTheme="minorHAnsi" w:hAnsiTheme="minorHAnsi" w:cstheme="minorHAnsi"/>
                          <w:b/>
                          <w:sz w:val="16"/>
                          <w:szCs w:val="16"/>
                          <w:lang w:val="en-US"/>
                        </w:rPr>
                        <w:t>Methodological approach</w:t>
                      </w:r>
                      <w:r w:rsidRPr="009B720F">
                        <w:rPr>
                          <w:rFonts w:asciiTheme="minorHAnsi" w:hAnsiTheme="minorHAnsi" w:cstheme="minorHAnsi"/>
                          <w:b/>
                          <w:i/>
                          <w:iCs/>
                          <w:sz w:val="16"/>
                          <w:szCs w:val="16"/>
                        </w:rPr>
                        <w:t xml:space="preserve"> for Option development</w:t>
                      </w:r>
                    </w:p>
                    <w:p w14:paraId="0979234B" w14:textId="77777777" w:rsidR="00AD22FD" w:rsidRPr="009B720F" w:rsidRDefault="00AD22FD" w:rsidP="00AD22FD">
                      <w:pPr>
                        <w:pStyle w:val="TEXTBODY"/>
                        <w:tabs>
                          <w:tab w:val="left" w:pos="284"/>
                        </w:tabs>
                        <w:spacing w:after="0" w:line="240" w:lineRule="auto"/>
                        <w:jc w:val="left"/>
                        <w:rPr>
                          <w:rFonts w:asciiTheme="minorHAnsi" w:hAnsiTheme="minorHAnsi" w:cstheme="minorHAnsi"/>
                          <w:bCs/>
                          <w:color w:val="FF0000"/>
                          <w:sz w:val="16"/>
                          <w:szCs w:val="16"/>
                          <w:lang w:val="en-US"/>
                        </w:rPr>
                      </w:pPr>
                      <w:r w:rsidRPr="009B720F">
                        <w:rPr>
                          <w:rFonts w:asciiTheme="minorHAnsi" w:hAnsiTheme="minorHAnsi" w:cstheme="minorHAnsi"/>
                          <w:bCs/>
                          <w:sz w:val="16"/>
                          <w:szCs w:val="16"/>
                          <w:lang w:val="en-US"/>
                        </w:rPr>
                        <w:t xml:space="preserve">The Team had studied and developed several tools and techniques to develop a range of </w:t>
                      </w:r>
                      <w:r w:rsidRPr="009B720F">
                        <w:rPr>
                          <w:rFonts w:asciiTheme="minorHAnsi" w:hAnsiTheme="minorHAnsi" w:cstheme="minorHAnsi"/>
                          <w:bCs/>
                          <w:i/>
                          <w:iCs/>
                          <w:sz w:val="16"/>
                          <w:szCs w:val="16"/>
                          <w:lang w:val="en-US"/>
                        </w:rPr>
                        <w:t>Options</w:t>
                      </w:r>
                      <w:r w:rsidRPr="009B720F">
                        <w:rPr>
                          <w:rFonts w:asciiTheme="minorHAnsi" w:hAnsiTheme="minorHAnsi" w:cstheme="minorHAnsi"/>
                          <w:bCs/>
                          <w:sz w:val="16"/>
                          <w:szCs w:val="16"/>
                          <w:lang w:val="en-US"/>
                        </w:rPr>
                        <w:t xml:space="preserve"> to manage flood risk </w:t>
                      </w:r>
                      <w:r w:rsidRPr="009B720F">
                        <w:rPr>
                          <w:rFonts w:asciiTheme="minorHAnsi" w:hAnsiTheme="minorHAnsi" w:cstheme="minorHAnsi"/>
                          <w:bCs/>
                          <w:sz w:val="16"/>
                          <w:szCs w:val="16"/>
                        </w:rPr>
                        <w:t>(</w:t>
                      </w:r>
                      <w:r w:rsidRPr="009B720F">
                        <w:rPr>
                          <w:rFonts w:asciiTheme="minorHAnsi" w:hAnsiTheme="minorHAnsi" w:cstheme="minorHAnsi"/>
                          <w:bCs/>
                          <w:color w:val="7F7F7F" w:themeColor="text1" w:themeTint="80"/>
                          <w:sz w:val="16"/>
                          <w:szCs w:val="16"/>
                        </w:rPr>
                        <w:t xml:space="preserve">EA 2009A, </w:t>
                      </w:r>
                      <w:proofErr w:type="spellStart"/>
                      <w:r w:rsidRPr="009B720F">
                        <w:rPr>
                          <w:rFonts w:asciiTheme="minorHAnsi" w:hAnsiTheme="minorHAnsi" w:cstheme="minorHAnsi"/>
                          <w:bCs/>
                          <w:color w:val="7F7F7F" w:themeColor="text1" w:themeTint="80"/>
                          <w:sz w:val="16"/>
                          <w:szCs w:val="16"/>
                        </w:rPr>
                        <w:t>p.x</w:t>
                      </w:r>
                      <w:proofErr w:type="spellEnd"/>
                      <w:r w:rsidRPr="009B720F">
                        <w:rPr>
                          <w:rFonts w:asciiTheme="minorHAnsi" w:hAnsiTheme="minorHAnsi" w:cstheme="minorHAnsi"/>
                          <w:bCs/>
                          <w:sz w:val="16"/>
                          <w:szCs w:val="16"/>
                        </w:rPr>
                        <w:t xml:space="preserve">). </w:t>
                      </w:r>
                      <w:bookmarkStart w:id="91" w:name="_Hlk137741271"/>
                      <w:r w:rsidRPr="009B720F">
                        <w:rPr>
                          <w:rFonts w:asciiTheme="minorHAnsi" w:hAnsiTheme="minorHAnsi" w:cstheme="minorHAnsi"/>
                          <w:bCs/>
                          <w:sz w:val="16"/>
                          <w:szCs w:val="16"/>
                          <w:lang w:val="en-US"/>
                        </w:rPr>
                        <w:t xml:space="preserve">As mentioned in the Technical Report, </w:t>
                      </w:r>
                      <w:bookmarkStart w:id="92" w:name="_Hlk141887909"/>
                      <w:r w:rsidRPr="009B720F">
                        <w:rPr>
                          <w:rFonts w:asciiTheme="minorHAnsi" w:hAnsiTheme="minorHAnsi" w:cstheme="minorHAnsi"/>
                          <w:bCs/>
                          <w:sz w:val="16"/>
                          <w:szCs w:val="16"/>
                          <w:lang w:val="en-US"/>
                        </w:rPr>
                        <w:t>t</w:t>
                      </w:r>
                      <w:r w:rsidRPr="009B720F">
                        <w:rPr>
                          <w:rFonts w:asciiTheme="minorHAnsi" w:hAnsiTheme="minorHAnsi" w:cstheme="minorHAnsi"/>
                          <w:bCs/>
                          <w:sz w:val="16"/>
                          <w:szCs w:val="16"/>
                        </w:rPr>
                        <w:t xml:space="preserve">he Team has developed a </w:t>
                      </w:r>
                      <w:r w:rsidRPr="009B720F">
                        <w:rPr>
                          <w:rFonts w:asciiTheme="minorHAnsi" w:hAnsiTheme="minorHAnsi" w:cstheme="minorHAnsi"/>
                          <w:bCs/>
                          <w:i/>
                          <w:iCs/>
                          <w:sz w:val="16"/>
                          <w:szCs w:val="16"/>
                        </w:rPr>
                        <w:t>methodology to test different FRM measures against differing CC scenarios, which has led to the concept and development of flexible, adaptable Options for FRM</w:t>
                      </w:r>
                      <w:r w:rsidRPr="009B720F">
                        <w:rPr>
                          <w:rFonts w:asciiTheme="minorHAnsi" w:hAnsiTheme="minorHAnsi" w:cstheme="minorHAnsi"/>
                          <w:bCs/>
                          <w:sz w:val="16"/>
                          <w:szCs w:val="16"/>
                        </w:rPr>
                        <w:t xml:space="preserve"> – this has been ‘</w:t>
                      </w:r>
                      <w:r w:rsidRPr="009B720F">
                        <w:rPr>
                          <w:rFonts w:asciiTheme="minorHAnsi" w:hAnsiTheme="minorHAnsi" w:cstheme="minorHAnsi"/>
                          <w:bCs/>
                          <w:i/>
                          <w:iCs/>
                          <w:sz w:val="16"/>
                          <w:szCs w:val="16"/>
                        </w:rPr>
                        <w:t>fundamental to, and the basis of, the adaptability of the TE2100 Plan</w:t>
                      </w:r>
                      <w:r w:rsidRPr="009B720F">
                        <w:rPr>
                          <w:rFonts w:asciiTheme="minorHAnsi" w:hAnsiTheme="minorHAnsi" w:cstheme="minorHAnsi"/>
                          <w:bCs/>
                          <w:sz w:val="16"/>
                          <w:szCs w:val="16"/>
                        </w:rPr>
                        <w:t>’ (</w:t>
                      </w:r>
                      <w:r w:rsidRPr="009B720F">
                        <w:rPr>
                          <w:rFonts w:asciiTheme="minorHAnsi" w:hAnsiTheme="minorHAnsi" w:cstheme="minorHAnsi"/>
                          <w:bCs/>
                          <w:color w:val="7F7F7F" w:themeColor="text1" w:themeTint="80"/>
                          <w:sz w:val="16"/>
                          <w:szCs w:val="16"/>
                        </w:rPr>
                        <w:t xml:space="preserve">EA 2009A, p.71; xv; </w:t>
                      </w:r>
                      <w:r w:rsidRPr="009B720F">
                        <w:rPr>
                          <w:rFonts w:asciiTheme="minorHAnsi" w:eastAsiaTheme="minorHAnsi" w:hAnsiTheme="minorHAnsi" w:cstheme="minorHAnsi"/>
                          <w:bCs/>
                          <w:color w:val="7F7F7F" w:themeColor="text1" w:themeTint="80"/>
                          <w:lang w:eastAsia="en-US"/>
                        </w:rPr>
                        <w:t>EA 2009b, p.1</w:t>
                      </w:r>
                      <w:r w:rsidRPr="009B720F">
                        <w:rPr>
                          <w:rFonts w:asciiTheme="minorHAnsi" w:hAnsiTheme="minorHAnsi" w:cstheme="minorHAnsi"/>
                          <w:bCs/>
                          <w:sz w:val="16"/>
                          <w:szCs w:val="16"/>
                        </w:rPr>
                        <w:t>).</w:t>
                      </w:r>
                      <w:r w:rsidRPr="009B720F">
                        <w:rPr>
                          <w:rStyle w:val="Refdenotaderodap"/>
                          <w:rFonts w:asciiTheme="minorHAnsi" w:hAnsiTheme="minorHAnsi" w:cstheme="minorHAnsi"/>
                          <w:bCs/>
                          <w:sz w:val="16"/>
                          <w:szCs w:val="16"/>
                        </w:rPr>
                        <w:footnoteRef/>
                      </w:r>
                      <w:r w:rsidRPr="009B720F">
                        <w:rPr>
                          <w:rFonts w:asciiTheme="minorHAnsi" w:hAnsiTheme="minorHAnsi" w:cstheme="minorHAnsi"/>
                          <w:bCs/>
                          <w:sz w:val="16"/>
                          <w:szCs w:val="16"/>
                        </w:rPr>
                        <w:t xml:space="preserve"> </w:t>
                      </w:r>
                      <w:bookmarkEnd w:id="91"/>
                      <w:bookmarkEnd w:id="92"/>
                    </w:p>
                    <w:p w14:paraId="074BB297" w14:textId="77777777" w:rsidR="00AD22FD" w:rsidRPr="009B720F" w:rsidRDefault="00AD22FD" w:rsidP="00AD22FD">
                      <w:pPr>
                        <w:tabs>
                          <w:tab w:val="left" w:pos="284"/>
                        </w:tabs>
                        <w:spacing w:after="0" w:line="240" w:lineRule="auto"/>
                        <w:rPr>
                          <w:rFonts w:asciiTheme="minorHAnsi" w:hAnsiTheme="minorHAnsi" w:cstheme="minorHAnsi"/>
                          <w:bCs/>
                          <w:sz w:val="16"/>
                          <w:szCs w:val="16"/>
                        </w:rPr>
                      </w:pPr>
                    </w:p>
                    <w:p w14:paraId="7E0F0320" w14:textId="77777777" w:rsidR="00AD22FD" w:rsidRPr="009B720F" w:rsidRDefault="00AD22FD" w:rsidP="00AD22FD">
                      <w:pPr>
                        <w:pStyle w:val="tablecontenttext"/>
                        <w:tabs>
                          <w:tab w:val="left" w:pos="284"/>
                        </w:tabs>
                        <w:spacing w:line="240" w:lineRule="auto"/>
                        <w:rPr>
                          <w:rFonts w:asciiTheme="minorHAnsi" w:eastAsiaTheme="minorHAnsi" w:hAnsiTheme="minorHAnsi" w:cstheme="minorHAnsi"/>
                          <w:color w:val="215868" w:themeColor="accent5" w:themeShade="80"/>
                          <w:lang w:eastAsia="en-US"/>
                        </w:rPr>
                      </w:pPr>
                      <w:bookmarkStart w:id="93" w:name="_Hlk137741405"/>
                      <w:r w:rsidRPr="009B720F">
                        <w:rPr>
                          <w:rFonts w:asciiTheme="minorHAnsi" w:hAnsiTheme="minorHAnsi" w:cstheme="minorHAnsi"/>
                        </w:rPr>
                        <w:t xml:space="preserve">The TE2100 Team devised an approach for the development of the Plan and its strategies (the so-called </w:t>
                      </w:r>
                      <w:r w:rsidRPr="009B720F">
                        <w:rPr>
                          <w:rFonts w:asciiTheme="minorHAnsi" w:hAnsiTheme="minorHAnsi" w:cstheme="minorHAnsi"/>
                          <w:i/>
                          <w:iCs w:val="0"/>
                        </w:rPr>
                        <w:t>Options</w:t>
                      </w:r>
                      <w:r w:rsidRPr="009B720F">
                        <w:rPr>
                          <w:rFonts w:asciiTheme="minorHAnsi" w:hAnsiTheme="minorHAnsi" w:cstheme="minorHAnsi"/>
                        </w:rPr>
                        <w:t xml:space="preserve">) that aimed to deal with the uncertainties surrounding the projections of future CC and developments in the TE. It devised a method of developing various </w:t>
                      </w:r>
                      <w:r w:rsidRPr="009B720F">
                        <w:rPr>
                          <w:rFonts w:asciiTheme="minorHAnsi" w:hAnsiTheme="minorHAnsi" w:cstheme="minorHAnsi"/>
                          <w:i/>
                          <w:iCs w:val="0"/>
                        </w:rPr>
                        <w:t>FRM Options</w:t>
                      </w:r>
                      <w:r w:rsidRPr="009B720F">
                        <w:rPr>
                          <w:rFonts w:asciiTheme="minorHAnsi" w:hAnsiTheme="minorHAnsi" w:cstheme="minorHAnsi"/>
                        </w:rPr>
                        <w:t xml:space="preserve"> as pathways (each pathway as a ‘</w:t>
                      </w:r>
                      <w:r w:rsidRPr="009B720F">
                        <w:rPr>
                          <w:rFonts w:asciiTheme="minorHAnsi" w:hAnsiTheme="minorHAnsi" w:cstheme="minorHAnsi"/>
                          <w:i/>
                          <w:iCs w:val="0"/>
                        </w:rPr>
                        <w:t>package’</w:t>
                      </w:r>
                      <w:r w:rsidRPr="009B720F">
                        <w:rPr>
                          <w:rFonts w:asciiTheme="minorHAnsi" w:hAnsiTheme="minorHAnsi" w:cstheme="minorHAnsi"/>
                        </w:rPr>
                        <w:t xml:space="preserve"> of sequenced measures, i.e. a set of sequenced measures or portfolios to cope with thresholds over time) </w:t>
                      </w:r>
                      <w:r w:rsidRPr="009B720F">
                        <w:rPr>
                          <w:rFonts w:asciiTheme="minorHAnsi" w:eastAsiaTheme="minorHAnsi" w:hAnsiTheme="minorHAnsi" w:cstheme="minorHAnsi"/>
                          <w:lang w:eastAsia="en-US"/>
                        </w:rPr>
                        <w:t>(</w:t>
                      </w:r>
                      <w:r w:rsidRPr="009B720F">
                        <w:rPr>
                          <w:rFonts w:asciiTheme="minorHAnsi" w:eastAsiaTheme="minorHAnsi" w:hAnsiTheme="minorHAnsi" w:cstheme="minorHAnsi"/>
                          <w:color w:val="7F7F7F" w:themeColor="text1" w:themeTint="80"/>
                          <w:lang w:eastAsia="en-US"/>
                        </w:rPr>
                        <w:t>EA 2009b, p.3; Lowe et al. 2009, p.86</w:t>
                      </w:r>
                      <w:r w:rsidRPr="009B720F">
                        <w:rPr>
                          <w:rFonts w:asciiTheme="minorHAnsi" w:eastAsiaTheme="minorHAnsi" w:hAnsiTheme="minorHAnsi" w:cstheme="minorHAnsi"/>
                          <w:lang w:eastAsia="en-US"/>
                        </w:rPr>
                        <w:t xml:space="preserve">). </w:t>
                      </w:r>
                      <w:r w:rsidRPr="009B720F">
                        <w:rPr>
                          <w:rFonts w:asciiTheme="minorHAnsi" w:hAnsiTheme="minorHAnsi" w:cstheme="minorHAnsi"/>
                        </w:rPr>
                        <w:t xml:space="preserve">Using this approach, the TE2100 Team produced its </w:t>
                      </w:r>
                      <w:r w:rsidRPr="009B720F">
                        <w:rPr>
                          <w:rFonts w:asciiTheme="minorHAnsi" w:hAnsiTheme="minorHAnsi" w:cstheme="minorHAnsi"/>
                          <w:i/>
                          <w:iCs w:val="0"/>
                        </w:rPr>
                        <w:t>High-level Options</w:t>
                      </w:r>
                      <w:r w:rsidRPr="009B720F">
                        <w:rPr>
                          <w:rFonts w:asciiTheme="minorHAnsi" w:hAnsiTheme="minorHAnsi" w:cstheme="minorHAnsi"/>
                        </w:rPr>
                        <w:t xml:space="preserve"> (</w:t>
                      </w:r>
                      <w:r w:rsidRPr="009B720F">
                        <w:rPr>
                          <w:rFonts w:asciiTheme="minorHAnsi" w:hAnsiTheme="minorHAnsi" w:cstheme="minorHAnsi"/>
                          <w:i/>
                          <w:iCs w:val="0"/>
                        </w:rPr>
                        <w:t>HLOs</w:t>
                      </w:r>
                      <w:r w:rsidRPr="009B720F">
                        <w:rPr>
                          <w:rFonts w:asciiTheme="minorHAnsi" w:hAnsiTheme="minorHAnsi" w:cstheme="minorHAnsi"/>
                        </w:rPr>
                        <w:t xml:space="preserve">) in 2007 – these were a set of FRM </w:t>
                      </w:r>
                      <w:r w:rsidRPr="009B720F">
                        <w:rPr>
                          <w:rFonts w:asciiTheme="minorHAnsi" w:hAnsiTheme="minorHAnsi" w:cstheme="minorHAnsi"/>
                          <w:i/>
                          <w:iCs w:val="0"/>
                        </w:rPr>
                        <w:t>Options</w:t>
                      </w:r>
                      <w:r w:rsidRPr="009B720F">
                        <w:rPr>
                          <w:rFonts w:asciiTheme="minorHAnsi" w:hAnsiTheme="minorHAnsi" w:cstheme="minorHAnsi"/>
                        </w:rPr>
                        <w:t xml:space="preserve"> (HLO1, 2, 3a, 3b, and 4) </w:t>
                      </w:r>
                      <w:r w:rsidRPr="009B720F">
                        <w:rPr>
                          <w:rFonts w:asciiTheme="minorHAnsi" w:eastAsiaTheme="minorHAnsi" w:hAnsiTheme="minorHAnsi" w:cstheme="minorHAnsi"/>
                          <w:lang w:eastAsia="en-US"/>
                        </w:rPr>
                        <w:t>(</w:t>
                      </w:r>
                      <w:r w:rsidRPr="009B720F">
                        <w:rPr>
                          <w:rFonts w:asciiTheme="minorHAnsi" w:eastAsiaTheme="minorHAnsi" w:hAnsiTheme="minorHAnsi" w:cstheme="minorHAnsi"/>
                          <w:color w:val="7F7F7F" w:themeColor="text1" w:themeTint="80"/>
                          <w:lang w:eastAsia="en-US"/>
                        </w:rPr>
                        <w:t>EA 2009b, p.3</w:t>
                      </w:r>
                      <w:r w:rsidRPr="009B720F">
                        <w:rPr>
                          <w:rFonts w:asciiTheme="minorHAnsi" w:eastAsiaTheme="minorHAnsi" w:hAnsiTheme="minorHAnsi" w:cstheme="minorHAnsi"/>
                          <w:lang w:eastAsia="en-US"/>
                        </w:rPr>
                        <w:t>).</w:t>
                      </w:r>
                      <w:r w:rsidRPr="009B720F">
                        <w:rPr>
                          <w:rFonts w:asciiTheme="minorHAnsi" w:hAnsiTheme="minorHAnsi" w:cstheme="minorHAnsi"/>
                        </w:rPr>
                        <w:t xml:space="preserve"> </w:t>
                      </w:r>
                    </w:p>
                    <w:p w14:paraId="20F7CC47" w14:textId="77777777" w:rsidR="00AD22FD" w:rsidRPr="009B720F" w:rsidRDefault="00AD22FD" w:rsidP="00AD22FD">
                      <w:pPr>
                        <w:pStyle w:val="tablecontenttext"/>
                        <w:tabs>
                          <w:tab w:val="left" w:pos="284"/>
                        </w:tabs>
                        <w:spacing w:line="240" w:lineRule="auto"/>
                        <w:rPr>
                          <w:rFonts w:asciiTheme="minorHAnsi" w:hAnsiTheme="minorHAnsi" w:cstheme="minorHAnsi"/>
                        </w:rPr>
                      </w:pPr>
                      <w:r w:rsidRPr="009B720F">
                        <w:rPr>
                          <w:rFonts w:asciiTheme="minorHAnsi" w:hAnsiTheme="minorHAnsi" w:cstheme="minorHAnsi"/>
                        </w:rPr>
                        <w:t>Overall, the TE2100 developed a methodology which led to a Plan that is</w:t>
                      </w:r>
                      <w:r w:rsidRPr="009B720F">
                        <w:rPr>
                          <w:rFonts w:asciiTheme="minorHAnsi" w:hAnsiTheme="minorHAnsi" w:cstheme="minorHAnsi"/>
                          <w:i/>
                          <w:iCs w:val="0"/>
                        </w:rPr>
                        <w:t xml:space="preserve"> flexible</w:t>
                      </w:r>
                      <w:r w:rsidRPr="009B720F">
                        <w:rPr>
                          <w:rFonts w:asciiTheme="minorHAnsi" w:hAnsiTheme="minorHAnsi" w:cstheme="minorHAnsi"/>
                        </w:rPr>
                        <w:t xml:space="preserve"> (i.e. dynamically robust) and </w:t>
                      </w:r>
                      <w:r w:rsidRPr="009B720F">
                        <w:rPr>
                          <w:rFonts w:asciiTheme="minorHAnsi" w:hAnsiTheme="minorHAnsi" w:cstheme="minorHAnsi"/>
                          <w:i/>
                          <w:iCs w:val="0"/>
                        </w:rPr>
                        <w:t xml:space="preserve">adaptable </w:t>
                      </w:r>
                      <w:r w:rsidRPr="009B720F">
                        <w:rPr>
                          <w:rFonts w:asciiTheme="minorHAnsi" w:hAnsiTheme="minorHAnsi" w:cstheme="minorHAnsi"/>
                        </w:rPr>
                        <w:t>to an uncertain future (</w:t>
                      </w:r>
                      <w:r w:rsidRPr="009B720F">
                        <w:rPr>
                          <w:rFonts w:asciiTheme="minorHAnsi" w:hAnsiTheme="minorHAnsi" w:cstheme="minorHAnsi"/>
                          <w:color w:val="7F7F7F" w:themeColor="text1" w:themeTint="80"/>
                        </w:rPr>
                        <w:t>EA 2009b, p.4</w:t>
                      </w:r>
                      <w:r w:rsidRPr="009B720F">
                        <w:rPr>
                          <w:rFonts w:asciiTheme="minorHAnsi" w:hAnsiTheme="minorHAnsi" w:cstheme="minorHAnsi"/>
                        </w:rPr>
                        <w:t xml:space="preserve">); this methodology allowed the development of </w:t>
                      </w:r>
                      <w:r w:rsidRPr="009B720F">
                        <w:rPr>
                          <w:rFonts w:asciiTheme="minorHAnsi" w:hAnsiTheme="minorHAnsi" w:cstheme="minorHAnsi"/>
                          <w:i/>
                        </w:rPr>
                        <w:t>flexible adaptable Options</w:t>
                      </w:r>
                      <w:r w:rsidRPr="009B720F">
                        <w:rPr>
                          <w:rFonts w:asciiTheme="minorHAnsi" w:hAnsiTheme="minorHAnsi" w:cstheme="minorHAnsi"/>
                        </w:rPr>
                        <w:t xml:space="preserve"> (</w:t>
                      </w:r>
                      <w:r w:rsidRPr="009B720F">
                        <w:rPr>
                          <w:rFonts w:asciiTheme="minorHAnsi" w:hAnsiTheme="minorHAnsi" w:cstheme="minorHAnsi"/>
                          <w:color w:val="7F7F7F" w:themeColor="text1" w:themeTint="80"/>
                        </w:rPr>
                        <w:t>EA 2009b, p.1</w:t>
                      </w:r>
                      <w:r w:rsidRPr="009B720F">
                        <w:rPr>
                          <w:rFonts w:asciiTheme="minorHAnsi" w:hAnsiTheme="minorHAnsi" w:cstheme="minorHAnsi"/>
                        </w:rPr>
                        <w:t xml:space="preserve">), each </w:t>
                      </w:r>
                      <w:r w:rsidRPr="009B720F">
                        <w:rPr>
                          <w:rFonts w:asciiTheme="minorHAnsi" w:hAnsiTheme="minorHAnsi" w:cstheme="minorHAnsi"/>
                          <w:i/>
                          <w:iCs w:val="0"/>
                        </w:rPr>
                        <w:t>Option</w:t>
                      </w:r>
                      <w:r w:rsidRPr="009B720F">
                        <w:rPr>
                          <w:rFonts w:asciiTheme="minorHAnsi" w:hAnsiTheme="minorHAnsi" w:cstheme="minorHAnsi"/>
                        </w:rPr>
                        <w:t xml:space="preserve"> devised as a pathway. </w:t>
                      </w:r>
                    </w:p>
                    <w:p w14:paraId="5D6477C3" w14:textId="77777777" w:rsidR="00AD22FD" w:rsidRPr="009B720F" w:rsidRDefault="00AD22FD" w:rsidP="00AD22FD">
                      <w:pPr>
                        <w:pStyle w:val="tablecontenttext"/>
                        <w:tabs>
                          <w:tab w:val="left" w:pos="284"/>
                        </w:tabs>
                        <w:spacing w:after="0" w:line="240" w:lineRule="auto"/>
                        <w:rPr>
                          <w:rFonts w:asciiTheme="minorHAnsi" w:hAnsiTheme="minorHAnsi" w:cstheme="minorHAnsi"/>
                        </w:rPr>
                      </w:pPr>
                      <w:r w:rsidRPr="009B720F">
                        <w:rPr>
                          <w:rFonts w:asciiTheme="minorHAnsi" w:hAnsiTheme="minorHAnsi" w:cstheme="minorHAnsi"/>
                        </w:rPr>
                        <w:t xml:space="preserve">The </w:t>
                      </w:r>
                      <w:r w:rsidRPr="009B720F">
                        <w:rPr>
                          <w:rFonts w:asciiTheme="minorHAnsi" w:hAnsiTheme="minorHAnsi" w:cstheme="minorHAnsi"/>
                          <w:i/>
                          <w:iCs w:val="0"/>
                        </w:rPr>
                        <w:t>Decision Pathways approach</w:t>
                      </w:r>
                      <w:r w:rsidRPr="009B720F">
                        <w:rPr>
                          <w:rFonts w:asciiTheme="minorHAnsi" w:hAnsiTheme="minorHAnsi" w:cstheme="minorHAnsi"/>
                        </w:rPr>
                        <w:t xml:space="preserve"> (APs) led to the development of </w:t>
                      </w:r>
                      <w:r w:rsidRPr="009B720F">
                        <w:rPr>
                          <w:rFonts w:asciiTheme="minorHAnsi" w:hAnsiTheme="minorHAnsi" w:cstheme="minorHAnsi"/>
                          <w:i/>
                          <w:iCs w:val="0"/>
                        </w:rPr>
                        <w:t>Options</w:t>
                      </w:r>
                      <w:r w:rsidRPr="009B720F">
                        <w:rPr>
                          <w:rFonts w:asciiTheme="minorHAnsi" w:hAnsiTheme="minorHAnsi" w:cstheme="minorHAnsi"/>
                        </w:rPr>
                        <w:t xml:space="preserve"> as ‘</w:t>
                      </w:r>
                      <w:r w:rsidRPr="009B720F">
                        <w:rPr>
                          <w:rFonts w:asciiTheme="minorHAnsi" w:hAnsiTheme="minorHAnsi" w:cstheme="minorHAnsi"/>
                          <w:i/>
                          <w:iCs w:val="0"/>
                        </w:rPr>
                        <w:t>flexible adaptable decision pathways</w:t>
                      </w:r>
                      <w:r w:rsidRPr="009B720F">
                        <w:rPr>
                          <w:rFonts w:asciiTheme="minorHAnsi" w:hAnsiTheme="minorHAnsi" w:cstheme="minorHAnsi"/>
                        </w:rPr>
                        <w:t xml:space="preserve">’ </w:t>
                      </w:r>
                      <w:r w:rsidRPr="009B720F">
                        <w:rPr>
                          <w:rFonts w:asciiTheme="minorHAnsi" w:eastAsiaTheme="minorHAnsi" w:hAnsiTheme="minorHAnsi" w:cstheme="minorHAnsi"/>
                          <w:color w:val="000000"/>
                        </w:rPr>
                        <w:t>(</w:t>
                      </w:r>
                      <w:r w:rsidRPr="009B720F">
                        <w:rPr>
                          <w:rFonts w:asciiTheme="minorHAnsi" w:hAnsiTheme="minorHAnsi" w:cstheme="minorHAnsi"/>
                          <w:color w:val="7F7F7F" w:themeColor="text1" w:themeTint="80"/>
                        </w:rPr>
                        <w:t>EA 2009b, p.200</w:t>
                      </w:r>
                      <w:r w:rsidRPr="009B720F">
                        <w:rPr>
                          <w:rFonts w:asciiTheme="minorHAnsi" w:hAnsiTheme="minorHAnsi" w:cstheme="minorHAnsi"/>
                        </w:rPr>
                        <w:t xml:space="preserve">). </w:t>
                      </w:r>
                    </w:p>
                    <w:bookmarkEnd w:id="93"/>
                    <w:p w14:paraId="725367FA" w14:textId="77777777" w:rsidR="00AD22FD" w:rsidRPr="00F179E6" w:rsidRDefault="00AD22FD" w:rsidP="00AD22FD">
                      <w:pPr>
                        <w:pStyle w:val="TEXTBODY"/>
                        <w:tabs>
                          <w:tab w:val="left" w:pos="284"/>
                        </w:tabs>
                        <w:spacing w:line="240" w:lineRule="auto"/>
                        <w:jc w:val="left"/>
                        <w:rPr>
                          <w:rFonts w:asciiTheme="minorHAnsi" w:hAnsiTheme="minorHAnsi" w:cstheme="minorHAnsi"/>
                          <w:sz w:val="16"/>
                          <w:szCs w:val="14"/>
                        </w:rPr>
                      </w:pPr>
                    </w:p>
                  </w:txbxContent>
                </v:textbox>
                <w10:wrap anchorx="page"/>
              </v:shape>
            </w:pict>
          </mc:Fallback>
        </mc:AlternateContent>
      </w:r>
    </w:p>
    <w:p w14:paraId="6C2F904E" w14:textId="77777777" w:rsidR="00AD22FD" w:rsidRDefault="00AD22FD" w:rsidP="00AD22FD">
      <w:pPr>
        <w:pStyle w:val="TEXTBODY"/>
        <w:spacing w:after="0" w:line="240" w:lineRule="auto"/>
        <w:ind w:left="284"/>
        <w:rPr>
          <w:rFonts w:asciiTheme="minorHAnsi" w:hAnsiTheme="minorHAnsi" w:cstheme="minorHAnsi"/>
          <w:b/>
          <w:sz w:val="16"/>
          <w:szCs w:val="16"/>
          <w:lang w:val="en-US"/>
        </w:rPr>
      </w:pPr>
    </w:p>
    <w:p w14:paraId="77BFF84B" w14:textId="77777777" w:rsidR="00AD22FD" w:rsidRDefault="00AD22FD" w:rsidP="00AD22FD">
      <w:pPr>
        <w:pStyle w:val="TEXTBODY"/>
        <w:spacing w:after="0" w:line="240" w:lineRule="auto"/>
        <w:ind w:left="284"/>
        <w:rPr>
          <w:rFonts w:asciiTheme="minorHAnsi" w:hAnsiTheme="minorHAnsi" w:cstheme="minorHAnsi"/>
          <w:b/>
          <w:sz w:val="16"/>
          <w:szCs w:val="16"/>
          <w:lang w:val="en-US"/>
        </w:rPr>
      </w:pPr>
    </w:p>
    <w:p w14:paraId="1AA54E1C" w14:textId="77777777" w:rsidR="00AD22FD" w:rsidRDefault="00AD22FD" w:rsidP="00AD22FD">
      <w:pPr>
        <w:pStyle w:val="TEXTBODY"/>
        <w:spacing w:after="0" w:line="240" w:lineRule="auto"/>
        <w:ind w:left="284"/>
        <w:rPr>
          <w:rFonts w:asciiTheme="minorHAnsi" w:hAnsiTheme="minorHAnsi" w:cstheme="minorHAnsi"/>
          <w:b/>
          <w:sz w:val="16"/>
          <w:szCs w:val="16"/>
          <w:lang w:val="en-US"/>
        </w:rPr>
      </w:pPr>
    </w:p>
    <w:p w14:paraId="52B23B32" w14:textId="77777777" w:rsidR="00AD22FD" w:rsidRDefault="00AD22FD" w:rsidP="00AD22FD">
      <w:pPr>
        <w:pStyle w:val="TEXTBODY"/>
        <w:spacing w:after="0" w:line="240" w:lineRule="auto"/>
        <w:ind w:left="284"/>
        <w:rPr>
          <w:rFonts w:asciiTheme="minorHAnsi" w:hAnsiTheme="minorHAnsi" w:cstheme="minorHAnsi"/>
          <w:b/>
          <w:sz w:val="16"/>
          <w:szCs w:val="16"/>
          <w:lang w:val="en-US"/>
        </w:rPr>
      </w:pPr>
    </w:p>
    <w:p w14:paraId="1A95E1C1" w14:textId="77777777" w:rsidR="00AD22FD" w:rsidRDefault="00AD22FD" w:rsidP="00AD22FD">
      <w:pPr>
        <w:pStyle w:val="TEXTBODY"/>
        <w:spacing w:after="0" w:line="240" w:lineRule="auto"/>
        <w:ind w:left="284"/>
        <w:rPr>
          <w:rFonts w:asciiTheme="minorHAnsi" w:hAnsiTheme="minorHAnsi" w:cstheme="minorHAnsi"/>
          <w:b/>
          <w:sz w:val="16"/>
          <w:szCs w:val="16"/>
          <w:lang w:val="en-US"/>
        </w:rPr>
      </w:pPr>
    </w:p>
    <w:p w14:paraId="030274DF" w14:textId="77777777" w:rsidR="00AD22FD" w:rsidRDefault="00AD22FD" w:rsidP="00AD22FD">
      <w:pPr>
        <w:pStyle w:val="TEXTBODY"/>
        <w:spacing w:after="0" w:line="240" w:lineRule="auto"/>
        <w:ind w:left="284"/>
        <w:rPr>
          <w:rFonts w:asciiTheme="minorHAnsi" w:hAnsiTheme="minorHAnsi" w:cstheme="minorHAnsi"/>
          <w:b/>
          <w:sz w:val="16"/>
          <w:szCs w:val="16"/>
          <w:lang w:val="en-US"/>
        </w:rPr>
      </w:pPr>
    </w:p>
    <w:p w14:paraId="104A34A1" w14:textId="77777777" w:rsidR="00AD22FD" w:rsidRDefault="00AD22FD" w:rsidP="00AD22FD">
      <w:pPr>
        <w:pStyle w:val="TEXTBODY"/>
        <w:spacing w:after="0" w:line="240" w:lineRule="auto"/>
        <w:ind w:left="284"/>
        <w:rPr>
          <w:rFonts w:asciiTheme="minorHAnsi" w:hAnsiTheme="minorHAnsi" w:cstheme="minorHAnsi"/>
          <w:b/>
          <w:sz w:val="16"/>
          <w:szCs w:val="16"/>
          <w:lang w:val="en-US"/>
        </w:rPr>
      </w:pPr>
    </w:p>
    <w:p w14:paraId="09D1BF03" w14:textId="77777777" w:rsidR="00AD22FD" w:rsidRDefault="00AD22FD" w:rsidP="00AD22FD">
      <w:pPr>
        <w:pStyle w:val="TEXTBODY"/>
        <w:spacing w:after="0" w:line="240" w:lineRule="auto"/>
        <w:ind w:left="284"/>
        <w:rPr>
          <w:rFonts w:asciiTheme="minorHAnsi" w:hAnsiTheme="minorHAnsi" w:cstheme="minorHAnsi"/>
          <w:b/>
          <w:sz w:val="16"/>
          <w:szCs w:val="16"/>
          <w:lang w:val="en-US"/>
        </w:rPr>
      </w:pPr>
    </w:p>
    <w:p w14:paraId="4E999B40" w14:textId="77777777" w:rsidR="00AD22FD" w:rsidRDefault="00AD22FD" w:rsidP="00AD22FD">
      <w:pPr>
        <w:pStyle w:val="TEXTBODY"/>
        <w:spacing w:after="0" w:line="240" w:lineRule="auto"/>
        <w:ind w:left="284"/>
        <w:rPr>
          <w:rFonts w:asciiTheme="minorHAnsi" w:hAnsiTheme="minorHAnsi" w:cstheme="minorHAnsi"/>
          <w:b/>
          <w:sz w:val="16"/>
          <w:szCs w:val="16"/>
          <w:lang w:val="en-US"/>
        </w:rPr>
      </w:pPr>
    </w:p>
    <w:p w14:paraId="75E5B2D3" w14:textId="77777777" w:rsidR="00AD22FD" w:rsidRDefault="00AD22FD" w:rsidP="00AD22FD">
      <w:pPr>
        <w:pStyle w:val="TEXTBODY"/>
        <w:spacing w:after="0" w:line="240" w:lineRule="auto"/>
        <w:ind w:left="284"/>
        <w:rPr>
          <w:rFonts w:asciiTheme="minorHAnsi" w:hAnsiTheme="minorHAnsi" w:cstheme="minorHAnsi"/>
          <w:b/>
          <w:sz w:val="16"/>
          <w:szCs w:val="16"/>
          <w:lang w:val="en-US"/>
        </w:rPr>
      </w:pPr>
    </w:p>
    <w:p w14:paraId="080A3AEC" w14:textId="77777777" w:rsidR="00AD22FD" w:rsidRDefault="00AD22FD" w:rsidP="00AD22FD">
      <w:pPr>
        <w:pStyle w:val="TEXTBODY"/>
        <w:spacing w:after="0" w:line="240" w:lineRule="auto"/>
        <w:ind w:left="284"/>
        <w:rPr>
          <w:rFonts w:asciiTheme="minorHAnsi" w:hAnsiTheme="minorHAnsi" w:cstheme="minorHAnsi"/>
          <w:b/>
          <w:sz w:val="16"/>
          <w:szCs w:val="16"/>
          <w:lang w:val="en-US"/>
        </w:rPr>
      </w:pPr>
    </w:p>
    <w:p w14:paraId="0B83235D" w14:textId="77777777" w:rsidR="00AD22FD" w:rsidRDefault="00AD22FD" w:rsidP="00AD22FD">
      <w:pPr>
        <w:pStyle w:val="TEXTBODY"/>
        <w:spacing w:after="0" w:line="240" w:lineRule="auto"/>
        <w:ind w:left="284"/>
        <w:rPr>
          <w:rFonts w:asciiTheme="minorHAnsi" w:hAnsiTheme="minorHAnsi" w:cstheme="minorHAnsi"/>
          <w:b/>
          <w:sz w:val="16"/>
          <w:szCs w:val="16"/>
          <w:lang w:val="en-US"/>
        </w:rPr>
      </w:pPr>
    </w:p>
    <w:p w14:paraId="40F06008" w14:textId="77777777" w:rsidR="00AD22FD" w:rsidRDefault="00AD22FD" w:rsidP="00AD22FD">
      <w:pPr>
        <w:pStyle w:val="TEXTBODY"/>
        <w:spacing w:after="0" w:line="240" w:lineRule="auto"/>
        <w:ind w:left="284"/>
        <w:rPr>
          <w:rFonts w:asciiTheme="minorHAnsi" w:hAnsiTheme="minorHAnsi" w:cstheme="minorHAnsi"/>
          <w:b/>
          <w:sz w:val="16"/>
          <w:szCs w:val="16"/>
          <w:lang w:val="en-US"/>
        </w:rPr>
      </w:pPr>
    </w:p>
    <w:p w14:paraId="60A0E40D" w14:textId="77777777" w:rsidR="00AD22FD" w:rsidRDefault="00AD22FD" w:rsidP="00AD22FD">
      <w:pPr>
        <w:pStyle w:val="TEXTBODY"/>
        <w:spacing w:after="0" w:line="240" w:lineRule="auto"/>
        <w:ind w:left="284"/>
        <w:rPr>
          <w:rFonts w:asciiTheme="minorHAnsi" w:hAnsiTheme="minorHAnsi" w:cstheme="minorHAnsi"/>
          <w:b/>
          <w:sz w:val="16"/>
          <w:szCs w:val="16"/>
          <w:lang w:val="en-US"/>
        </w:rPr>
      </w:pPr>
    </w:p>
    <w:p w14:paraId="1759BC10" w14:textId="77777777" w:rsidR="00AD22FD" w:rsidRDefault="00AD22FD" w:rsidP="00AD22FD">
      <w:pPr>
        <w:pStyle w:val="TEXTBODY"/>
        <w:spacing w:after="0" w:line="240" w:lineRule="auto"/>
        <w:ind w:left="284"/>
        <w:rPr>
          <w:rFonts w:asciiTheme="minorHAnsi" w:hAnsiTheme="minorHAnsi" w:cstheme="minorHAnsi"/>
          <w:b/>
          <w:sz w:val="16"/>
          <w:szCs w:val="16"/>
          <w:lang w:val="en-US"/>
        </w:rPr>
      </w:pPr>
    </w:p>
    <w:p w14:paraId="68907685" w14:textId="77777777" w:rsidR="00AD22FD" w:rsidRDefault="00AD22FD" w:rsidP="00AD22FD">
      <w:pPr>
        <w:pStyle w:val="TEXTBODY"/>
        <w:spacing w:after="0" w:line="240" w:lineRule="auto"/>
        <w:rPr>
          <w:rFonts w:asciiTheme="minorHAnsi" w:hAnsiTheme="minorHAnsi" w:cstheme="minorHAnsi"/>
          <w:b/>
          <w:sz w:val="16"/>
          <w:szCs w:val="16"/>
          <w:lang w:val="en-US"/>
        </w:rPr>
      </w:pPr>
    </w:p>
    <w:p w14:paraId="091FBBD0" w14:textId="77777777" w:rsidR="00AD22FD" w:rsidRPr="009B720F" w:rsidRDefault="00AD22FD" w:rsidP="00AD22FD">
      <w:pPr>
        <w:pStyle w:val="TEXTBODY"/>
        <w:spacing w:line="276" w:lineRule="auto"/>
        <w:rPr>
          <w:rFonts w:cs="Arial"/>
          <w:bCs/>
          <w:i/>
          <w:iCs/>
          <w:sz w:val="14"/>
          <w:szCs w:val="14"/>
        </w:rPr>
      </w:pPr>
      <w:r w:rsidRPr="009B720F">
        <w:rPr>
          <w:bCs/>
          <w:iCs/>
        </w:rPr>
        <w:t>The</w:t>
      </w:r>
      <w:r w:rsidRPr="009B720F">
        <w:rPr>
          <w:bCs/>
        </w:rPr>
        <w:t xml:space="preserve"> development of </w:t>
      </w:r>
      <w:r w:rsidRPr="009B720F">
        <w:rPr>
          <w:bCs/>
          <w:i/>
        </w:rPr>
        <w:t>robust</w:t>
      </w:r>
      <w:r w:rsidRPr="009B720F">
        <w:rPr>
          <w:bCs/>
          <w:iCs/>
        </w:rPr>
        <w:t xml:space="preserve"> </w:t>
      </w:r>
      <w:r w:rsidRPr="009B720F">
        <w:rPr>
          <w:bCs/>
          <w:i/>
        </w:rPr>
        <w:t>flexible</w:t>
      </w:r>
      <w:r w:rsidRPr="009B720F">
        <w:rPr>
          <w:bCs/>
          <w:iCs/>
        </w:rPr>
        <w:t xml:space="preserve"> </w:t>
      </w:r>
      <w:r w:rsidRPr="009B720F">
        <w:rPr>
          <w:bCs/>
          <w:i/>
        </w:rPr>
        <w:t xml:space="preserve">strategies </w:t>
      </w:r>
      <w:r w:rsidRPr="009B720F">
        <w:rPr>
          <w:bCs/>
          <w:iCs/>
        </w:rPr>
        <w:t xml:space="preserve">with the </w:t>
      </w:r>
      <w:r w:rsidRPr="009B720F">
        <w:rPr>
          <w:bCs/>
        </w:rPr>
        <w:t xml:space="preserve">APs approach is deemed one of the main elements of the </w:t>
      </w:r>
      <w:r w:rsidRPr="009B720F">
        <w:rPr>
          <w:bCs/>
          <w:i/>
          <w:iCs/>
        </w:rPr>
        <w:t>Dynamic Adaptive Planning approach</w:t>
      </w:r>
      <w:r w:rsidRPr="009B720F">
        <w:rPr>
          <w:bCs/>
        </w:rPr>
        <w:t xml:space="preserve"> of the TE2100 (</w:t>
      </w:r>
      <w:proofErr w:type="spellStart"/>
      <w:r w:rsidRPr="009B720F">
        <w:rPr>
          <w:bCs/>
          <w:color w:val="7F7F7F" w:themeColor="text1" w:themeTint="80"/>
        </w:rPr>
        <w:t>Jeuken</w:t>
      </w:r>
      <w:proofErr w:type="spellEnd"/>
      <w:r w:rsidRPr="009B720F">
        <w:rPr>
          <w:bCs/>
          <w:color w:val="7F7F7F" w:themeColor="text1" w:themeTint="80"/>
        </w:rPr>
        <w:t xml:space="preserve"> and Reeder 2011, p.2, 4</w:t>
      </w:r>
      <w:r w:rsidRPr="009B720F">
        <w:rPr>
          <w:bCs/>
        </w:rPr>
        <w:t xml:space="preserve">). It can also be considered a fundamental/essential element to craft and operationalize a </w:t>
      </w:r>
      <w:r w:rsidRPr="009B720F">
        <w:rPr>
          <w:bCs/>
          <w:i/>
          <w:iCs/>
        </w:rPr>
        <w:t>robust adaptive plan</w:t>
      </w:r>
      <w:r w:rsidRPr="009B720F">
        <w:rPr>
          <w:bCs/>
        </w:rPr>
        <w:t xml:space="preserve">. </w:t>
      </w:r>
      <w:bookmarkStart w:id="94" w:name="_Hlk137740591"/>
      <w:r w:rsidRPr="009B720F">
        <w:rPr>
          <w:bCs/>
        </w:rPr>
        <w:t xml:space="preserve">To deal with uncertain future conditions and changes, the TE2100 Project decided to develop a </w:t>
      </w:r>
      <w:r w:rsidRPr="009B720F">
        <w:rPr>
          <w:bCs/>
          <w:i/>
          <w:iCs/>
        </w:rPr>
        <w:t>dynamic adaptive plan</w:t>
      </w:r>
      <w:r w:rsidRPr="009B720F">
        <w:rPr>
          <w:bCs/>
        </w:rPr>
        <w:t xml:space="preserve"> that was </w:t>
      </w:r>
      <w:r w:rsidRPr="009B720F">
        <w:rPr>
          <w:bCs/>
          <w:i/>
          <w:iCs/>
        </w:rPr>
        <w:t>robust</w:t>
      </w:r>
      <w:r w:rsidRPr="009B720F">
        <w:rPr>
          <w:bCs/>
        </w:rPr>
        <w:t xml:space="preserve"> and</w:t>
      </w:r>
      <w:r w:rsidRPr="009B720F">
        <w:rPr>
          <w:bCs/>
          <w:i/>
          <w:iCs/>
        </w:rPr>
        <w:t xml:space="preserve"> adaptable</w:t>
      </w:r>
      <w:r w:rsidRPr="009B720F">
        <w:rPr>
          <w:bCs/>
        </w:rPr>
        <w:t xml:space="preserve">, and to construct such plan it devised the APs approach. The Team aimed to build-in </w:t>
      </w:r>
      <w:r w:rsidRPr="009B720F">
        <w:rPr>
          <w:bCs/>
          <w:i/>
          <w:iCs/>
        </w:rPr>
        <w:t xml:space="preserve">dynamic robustness </w:t>
      </w:r>
      <w:r w:rsidRPr="009B720F">
        <w:rPr>
          <w:bCs/>
        </w:rPr>
        <w:t xml:space="preserve">and </w:t>
      </w:r>
      <w:r w:rsidRPr="009B720F">
        <w:rPr>
          <w:bCs/>
          <w:i/>
          <w:iCs/>
        </w:rPr>
        <w:t>flexibility</w:t>
      </w:r>
      <w:r w:rsidRPr="009B720F">
        <w:rPr>
          <w:bCs/>
        </w:rPr>
        <w:t xml:space="preserve"> into the Plan and its strategies, and the APs approach was fundamental/key to achieve this. The APs approach was essential to create a </w:t>
      </w:r>
      <w:r w:rsidRPr="009B720F">
        <w:rPr>
          <w:bCs/>
          <w:i/>
          <w:iCs/>
        </w:rPr>
        <w:t>robust adaptive plan</w:t>
      </w:r>
      <w:r w:rsidRPr="009B720F">
        <w:rPr>
          <w:bCs/>
        </w:rPr>
        <w:t>, and particularly, to develop a ‘</w:t>
      </w:r>
      <w:r w:rsidRPr="009B720F">
        <w:rPr>
          <w:bCs/>
          <w:i/>
          <w:iCs/>
        </w:rPr>
        <w:t>robust and flexible</w:t>
      </w:r>
      <w:r w:rsidRPr="009B720F">
        <w:rPr>
          <w:bCs/>
        </w:rPr>
        <w:t>’</w:t>
      </w:r>
      <w:r w:rsidRPr="009B720F">
        <w:rPr>
          <w:bCs/>
          <w:i/>
          <w:iCs/>
        </w:rPr>
        <w:t xml:space="preserve"> </w:t>
      </w:r>
      <w:r w:rsidRPr="009B720F">
        <w:rPr>
          <w:bCs/>
        </w:rPr>
        <w:t xml:space="preserve">set of measures – or, more precisely, </w:t>
      </w:r>
      <w:r w:rsidRPr="009B720F">
        <w:rPr>
          <w:bCs/>
          <w:i/>
          <w:iCs/>
        </w:rPr>
        <w:t>robust flexible sets</w:t>
      </w:r>
      <w:r w:rsidRPr="009B720F">
        <w:rPr>
          <w:bCs/>
        </w:rPr>
        <w:t xml:space="preserve"> of measures, as each </w:t>
      </w:r>
      <w:r w:rsidRPr="009B720F">
        <w:rPr>
          <w:bCs/>
          <w:i/>
          <w:iCs/>
        </w:rPr>
        <w:t>Option</w:t>
      </w:r>
      <w:r w:rsidRPr="009B720F">
        <w:rPr>
          <w:bCs/>
        </w:rPr>
        <w:t xml:space="preserve"> (pathway) is itself a </w:t>
      </w:r>
      <w:r w:rsidRPr="009B720F">
        <w:rPr>
          <w:bCs/>
          <w:i/>
          <w:iCs/>
        </w:rPr>
        <w:t>set</w:t>
      </w:r>
      <w:r w:rsidRPr="009B720F">
        <w:rPr>
          <w:bCs/>
        </w:rPr>
        <w:t xml:space="preserve"> of sequenced measures. </w:t>
      </w:r>
      <w:bookmarkEnd w:id="94"/>
    </w:p>
    <w:p w14:paraId="2174D8D5" w14:textId="77777777" w:rsidR="00AD22FD" w:rsidRPr="009B720F" w:rsidRDefault="00AD22FD" w:rsidP="00AD22FD">
      <w:pPr>
        <w:pStyle w:val="TEXTBODY"/>
        <w:spacing w:after="0" w:line="276" w:lineRule="auto"/>
        <w:rPr>
          <w:bCs/>
        </w:rPr>
      </w:pPr>
      <w:bookmarkStart w:id="95" w:name="_Hlk137743173"/>
      <w:bookmarkStart w:id="96" w:name="_Hlk137743243"/>
      <w:r w:rsidRPr="009B720F">
        <w:rPr>
          <w:bCs/>
        </w:rPr>
        <w:t>It can, therefore, be argued that developing a ‘</w:t>
      </w:r>
      <w:r w:rsidRPr="009B720F">
        <w:rPr>
          <w:bCs/>
          <w:i/>
          <w:iCs/>
        </w:rPr>
        <w:t>robust</w:t>
      </w:r>
      <w:r w:rsidRPr="009B720F">
        <w:rPr>
          <w:bCs/>
        </w:rPr>
        <w:t xml:space="preserve"> </w:t>
      </w:r>
      <w:r w:rsidRPr="009B720F">
        <w:rPr>
          <w:bCs/>
          <w:i/>
          <w:iCs/>
        </w:rPr>
        <w:t>and flexible</w:t>
      </w:r>
      <w:r w:rsidRPr="009B720F">
        <w:rPr>
          <w:bCs/>
        </w:rPr>
        <w:t>’</w:t>
      </w:r>
      <w:r w:rsidRPr="009B720F">
        <w:rPr>
          <w:bCs/>
          <w:i/>
          <w:iCs/>
        </w:rPr>
        <w:t xml:space="preserve"> </w:t>
      </w:r>
      <w:r w:rsidRPr="009B720F">
        <w:rPr>
          <w:bCs/>
        </w:rPr>
        <w:t xml:space="preserve">set of measures (or, more accurately, sets of measures) to deal with uncertain future changes, using the Adaptation Pathways approach (APs), </w:t>
      </w:r>
      <w:bookmarkEnd w:id="95"/>
      <w:r w:rsidRPr="009B720F">
        <w:rPr>
          <w:bCs/>
        </w:rPr>
        <w:t xml:space="preserve">is other </w:t>
      </w:r>
      <w:proofErr w:type="gramStart"/>
      <w:r w:rsidRPr="009B720F">
        <w:rPr>
          <w:bCs/>
        </w:rPr>
        <w:t>key-element</w:t>
      </w:r>
      <w:proofErr w:type="gramEnd"/>
      <w:r w:rsidRPr="009B720F">
        <w:rPr>
          <w:bCs/>
        </w:rPr>
        <w:t xml:space="preserve"> of the TE2100’s Dynamic Adaptive Planning that has been essential to develop and operationalize a </w:t>
      </w:r>
      <w:r w:rsidRPr="009B720F">
        <w:rPr>
          <w:bCs/>
          <w:i/>
          <w:iCs/>
        </w:rPr>
        <w:t>robust adaptive plan</w:t>
      </w:r>
      <w:r w:rsidRPr="009B720F">
        <w:rPr>
          <w:bCs/>
        </w:rPr>
        <w:t xml:space="preserve">. </w:t>
      </w:r>
      <w:bookmarkStart w:id="97" w:name="_Hlk137740811"/>
      <w:bookmarkEnd w:id="96"/>
      <w:r w:rsidRPr="009B720F">
        <w:rPr>
          <w:bCs/>
        </w:rPr>
        <w:t xml:space="preserve">By using the APs approach, it was possible to design of several sets/packages of sequenced measures, i.e. several pathways, where each pathway is itself a </w:t>
      </w:r>
      <w:r w:rsidRPr="009B720F">
        <w:rPr>
          <w:bCs/>
          <w:i/>
          <w:iCs/>
        </w:rPr>
        <w:t>strategy</w:t>
      </w:r>
      <w:r w:rsidRPr="009B720F">
        <w:rPr>
          <w:bCs/>
        </w:rPr>
        <w:t xml:space="preserve">, i.e. a set of measures sequenced over time to manage changing risk. Together, the various pathways form (compound) a </w:t>
      </w:r>
      <w:r w:rsidRPr="009B720F">
        <w:rPr>
          <w:bCs/>
          <w:i/>
        </w:rPr>
        <w:t>robust adaptive plan</w:t>
      </w:r>
      <w:bookmarkStart w:id="98" w:name="_Hlk137743283"/>
      <w:bookmarkEnd w:id="97"/>
      <w:r w:rsidRPr="009B720F">
        <w:rPr>
          <w:bCs/>
          <w:iCs/>
        </w:rPr>
        <w:t xml:space="preserve"> </w:t>
      </w:r>
      <w:r w:rsidRPr="009B720F">
        <w:rPr>
          <w:bCs/>
        </w:rPr>
        <w:t>(</w:t>
      </w:r>
      <w:r w:rsidRPr="009B720F">
        <w:rPr>
          <w:bCs/>
          <w:color w:val="7F7F7F" w:themeColor="text1" w:themeTint="80"/>
        </w:rPr>
        <w:t xml:space="preserve">EA 2009b, p.200; Ranger et al. 2013, p.249; </w:t>
      </w:r>
      <w:r w:rsidRPr="009B720F">
        <w:rPr>
          <w:bCs/>
          <w:color w:val="7F7F7F" w:themeColor="text1" w:themeTint="80"/>
          <w:szCs w:val="22"/>
        </w:rPr>
        <w:t xml:space="preserve">Reeder and Ranger 2011; </w:t>
      </w:r>
      <w:proofErr w:type="spellStart"/>
      <w:r w:rsidRPr="009B720F">
        <w:rPr>
          <w:bCs/>
          <w:color w:val="7F7F7F" w:themeColor="text1" w:themeTint="80"/>
        </w:rPr>
        <w:t>Jeuken</w:t>
      </w:r>
      <w:proofErr w:type="spellEnd"/>
      <w:r w:rsidRPr="009B720F">
        <w:rPr>
          <w:bCs/>
          <w:color w:val="7F7F7F" w:themeColor="text1" w:themeTint="80"/>
        </w:rPr>
        <w:t xml:space="preserve"> and Reeder 2011, p.2, 4; Ramsbottom and Sheppard 2017, p.5; </w:t>
      </w:r>
      <w:proofErr w:type="spellStart"/>
      <w:r w:rsidRPr="009B720F">
        <w:rPr>
          <w:bCs/>
          <w:color w:val="7F7F7F" w:themeColor="text1" w:themeTint="80"/>
        </w:rPr>
        <w:t>Jeuken</w:t>
      </w:r>
      <w:proofErr w:type="spellEnd"/>
      <w:r w:rsidRPr="009B720F">
        <w:rPr>
          <w:bCs/>
          <w:color w:val="7F7F7F" w:themeColor="text1" w:themeTint="80"/>
        </w:rPr>
        <w:t xml:space="preserve"> et al. 2014, p.1, 23</w:t>
      </w:r>
      <w:r w:rsidRPr="009B720F">
        <w:rPr>
          <w:bCs/>
        </w:rPr>
        <w:t xml:space="preserve">). In other words, the development/design of a series of </w:t>
      </w:r>
      <w:r w:rsidRPr="009B720F">
        <w:rPr>
          <w:bCs/>
          <w:i/>
          <w:iCs/>
        </w:rPr>
        <w:t>robust flexible</w:t>
      </w:r>
      <w:r w:rsidRPr="009B720F">
        <w:rPr>
          <w:bCs/>
        </w:rPr>
        <w:t xml:space="preserve"> </w:t>
      </w:r>
      <w:r w:rsidRPr="009B720F">
        <w:rPr>
          <w:bCs/>
          <w:i/>
          <w:iCs/>
        </w:rPr>
        <w:t>strategies</w:t>
      </w:r>
      <w:r w:rsidRPr="009B720F">
        <w:rPr>
          <w:bCs/>
        </w:rPr>
        <w:t xml:space="preserve"> (where each </w:t>
      </w:r>
      <w:r w:rsidRPr="009B720F">
        <w:rPr>
          <w:bCs/>
          <w:i/>
          <w:iCs/>
        </w:rPr>
        <w:t xml:space="preserve">strategy </w:t>
      </w:r>
      <w:r w:rsidRPr="009B720F">
        <w:rPr>
          <w:bCs/>
        </w:rPr>
        <w:t xml:space="preserve">is itself a </w:t>
      </w:r>
      <w:r w:rsidRPr="009B720F">
        <w:rPr>
          <w:bCs/>
          <w:i/>
          <w:iCs/>
        </w:rPr>
        <w:t>robust flexible set</w:t>
      </w:r>
      <w:r w:rsidRPr="009B720F">
        <w:rPr>
          <w:bCs/>
        </w:rPr>
        <w:t xml:space="preserve"> of sequenced measures, i.e. a pathway denominated as </w:t>
      </w:r>
      <w:r w:rsidRPr="009B720F">
        <w:rPr>
          <w:bCs/>
          <w:i/>
          <w:iCs/>
        </w:rPr>
        <w:t>HLO</w:t>
      </w:r>
      <w:r w:rsidRPr="009B720F">
        <w:rPr>
          <w:bCs/>
        </w:rPr>
        <w:t>/</w:t>
      </w:r>
      <w:r w:rsidRPr="009B720F">
        <w:rPr>
          <w:bCs/>
          <w:i/>
          <w:iCs/>
        </w:rPr>
        <w:t>Option</w:t>
      </w:r>
      <w:r w:rsidRPr="009B720F">
        <w:rPr>
          <w:bCs/>
        </w:rPr>
        <w:t>), which was done by using</w:t>
      </w:r>
      <w:r w:rsidRPr="009B720F">
        <w:rPr>
          <w:bCs/>
          <w:strike/>
        </w:rPr>
        <w:t xml:space="preserve"> </w:t>
      </w:r>
      <w:r w:rsidRPr="009B720F">
        <w:rPr>
          <w:bCs/>
        </w:rPr>
        <w:t xml:space="preserve">the APs approach, can be deemed other key-element of the TE2100’s </w:t>
      </w:r>
      <w:r w:rsidRPr="009B720F">
        <w:rPr>
          <w:bCs/>
          <w:i/>
          <w:iCs/>
        </w:rPr>
        <w:t>Dynamic Adaptive Planning approach</w:t>
      </w:r>
      <w:r w:rsidRPr="009B720F">
        <w:rPr>
          <w:bCs/>
        </w:rPr>
        <w:t xml:space="preserve"> that was essential to draw up a </w:t>
      </w:r>
      <w:r w:rsidRPr="009B720F">
        <w:rPr>
          <w:bCs/>
          <w:i/>
          <w:iCs/>
        </w:rPr>
        <w:t>robust adaptive plan</w:t>
      </w:r>
      <w:r w:rsidRPr="009B720F">
        <w:rPr>
          <w:bCs/>
        </w:rPr>
        <w:t xml:space="preserve">. </w:t>
      </w:r>
    </w:p>
    <w:p w14:paraId="1AAF14AF" w14:textId="77777777" w:rsidR="00AD22FD" w:rsidRPr="009B720F" w:rsidRDefault="00AD22FD" w:rsidP="00AD22FD">
      <w:pPr>
        <w:pStyle w:val="TEXTBODY"/>
        <w:spacing w:after="180" w:line="276" w:lineRule="auto"/>
        <w:rPr>
          <w:bCs/>
          <w:color w:val="C00000"/>
        </w:rPr>
      </w:pPr>
      <w:bookmarkStart w:id="99" w:name="_Hlk137743372"/>
      <w:bookmarkEnd w:id="98"/>
      <w:r w:rsidRPr="009B720F">
        <w:rPr>
          <w:bCs/>
        </w:rPr>
        <w:t xml:space="preserve">In synthesis, the development of a </w:t>
      </w:r>
      <w:r w:rsidRPr="009B720F">
        <w:rPr>
          <w:bCs/>
          <w:iCs/>
        </w:rPr>
        <w:t>‘</w:t>
      </w:r>
      <w:r w:rsidRPr="009B720F">
        <w:rPr>
          <w:bCs/>
          <w:i/>
        </w:rPr>
        <w:t>robust and flexible</w:t>
      </w:r>
      <w:r w:rsidRPr="009B720F">
        <w:rPr>
          <w:bCs/>
          <w:iCs/>
        </w:rPr>
        <w:t xml:space="preserve">’ </w:t>
      </w:r>
      <w:r w:rsidRPr="009B720F">
        <w:rPr>
          <w:bCs/>
        </w:rPr>
        <w:t xml:space="preserve">set of measures – or, more precisely, of a set of </w:t>
      </w:r>
      <w:r w:rsidRPr="009B720F">
        <w:rPr>
          <w:bCs/>
          <w:i/>
          <w:iCs/>
        </w:rPr>
        <w:t>robust adaptive strategies</w:t>
      </w:r>
      <w:r w:rsidRPr="009B720F">
        <w:rPr>
          <w:bCs/>
        </w:rPr>
        <w:t xml:space="preserve"> as pathways (so-called </w:t>
      </w:r>
      <w:r w:rsidRPr="009B720F">
        <w:rPr>
          <w:bCs/>
          <w:i/>
          <w:iCs/>
        </w:rPr>
        <w:t>Options</w:t>
      </w:r>
      <w:r w:rsidRPr="009B720F">
        <w:rPr>
          <w:bCs/>
        </w:rPr>
        <w:t xml:space="preserve">) – in order to deal with uncertain future changes, by using the Adaptation Pathways approach (APs), can be deemed a key-element of the TE2100’s approach that was essential to develop and operationalize </w:t>
      </w:r>
      <w:r w:rsidRPr="009B720F">
        <w:rPr>
          <w:bCs/>
          <w:i/>
          <w:iCs/>
        </w:rPr>
        <w:t>a robust adaptive plan</w:t>
      </w:r>
      <w:r w:rsidRPr="009B720F">
        <w:rPr>
          <w:bCs/>
        </w:rPr>
        <w:t xml:space="preserve">. </w:t>
      </w:r>
    </w:p>
    <w:p w14:paraId="49B944FB" w14:textId="77777777" w:rsidR="00AD22FD" w:rsidRPr="009B720F" w:rsidRDefault="00AD22FD" w:rsidP="00AD22FD">
      <w:pPr>
        <w:pStyle w:val="TEXTBODY"/>
        <w:spacing w:after="60" w:line="276" w:lineRule="auto"/>
        <w:rPr>
          <w:bCs/>
        </w:rPr>
      </w:pPr>
      <w:bookmarkStart w:id="100" w:name="_Hlk137741031"/>
      <w:bookmarkEnd w:id="99"/>
      <w:r w:rsidRPr="009B720F">
        <w:rPr>
          <w:bCs/>
        </w:rPr>
        <w:t>The production of ‘</w:t>
      </w:r>
      <w:r w:rsidRPr="009B720F">
        <w:rPr>
          <w:bCs/>
          <w:i/>
          <w:iCs/>
        </w:rPr>
        <w:t>flexible adaptable Options</w:t>
      </w:r>
      <w:r w:rsidRPr="009B720F">
        <w:rPr>
          <w:bCs/>
        </w:rPr>
        <w:t xml:space="preserve">’ as pathways, and the threshold analyses that it implied, were essential to develop a plan (to manage flood risk until 2100) that was </w:t>
      </w:r>
      <w:r w:rsidRPr="009B720F">
        <w:rPr>
          <w:bCs/>
          <w:i/>
          <w:iCs/>
        </w:rPr>
        <w:t>dynamic robust</w:t>
      </w:r>
      <w:r w:rsidRPr="009B720F">
        <w:rPr>
          <w:bCs/>
        </w:rPr>
        <w:t xml:space="preserve"> and </w:t>
      </w:r>
      <w:r w:rsidRPr="009B720F">
        <w:rPr>
          <w:bCs/>
          <w:i/>
          <w:iCs/>
        </w:rPr>
        <w:t>adaptable</w:t>
      </w:r>
      <w:r w:rsidRPr="009B720F">
        <w:rPr>
          <w:bCs/>
        </w:rPr>
        <w:t xml:space="preserve"> to uncertain future conditions and changes (</w:t>
      </w:r>
      <w:r w:rsidRPr="009B720F">
        <w:rPr>
          <w:bCs/>
          <w:color w:val="7F7F7F" w:themeColor="text1" w:themeTint="80"/>
        </w:rPr>
        <w:t>EA 2009b, p.2-4, 10, 199</w:t>
      </w:r>
      <w:r w:rsidRPr="009B720F">
        <w:rPr>
          <w:bCs/>
        </w:rPr>
        <w:t xml:space="preserve">). </w:t>
      </w:r>
      <w:r w:rsidRPr="009B720F">
        <w:rPr>
          <w:bCs/>
          <w:i/>
          <w:iCs/>
        </w:rPr>
        <w:t xml:space="preserve">Dynamic robustness </w:t>
      </w:r>
      <w:r w:rsidRPr="009B720F">
        <w:rPr>
          <w:bCs/>
        </w:rPr>
        <w:t>(</w:t>
      </w:r>
      <w:r w:rsidRPr="009B720F">
        <w:rPr>
          <w:bCs/>
          <w:i/>
          <w:iCs/>
        </w:rPr>
        <w:t>flexibility</w:t>
      </w:r>
      <w:r w:rsidRPr="009B720F">
        <w:rPr>
          <w:bCs/>
        </w:rPr>
        <w:t xml:space="preserve">) and </w:t>
      </w:r>
      <w:r w:rsidRPr="009B720F">
        <w:rPr>
          <w:bCs/>
          <w:i/>
          <w:iCs/>
        </w:rPr>
        <w:t xml:space="preserve">adaptability </w:t>
      </w:r>
      <w:r w:rsidRPr="009B720F">
        <w:rPr>
          <w:bCs/>
        </w:rPr>
        <w:t>are basic properties of the Plan (</w:t>
      </w:r>
      <w:r w:rsidRPr="009B720F">
        <w:rPr>
          <w:bCs/>
          <w:color w:val="7F7F7F" w:themeColor="text1" w:themeTint="80"/>
        </w:rPr>
        <w:t>EA 2009b, p.2-4, 10, 199</w:t>
      </w:r>
      <w:r w:rsidRPr="009B720F">
        <w:rPr>
          <w:bCs/>
        </w:rPr>
        <w:t>)</w:t>
      </w:r>
      <w:r w:rsidRPr="009B720F">
        <w:rPr>
          <w:bCs/>
          <w:color w:val="C00000"/>
        </w:rPr>
        <w:t xml:space="preserve">. </w:t>
      </w:r>
      <w:r w:rsidRPr="009B720F">
        <w:rPr>
          <w:bCs/>
        </w:rPr>
        <w:t xml:space="preserve">The APs approach </w:t>
      </w:r>
      <w:r w:rsidRPr="009B720F">
        <w:rPr>
          <w:bCs/>
        </w:rPr>
        <w:lastRenderedPageBreak/>
        <w:t xml:space="preserve">– which served to develop a </w:t>
      </w:r>
      <w:r w:rsidRPr="009B720F">
        <w:rPr>
          <w:bCs/>
          <w:i/>
          <w:iCs/>
        </w:rPr>
        <w:t xml:space="preserve">robust flexible set of Options </w:t>
      </w:r>
      <w:r w:rsidRPr="009B720F">
        <w:rPr>
          <w:bCs/>
        </w:rPr>
        <w:t>(i.e. a suite of pathways)</w:t>
      </w:r>
      <w:r w:rsidRPr="009B720F">
        <w:rPr>
          <w:bCs/>
          <w:i/>
          <w:iCs/>
        </w:rPr>
        <w:t xml:space="preserve"> </w:t>
      </w:r>
      <w:r w:rsidRPr="009B720F">
        <w:rPr>
          <w:bCs/>
        </w:rPr>
        <w:t xml:space="preserve">– was fundamental to embed these properties into the Plan. </w:t>
      </w:r>
    </w:p>
    <w:bookmarkEnd w:id="100"/>
    <w:p w14:paraId="63982EFE" w14:textId="77777777" w:rsidR="00AD22FD" w:rsidRPr="009B720F" w:rsidRDefault="00AD22FD" w:rsidP="00AD22FD">
      <w:pPr>
        <w:pStyle w:val="TEXTBODY"/>
        <w:spacing w:after="60" w:line="276" w:lineRule="auto"/>
        <w:rPr>
          <w:bCs/>
        </w:rPr>
      </w:pPr>
      <w:r w:rsidRPr="009B720F">
        <w:rPr>
          <w:bCs/>
        </w:rPr>
        <w:t xml:space="preserve">The development of </w:t>
      </w:r>
      <w:r w:rsidRPr="009B720F">
        <w:rPr>
          <w:bCs/>
          <w:i/>
          <w:iCs/>
        </w:rPr>
        <w:t>robust flexible strategies</w:t>
      </w:r>
      <w:r w:rsidRPr="009B720F">
        <w:rPr>
          <w:bCs/>
        </w:rPr>
        <w:t xml:space="preserve">, using the APs approach – i.e. the design/creation of a series of </w:t>
      </w:r>
      <w:r w:rsidRPr="009B720F">
        <w:rPr>
          <w:bCs/>
          <w:i/>
          <w:iCs/>
        </w:rPr>
        <w:t>Options</w:t>
      </w:r>
      <w:r w:rsidRPr="009B720F">
        <w:rPr>
          <w:bCs/>
        </w:rPr>
        <w:t xml:space="preserve"> as adaptation pathways – has been deemed one of the essential elements of the </w:t>
      </w:r>
      <w:r w:rsidRPr="009B720F">
        <w:rPr>
          <w:bCs/>
          <w:i/>
          <w:iCs/>
        </w:rPr>
        <w:t>Dynamic Adaptive Planning approach</w:t>
      </w:r>
      <w:r w:rsidRPr="009B720F">
        <w:rPr>
          <w:bCs/>
        </w:rPr>
        <w:t xml:space="preserve"> of the TE2100 (</w:t>
      </w:r>
      <w:proofErr w:type="spellStart"/>
      <w:r w:rsidRPr="009B720F">
        <w:rPr>
          <w:bCs/>
          <w:color w:val="7F7F7F" w:themeColor="text1" w:themeTint="80"/>
        </w:rPr>
        <w:t>Jeuken</w:t>
      </w:r>
      <w:proofErr w:type="spellEnd"/>
      <w:r w:rsidRPr="009B720F">
        <w:rPr>
          <w:bCs/>
          <w:color w:val="7F7F7F" w:themeColor="text1" w:themeTint="80"/>
        </w:rPr>
        <w:t xml:space="preserve"> and Reeder 2011, p.2</w:t>
      </w:r>
      <w:r w:rsidRPr="009B720F">
        <w:rPr>
          <w:bCs/>
        </w:rPr>
        <w:t xml:space="preserve">; </w:t>
      </w:r>
      <w:r w:rsidRPr="009B720F">
        <w:rPr>
          <w:bCs/>
          <w:color w:val="7F7F7F" w:themeColor="text1" w:themeTint="80"/>
        </w:rPr>
        <w:t>Ramsbottom and Sheppard 2017, p.5</w:t>
      </w:r>
      <w:r w:rsidRPr="009B720F">
        <w:rPr>
          <w:bCs/>
        </w:rPr>
        <w:t>). Furthermore, the adoption of the APs approach to design diverse possible adaptation pathways is deemed one of the main innovations of the TE2100 (</w:t>
      </w:r>
      <w:r w:rsidRPr="009B720F">
        <w:rPr>
          <w:bCs/>
          <w:color w:val="7F7F7F" w:themeColor="text1" w:themeTint="80"/>
        </w:rPr>
        <w:t>Ranger et al. 2013, p.233, 239, 258</w:t>
      </w:r>
      <w:r w:rsidRPr="009B720F">
        <w:rPr>
          <w:bCs/>
        </w:rPr>
        <w:t xml:space="preserve">). Notwithstanding, few studies have recognized and approached this element as essential to craft a </w:t>
      </w:r>
      <w:r w:rsidRPr="009B720F">
        <w:rPr>
          <w:bCs/>
          <w:i/>
          <w:iCs/>
        </w:rPr>
        <w:t>robust adaptive plan</w:t>
      </w:r>
      <w:r w:rsidRPr="009B720F">
        <w:rPr>
          <w:bCs/>
        </w:rPr>
        <w:t xml:space="preserve"> (an exception to this is the work of </w:t>
      </w:r>
      <w:proofErr w:type="spellStart"/>
      <w:r w:rsidRPr="009B720F">
        <w:rPr>
          <w:bCs/>
        </w:rPr>
        <w:t>Jeuken</w:t>
      </w:r>
      <w:proofErr w:type="spellEnd"/>
      <w:r w:rsidRPr="009B720F">
        <w:rPr>
          <w:bCs/>
        </w:rPr>
        <w:t xml:space="preserve"> et al. 2014), and fewer have investigated why it is essential and which properties of this element make it a ‘key requisite’ / necessary ingredient to make a </w:t>
      </w:r>
      <w:r w:rsidRPr="009B720F">
        <w:rPr>
          <w:bCs/>
          <w:i/>
          <w:iCs/>
        </w:rPr>
        <w:t>robust</w:t>
      </w:r>
      <w:r w:rsidRPr="009B720F">
        <w:rPr>
          <w:bCs/>
        </w:rPr>
        <w:t xml:space="preserve"> and</w:t>
      </w:r>
      <w:r w:rsidRPr="009B720F">
        <w:rPr>
          <w:bCs/>
          <w:i/>
          <w:iCs/>
        </w:rPr>
        <w:t xml:space="preserve"> adaptive </w:t>
      </w:r>
      <w:r w:rsidRPr="009B720F">
        <w:rPr>
          <w:bCs/>
        </w:rPr>
        <w:t xml:space="preserve">plan. </w:t>
      </w:r>
    </w:p>
    <w:p w14:paraId="604FAFFF" w14:textId="77777777" w:rsidR="00AD22FD" w:rsidRDefault="00AD22FD" w:rsidP="00AD22FD">
      <w:pPr>
        <w:pStyle w:val="TEXTBODY"/>
        <w:spacing w:line="276" w:lineRule="auto"/>
        <w:rPr>
          <w:bCs/>
        </w:rPr>
      </w:pPr>
      <w:r w:rsidRPr="009B720F">
        <w:rPr>
          <w:bCs/>
          <w:noProof/>
        </w:rPr>
        <mc:AlternateContent>
          <mc:Choice Requires="wps">
            <w:drawing>
              <wp:anchor distT="45720" distB="45720" distL="114300" distR="114300" simplePos="0" relativeHeight="252747264" behindDoc="1" locked="0" layoutInCell="1" allowOverlap="1" wp14:anchorId="05C40B55" wp14:editId="4CF36158">
                <wp:simplePos x="0" y="0"/>
                <wp:positionH relativeFrom="page">
                  <wp:posOffset>685800</wp:posOffset>
                </wp:positionH>
                <wp:positionV relativeFrom="paragraph">
                  <wp:posOffset>495300</wp:posOffset>
                </wp:positionV>
                <wp:extent cx="6200775" cy="2886075"/>
                <wp:effectExtent l="0" t="0" r="9525" b="9525"/>
                <wp:wrapNone/>
                <wp:docPr id="1696212430"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2886075"/>
                        </a:xfrm>
                        <a:prstGeom prst="rect">
                          <a:avLst/>
                        </a:prstGeom>
                        <a:solidFill>
                          <a:srgbClr val="4F81BD">
                            <a:lumMod val="20000"/>
                            <a:lumOff val="80000"/>
                          </a:srgbClr>
                        </a:solidFill>
                        <a:ln w="9525">
                          <a:noFill/>
                          <a:miter lim="800000"/>
                          <a:headEnd/>
                          <a:tailEnd/>
                        </a:ln>
                      </wps:spPr>
                      <wps:txbx>
                        <w:txbxContent>
                          <w:p w14:paraId="04C8D07E" w14:textId="77777777" w:rsidR="00AD22FD" w:rsidRPr="009B720F" w:rsidRDefault="00AD22FD" w:rsidP="00AD22FD">
                            <w:pPr>
                              <w:pStyle w:val="TEXTBODY"/>
                              <w:spacing w:after="0" w:line="240" w:lineRule="auto"/>
                              <w:jc w:val="left"/>
                              <w:rPr>
                                <w:rFonts w:asciiTheme="minorHAnsi" w:hAnsiTheme="minorHAnsi" w:cstheme="minorHAnsi"/>
                                <w:b/>
                                <w:bCs/>
                                <w:sz w:val="16"/>
                                <w:szCs w:val="14"/>
                              </w:rPr>
                            </w:pPr>
                            <w:r w:rsidRPr="009B720F">
                              <w:rPr>
                                <w:rFonts w:asciiTheme="minorHAnsi" w:hAnsiTheme="minorHAnsi" w:cstheme="minorHAnsi"/>
                                <w:b/>
                                <w:bCs/>
                                <w:sz w:val="16"/>
                                <w:szCs w:val="14"/>
                              </w:rPr>
                              <w:t xml:space="preserve">Theoretical grounds of </w:t>
                            </w:r>
                            <w:r w:rsidRPr="009B720F">
                              <w:rPr>
                                <w:rFonts w:asciiTheme="minorHAnsi" w:hAnsiTheme="minorHAnsi" w:cstheme="minorHAnsi"/>
                                <w:b/>
                                <w:bCs/>
                                <w:i/>
                                <w:iCs/>
                                <w:sz w:val="16"/>
                                <w:szCs w:val="14"/>
                              </w:rPr>
                              <w:t>Adaptive Planning approaches</w:t>
                            </w:r>
                          </w:p>
                          <w:p w14:paraId="26F33031" w14:textId="77777777" w:rsidR="00AD22FD" w:rsidRPr="009B720F" w:rsidRDefault="00AD22FD" w:rsidP="00AD22FD">
                            <w:pPr>
                              <w:pStyle w:val="TEXTBODY"/>
                              <w:spacing w:line="240" w:lineRule="auto"/>
                              <w:jc w:val="left"/>
                              <w:rPr>
                                <w:rFonts w:asciiTheme="minorHAnsi" w:hAnsiTheme="minorHAnsi" w:cstheme="minorHAnsi"/>
                                <w:sz w:val="16"/>
                                <w:szCs w:val="14"/>
                              </w:rPr>
                            </w:pPr>
                            <w:r w:rsidRPr="009B720F">
                              <w:rPr>
                                <w:rFonts w:asciiTheme="minorHAnsi" w:hAnsiTheme="minorHAnsi" w:cstheme="minorHAnsi"/>
                                <w:sz w:val="16"/>
                                <w:szCs w:val="14"/>
                              </w:rPr>
                              <w:t xml:space="preserve">In the light of the </w:t>
                            </w:r>
                            <w:r w:rsidRPr="009B720F">
                              <w:rPr>
                                <w:rFonts w:asciiTheme="minorHAnsi" w:hAnsiTheme="minorHAnsi" w:cstheme="minorHAnsi"/>
                                <w:b/>
                                <w:bCs/>
                                <w:i/>
                                <w:iCs/>
                                <w:sz w:val="16"/>
                                <w:szCs w:val="14"/>
                              </w:rPr>
                              <w:t>Adaptive Planning paradigm</w:t>
                            </w:r>
                            <w:r w:rsidRPr="009B720F">
                              <w:rPr>
                                <w:rFonts w:asciiTheme="minorHAnsi" w:hAnsiTheme="minorHAnsi" w:cstheme="minorHAnsi"/>
                                <w:b/>
                                <w:bCs/>
                                <w:sz w:val="16"/>
                                <w:szCs w:val="14"/>
                              </w:rPr>
                              <w:t>,</w:t>
                            </w:r>
                            <w:r w:rsidRPr="009B720F">
                              <w:rPr>
                                <w:rFonts w:asciiTheme="minorHAnsi" w:hAnsiTheme="minorHAnsi" w:cstheme="minorHAnsi"/>
                                <w:sz w:val="16"/>
                                <w:szCs w:val="14"/>
                              </w:rPr>
                              <w:t xml:space="preserve"> in the face of deep uncertainties about future changes, a </w:t>
                            </w:r>
                            <w:r w:rsidRPr="009B720F">
                              <w:rPr>
                                <w:rFonts w:asciiTheme="minorHAnsi" w:hAnsiTheme="minorHAnsi" w:cstheme="minorHAnsi"/>
                                <w:i/>
                                <w:iCs/>
                                <w:sz w:val="16"/>
                                <w:szCs w:val="14"/>
                              </w:rPr>
                              <w:t>dynamic adaptive plan</w:t>
                            </w:r>
                            <w:r w:rsidRPr="009B720F">
                              <w:rPr>
                                <w:rFonts w:asciiTheme="minorHAnsi" w:hAnsiTheme="minorHAnsi" w:cstheme="minorHAnsi"/>
                                <w:sz w:val="16"/>
                                <w:szCs w:val="14"/>
                              </w:rPr>
                              <w:t xml:space="preserve"> is needed, with </w:t>
                            </w:r>
                            <w:r w:rsidRPr="009B720F">
                              <w:rPr>
                                <w:rFonts w:asciiTheme="minorHAnsi" w:hAnsiTheme="minorHAnsi" w:cstheme="minorHAnsi"/>
                                <w:i/>
                                <w:iCs/>
                                <w:sz w:val="16"/>
                                <w:szCs w:val="14"/>
                              </w:rPr>
                              <w:t>robust policies</w:t>
                            </w:r>
                            <w:r w:rsidRPr="009B720F">
                              <w:rPr>
                                <w:rFonts w:asciiTheme="minorHAnsi" w:hAnsiTheme="minorHAnsi" w:cstheme="minorHAnsi"/>
                                <w:sz w:val="16"/>
                                <w:szCs w:val="14"/>
                              </w:rPr>
                              <w:t xml:space="preserve">/strategies and </w:t>
                            </w:r>
                            <w:r w:rsidRPr="009B720F">
                              <w:rPr>
                                <w:rFonts w:asciiTheme="minorHAnsi" w:hAnsiTheme="minorHAnsi" w:cstheme="minorHAnsi"/>
                                <w:i/>
                                <w:iCs/>
                                <w:sz w:val="16"/>
                                <w:szCs w:val="14"/>
                              </w:rPr>
                              <w:t>adaptive policies</w:t>
                            </w:r>
                            <w:r w:rsidRPr="009B720F">
                              <w:rPr>
                                <w:rFonts w:asciiTheme="minorHAnsi" w:hAnsiTheme="minorHAnsi" w:cstheme="minorHAnsi"/>
                                <w:sz w:val="16"/>
                                <w:szCs w:val="14"/>
                              </w:rPr>
                              <w:t>/strategies (</w:t>
                            </w:r>
                            <w:proofErr w:type="spellStart"/>
                            <w:r w:rsidRPr="009B720F">
                              <w:rPr>
                                <w:rFonts w:asciiTheme="minorHAnsi" w:hAnsiTheme="minorHAnsi" w:cstheme="minorHAnsi"/>
                                <w:color w:val="7F7F7F" w:themeColor="text1" w:themeTint="80"/>
                                <w:sz w:val="16"/>
                                <w:szCs w:val="14"/>
                              </w:rPr>
                              <w:t>Jeuken</w:t>
                            </w:r>
                            <w:proofErr w:type="spellEnd"/>
                            <w:r w:rsidRPr="009B720F">
                              <w:rPr>
                                <w:rFonts w:asciiTheme="minorHAnsi" w:hAnsiTheme="minorHAnsi" w:cstheme="minorHAnsi"/>
                                <w:color w:val="7F7F7F" w:themeColor="text1" w:themeTint="80"/>
                                <w:sz w:val="16"/>
                                <w:szCs w:val="14"/>
                              </w:rPr>
                              <w:t xml:space="preserve"> et al. 2014, p.2</w:t>
                            </w:r>
                            <w:r w:rsidRPr="009B720F">
                              <w:rPr>
                                <w:rFonts w:asciiTheme="minorHAnsi" w:hAnsiTheme="minorHAnsi" w:cstheme="minorHAnsi"/>
                                <w:sz w:val="16"/>
                                <w:szCs w:val="14"/>
                              </w:rPr>
                              <w:t xml:space="preserve">). </w:t>
                            </w:r>
                            <w:r w:rsidRPr="009B720F">
                              <w:rPr>
                                <w:rFonts w:asciiTheme="minorHAnsi" w:hAnsiTheme="minorHAnsi" w:cstheme="minorHAnsi"/>
                                <w:i/>
                                <w:iCs/>
                                <w:sz w:val="16"/>
                                <w:szCs w:val="14"/>
                              </w:rPr>
                              <w:t>Robust policies</w:t>
                            </w:r>
                            <w:r w:rsidRPr="009B720F">
                              <w:rPr>
                                <w:rFonts w:asciiTheme="minorHAnsi" w:hAnsiTheme="minorHAnsi" w:cstheme="minorHAnsi"/>
                                <w:sz w:val="16"/>
                                <w:szCs w:val="14"/>
                              </w:rPr>
                              <w:t xml:space="preserve">/strategies are those </w:t>
                            </w:r>
                            <w:r w:rsidRPr="009B720F">
                              <w:rPr>
                                <w:rFonts w:asciiTheme="minorHAnsi" w:hAnsiTheme="minorHAnsi" w:cstheme="minorHAnsi"/>
                                <w:i/>
                                <w:iCs/>
                                <w:sz w:val="16"/>
                                <w:szCs w:val="14"/>
                              </w:rPr>
                              <w:t>perform well under a wide range of plausible futures</w:t>
                            </w:r>
                            <w:r w:rsidRPr="009B720F">
                              <w:rPr>
                                <w:rFonts w:asciiTheme="minorHAnsi" w:hAnsiTheme="minorHAnsi" w:cstheme="minorHAnsi"/>
                                <w:sz w:val="16"/>
                                <w:szCs w:val="14"/>
                              </w:rPr>
                              <w:t xml:space="preserve">, whereas </w:t>
                            </w:r>
                            <w:r w:rsidRPr="009B720F">
                              <w:rPr>
                                <w:rFonts w:asciiTheme="minorHAnsi" w:hAnsiTheme="minorHAnsi" w:cstheme="minorHAnsi"/>
                                <w:i/>
                                <w:iCs/>
                                <w:sz w:val="16"/>
                                <w:szCs w:val="14"/>
                              </w:rPr>
                              <w:t>adaptive policies</w:t>
                            </w:r>
                            <w:r w:rsidRPr="009B720F">
                              <w:rPr>
                                <w:rFonts w:asciiTheme="minorHAnsi" w:hAnsiTheme="minorHAnsi" w:cstheme="minorHAnsi"/>
                                <w:sz w:val="16"/>
                                <w:szCs w:val="14"/>
                              </w:rPr>
                              <w:t xml:space="preserve">/strategies </w:t>
                            </w:r>
                            <w:r w:rsidRPr="009B720F">
                              <w:rPr>
                                <w:rFonts w:asciiTheme="minorHAnsi" w:hAnsiTheme="minorHAnsi" w:cstheme="minorHAnsi"/>
                                <w:i/>
                                <w:iCs/>
                                <w:sz w:val="16"/>
                                <w:szCs w:val="14"/>
                              </w:rPr>
                              <w:t>can be adapted once the future unfolds differently than foreseen</w:t>
                            </w:r>
                            <w:r w:rsidRPr="009B720F">
                              <w:rPr>
                                <w:rFonts w:asciiTheme="minorHAnsi" w:hAnsiTheme="minorHAnsi" w:cstheme="minorHAnsi"/>
                                <w:sz w:val="16"/>
                                <w:szCs w:val="14"/>
                              </w:rPr>
                              <w:t xml:space="preserve"> (</w:t>
                            </w:r>
                            <w:proofErr w:type="spellStart"/>
                            <w:r w:rsidRPr="009B720F">
                              <w:rPr>
                                <w:rFonts w:asciiTheme="minorHAnsi" w:hAnsiTheme="minorHAnsi" w:cstheme="minorHAnsi"/>
                                <w:color w:val="7F7F7F" w:themeColor="text1" w:themeTint="80"/>
                                <w:sz w:val="16"/>
                                <w:szCs w:val="14"/>
                              </w:rPr>
                              <w:t>Jeuken</w:t>
                            </w:r>
                            <w:proofErr w:type="spellEnd"/>
                            <w:r w:rsidRPr="009B720F">
                              <w:rPr>
                                <w:rFonts w:asciiTheme="minorHAnsi" w:hAnsiTheme="minorHAnsi" w:cstheme="minorHAnsi"/>
                                <w:color w:val="7F7F7F" w:themeColor="text1" w:themeTint="80"/>
                                <w:sz w:val="16"/>
                                <w:szCs w:val="14"/>
                              </w:rPr>
                              <w:t xml:space="preserve"> et al. 2014, p.2</w:t>
                            </w:r>
                            <w:r w:rsidRPr="009B720F">
                              <w:rPr>
                                <w:rFonts w:asciiTheme="minorHAnsi" w:hAnsiTheme="minorHAnsi" w:cstheme="minorHAnsi"/>
                                <w:sz w:val="16"/>
                                <w:szCs w:val="14"/>
                              </w:rPr>
                              <w:t xml:space="preserve">). According to </w:t>
                            </w:r>
                            <w:proofErr w:type="spellStart"/>
                            <w:r w:rsidRPr="009B720F">
                              <w:rPr>
                                <w:rFonts w:asciiTheme="minorHAnsi" w:hAnsiTheme="minorHAnsi" w:cstheme="minorHAnsi"/>
                                <w:color w:val="7F7F7F" w:themeColor="text1" w:themeTint="80"/>
                                <w:sz w:val="16"/>
                                <w:szCs w:val="14"/>
                              </w:rPr>
                              <w:t>Jeuken</w:t>
                            </w:r>
                            <w:proofErr w:type="spellEnd"/>
                            <w:r w:rsidRPr="009B720F">
                              <w:rPr>
                                <w:rFonts w:asciiTheme="minorHAnsi" w:hAnsiTheme="minorHAnsi" w:cstheme="minorHAnsi"/>
                                <w:color w:val="7F7F7F" w:themeColor="text1" w:themeTint="80"/>
                                <w:sz w:val="16"/>
                                <w:szCs w:val="14"/>
                              </w:rPr>
                              <w:t xml:space="preserve"> et al. (2014)</w:t>
                            </w:r>
                            <w:r w:rsidRPr="009B720F">
                              <w:rPr>
                                <w:rFonts w:asciiTheme="minorHAnsi" w:hAnsiTheme="minorHAnsi" w:cstheme="minorHAnsi"/>
                                <w:sz w:val="16"/>
                                <w:szCs w:val="14"/>
                              </w:rPr>
                              <w:t>,</w:t>
                            </w:r>
                            <w:r w:rsidRPr="009B720F">
                              <w:rPr>
                                <w:rFonts w:asciiTheme="minorHAnsi" w:hAnsiTheme="minorHAnsi" w:cstheme="minorHAnsi"/>
                                <w:color w:val="0070C0"/>
                                <w:sz w:val="16"/>
                                <w:szCs w:val="14"/>
                              </w:rPr>
                              <w:t xml:space="preserve"> </w:t>
                            </w:r>
                            <w:r w:rsidRPr="009B720F">
                              <w:rPr>
                                <w:rFonts w:asciiTheme="minorHAnsi" w:hAnsiTheme="minorHAnsi" w:cstheme="minorHAnsi"/>
                                <w:sz w:val="16"/>
                                <w:szCs w:val="14"/>
                              </w:rPr>
                              <w:t xml:space="preserve">one of the central elements of an Adaptive Planning approach is </w:t>
                            </w:r>
                            <w:r w:rsidRPr="009B720F">
                              <w:rPr>
                                <w:rFonts w:asciiTheme="minorHAnsi" w:hAnsiTheme="minorHAnsi" w:cstheme="minorHAnsi"/>
                                <w:i/>
                                <w:sz w:val="16"/>
                                <w:szCs w:val="14"/>
                              </w:rPr>
                              <w:t xml:space="preserve">to respond to uncertain change with a robust and flexible set of actions </w:t>
                            </w:r>
                            <w:r w:rsidRPr="009B720F">
                              <w:rPr>
                                <w:rFonts w:asciiTheme="minorHAnsi" w:hAnsiTheme="minorHAnsi" w:cstheme="minorHAnsi"/>
                                <w:sz w:val="16"/>
                                <w:szCs w:val="14"/>
                              </w:rPr>
                              <w:t>(</w:t>
                            </w:r>
                            <w:proofErr w:type="spellStart"/>
                            <w:r w:rsidRPr="009B720F">
                              <w:rPr>
                                <w:rFonts w:asciiTheme="minorHAnsi" w:hAnsiTheme="minorHAnsi" w:cstheme="minorHAnsi"/>
                                <w:color w:val="7F7F7F" w:themeColor="text1" w:themeTint="80"/>
                                <w:sz w:val="16"/>
                                <w:szCs w:val="14"/>
                              </w:rPr>
                              <w:t>Jeuken</w:t>
                            </w:r>
                            <w:proofErr w:type="spellEnd"/>
                            <w:r w:rsidRPr="009B720F">
                              <w:rPr>
                                <w:rFonts w:asciiTheme="minorHAnsi" w:hAnsiTheme="minorHAnsi" w:cstheme="minorHAnsi"/>
                                <w:color w:val="7F7F7F" w:themeColor="text1" w:themeTint="80"/>
                                <w:sz w:val="16"/>
                                <w:szCs w:val="14"/>
                              </w:rPr>
                              <w:t xml:space="preserve"> et al. 2014, p. 23, 1</w:t>
                            </w:r>
                            <w:r w:rsidRPr="009B720F">
                              <w:rPr>
                                <w:rFonts w:asciiTheme="minorHAnsi" w:hAnsiTheme="minorHAnsi" w:cstheme="minorHAnsi"/>
                                <w:sz w:val="16"/>
                                <w:szCs w:val="14"/>
                              </w:rPr>
                              <w:t xml:space="preserve">). This set of actions should: create a </w:t>
                            </w:r>
                            <w:r w:rsidRPr="009B720F">
                              <w:rPr>
                                <w:rFonts w:asciiTheme="minorHAnsi" w:hAnsiTheme="minorHAnsi" w:cstheme="minorHAnsi"/>
                                <w:i/>
                                <w:sz w:val="16"/>
                                <w:szCs w:val="14"/>
                              </w:rPr>
                              <w:t>robust</w:t>
                            </w:r>
                            <w:r w:rsidRPr="009B720F">
                              <w:rPr>
                                <w:rFonts w:asciiTheme="minorHAnsi" w:hAnsiTheme="minorHAnsi" w:cstheme="minorHAnsi"/>
                                <w:sz w:val="16"/>
                                <w:szCs w:val="14"/>
                              </w:rPr>
                              <w:t xml:space="preserve"> system, i.e. one that can cope with several plausible future scenarios, namely extreme scenarios, and remain </w:t>
                            </w:r>
                            <w:r w:rsidRPr="009B720F">
                              <w:rPr>
                                <w:rFonts w:asciiTheme="minorHAnsi" w:hAnsiTheme="minorHAnsi" w:cstheme="minorHAnsi"/>
                                <w:i/>
                                <w:sz w:val="16"/>
                                <w:szCs w:val="14"/>
                              </w:rPr>
                              <w:t>flexible</w:t>
                            </w:r>
                            <w:r w:rsidRPr="009B720F">
                              <w:rPr>
                                <w:rFonts w:asciiTheme="minorHAnsi" w:hAnsiTheme="minorHAnsi" w:cstheme="minorHAnsi"/>
                                <w:b/>
                                <w:bCs/>
                                <w:sz w:val="16"/>
                                <w:szCs w:val="14"/>
                              </w:rPr>
                              <w:t xml:space="preserve"> </w:t>
                            </w:r>
                            <w:r w:rsidRPr="009B720F">
                              <w:rPr>
                                <w:rFonts w:asciiTheme="minorHAnsi" w:hAnsiTheme="minorHAnsi" w:cstheme="minorHAnsi"/>
                                <w:sz w:val="16"/>
                                <w:szCs w:val="14"/>
                              </w:rPr>
                              <w:t>in relation to changes and uncertain future conditions (</w:t>
                            </w:r>
                            <w:proofErr w:type="spellStart"/>
                            <w:r w:rsidRPr="009B720F">
                              <w:rPr>
                                <w:rFonts w:asciiTheme="minorHAnsi" w:hAnsiTheme="minorHAnsi" w:cstheme="minorHAnsi"/>
                                <w:color w:val="7F7F7F" w:themeColor="text1" w:themeTint="80"/>
                                <w:sz w:val="16"/>
                                <w:szCs w:val="14"/>
                              </w:rPr>
                              <w:t>Jeuken</w:t>
                            </w:r>
                            <w:proofErr w:type="spellEnd"/>
                            <w:r w:rsidRPr="009B720F">
                              <w:rPr>
                                <w:rFonts w:asciiTheme="minorHAnsi" w:hAnsiTheme="minorHAnsi" w:cstheme="minorHAnsi"/>
                                <w:color w:val="7F7F7F" w:themeColor="text1" w:themeTint="80"/>
                                <w:sz w:val="16"/>
                                <w:szCs w:val="14"/>
                              </w:rPr>
                              <w:t xml:space="preserve"> et al. 2014, p.3</w:t>
                            </w:r>
                            <w:r w:rsidRPr="009B720F">
                              <w:rPr>
                                <w:rFonts w:asciiTheme="minorHAnsi" w:hAnsiTheme="minorHAnsi" w:cstheme="minorHAnsi"/>
                                <w:sz w:val="16"/>
                                <w:szCs w:val="14"/>
                              </w:rPr>
                              <w:t xml:space="preserve">). Thus, a </w:t>
                            </w:r>
                            <w:r w:rsidRPr="009B720F">
                              <w:rPr>
                                <w:rFonts w:asciiTheme="minorHAnsi" w:hAnsiTheme="minorHAnsi" w:cstheme="minorHAnsi"/>
                                <w:i/>
                                <w:sz w:val="16"/>
                                <w:szCs w:val="14"/>
                              </w:rPr>
                              <w:t>dynamic adaptive plan</w:t>
                            </w:r>
                            <w:r w:rsidRPr="009B720F">
                              <w:rPr>
                                <w:rFonts w:asciiTheme="minorHAnsi" w:hAnsiTheme="minorHAnsi" w:cstheme="minorHAnsi"/>
                                <w:iCs/>
                                <w:sz w:val="16"/>
                                <w:szCs w:val="14"/>
                              </w:rPr>
                              <w:t xml:space="preserve"> should contain </w:t>
                            </w:r>
                            <w:r w:rsidRPr="009B720F">
                              <w:rPr>
                                <w:rFonts w:asciiTheme="minorHAnsi" w:hAnsiTheme="minorHAnsi" w:cstheme="minorHAnsi"/>
                                <w:i/>
                                <w:sz w:val="16"/>
                                <w:szCs w:val="14"/>
                              </w:rPr>
                              <w:t>robust</w:t>
                            </w:r>
                            <w:r w:rsidRPr="009B720F">
                              <w:rPr>
                                <w:rFonts w:asciiTheme="minorHAnsi" w:hAnsiTheme="minorHAnsi" w:cstheme="minorHAnsi"/>
                                <w:iCs/>
                                <w:sz w:val="16"/>
                                <w:szCs w:val="14"/>
                              </w:rPr>
                              <w:t xml:space="preserve"> and </w:t>
                            </w:r>
                            <w:r w:rsidRPr="009B720F">
                              <w:rPr>
                                <w:rFonts w:asciiTheme="minorHAnsi" w:hAnsiTheme="minorHAnsi" w:cstheme="minorHAnsi"/>
                                <w:i/>
                                <w:sz w:val="16"/>
                                <w:szCs w:val="14"/>
                              </w:rPr>
                              <w:t>flexible</w:t>
                            </w:r>
                            <w:r w:rsidRPr="009B720F">
                              <w:rPr>
                                <w:rFonts w:asciiTheme="minorHAnsi" w:hAnsiTheme="minorHAnsi" w:cstheme="minorHAnsi"/>
                                <w:iCs/>
                                <w:sz w:val="16"/>
                                <w:szCs w:val="14"/>
                              </w:rPr>
                              <w:t xml:space="preserve"> measures. </w:t>
                            </w:r>
                            <w:r w:rsidRPr="009B720F">
                              <w:rPr>
                                <w:rFonts w:asciiTheme="minorHAnsi" w:hAnsiTheme="minorHAnsi" w:cstheme="minorHAnsi"/>
                                <w:sz w:val="16"/>
                                <w:szCs w:val="14"/>
                              </w:rPr>
                              <w:t xml:space="preserve">In an </w:t>
                            </w:r>
                            <w:r w:rsidRPr="009B720F">
                              <w:rPr>
                                <w:rFonts w:asciiTheme="minorHAnsi" w:hAnsiTheme="minorHAnsi" w:cstheme="minorHAnsi"/>
                                <w:i/>
                                <w:iCs/>
                                <w:sz w:val="16"/>
                                <w:szCs w:val="14"/>
                              </w:rPr>
                              <w:t>Adaptive Planning approach</w:t>
                            </w:r>
                            <w:r w:rsidRPr="009B720F">
                              <w:rPr>
                                <w:rFonts w:asciiTheme="minorHAnsi" w:hAnsiTheme="minorHAnsi" w:cstheme="minorHAnsi"/>
                                <w:sz w:val="16"/>
                                <w:szCs w:val="14"/>
                              </w:rPr>
                              <w:t xml:space="preserve">, measures </w:t>
                            </w:r>
                            <w:r w:rsidRPr="009B720F">
                              <w:rPr>
                                <w:rFonts w:asciiTheme="minorHAnsi" w:hAnsiTheme="minorHAnsi" w:cstheme="minorHAnsi"/>
                                <w:iCs/>
                                <w:sz w:val="16"/>
                                <w:szCs w:val="14"/>
                              </w:rPr>
                              <w:t xml:space="preserve">(or their set) must </w:t>
                            </w:r>
                            <w:proofErr w:type="gramStart"/>
                            <w:r w:rsidRPr="009B720F">
                              <w:rPr>
                                <w:rFonts w:asciiTheme="minorHAnsi" w:hAnsiTheme="minorHAnsi" w:cstheme="minorHAnsi"/>
                                <w:iCs/>
                                <w:sz w:val="16"/>
                                <w:szCs w:val="14"/>
                              </w:rPr>
                              <w:t>be:</w:t>
                            </w:r>
                            <w:proofErr w:type="gramEnd"/>
                            <w:r w:rsidRPr="009B720F">
                              <w:rPr>
                                <w:rFonts w:asciiTheme="minorHAnsi" w:hAnsiTheme="minorHAnsi" w:cstheme="minorHAnsi"/>
                                <w:iCs/>
                                <w:sz w:val="16"/>
                                <w:szCs w:val="14"/>
                              </w:rPr>
                              <w:t xml:space="preserve"> </w:t>
                            </w:r>
                            <w:r w:rsidRPr="009B720F">
                              <w:rPr>
                                <w:rFonts w:asciiTheme="minorHAnsi" w:hAnsiTheme="minorHAnsi" w:cstheme="minorHAnsi"/>
                                <w:i/>
                                <w:sz w:val="16"/>
                                <w:szCs w:val="14"/>
                              </w:rPr>
                              <w:t>robust</w:t>
                            </w:r>
                            <w:r w:rsidRPr="009B720F">
                              <w:rPr>
                                <w:rFonts w:asciiTheme="minorHAnsi" w:hAnsiTheme="minorHAnsi" w:cstheme="minorHAnsi"/>
                                <w:iCs/>
                                <w:sz w:val="16"/>
                                <w:szCs w:val="14"/>
                              </w:rPr>
                              <w:t xml:space="preserve"> (i.e.</w:t>
                            </w:r>
                            <w:r w:rsidRPr="009B720F">
                              <w:rPr>
                                <w:rFonts w:asciiTheme="minorHAnsi" w:hAnsiTheme="minorHAnsi" w:cstheme="minorHAnsi"/>
                                <w:sz w:val="16"/>
                                <w:szCs w:val="14"/>
                              </w:rPr>
                              <w:t xml:space="preserve"> effective under the widest range of plausible future scenarios), and </w:t>
                            </w:r>
                            <w:r w:rsidRPr="009B720F">
                              <w:rPr>
                                <w:rFonts w:asciiTheme="minorHAnsi" w:hAnsiTheme="minorHAnsi" w:cstheme="minorHAnsi"/>
                                <w:i/>
                                <w:iCs/>
                                <w:sz w:val="16"/>
                                <w:szCs w:val="14"/>
                              </w:rPr>
                              <w:t>flexible</w:t>
                            </w:r>
                            <w:r w:rsidRPr="009B720F">
                              <w:rPr>
                                <w:rFonts w:asciiTheme="minorHAnsi" w:hAnsiTheme="minorHAnsi" w:cstheme="minorHAnsi"/>
                                <w:iCs/>
                                <w:sz w:val="16"/>
                                <w:szCs w:val="14"/>
                              </w:rPr>
                              <w:t>, by e.g.</w:t>
                            </w:r>
                            <w:r w:rsidRPr="009B720F">
                              <w:rPr>
                                <w:rFonts w:asciiTheme="minorHAnsi" w:eastAsiaTheme="minorHAnsi" w:hAnsiTheme="minorHAnsi" w:cstheme="minorHAnsi"/>
                                <w:iCs/>
                                <w:sz w:val="16"/>
                                <w:szCs w:val="14"/>
                                <w:lang w:eastAsia="en-US"/>
                              </w:rPr>
                              <w:t xml:space="preserve"> </w:t>
                            </w:r>
                            <w:r w:rsidRPr="009B720F">
                              <w:rPr>
                                <w:rFonts w:asciiTheme="minorHAnsi" w:hAnsiTheme="minorHAnsi" w:cstheme="minorHAnsi"/>
                                <w:sz w:val="16"/>
                                <w:szCs w:val="14"/>
                              </w:rPr>
                              <w:t>not foreclosing or unnecessarily constraining possible future measures (options) (</w:t>
                            </w:r>
                            <w:proofErr w:type="spellStart"/>
                            <w:r w:rsidRPr="009B720F">
                              <w:rPr>
                                <w:rFonts w:asciiTheme="minorHAnsi" w:hAnsiTheme="minorHAnsi" w:cstheme="minorHAnsi"/>
                                <w:color w:val="7F7F7F" w:themeColor="text1" w:themeTint="80"/>
                                <w:sz w:val="16"/>
                                <w:szCs w:val="14"/>
                              </w:rPr>
                              <w:t>Jeuken</w:t>
                            </w:r>
                            <w:proofErr w:type="spellEnd"/>
                            <w:r w:rsidRPr="009B720F">
                              <w:rPr>
                                <w:rFonts w:asciiTheme="minorHAnsi" w:hAnsiTheme="minorHAnsi" w:cstheme="minorHAnsi"/>
                                <w:color w:val="7F7F7F" w:themeColor="text1" w:themeTint="80"/>
                                <w:sz w:val="16"/>
                                <w:szCs w:val="14"/>
                              </w:rPr>
                              <w:t xml:space="preserve"> et al. 2014, p.3</w:t>
                            </w:r>
                            <w:r w:rsidRPr="009B720F">
                              <w:rPr>
                                <w:rFonts w:asciiTheme="minorHAnsi" w:hAnsiTheme="minorHAnsi" w:cstheme="minorHAnsi"/>
                                <w:sz w:val="16"/>
                                <w:szCs w:val="14"/>
                              </w:rPr>
                              <w:t xml:space="preserve">, based on </w:t>
                            </w:r>
                            <w:r w:rsidRPr="009B720F">
                              <w:rPr>
                                <w:rFonts w:asciiTheme="minorHAnsi" w:hAnsiTheme="minorHAnsi" w:cstheme="minorHAnsi"/>
                                <w:color w:val="7F7F7F" w:themeColor="text1" w:themeTint="80"/>
                                <w:sz w:val="16"/>
                                <w:szCs w:val="14"/>
                              </w:rPr>
                              <w:t>Sayers et al. 2012</w:t>
                            </w:r>
                            <w:r w:rsidRPr="009B720F">
                              <w:rPr>
                                <w:rFonts w:asciiTheme="minorHAnsi" w:hAnsiTheme="minorHAnsi" w:cstheme="minorHAnsi"/>
                                <w:sz w:val="16"/>
                                <w:szCs w:val="14"/>
                              </w:rPr>
                              <w:t xml:space="preserve">). </w:t>
                            </w:r>
                            <w:r w:rsidRPr="009B720F">
                              <w:rPr>
                                <w:rFonts w:asciiTheme="minorHAnsi" w:hAnsiTheme="minorHAnsi" w:cstheme="minorHAnsi"/>
                                <w:iCs/>
                                <w:sz w:val="16"/>
                                <w:szCs w:val="14"/>
                              </w:rPr>
                              <w:t>Moreover, measures should be ‘</w:t>
                            </w:r>
                            <w:r w:rsidRPr="009B720F">
                              <w:rPr>
                                <w:rFonts w:asciiTheme="minorHAnsi" w:hAnsiTheme="minorHAnsi" w:cstheme="minorHAnsi"/>
                                <w:i/>
                                <w:iCs/>
                                <w:sz w:val="16"/>
                                <w:szCs w:val="14"/>
                              </w:rPr>
                              <w:t>low/no-regrets’</w:t>
                            </w:r>
                            <w:r w:rsidRPr="009B720F">
                              <w:rPr>
                                <w:rFonts w:asciiTheme="minorHAnsi" w:hAnsiTheme="minorHAnsi" w:cstheme="minorHAnsi"/>
                                <w:sz w:val="16"/>
                                <w:szCs w:val="14"/>
                              </w:rPr>
                              <w:t xml:space="preserve"> as much as possible (i.e. with properties like robustness, flexibility, reversibility, adaptability) (</w:t>
                            </w:r>
                            <w:proofErr w:type="spellStart"/>
                            <w:r w:rsidRPr="009B720F">
                              <w:rPr>
                                <w:rFonts w:asciiTheme="minorHAnsi" w:hAnsiTheme="minorHAnsi" w:cstheme="minorHAnsi"/>
                                <w:color w:val="7F7F7F" w:themeColor="text1" w:themeTint="80"/>
                                <w:sz w:val="16"/>
                                <w:szCs w:val="14"/>
                              </w:rPr>
                              <w:t>Jeuken</w:t>
                            </w:r>
                            <w:proofErr w:type="spellEnd"/>
                            <w:r w:rsidRPr="009B720F">
                              <w:rPr>
                                <w:rFonts w:asciiTheme="minorHAnsi" w:hAnsiTheme="minorHAnsi" w:cstheme="minorHAnsi"/>
                                <w:color w:val="7F7F7F" w:themeColor="text1" w:themeTint="80"/>
                                <w:sz w:val="16"/>
                                <w:szCs w:val="14"/>
                              </w:rPr>
                              <w:t xml:space="preserve"> et al. 2014, p.3</w:t>
                            </w:r>
                            <w:r w:rsidRPr="009B720F">
                              <w:rPr>
                                <w:rFonts w:asciiTheme="minorHAnsi" w:hAnsiTheme="minorHAnsi" w:cstheme="minorHAnsi"/>
                                <w:sz w:val="16"/>
                                <w:szCs w:val="14"/>
                              </w:rPr>
                              <w:t xml:space="preserve">). This implies considering </w:t>
                            </w:r>
                            <w:r w:rsidRPr="009B720F">
                              <w:rPr>
                                <w:rFonts w:asciiTheme="minorHAnsi" w:hAnsiTheme="minorHAnsi" w:cstheme="minorHAnsi"/>
                                <w:i/>
                                <w:sz w:val="16"/>
                                <w:szCs w:val="14"/>
                              </w:rPr>
                              <w:t>robustness</w:t>
                            </w:r>
                            <w:r w:rsidRPr="009B720F">
                              <w:rPr>
                                <w:rFonts w:asciiTheme="minorHAnsi" w:hAnsiTheme="minorHAnsi" w:cstheme="minorHAnsi"/>
                                <w:sz w:val="16"/>
                                <w:szCs w:val="14"/>
                              </w:rPr>
                              <w:t xml:space="preserve">, </w:t>
                            </w:r>
                            <w:r w:rsidRPr="009B720F">
                              <w:rPr>
                                <w:rFonts w:asciiTheme="minorHAnsi" w:hAnsiTheme="minorHAnsi" w:cstheme="minorHAnsi"/>
                                <w:i/>
                                <w:sz w:val="16"/>
                                <w:szCs w:val="14"/>
                              </w:rPr>
                              <w:t>flexibility</w:t>
                            </w:r>
                            <w:r w:rsidRPr="009B720F">
                              <w:rPr>
                                <w:rFonts w:asciiTheme="minorHAnsi" w:hAnsiTheme="minorHAnsi" w:cstheme="minorHAnsi"/>
                                <w:iCs/>
                                <w:sz w:val="16"/>
                                <w:szCs w:val="14"/>
                              </w:rPr>
                              <w:t xml:space="preserve">, and </w:t>
                            </w:r>
                            <w:proofErr w:type="gramStart"/>
                            <w:r w:rsidRPr="009B720F">
                              <w:rPr>
                                <w:rFonts w:asciiTheme="minorHAnsi" w:hAnsiTheme="minorHAnsi" w:cstheme="minorHAnsi"/>
                                <w:i/>
                                <w:sz w:val="16"/>
                                <w:szCs w:val="14"/>
                              </w:rPr>
                              <w:t>low-regrets</w:t>
                            </w:r>
                            <w:proofErr w:type="gramEnd"/>
                            <w:r w:rsidRPr="009B720F">
                              <w:rPr>
                                <w:rFonts w:asciiTheme="minorHAnsi" w:hAnsiTheme="minorHAnsi" w:cstheme="minorHAnsi"/>
                                <w:i/>
                                <w:sz w:val="16"/>
                                <w:szCs w:val="14"/>
                              </w:rPr>
                              <w:t>’ content</w:t>
                            </w:r>
                            <w:r w:rsidRPr="009B720F">
                              <w:rPr>
                                <w:rFonts w:asciiTheme="minorHAnsi" w:hAnsiTheme="minorHAnsi" w:cstheme="minorHAnsi"/>
                                <w:iCs/>
                                <w:sz w:val="16"/>
                                <w:szCs w:val="14"/>
                              </w:rPr>
                              <w:t>,</w:t>
                            </w:r>
                            <w:r w:rsidRPr="009B720F">
                              <w:rPr>
                                <w:rFonts w:asciiTheme="minorHAnsi" w:hAnsiTheme="minorHAnsi" w:cstheme="minorHAnsi"/>
                                <w:sz w:val="16"/>
                                <w:szCs w:val="14"/>
                              </w:rPr>
                              <w:t xml:space="preserve"> when choosing measures and developing strategies</w:t>
                            </w:r>
                            <w:r w:rsidRPr="009B720F">
                              <w:rPr>
                                <w:rFonts w:asciiTheme="minorHAnsi" w:hAnsiTheme="minorHAnsi" w:cstheme="minorHAnsi"/>
                                <w:color w:val="C00000"/>
                                <w:sz w:val="16"/>
                                <w:szCs w:val="14"/>
                              </w:rPr>
                              <w:t xml:space="preserve"> </w:t>
                            </w:r>
                            <w:r w:rsidRPr="009B720F">
                              <w:rPr>
                                <w:rFonts w:asciiTheme="minorHAnsi" w:hAnsiTheme="minorHAnsi" w:cstheme="minorHAnsi"/>
                                <w:sz w:val="16"/>
                                <w:szCs w:val="14"/>
                              </w:rPr>
                              <w:t>(</w:t>
                            </w:r>
                            <w:proofErr w:type="spellStart"/>
                            <w:r w:rsidRPr="009B720F">
                              <w:rPr>
                                <w:rFonts w:asciiTheme="minorHAnsi" w:hAnsiTheme="minorHAnsi" w:cstheme="minorHAnsi"/>
                                <w:color w:val="7F7F7F" w:themeColor="text1" w:themeTint="80"/>
                                <w:sz w:val="16"/>
                                <w:szCs w:val="14"/>
                              </w:rPr>
                              <w:t>Jeuken</w:t>
                            </w:r>
                            <w:proofErr w:type="spellEnd"/>
                            <w:r w:rsidRPr="009B720F">
                              <w:rPr>
                                <w:rFonts w:asciiTheme="minorHAnsi" w:hAnsiTheme="minorHAnsi" w:cstheme="minorHAnsi"/>
                                <w:color w:val="7F7F7F" w:themeColor="text1" w:themeTint="80"/>
                                <w:sz w:val="16"/>
                                <w:szCs w:val="14"/>
                              </w:rPr>
                              <w:t xml:space="preserve"> et al. 2014, p.3</w:t>
                            </w:r>
                            <w:r w:rsidRPr="009B720F">
                              <w:rPr>
                                <w:rFonts w:asciiTheme="minorHAnsi" w:hAnsiTheme="minorHAnsi" w:cstheme="minorHAnsi"/>
                                <w:sz w:val="16"/>
                                <w:szCs w:val="14"/>
                              </w:rPr>
                              <w:t xml:space="preserve">). </w:t>
                            </w:r>
                          </w:p>
                          <w:p w14:paraId="5A8C870A" w14:textId="77777777" w:rsidR="00AD22FD" w:rsidRPr="00F95B3E" w:rsidRDefault="00AD22FD" w:rsidP="00AD22FD">
                            <w:pPr>
                              <w:pStyle w:val="TEXTBODY"/>
                              <w:spacing w:line="240" w:lineRule="auto"/>
                              <w:jc w:val="left"/>
                              <w:rPr>
                                <w:rFonts w:asciiTheme="minorHAnsi" w:hAnsiTheme="minorHAnsi" w:cstheme="minorHAnsi"/>
                                <w:sz w:val="16"/>
                                <w:szCs w:val="16"/>
                              </w:rPr>
                            </w:pPr>
                            <w:r w:rsidRPr="00F95B3E">
                              <w:rPr>
                                <w:rFonts w:asciiTheme="minorHAnsi" w:hAnsiTheme="minorHAnsi" w:cstheme="minorHAnsi"/>
                                <w:sz w:val="16"/>
                                <w:szCs w:val="16"/>
                              </w:rPr>
                              <w:t xml:space="preserve">The design of a ‘robust flexible set of measures’ requires searching for measures that are </w:t>
                            </w:r>
                            <w:r w:rsidRPr="00F95B3E">
                              <w:rPr>
                                <w:rFonts w:asciiTheme="minorHAnsi" w:hAnsiTheme="minorHAnsi" w:cstheme="minorHAnsi"/>
                                <w:i/>
                                <w:iCs/>
                                <w:sz w:val="16"/>
                                <w:szCs w:val="16"/>
                              </w:rPr>
                              <w:t xml:space="preserve">robust </w:t>
                            </w:r>
                            <w:r w:rsidRPr="00F95B3E">
                              <w:rPr>
                                <w:rFonts w:asciiTheme="minorHAnsi" w:hAnsiTheme="minorHAnsi" w:cstheme="minorHAnsi"/>
                                <w:sz w:val="16"/>
                                <w:szCs w:val="16"/>
                              </w:rPr>
                              <w:t xml:space="preserve">and / or </w:t>
                            </w:r>
                            <w:r w:rsidRPr="00F95B3E">
                              <w:rPr>
                                <w:rFonts w:asciiTheme="minorHAnsi" w:hAnsiTheme="minorHAnsi" w:cstheme="minorHAnsi"/>
                                <w:i/>
                                <w:iCs/>
                                <w:sz w:val="16"/>
                                <w:szCs w:val="16"/>
                              </w:rPr>
                              <w:t>flexible</w:t>
                            </w:r>
                            <w:r w:rsidRPr="00F95B3E">
                              <w:rPr>
                                <w:rFonts w:asciiTheme="minorHAnsi" w:hAnsiTheme="minorHAnsi" w:cstheme="minorHAnsi"/>
                                <w:sz w:val="16"/>
                                <w:szCs w:val="16"/>
                              </w:rPr>
                              <w:t xml:space="preserve">. The set of measures </w:t>
                            </w:r>
                            <w:r w:rsidRPr="00F95B3E">
                              <w:rPr>
                                <w:rFonts w:asciiTheme="minorHAnsi" w:eastAsiaTheme="minorHAnsi" w:hAnsiTheme="minorHAnsi" w:cstheme="minorHAnsi"/>
                                <w:sz w:val="16"/>
                                <w:szCs w:val="16"/>
                                <w:lang w:eastAsia="en-US"/>
                              </w:rPr>
                              <w:t xml:space="preserve">should contain the following properties: </w:t>
                            </w:r>
                            <w:r w:rsidRPr="00F95B3E">
                              <w:rPr>
                                <w:rFonts w:asciiTheme="minorHAnsi" w:eastAsiaTheme="minorHAnsi" w:hAnsiTheme="minorHAnsi" w:cstheme="minorHAnsi"/>
                                <w:i/>
                                <w:iCs/>
                                <w:sz w:val="16"/>
                                <w:szCs w:val="16"/>
                                <w:lang w:eastAsia="en-US"/>
                              </w:rPr>
                              <w:t>robustness</w:t>
                            </w:r>
                            <w:r w:rsidRPr="00F95B3E">
                              <w:rPr>
                                <w:rFonts w:asciiTheme="minorHAnsi" w:eastAsiaTheme="minorHAnsi" w:hAnsiTheme="minorHAnsi" w:cstheme="minorHAnsi"/>
                                <w:sz w:val="16"/>
                                <w:szCs w:val="16"/>
                                <w:lang w:eastAsia="en-US"/>
                              </w:rPr>
                              <w:t xml:space="preserve"> (ability to achieve the objectives despite how the future unfolds and be effective under a wide range of future scenarios), </w:t>
                            </w:r>
                            <w:r w:rsidRPr="00F95B3E">
                              <w:rPr>
                                <w:rFonts w:asciiTheme="minorHAnsi" w:eastAsiaTheme="minorHAnsi" w:hAnsiTheme="minorHAnsi" w:cstheme="minorHAnsi"/>
                                <w:i/>
                                <w:iCs/>
                                <w:sz w:val="16"/>
                                <w:szCs w:val="16"/>
                                <w:lang w:eastAsia="en-US"/>
                              </w:rPr>
                              <w:t>flexibility</w:t>
                            </w:r>
                            <w:r w:rsidRPr="00F95B3E">
                              <w:rPr>
                                <w:rFonts w:asciiTheme="minorHAnsi" w:eastAsiaTheme="minorHAnsi" w:hAnsiTheme="minorHAnsi" w:cstheme="minorHAnsi"/>
                                <w:sz w:val="16"/>
                                <w:szCs w:val="16"/>
                                <w:lang w:eastAsia="en-US"/>
                              </w:rPr>
                              <w:t xml:space="preserve"> (ability to be changed over time as changes occur or as new information arises) and adaptability (ability to be adapted to changes over time, e.g. by keeping options open / not foreclosing future options unnecessarily), and be </w:t>
                            </w:r>
                            <w:r w:rsidRPr="00F95B3E">
                              <w:rPr>
                                <w:rFonts w:asciiTheme="minorHAnsi" w:eastAsiaTheme="minorHAnsi" w:hAnsiTheme="minorHAnsi" w:cstheme="minorHAnsi"/>
                                <w:i/>
                                <w:iCs/>
                                <w:sz w:val="16"/>
                                <w:szCs w:val="16"/>
                                <w:lang w:eastAsia="en-US"/>
                              </w:rPr>
                              <w:t>no / low-regret</w:t>
                            </w:r>
                            <w:r w:rsidRPr="00F95B3E">
                              <w:rPr>
                                <w:rFonts w:asciiTheme="minorHAnsi" w:eastAsiaTheme="minorHAnsi" w:hAnsiTheme="minorHAnsi" w:cstheme="minorHAnsi"/>
                                <w:sz w:val="16"/>
                                <w:szCs w:val="16"/>
                                <w:lang w:eastAsia="en-US"/>
                              </w:rPr>
                              <w:t xml:space="preserve"> whenever possible (offer </w:t>
                            </w:r>
                            <w:r w:rsidRPr="00F95B3E">
                              <w:rPr>
                                <w:rFonts w:asciiTheme="minorHAnsi" w:eastAsiaTheme="minorHAnsi" w:hAnsiTheme="minorHAnsi" w:cstheme="minorHAnsi"/>
                                <w:i/>
                                <w:iCs/>
                                <w:sz w:val="16"/>
                                <w:szCs w:val="16"/>
                                <w:lang w:eastAsia="en-US"/>
                              </w:rPr>
                              <w:t>reversibility</w:t>
                            </w:r>
                            <w:r w:rsidRPr="00F95B3E">
                              <w:rPr>
                                <w:rFonts w:asciiTheme="minorHAnsi" w:eastAsiaTheme="minorHAnsi" w:hAnsiTheme="minorHAnsi" w:cstheme="minorHAnsi"/>
                                <w:sz w:val="16"/>
                                <w:szCs w:val="16"/>
                                <w:lang w:eastAsia="en-US"/>
                              </w:rPr>
                              <w:t xml:space="preserve">, </w:t>
                            </w:r>
                            <w:r w:rsidRPr="00F95B3E">
                              <w:rPr>
                                <w:rFonts w:asciiTheme="minorHAnsi" w:eastAsiaTheme="minorHAnsi" w:hAnsiTheme="minorHAnsi" w:cstheme="minorHAnsi"/>
                                <w:i/>
                                <w:iCs/>
                                <w:sz w:val="16"/>
                                <w:szCs w:val="16"/>
                                <w:lang w:eastAsia="en-US"/>
                              </w:rPr>
                              <w:t>adaptability</w:t>
                            </w:r>
                            <w:r w:rsidRPr="00F95B3E">
                              <w:rPr>
                                <w:rFonts w:asciiTheme="minorHAnsi" w:eastAsiaTheme="minorHAnsi" w:hAnsiTheme="minorHAnsi" w:cstheme="minorHAnsi"/>
                                <w:sz w:val="16"/>
                                <w:szCs w:val="16"/>
                                <w:lang w:eastAsia="en-US"/>
                              </w:rPr>
                              <w:t>, etc.).</w:t>
                            </w:r>
                          </w:p>
                          <w:p w14:paraId="5C257029" w14:textId="77777777" w:rsidR="00AD22FD" w:rsidRPr="003C722D" w:rsidRDefault="00AD22FD" w:rsidP="00AD22FD">
                            <w:pPr>
                              <w:pStyle w:val="TEXTBODY"/>
                              <w:spacing w:line="240" w:lineRule="auto"/>
                              <w:jc w:val="left"/>
                              <w:rPr>
                                <w:rFonts w:asciiTheme="minorHAnsi" w:hAnsiTheme="minorHAnsi" w:cstheme="minorHAnsi"/>
                                <w:sz w:val="16"/>
                                <w:szCs w:val="14"/>
                              </w:rPr>
                            </w:pPr>
                            <w:r w:rsidRPr="009B720F">
                              <w:rPr>
                                <w:rFonts w:asciiTheme="minorHAnsi" w:hAnsiTheme="minorHAnsi" w:cstheme="minorHAnsi"/>
                                <w:sz w:val="16"/>
                                <w:szCs w:val="14"/>
                              </w:rPr>
                              <w:t xml:space="preserve">The APs approach is defined as a (methodological) </w:t>
                            </w:r>
                            <w:r w:rsidRPr="009B720F">
                              <w:rPr>
                                <w:rFonts w:asciiTheme="minorHAnsi" w:hAnsiTheme="minorHAnsi" w:cstheme="minorHAnsi"/>
                                <w:b/>
                                <w:bCs/>
                                <w:i/>
                                <w:iCs/>
                                <w:sz w:val="16"/>
                                <w:szCs w:val="14"/>
                              </w:rPr>
                              <w:t>approach for exploring and sequencing a set of possible actions</w:t>
                            </w:r>
                            <w:r w:rsidRPr="009B720F">
                              <w:rPr>
                                <w:rFonts w:asciiTheme="minorHAnsi" w:hAnsiTheme="minorHAnsi" w:cstheme="minorHAnsi"/>
                                <w:i/>
                                <w:iCs/>
                                <w:sz w:val="16"/>
                                <w:szCs w:val="14"/>
                              </w:rPr>
                              <w:t xml:space="preserve"> </w:t>
                            </w:r>
                            <w:r w:rsidRPr="009B720F">
                              <w:rPr>
                                <w:rFonts w:asciiTheme="minorHAnsi" w:hAnsiTheme="minorHAnsi" w:cstheme="minorHAnsi"/>
                                <w:sz w:val="16"/>
                                <w:szCs w:val="14"/>
                              </w:rPr>
                              <w:t>(i.e. a set of possible measures)</w:t>
                            </w:r>
                            <w:r w:rsidRPr="009B720F">
                              <w:rPr>
                                <w:rFonts w:asciiTheme="minorHAnsi" w:hAnsiTheme="minorHAnsi" w:cstheme="minorHAnsi"/>
                                <w:i/>
                                <w:iCs/>
                                <w:sz w:val="16"/>
                                <w:szCs w:val="14"/>
                              </w:rPr>
                              <w:t xml:space="preserve"> based on alternative external developments over time</w:t>
                            </w:r>
                            <w:r w:rsidRPr="009B720F">
                              <w:rPr>
                                <w:rFonts w:asciiTheme="minorHAnsi" w:hAnsiTheme="minorHAnsi" w:cstheme="minorHAnsi"/>
                                <w:sz w:val="16"/>
                                <w:szCs w:val="14"/>
                              </w:rPr>
                              <w:t xml:space="preserve"> (</w:t>
                            </w:r>
                            <w:proofErr w:type="spellStart"/>
                            <w:r w:rsidRPr="009B720F">
                              <w:rPr>
                                <w:rFonts w:asciiTheme="minorHAnsi" w:hAnsiTheme="minorHAnsi" w:cstheme="minorHAnsi"/>
                                <w:color w:val="595959" w:themeColor="text1" w:themeTint="A6"/>
                                <w:sz w:val="16"/>
                                <w:szCs w:val="14"/>
                              </w:rPr>
                              <w:t>Haasnoot</w:t>
                            </w:r>
                            <w:proofErr w:type="spellEnd"/>
                            <w:r w:rsidRPr="009B720F">
                              <w:rPr>
                                <w:rFonts w:asciiTheme="minorHAnsi" w:hAnsiTheme="minorHAnsi" w:cstheme="minorHAnsi"/>
                                <w:color w:val="595959" w:themeColor="text1" w:themeTint="A6"/>
                                <w:sz w:val="16"/>
                                <w:szCs w:val="14"/>
                              </w:rPr>
                              <w:t xml:space="preserve"> et al. 2013, p.485</w:t>
                            </w:r>
                            <w:r w:rsidRPr="009B720F">
                              <w:rPr>
                                <w:rFonts w:asciiTheme="minorHAnsi" w:hAnsiTheme="minorHAnsi" w:cstheme="minorHAnsi"/>
                                <w:sz w:val="16"/>
                                <w:szCs w:val="14"/>
                              </w:rPr>
                              <w:t xml:space="preserve">). </w:t>
                            </w:r>
                            <w:proofErr w:type="spellStart"/>
                            <w:r w:rsidRPr="009B720F">
                              <w:rPr>
                                <w:rFonts w:asciiTheme="minorHAnsi" w:hAnsiTheme="minorHAnsi" w:cstheme="minorHAnsi"/>
                                <w:color w:val="7F7F7F" w:themeColor="text1" w:themeTint="80"/>
                                <w:sz w:val="16"/>
                                <w:szCs w:val="14"/>
                              </w:rPr>
                              <w:t>Haasnoot</w:t>
                            </w:r>
                            <w:proofErr w:type="spellEnd"/>
                            <w:r w:rsidRPr="009B720F">
                              <w:rPr>
                                <w:rFonts w:asciiTheme="minorHAnsi" w:hAnsiTheme="minorHAnsi" w:cstheme="minorHAnsi"/>
                                <w:color w:val="7F7F7F" w:themeColor="text1" w:themeTint="80"/>
                                <w:sz w:val="16"/>
                                <w:szCs w:val="14"/>
                              </w:rPr>
                              <w:t xml:space="preserve"> et al. (2012, 2013) </w:t>
                            </w:r>
                            <w:r w:rsidRPr="009B720F">
                              <w:rPr>
                                <w:rFonts w:asciiTheme="minorHAnsi" w:hAnsiTheme="minorHAnsi" w:cstheme="minorHAnsi"/>
                                <w:sz w:val="16"/>
                                <w:szCs w:val="14"/>
                              </w:rPr>
                              <w:t xml:space="preserve">and </w:t>
                            </w:r>
                            <w:r w:rsidRPr="009B720F">
                              <w:rPr>
                                <w:rFonts w:asciiTheme="minorHAnsi" w:hAnsiTheme="minorHAnsi" w:cstheme="minorHAnsi"/>
                                <w:color w:val="7F7F7F" w:themeColor="text1" w:themeTint="80"/>
                                <w:sz w:val="16"/>
                                <w:szCs w:val="14"/>
                              </w:rPr>
                              <w:t xml:space="preserve">Walker et al. (2013) </w:t>
                            </w:r>
                            <w:r w:rsidRPr="009B720F">
                              <w:rPr>
                                <w:rFonts w:asciiTheme="minorHAnsi" w:hAnsiTheme="minorHAnsi" w:cstheme="minorHAnsi"/>
                                <w:sz w:val="16"/>
                                <w:szCs w:val="14"/>
                              </w:rPr>
                              <w:t xml:space="preserve">place the APs within family of Adaptive Planning approaches. The APs offers a methodological approach for designing a </w:t>
                            </w:r>
                            <w:r w:rsidRPr="009B720F">
                              <w:rPr>
                                <w:rFonts w:asciiTheme="minorHAnsi" w:hAnsiTheme="minorHAnsi" w:cstheme="minorHAnsi"/>
                                <w:i/>
                                <w:iCs/>
                                <w:sz w:val="16"/>
                                <w:szCs w:val="14"/>
                              </w:rPr>
                              <w:t>dynamic adaptive plan</w:t>
                            </w:r>
                            <w:r w:rsidRPr="009B720F">
                              <w:rPr>
                                <w:rFonts w:asciiTheme="minorHAnsi" w:hAnsiTheme="minorHAnsi" w:cstheme="minorHAnsi"/>
                                <w:sz w:val="16"/>
                                <w:szCs w:val="14"/>
                              </w:rPr>
                              <w:t xml:space="preserve"> that is both </w:t>
                            </w:r>
                            <w:r w:rsidRPr="009B720F">
                              <w:rPr>
                                <w:rFonts w:asciiTheme="minorHAnsi" w:hAnsiTheme="minorHAnsi" w:cstheme="minorHAnsi"/>
                                <w:i/>
                                <w:iCs/>
                                <w:sz w:val="16"/>
                                <w:szCs w:val="14"/>
                              </w:rPr>
                              <w:t>robust</w:t>
                            </w:r>
                            <w:r w:rsidRPr="009B720F">
                              <w:rPr>
                                <w:rFonts w:asciiTheme="minorHAnsi" w:hAnsiTheme="minorHAnsi" w:cstheme="minorHAnsi"/>
                                <w:sz w:val="16"/>
                                <w:szCs w:val="14"/>
                              </w:rPr>
                              <w:t xml:space="preserve"> and </w:t>
                            </w:r>
                            <w:r w:rsidRPr="009B720F">
                              <w:rPr>
                                <w:rFonts w:asciiTheme="minorHAnsi" w:hAnsiTheme="minorHAnsi" w:cstheme="minorHAnsi"/>
                                <w:i/>
                                <w:iCs/>
                                <w:sz w:val="16"/>
                                <w:szCs w:val="14"/>
                              </w:rPr>
                              <w:t>adaptive</w:t>
                            </w:r>
                            <w:r w:rsidRPr="009B720F">
                              <w:rPr>
                                <w:rFonts w:asciiTheme="minorHAnsi" w:hAnsiTheme="minorHAnsi" w:cstheme="minorHAnsi"/>
                                <w:sz w:val="16"/>
                                <w:szCs w:val="14"/>
                              </w:rPr>
                              <w:t xml:space="preserve"> under uncertain future change.</w:t>
                            </w:r>
                          </w:p>
                          <w:p w14:paraId="234CB375" w14:textId="77777777" w:rsidR="00AD22FD" w:rsidRPr="00F179E6" w:rsidRDefault="00AD22FD" w:rsidP="00AD22FD">
                            <w:pPr>
                              <w:pStyle w:val="TEXTBODY"/>
                              <w:spacing w:line="240" w:lineRule="auto"/>
                              <w:jc w:val="left"/>
                              <w:rPr>
                                <w:rFonts w:asciiTheme="minorHAnsi" w:hAnsiTheme="minorHAnsi" w:cstheme="minorHAnsi"/>
                                <w:sz w:val="16"/>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C40B55" id="_x0000_s1032" type="#_x0000_t202" style="position:absolute;left:0;text-align:left;margin-left:54pt;margin-top:39pt;width:488.25pt;height:227.25pt;z-index:-250569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" fillcolor="#dce6f2" stroked="f">
                <v:textbox>
                  <w:txbxContent>
                    <w:p w14:paraId="04C8D07E" w14:textId="77777777" w:rsidR="00AD22FD" w:rsidRPr="009B720F" w:rsidRDefault="00AD22FD" w:rsidP="00AD22FD">
                      <w:pPr>
                        <w:pStyle w:val="TEXTBODY"/>
                        <w:spacing w:after="0" w:line="240" w:lineRule="auto"/>
                        <w:jc w:val="left"/>
                        <w:rPr>
                          <w:rFonts w:asciiTheme="minorHAnsi" w:hAnsiTheme="minorHAnsi" w:cstheme="minorHAnsi"/>
                          <w:b/>
                          <w:bCs/>
                          <w:sz w:val="16"/>
                          <w:szCs w:val="14"/>
                        </w:rPr>
                      </w:pPr>
                      <w:r w:rsidRPr="009B720F">
                        <w:rPr>
                          <w:rFonts w:asciiTheme="minorHAnsi" w:hAnsiTheme="minorHAnsi" w:cstheme="minorHAnsi"/>
                          <w:b/>
                          <w:bCs/>
                          <w:sz w:val="16"/>
                          <w:szCs w:val="14"/>
                        </w:rPr>
                        <w:t xml:space="preserve">Theoretical grounds of </w:t>
                      </w:r>
                      <w:r w:rsidRPr="009B720F">
                        <w:rPr>
                          <w:rFonts w:asciiTheme="minorHAnsi" w:hAnsiTheme="minorHAnsi" w:cstheme="minorHAnsi"/>
                          <w:b/>
                          <w:bCs/>
                          <w:i/>
                          <w:iCs/>
                          <w:sz w:val="16"/>
                          <w:szCs w:val="14"/>
                        </w:rPr>
                        <w:t>Adaptive Planning approaches</w:t>
                      </w:r>
                    </w:p>
                    <w:p w14:paraId="26F33031" w14:textId="77777777" w:rsidR="00AD22FD" w:rsidRPr="009B720F" w:rsidRDefault="00AD22FD" w:rsidP="00AD22FD">
                      <w:pPr>
                        <w:pStyle w:val="TEXTBODY"/>
                        <w:spacing w:line="240" w:lineRule="auto"/>
                        <w:jc w:val="left"/>
                        <w:rPr>
                          <w:rFonts w:asciiTheme="minorHAnsi" w:hAnsiTheme="minorHAnsi" w:cstheme="minorHAnsi"/>
                          <w:sz w:val="16"/>
                          <w:szCs w:val="14"/>
                        </w:rPr>
                      </w:pPr>
                      <w:r w:rsidRPr="009B720F">
                        <w:rPr>
                          <w:rFonts w:asciiTheme="minorHAnsi" w:hAnsiTheme="minorHAnsi" w:cstheme="minorHAnsi"/>
                          <w:sz w:val="16"/>
                          <w:szCs w:val="14"/>
                        </w:rPr>
                        <w:t xml:space="preserve">In the light of the </w:t>
                      </w:r>
                      <w:r w:rsidRPr="009B720F">
                        <w:rPr>
                          <w:rFonts w:asciiTheme="minorHAnsi" w:hAnsiTheme="minorHAnsi" w:cstheme="minorHAnsi"/>
                          <w:b/>
                          <w:bCs/>
                          <w:i/>
                          <w:iCs/>
                          <w:sz w:val="16"/>
                          <w:szCs w:val="14"/>
                        </w:rPr>
                        <w:t>Adaptive Planning paradigm</w:t>
                      </w:r>
                      <w:r w:rsidRPr="009B720F">
                        <w:rPr>
                          <w:rFonts w:asciiTheme="minorHAnsi" w:hAnsiTheme="minorHAnsi" w:cstheme="minorHAnsi"/>
                          <w:b/>
                          <w:bCs/>
                          <w:sz w:val="16"/>
                          <w:szCs w:val="14"/>
                        </w:rPr>
                        <w:t>,</w:t>
                      </w:r>
                      <w:r w:rsidRPr="009B720F">
                        <w:rPr>
                          <w:rFonts w:asciiTheme="minorHAnsi" w:hAnsiTheme="minorHAnsi" w:cstheme="minorHAnsi"/>
                          <w:sz w:val="16"/>
                          <w:szCs w:val="14"/>
                        </w:rPr>
                        <w:t xml:space="preserve"> in the face of deep uncertainties about future changes, a </w:t>
                      </w:r>
                      <w:r w:rsidRPr="009B720F">
                        <w:rPr>
                          <w:rFonts w:asciiTheme="minorHAnsi" w:hAnsiTheme="minorHAnsi" w:cstheme="minorHAnsi"/>
                          <w:i/>
                          <w:iCs/>
                          <w:sz w:val="16"/>
                          <w:szCs w:val="14"/>
                        </w:rPr>
                        <w:t>dynamic adaptive plan</w:t>
                      </w:r>
                      <w:r w:rsidRPr="009B720F">
                        <w:rPr>
                          <w:rFonts w:asciiTheme="minorHAnsi" w:hAnsiTheme="minorHAnsi" w:cstheme="minorHAnsi"/>
                          <w:sz w:val="16"/>
                          <w:szCs w:val="14"/>
                        </w:rPr>
                        <w:t xml:space="preserve"> is needed, with </w:t>
                      </w:r>
                      <w:r w:rsidRPr="009B720F">
                        <w:rPr>
                          <w:rFonts w:asciiTheme="minorHAnsi" w:hAnsiTheme="minorHAnsi" w:cstheme="minorHAnsi"/>
                          <w:i/>
                          <w:iCs/>
                          <w:sz w:val="16"/>
                          <w:szCs w:val="14"/>
                        </w:rPr>
                        <w:t>robust policies</w:t>
                      </w:r>
                      <w:r w:rsidRPr="009B720F">
                        <w:rPr>
                          <w:rFonts w:asciiTheme="minorHAnsi" w:hAnsiTheme="minorHAnsi" w:cstheme="minorHAnsi"/>
                          <w:sz w:val="16"/>
                          <w:szCs w:val="14"/>
                        </w:rPr>
                        <w:t xml:space="preserve">/strategies and </w:t>
                      </w:r>
                      <w:r w:rsidRPr="009B720F">
                        <w:rPr>
                          <w:rFonts w:asciiTheme="minorHAnsi" w:hAnsiTheme="minorHAnsi" w:cstheme="minorHAnsi"/>
                          <w:i/>
                          <w:iCs/>
                          <w:sz w:val="16"/>
                          <w:szCs w:val="14"/>
                        </w:rPr>
                        <w:t>adaptive policies</w:t>
                      </w:r>
                      <w:r w:rsidRPr="009B720F">
                        <w:rPr>
                          <w:rFonts w:asciiTheme="minorHAnsi" w:hAnsiTheme="minorHAnsi" w:cstheme="minorHAnsi"/>
                          <w:sz w:val="16"/>
                          <w:szCs w:val="14"/>
                        </w:rPr>
                        <w:t>/strategies (</w:t>
                      </w:r>
                      <w:proofErr w:type="spellStart"/>
                      <w:r w:rsidRPr="009B720F">
                        <w:rPr>
                          <w:rFonts w:asciiTheme="minorHAnsi" w:hAnsiTheme="minorHAnsi" w:cstheme="minorHAnsi"/>
                          <w:color w:val="7F7F7F" w:themeColor="text1" w:themeTint="80"/>
                          <w:sz w:val="16"/>
                          <w:szCs w:val="14"/>
                        </w:rPr>
                        <w:t>Jeuken</w:t>
                      </w:r>
                      <w:proofErr w:type="spellEnd"/>
                      <w:r w:rsidRPr="009B720F">
                        <w:rPr>
                          <w:rFonts w:asciiTheme="minorHAnsi" w:hAnsiTheme="minorHAnsi" w:cstheme="minorHAnsi"/>
                          <w:color w:val="7F7F7F" w:themeColor="text1" w:themeTint="80"/>
                          <w:sz w:val="16"/>
                          <w:szCs w:val="14"/>
                        </w:rPr>
                        <w:t xml:space="preserve"> et al. 2014, p.2</w:t>
                      </w:r>
                      <w:r w:rsidRPr="009B720F">
                        <w:rPr>
                          <w:rFonts w:asciiTheme="minorHAnsi" w:hAnsiTheme="minorHAnsi" w:cstheme="minorHAnsi"/>
                          <w:sz w:val="16"/>
                          <w:szCs w:val="14"/>
                        </w:rPr>
                        <w:t xml:space="preserve">). </w:t>
                      </w:r>
                      <w:r w:rsidRPr="009B720F">
                        <w:rPr>
                          <w:rFonts w:asciiTheme="minorHAnsi" w:hAnsiTheme="minorHAnsi" w:cstheme="minorHAnsi"/>
                          <w:i/>
                          <w:iCs/>
                          <w:sz w:val="16"/>
                          <w:szCs w:val="14"/>
                        </w:rPr>
                        <w:t>Robust policies</w:t>
                      </w:r>
                      <w:r w:rsidRPr="009B720F">
                        <w:rPr>
                          <w:rFonts w:asciiTheme="minorHAnsi" w:hAnsiTheme="minorHAnsi" w:cstheme="minorHAnsi"/>
                          <w:sz w:val="16"/>
                          <w:szCs w:val="14"/>
                        </w:rPr>
                        <w:t xml:space="preserve">/strategies are those </w:t>
                      </w:r>
                      <w:r w:rsidRPr="009B720F">
                        <w:rPr>
                          <w:rFonts w:asciiTheme="minorHAnsi" w:hAnsiTheme="minorHAnsi" w:cstheme="minorHAnsi"/>
                          <w:i/>
                          <w:iCs/>
                          <w:sz w:val="16"/>
                          <w:szCs w:val="14"/>
                        </w:rPr>
                        <w:t>perform well under a wide range of plausible futures</w:t>
                      </w:r>
                      <w:r w:rsidRPr="009B720F">
                        <w:rPr>
                          <w:rFonts w:asciiTheme="minorHAnsi" w:hAnsiTheme="minorHAnsi" w:cstheme="minorHAnsi"/>
                          <w:sz w:val="16"/>
                          <w:szCs w:val="14"/>
                        </w:rPr>
                        <w:t xml:space="preserve">, whereas </w:t>
                      </w:r>
                      <w:r w:rsidRPr="009B720F">
                        <w:rPr>
                          <w:rFonts w:asciiTheme="minorHAnsi" w:hAnsiTheme="minorHAnsi" w:cstheme="minorHAnsi"/>
                          <w:i/>
                          <w:iCs/>
                          <w:sz w:val="16"/>
                          <w:szCs w:val="14"/>
                        </w:rPr>
                        <w:t>adaptive policies</w:t>
                      </w:r>
                      <w:r w:rsidRPr="009B720F">
                        <w:rPr>
                          <w:rFonts w:asciiTheme="minorHAnsi" w:hAnsiTheme="minorHAnsi" w:cstheme="minorHAnsi"/>
                          <w:sz w:val="16"/>
                          <w:szCs w:val="14"/>
                        </w:rPr>
                        <w:t xml:space="preserve">/strategies </w:t>
                      </w:r>
                      <w:r w:rsidRPr="009B720F">
                        <w:rPr>
                          <w:rFonts w:asciiTheme="minorHAnsi" w:hAnsiTheme="minorHAnsi" w:cstheme="minorHAnsi"/>
                          <w:i/>
                          <w:iCs/>
                          <w:sz w:val="16"/>
                          <w:szCs w:val="14"/>
                        </w:rPr>
                        <w:t>can be adapted once the future unfolds differently than foreseen</w:t>
                      </w:r>
                      <w:r w:rsidRPr="009B720F">
                        <w:rPr>
                          <w:rFonts w:asciiTheme="minorHAnsi" w:hAnsiTheme="minorHAnsi" w:cstheme="minorHAnsi"/>
                          <w:sz w:val="16"/>
                          <w:szCs w:val="14"/>
                        </w:rPr>
                        <w:t xml:space="preserve"> (</w:t>
                      </w:r>
                      <w:proofErr w:type="spellStart"/>
                      <w:r w:rsidRPr="009B720F">
                        <w:rPr>
                          <w:rFonts w:asciiTheme="minorHAnsi" w:hAnsiTheme="minorHAnsi" w:cstheme="minorHAnsi"/>
                          <w:color w:val="7F7F7F" w:themeColor="text1" w:themeTint="80"/>
                          <w:sz w:val="16"/>
                          <w:szCs w:val="14"/>
                        </w:rPr>
                        <w:t>Jeuken</w:t>
                      </w:r>
                      <w:proofErr w:type="spellEnd"/>
                      <w:r w:rsidRPr="009B720F">
                        <w:rPr>
                          <w:rFonts w:asciiTheme="minorHAnsi" w:hAnsiTheme="minorHAnsi" w:cstheme="minorHAnsi"/>
                          <w:color w:val="7F7F7F" w:themeColor="text1" w:themeTint="80"/>
                          <w:sz w:val="16"/>
                          <w:szCs w:val="14"/>
                        </w:rPr>
                        <w:t xml:space="preserve"> et al. 2014, p.2</w:t>
                      </w:r>
                      <w:r w:rsidRPr="009B720F">
                        <w:rPr>
                          <w:rFonts w:asciiTheme="minorHAnsi" w:hAnsiTheme="minorHAnsi" w:cstheme="minorHAnsi"/>
                          <w:sz w:val="16"/>
                          <w:szCs w:val="14"/>
                        </w:rPr>
                        <w:t xml:space="preserve">). According to </w:t>
                      </w:r>
                      <w:proofErr w:type="spellStart"/>
                      <w:r w:rsidRPr="009B720F">
                        <w:rPr>
                          <w:rFonts w:asciiTheme="minorHAnsi" w:hAnsiTheme="minorHAnsi" w:cstheme="minorHAnsi"/>
                          <w:color w:val="7F7F7F" w:themeColor="text1" w:themeTint="80"/>
                          <w:sz w:val="16"/>
                          <w:szCs w:val="14"/>
                        </w:rPr>
                        <w:t>Jeuken</w:t>
                      </w:r>
                      <w:proofErr w:type="spellEnd"/>
                      <w:r w:rsidRPr="009B720F">
                        <w:rPr>
                          <w:rFonts w:asciiTheme="minorHAnsi" w:hAnsiTheme="minorHAnsi" w:cstheme="minorHAnsi"/>
                          <w:color w:val="7F7F7F" w:themeColor="text1" w:themeTint="80"/>
                          <w:sz w:val="16"/>
                          <w:szCs w:val="14"/>
                        </w:rPr>
                        <w:t xml:space="preserve"> et al. (2014)</w:t>
                      </w:r>
                      <w:r w:rsidRPr="009B720F">
                        <w:rPr>
                          <w:rFonts w:asciiTheme="minorHAnsi" w:hAnsiTheme="minorHAnsi" w:cstheme="minorHAnsi"/>
                          <w:sz w:val="16"/>
                          <w:szCs w:val="14"/>
                        </w:rPr>
                        <w:t>,</w:t>
                      </w:r>
                      <w:r w:rsidRPr="009B720F">
                        <w:rPr>
                          <w:rFonts w:asciiTheme="minorHAnsi" w:hAnsiTheme="minorHAnsi" w:cstheme="minorHAnsi"/>
                          <w:color w:val="0070C0"/>
                          <w:sz w:val="16"/>
                          <w:szCs w:val="14"/>
                        </w:rPr>
                        <w:t xml:space="preserve"> </w:t>
                      </w:r>
                      <w:r w:rsidRPr="009B720F">
                        <w:rPr>
                          <w:rFonts w:asciiTheme="minorHAnsi" w:hAnsiTheme="minorHAnsi" w:cstheme="minorHAnsi"/>
                          <w:sz w:val="16"/>
                          <w:szCs w:val="14"/>
                        </w:rPr>
                        <w:t xml:space="preserve">one of the central elements of an Adaptive Planning approach is </w:t>
                      </w:r>
                      <w:r w:rsidRPr="009B720F">
                        <w:rPr>
                          <w:rFonts w:asciiTheme="minorHAnsi" w:hAnsiTheme="minorHAnsi" w:cstheme="minorHAnsi"/>
                          <w:i/>
                          <w:sz w:val="16"/>
                          <w:szCs w:val="14"/>
                        </w:rPr>
                        <w:t xml:space="preserve">to respond to uncertain change with a robust and flexible set of actions </w:t>
                      </w:r>
                      <w:r w:rsidRPr="009B720F">
                        <w:rPr>
                          <w:rFonts w:asciiTheme="minorHAnsi" w:hAnsiTheme="minorHAnsi" w:cstheme="minorHAnsi"/>
                          <w:sz w:val="16"/>
                          <w:szCs w:val="14"/>
                        </w:rPr>
                        <w:t>(</w:t>
                      </w:r>
                      <w:proofErr w:type="spellStart"/>
                      <w:r w:rsidRPr="009B720F">
                        <w:rPr>
                          <w:rFonts w:asciiTheme="minorHAnsi" w:hAnsiTheme="minorHAnsi" w:cstheme="minorHAnsi"/>
                          <w:color w:val="7F7F7F" w:themeColor="text1" w:themeTint="80"/>
                          <w:sz w:val="16"/>
                          <w:szCs w:val="14"/>
                        </w:rPr>
                        <w:t>Jeuken</w:t>
                      </w:r>
                      <w:proofErr w:type="spellEnd"/>
                      <w:r w:rsidRPr="009B720F">
                        <w:rPr>
                          <w:rFonts w:asciiTheme="minorHAnsi" w:hAnsiTheme="minorHAnsi" w:cstheme="minorHAnsi"/>
                          <w:color w:val="7F7F7F" w:themeColor="text1" w:themeTint="80"/>
                          <w:sz w:val="16"/>
                          <w:szCs w:val="14"/>
                        </w:rPr>
                        <w:t xml:space="preserve"> et al. 2014, p. 23, 1</w:t>
                      </w:r>
                      <w:r w:rsidRPr="009B720F">
                        <w:rPr>
                          <w:rFonts w:asciiTheme="minorHAnsi" w:hAnsiTheme="minorHAnsi" w:cstheme="minorHAnsi"/>
                          <w:sz w:val="16"/>
                          <w:szCs w:val="14"/>
                        </w:rPr>
                        <w:t xml:space="preserve">). This set of actions should: create a </w:t>
                      </w:r>
                      <w:r w:rsidRPr="009B720F">
                        <w:rPr>
                          <w:rFonts w:asciiTheme="minorHAnsi" w:hAnsiTheme="minorHAnsi" w:cstheme="minorHAnsi"/>
                          <w:i/>
                          <w:sz w:val="16"/>
                          <w:szCs w:val="14"/>
                        </w:rPr>
                        <w:t>robust</w:t>
                      </w:r>
                      <w:r w:rsidRPr="009B720F">
                        <w:rPr>
                          <w:rFonts w:asciiTheme="minorHAnsi" w:hAnsiTheme="minorHAnsi" w:cstheme="minorHAnsi"/>
                          <w:sz w:val="16"/>
                          <w:szCs w:val="14"/>
                        </w:rPr>
                        <w:t xml:space="preserve"> system, i.e. one that can cope with several plausible future scenarios, namely extreme scenarios, and remain </w:t>
                      </w:r>
                      <w:r w:rsidRPr="009B720F">
                        <w:rPr>
                          <w:rFonts w:asciiTheme="minorHAnsi" w:hAnsiTheme="minorHAnsi" w:cstheme="minorHAnsi"/>
                          <w:i/>
                          <w:sz w:val="16"/>
                          <w:szCs w:val="14"/>
                        </w:rPr>
                        <w:t>flexible</w:t>
                      </w:r>
                      <w:r w:rsidRPr="009B720F">
                        <w:rPr>
                          <w:rFonts w:asciiTheme="minorHAnsi" w:hAnsiTheme="minorHAnsi" w:cstheme="minorHAnsi"/>
                          <w:b/>
                          <w:bCs/>
                          <w:sz w:val="16"/>
                          <w:szCs w:val="14"/>
                        </w:rPr>
                        <w:t xml:space="preserve"> </w:t>
                      </w:r>
                      <w:r w:rsidRPr="009B720F">
                        <w:rPr>
                          <w:rFonts w:asciiTheme="minorHAnsi" w:hAnsiTheme="minorHAnsi" w:cstheme="minorHAnsi"/>
                          <w:sz w:val="16"/>
                          <w:szCs w:val="14"/>
                        </w:rPr>
                        <w:t>in relation to changes and uncertain future conditions (</w:t>
                      </w:r>
                      <w:proofErr w:type="spellStart"/>
                      <w:r w:rsidRPr="009B720F">
                        <w:rPr>
                          <w:rFonts w:asciiTheme="minorHAnsi" w:hAnsiTheme="minorHAnsi" w:cstheme="minorHAnsi"/>
                          <w:color w:val="7F7F7F" w:themeColor="text1" w:themeTint="80"/>
                          <w:sz w:val="16"/>
                          <w:szCs w:val="14"/>
                        </w:rPr>
                        <w:t>Jeuken</w:t>
                      </w:r>
                      <w:proofErr w:type="spellEnd"/>
                      <w:r w:rsidRPr="009B720F">
                        <w:rPr>
                          <w:rFonts w:asciiTheme="minorHAnsi" w:hAnsiTheme="minorHAnsi" w:cstheme="minorHAnsi"/>
                          <w:color w:val="7F7F7F" w:themeColor="text1" w:themeTint="80"/>
                          <w:sz w:val="16"/>
                          <w:szCs w:val="14"/>
                        </w:rPr>
                        <w:t xml:space="preserve"> et al. 2014, p.3</w:t>
                      </w:r>
                      <w:r w:rsidRPr="009B720F">
                        <w:rPr>
                          <w:rFonts w:asciiTheme="minorHAnsi" w:hAnsiTheme="minorHAnsi" w:cstheme="minorHAnsi"/>
                          <w:sz w:val="16"/>
                          <w:szCs w:val="14"/>
                        </w:rPr>
                        <w:t xml:space="preserve">). Thus, a </w:t>
                      </w:r>
                      <w:r w:rsidRPr="009B720F">
                        <w:rPr>
                          <w:rFonts w:asciiTheme="minorHAnsi" w:hAnsiTheme="minorHAnsi" w:cstheme="minorHAnsi"/>
                          <w:i/>
                          <w:sz w:val="16"/>
                          <w:szCs w:val="14"/>
                        </w:rPr>
                        <w:t>dynamic adaptive plan</w:t>
                      </w:r>
                      <w:r w:rsidRPr="009B720F">
                        <w:rPr>
                          <w:rFonts w:asciiTheme="minorHAnsi" w:hAnsiTheme="minorHAnsi" w:cstheme="minorHAnsi"/>
                          <w:iCs/>
                          <w:sz w:val="16"/>
                          <w:szCs w:val="14"/>
                        </w:rPr>
                        <w:t xml:space="preserve"> should contain </w:t>
                      </w:r>
                      <w:r w:rsidRPr="009B720F">
                        <w:rPr>
                          <w:rFonts w:asciiTheme="minorHAnsi" w:hAnsiTheme="minorHAnsi" w:cstheme="minorHAnsi"/>
                          <w:i/>
                          <w:sz w:val="16"/>
                          <w:szCs w:val="14"/>
                        </w:rPr>
                        <w:t>robust</w:t>
                      </w:r>
                      <w:r w:rsidRPr="009B720F">
                        <w:rPr>
                          <w:rFonts w:asciiTheme="minorHAnsi" w:hAnsiTheme="minorHAnsi" w:cstheme="minorHAnsi"/>
                          <w:iCs/>
                          <w:sz w:val="16"/>
                          <w:szCs w:val="14"/>
                        </w:rPr>
                        <w:t xml:space="preserve"> and </w:t>
                      </w:r>
                      <w:r w:rsidRPr="009B720F">
                        <w:rPr>
                          <w:rFonts w:asciiTheme="minorHAnsi" w:hAnsiTheme="minorHAnsi" w:cstheme="minorHAnsi"/>
                          <w:i/>
                          <w:sz w:val="16"/>
                          <w:szCs w:val="14"/>
                        </w:rPr>
                        <w:t>flexible</w:t>
                      </w:r>
                      <w:r w:rsidRPr="009B720F">
                        <w:rPr>
                          <w:rFonts w:asciiTheme="minorHAnsi" w:hAnsiTheme="minorHAnsi" w:cstheme="minorHAnsi"/>
                          <w:iCs/>
                          <w:sz w:val="16"/>
                          <w:szCs w:val="14"/>
                        </w:rPr>
                        <w:t xml:space="preserve"> measures. </w:t>
                      </w:r>
                      <w:r w:rsidRPr="009B720F">
                        <w:rPr>
                          <w:rFonts w:asciiTheme="minorHAnsi" w:hAnsiTheme="minorHAnsi" w:cstheme="minorHAnsi"/>
                          <w:sz w:val="16"/>
                          <w:szCs w:val="14"/>
                        </w:rPr>
                        <w:t xml:space="preserve">In an </w:t>
                      </w:r>
                      <w:r w:rsidRPr="009B720F">
                        <w:rPr>
                          <w:rFonts w:asciiTheme="minorHAnsi" w:hAnsiTheme="minorHAnsi" w:cstheme="minorHAnsi"/>
                          <w:i/>
                          <w:iCs/>
                          <w:sz w:val="16"/>
                          <w:szCs w:val="14"/>
                        </w:rPr>
                        <w:t>Adaptive Planning approach</w:t>
                      </w:r>
                      <w:r w:rsidRPr="009B720F">
                        <w:rPr>
                          <w:rFonts w:asciiTheme="minorHAnsi" w:hAnsiTheme="minorHAnsi" w:cstheme="minorHAnsi"/>
                          <w:sz w:val="16"/>
                          <w:szCs w:val="14"/>
                        </w:rPr>
                        <w:t xml:space="preserve">, measures </w:t>
                      </w:r>
                      <w:r w:rsidRPr="009B720F">
                        <w:rPr>
                          <w:rFonts w:asciiTheme="minorHAnsi" w:hAnsiTheme="minorHAnsi" w:cstheme="minorHAnsi"/>
                          <w:iCs/>
                          <w:sz w:val="16"/>
                          <w:szCs w:val="14"/>
                        </w:rPr>
                        <w:t xml:space="preserve">(or their set) must </w:t>
                      </w:r>
                      <w:proofErr w:type="gramStart"/>
                      <w:r w:rsidRPr="009B720F">
                        <w:rPr>
                          <w:rFonts w:asciiTheme="minorHAnsi" w:hAnsiTheme="minorHAnsi" w:cstheme="minorHAnsi"/>
                          <w:iCs/>
                          <w:sz w:val="16"/>
                          <w:szCs w:val="14"/>
                        </w:rPr>
                        <w:t>be:</w:t>
                      </w:r>
                      <w:proofErr w:type="gramEnd"/>
                      <w:r w:rsidRPr="009B720F">
                        <w:rPr>
                          <w:rFonts w:asciiTheme="minorHAnsi" w:hAnsiTheme="minorHAnsi" w:cstheme="minorHAnsi"/>
                          <w:iCs/>
                          <w:sz w:val="16"/>
                          <w:szCs w:val="14"/>
                        </w:rPr>
                        <w:t xml:space="preserve"> </w:t>
                      </w:r>
                      <w:r w:rsidRPr="009B720F">
                        <w:rPr>
                          <w:rFonts w:asciiTheme="minorHAnsi" w:hAnsiTheme="minorHAnsi" w:cstheme="minorHAnsi"/>
                          <w:i/>
                          <w:sz w:val="16"/>
                          <w:szCs w:val="14"/>
                        </w:rPr>
                        <w:t>robust</w:t>
                      </w:r>
                      <w:r w:rsidRPr="009B720F">
                        <w:rPr>
                          <w:rFonts w:asciiTheme="minorHAnsi" w:hAnsiTheme="minorHAnsi" w:cstheme="minorHAnsi"/>
                          <w:iCs/>
                          <w:sz w:val="16"/>
                          <w:szCs w:val="14"/>
                        </w:rPr>
                        <w:t xml:space="preserve"> (i.e.</w:t>
                      </w:r>
                      <w:r w:rsidRPr="009B720F">
                        <w:rPr>
                          <w:rFonts w:asciiTheme="minorHAnsi" w:hAnsiTheme="minorHAnsi" w:cstheme="minorHAnsi"/>
                          <w:sz w:val="16"/>
                          <w:szCs w:val="14"/>
                        </w:rPr>
                        <w:t xml:space="preserve"> effective under the widest range of plausible future scenarios), and </w:t>
                      </w:r>
                      <w:r w:rsidRPr="009B720F">
                        <w:rPr>
                          <w:rFonts w:asciiTheme="minorHAnsi" w:hAnsiTheme="minorHAnsi" w:cstheme="minorHAnsi"/>
                          <w:i/>
                          <w:iCs/>
                          <w:sz w:val="16"/>
                          <w:szCs w:val="14"/>
                        </w:rPr>
                        <w:t>flexible</w:t>
                      </w:r>
                      <w:r w:rsidRPr="009B720F">
                        <w:rPr>
                          <w:rFonts w:asciiTheme="minorHAnsi" w:hAnsiTheme="minorHAnsi" w:cstheme="minorHAnsi"/>
                          <w:iCs/>
                          <w:sz w:val="16"/>
                          <w:szCs w:val="14"/>
                        </w:rPr>
                        <w:t>, by e.g.</w:t>
                      </w:r>
                      <w:r w:rsidRPr="009B720F">
                        <w:rPr>
                          <w:rFonts w:asciiTheme="minorHAnsi" w:eastAsiaTheme="minorHAnsi" w:hAnsiTheme="minorHAnsi" w:cstheme="minorHAnsi"/>
                          <w:iCs/>
                          <w:sz w:val="16"/>
                          <w:szCs w:val="14"/>
                          <w:lang w:eastAsia="en-US"/>
                        </w:rPr>
                        <w:t xml:space="preserve"> </w:t>
                      </w:r>
                      <w:r w:rsidRPr="009B720F">
                        <w:rPr>
                          <w:rFonts w:asciiTheme="minorHAnsi" w:hAnsiTheme="minorHAnsi" w:cstheme="minorHAnsi"/>
                          <w:sz w:val="16"/>
                          <w:szCs w:val="14"/>
                        </w:rPr>
                        <w:t>not foreclosing or unnecessarily constraining possible future measures (options) (</w:t>
                      </w:r>
                      <w:proofErr w:type="spellStart"/>
                      <w:r w:rsidRPr="009B720F">
                        <w:rPr>
                          <w:rFonts w:asciiTheme="minorHAnsi" w:hAnsiTheme="minorHAnsi" w:cstheme="minorHAnsi"/>
                          <w:color w:val="7F7F7F" w:themeColor="text1" w:themeTint="80"/>
                          <w:sz w:val="16"/>
                          <w:szCs w:val="14"/>
                        </w:rPr>
                        <w:t>Jeuken</w:t>
                      </w:r>
                      <w:proofErr w:type="spellEnd"/>
                      <w:r w:rsidRPr="009B720F">
                        <w:rPr>
                          <w:rFonts w:asciiTheme="minorHAnsi" w:hAnsiTheme="minorHAnsi" w:cstheme="minorHAnsi"/>
                          <w:color w:val="7F7F7F" w:themeColor="text1" w:themeTint="80"/>
                          <w:sz w:val="16"/>
                          <w:szCs w:val="14"/>
                        </w:rPr>
                        <w:t xml:space="preserve"> et al. 2014, p.3</w:t>
                      </w:r>
                      <w:r w:rsidRPr="009B720F">
                        <w:rPr>
                          <w:rFonts w:asciiTheme="minorHAnsi" w:hAnsiTheme="minorHAnsi" w:cstheme="minorHAnsi"/>
                          <w:sz w:val="16"/>
                          <w:szCs w:val="14"/>
                        </w:rPr>
                        <w:t xml:space="preserve">, based on </w:t>
                      </w:r>
                      <w:r w:rsidRPr="009B720F">
                        <w:rPr>
                          <w:rFonts w:asciiTheme="minorHAnsi" w:hAnsiTheme="minorHAnsi" w:cstheme="minorHAnsi"/>
                          <w:color w:val="7F7F7F" w:themeColor="text1" w:themeTint="80"/>
                          <w:sz w:val="16"/>
                          <w:szCs w:val="14"/>
                        </w:rPr>
                        <w:t>Sayers et al. 2012</w:t>
                      </w:r>
                      <w:r w:rsidRPr="009B720F">
                        <w:rPr>
                          <w:rFonts w:asciiTheme="minorHAnsi" w:hAnsiTheme="minorHAnsi" w:cstheme="minorHAnsi"/>
                          <w:sz w:val="16"/>
                          <w:szCs w:val="14"/>
                        </w:rPr>
                        <w:t xml:space="preserve">). </w:t>
                      </w:r>
                      <w:r w:rsidRPr="009B720F">
                        <w:rPr>
                          <w:rFonts w:asciiTheme="minorHAnsi" w:hAnsiTheme="minorHAnsi" w:cstheme="minorHAnsi"/>
                          <w:iCs/>
                          <w:sz w:val="16"/>
                          <w:szCs w:val="14"/>
                        </w:rPr>
                        <w:t>Moreover, measures should be ‘</w:t>
                      </w:r>
                      <w:r w:rsidRPr="009B720F">
                        <w:rPr>
                          <w:rFonts w:asciiTheme="minorHAnsi" w:hAnsiTheme="minorHAnsi" w:cstheme="minorHAnsi"/>
                          <w:i/>
                          <w:iCs/>
                          <w:sz w:val="16"/>
                          <w:szCs w:val="14"/>
                        </w:rPr>
                        <w:t>low/no-regrets’</w:t>
                      </w:r>
                      <w:r w:rsidRPr="009B720F">
                        <w:rPr>
                          <w:rFonts w:asciiTheme="minorHAnsi" w:hAnsiTheme="minorHAnsi" w:cstheme="minorHAnsi"/>
                          <w:sz w:val="16"/>
                          <w:szCs w:val="14"/>
                        </w:rPr>
                        <w:t xml:space="preserve"> as much as possible (i.e. with properties like robustness, flexibility, reversibility, adaptability) (</w:t>
                      </w:r>
                      <w:proofErr w:type="spellStart"/>
                      <w:r w:rsidRPr="009B720F">
                        <w:rPr>
                          <w:rFonts w:asciiTheme="minorHAnsi" w:hAnsiTheme="minorHAnsi" w:cstheme="minorHAnsi"/>
                          <w:color w:val="7F7F7F" w:themeColor="text1" w:themeTint="80"/>
                          <w:sz w:val="16"/>
                          <w:szCs w:val="14"/>
                        </w:rPr>
                        <w:t>Jeuken</w:t>
                      </w:r>
                      <w:proofErr w:type="spellEnd"/>
                      <w:r w:rsidRPr="009B720F">
                        <w:rPr>
                          <w:rFonts w:asciiTheme="minorHAnsi" w:hAnsiTheme="minorHAnsi" w:cstheme="minorHAnsi"/>
                          <w:color w:val="7F7F7F" w:themeColor="text1" w:themeTint="80"/>
                          <w:sz w:val="16"/>
                          <w:szCs w:val="14"/>
                        </w:rPr>
                        <w:t xml:space="preserve"> et al. 2014, p.3</w:t>
                      </w:r>
                      <w:r w:rsidRPr="009B720F">
                        <w:rPr>
                          <w:rFonts w:asciiTheme="minorHAnsi" w:hAnsiTheme="minorHAnsi" w:cstheme="minorHAnsi"/>
                          <w:sz w:val="16"/>
                          <w:szCs w:val="14"/>
                        </w:rPr>
                        <w:t xml:space="preserve">). This implies considering </w:t>
                      </w:r>
                      <w:r w:rsidRPr="009B720F">
                        <w:rPr>
                          <w:rFonts w:asciiTheme="minorHAnsi" w:hAnsiTheme="minorHAnsi" w:cstheme="minorHAnsi"/>
                          <w:i/>
                          <w:sz w:val="16"/>
                          <w:szCs w:val="14"/>
                        </w:rPr>
                        <w:t>robustness</w:t>
                      </w:r>
                      <w:r w:rsidRPr="009B720F">
                        <w:rPr>
                          <w:rFonts w:asciiTheme="minorHAnsi" w:hAnsiTheme="minorHAnsi" w:cstheme="minorHAnsi"/>
                          <w:sz w:val="16"/>
                          <w:szCs w:val="14"/>
                        </w:rPr>
                        <w:t xml:space="preserve">, </w:t>
                      </w:r>
                      <w:r w:rsidRPr="009B720F">
                        <w:rPr>
                          <w:rFonts w:asciiTheme="minorHAnsi" w:hAnsiTheme="minorHAnsi" w:cstheme="minorHAnsi"/>
                          <w:i/>
                          <w:sz w:val="16"/>
                          <w:szCs w:val="14"/>
                        </w:rPr>
                        <w:t>flexibility</w:t>
                      </w:r>
                      <w:r w:rsidRPr="009B720F">
                        <w:rPr>
                          <w:rFonts w:asciiTheme="minorHAnsi" w:hAnsiTheme="minorHAnsi" w:cstheme="minorHAnsi"/>
                          <w:iCs/>
                          <w:sz w:val="16"/>
                          <w:szCs w:val="14"/>
                        </w:rPr>
                        <w:t xml:space="preserve">, and </w:t>
                      </w:r>
                      <w:proofErr w:type="gramStart"/>
                      <w:r w:rsidRPr="009B720F">
                        <w:rPr>
                          <w:rFonts w:asciiTheme="minorHAnsi" w:hAnsiTheme="minorHAnsi" w:cstheme="minorHAnsi"/>
                          <w:i/>
                          <w:sz w:val="16"/>
                          <w:szCs w:val="14"/>
                        </w:rPr>
                        <w:t>low-regrets</w:t>
                      </w:r>
                      <w:proofErr w:type="gramEnd"/>
                      <w:r w:rsidRPr="009B720F">
                        <w:rPr>
                          <w:rFonts w:asciiTheme="minorHAnsi" w:hAnsiTheme="minorHAnsi" w:cstheme="minorHAnsi"/>
                          <w:i/>
                          <w:sz w:val="16"/>
                          <w:szCs w:val="14"/>
                        </w:rPr>
                        <w:t>’ content</w:t>
                      </w:r>
                      <w:r w:rsidRPr="009B720F">
                        <w:rPr>
                          <w:rFonts w:asciiTheme="minorHAnsi" w:hAnsiTheme="minorHAnsi" w:cstheme="minorHAnsi"/>
                          <w:iCs/>
                          <w:sz w:val="16"/>
                          <w:szCs w:val="14"/>
                        </w:rPr>
                        <w:t>,</w:t>
                      </w:r>
                      <w:r w:rsidRPr="009B720F">
                        <w:rPr>
                          <w:rFonts w:asciiTheme="minorHAnsi" w:hAnsiTheme="minorHAnsi" w:cstheme="minorHAnsi"/>
                          <w:sz w:val="16"/>
                          <w:szCs w:val="14"/>
                        </w:rPr>
                        <w:t xml:space="preserve"> when choosing measures and developing strategies</w:t>
                      </w:r>
                      <w:r w:rsidRPr="009B720F">
                        <w:rPr>
                          <w:rFonts w:asciiTheme="minorHAnsi" w:hAnsiTheme="minorHAnsi" w:cstheme="minorHAnsi"/>
                          <w:color w:val="C00000"/>
                          <w:sz w:val="16"/>
                          <w:szCs w:val="14"/>
                        </w:rPr>
                        <w:t xml:space="preserve"> </w:t>
                      </w:r>
                      <w:r w:rsidRPr="009B720F">
                        <w:rPr>
                          <w:rFonts w:asciiTheme="minorHAnsi" w:hAnsiTheme="minorHAnsi" w:cstheme="minorHAnsi"/>
                          <w:sz w:val="16"/>
                          <w:szCs w:val="14"/>
                        </w:rPr>
                        <w:t>(</w:t>
                      </w:r>
                      <w:proofErr w:type="spellStart"/>
                      <w:r w:rsidRPr="009B720F">
                        <w:rPr>
                          <w:rFonts w:asciiTheme="minorHAnsi" w:hAnsiTheme="minorHAnsi" w:cstheme="minorHAnsi"/>
                          <w:color w:val="7F7F7F" w:themeColor="text1" w:themeTint="80"/>
                          <w:sz w:val="16"/>
                          <w:szCs w:val="14"/>
                        </w:rPr>
                        <w:t>Jeuken</w:t>
                      </w:r>
                      <w:proofErr w:type="spellEnd"/>
                      <w:r w:rsidRPr="009B720F">
                        <w:rPr>
                          <w:rFonts w:asciiTheme="minorHAnsi" w:hAnsiTheme="minorHAnsi" w:cstheme="minorHAnsi"/>
                          <w:color w:val="7F7F7F" w:themeColor="text1" w:themeTint="80"/>
                          <w:sz w:val="16"/>
                          <w:szCs w:val="14"/>
                        </w:rPr>
                        <w:t xml:space="preserve"> et al. 2014, p.3</w:t>
                      </w:r>
                      <w:r w:rsidRPr="009B720F">
                        <w:rPr>
                          <w:rFonts w:asciiTheme="minorHAnsi" w:hAnsiTheme="minorHAnsi" w:cstheme="minorHAnsi"/>
                          <w:sz w:val="16"/>
                          <w:szCs w:val="14"/>
                        </w:rPr>
                        <w:t xml:space="preserve">). </w:t>
                      </w:r>
                    </w:p>
                    <w:p w14:paraId="5A8C870A" w14:textId="77777777" w:rsidR="00AD22FD" w:rsidRPr="00F95B3E" w:rsidRDefault="00AD22FD" w:rsidP="00AD22FD">
                      <w:pPr>
                        <w:pStyle w:val="TEXTBODY"/>
                        <w:spacing w:line="240" w:lineRule="auto"/>
                        <w:jc w:val="left"/>
                        <w:rPr>
                          <w:rFonts w:asciiTheme="minorHAnsi" w:hAnsiTheme="minorHAnsi" w:cstheme="minorHAnsi"/>
                          <w:sz w:val="16"/>
                          <w:szCs w:val="16"/>
                        </w:rPr>
                      </w:pPr>
                      <w:r w:rsidRPr="00F95B3E">
                        <w:rPr>
                          <w:rFonts w:asciiTheme="minorHAnsi" w:hAnsiTheme="minorHAnsi" w:cstheme="minorHAnsi"/>
                          <w:sz w:val="16"/>
                          <w:szCs w:val="16"/>
                        </w:rPr>
                        <w:t xml:space="preserve">The design of a ‘robust flexible set of measures’ requires searching for measures that are </w:t>
                      </w:r>
                      <w:r w:rsidRPr="00F95B3E">
                        <w:rPr>
                          <w:rFonts w:asciiTheme="minorHAnsi" w:hAnsiTheme="minorHAnsi" w:cstheme="minorHAnsi"/>
                          <w:i/>
                          <w:iCs/>
                          <w:sz w:val="16"/>
                          <w:szCs w:val="16"/>
                        </w:rPr>
                        <w:t xml:space="preserve">robust </w:t>
                      </w:r>
                      <w:r w:rsidRPr="00F95B3E">
                        <w:rPr>
                          <w:rFonts w:asciiTheme="minorHAnsi" w:hAnsiTheme="minorHAnsi" w:cstheme="minorHAnsi"/>
                          <w:sz w:val="16"/>
                          <w:szCs w:val="16"/>
                        </w:rPr>
                        <w:t xml:space="preserve">and / or </w:t>
                      </w:r>
                      <w:r w:rsidRPr="00F95B3E">
                        <w:rPr>
                          <w:rFonts w:asciiTheme="minorHAnsi" w:hAnsiTheme="minorHAnsi" w:cstheme="minorHAnsi"/>
                          <w:i/>
                          <w:iCs/>
                          <w:sz w:val="16"/>
                          <w:szCs w:val="16"/>
                        </w:rPr>
                        <w:t>flexible</w:t>
                      </w:r>
                      <w:r w:rsidRPr="00F95B3E">
                        <w:rPr>
                          <w:rFonts w:asciiTheme="minorHAnsi" w:hAnsiTheme="minorHAnsi" w:cstheme="minorHAnsi"/>
                          <w:sz w:val="16"/>
                          <w:szCs w:val="16"/>
                        </w:rPr>
                        <w:t xml:space="preserve">. The set of measures </w:t>
                      </w:r>
                      <w:r w:rsidRPr="00F95B3E">
                        <w:rPr>
                          <w:rFonts w:asciiTheme="minorHAnsi" w:eastAsiaTheme="minorHAnsi" w:hAnsiTheme="minorHAnsi" w:cstheme="minorHAnsi"/>
                          <w:sz w:val="16"/>
                          <w:szCs w:val="16"/>
                          <w:lang w:eastAsia="en-US"/>
                        </w:rPr>
                        <w:t xml:space="preserve">should contain the following properties: </w:t>
                      </w:r>
                      <w:r w:rsidRPr="00F95B3E">
                        <w:rPr>
                          <w:rFonts w:asciiTheme="minorHAnsi" w:eastAsiaTheme="minorHAnsi" w:hAnsiTheme="minorHAnsi" w:cstheme="minorHAnsi"/>
                          <w:i/>
                          <w:iCs/>
                          <w:sz w:val="16"/>
                          <w:szCs w:val="16"/>
                          <w:lang w:eastAsia="en-US"/>
                        </w:rPr>
                        <w:t>robustness</w:t>
                      </w:r>
                      <w:r w:rsidRPr="00F95B3E">
                        <w:rPr>
                          <w:rFonts w:asciiTheme="minorHAnsi" w:eastAsiaTheme="minorHAnsi" w:hAnsiTheme="minorHAnsi" w:cstheme="minorHAnsi"/>
                          <w:sz w:val="16"/>
                          <w:szCs w:val="16"/>
                          <w:lang w:eastAsia="en-US"/>
                        </w:rPr>
                        <w:t xml:space="preserve"> (ability to achieve the objectives despite how the future unfolds and be effective under a wide range of future scenarios), </w:t>
                      </w:r>
                      <w:r w:rsidRPr="00F95B3E">
                        <w:rPr>
                          <w:rFonts w:asciiTheme="minorHAnsi" w:eastAsiaTheme="minorHAnsi" w:hAnsiTheme="minorHAnsi" w:cstheme="minorHAnsi"/>
                          <w:i/>
                          <w:iCs/>
                          <w:sz w:val="16"/>
                          <w:szCs w:val="16"/>
                          <w:lang w:eastAsia="en-US"/>
                        </w:rPr>
                        <w:t>flexibility</w:t>
                      </w:r>
                      <w:r w:rsidRPr="00F95B3E">
                        <w:rPr>
                          <w:rFonts w:asciiTheme="minorHAnsi" w:eastAsiaTheme="minorHAnsi" w:hAnsiTheme="minorHAnsi" w:cstheme="minorHAnsi"/>
                          <w:sz w:val="16"/>
                          <w:szCs w:val="16"/>
                          <w:lang w:eastAsia="en-US"/>
                        </w:rPr>
                        <w:t xml:space="preserve"> (ability to be changed over time as changes occur or as new information arises) and adaptability (ability to be adapted to changes over time, e.g. by keeping options open / not foreclosing future options unnecessarily), and be </w:t>
                      </w:r>
                      <w:r w:rsidRPr="00F95B3E">
                        <w:rPr>
                          <w:rFonts w:asciiTheme="minorHAnsi" w:eastAsiaTheme="minorHAnsi" w:hAnsiTheme="minorHAnsi" w:cstheme="minorHAnsi"/>
                          <w:i/>
                          <w:iCs/>
                          <w:sz w:val="16"/>
                          <w:szCs w:val="16"/>
                          <w:lang w:eastAsia="en-US"/>
                        </w:rPr>
                        <w:t>no / low-regret</w:t>
                      </w:r>
                      <w:r w:rsidRPr="00F95B3E">
                        <w:rPr>
                          <w:rFonts w:asciiTheme="minorHAnsi" w:eastAsiaTheme="minorHAnsi" w:hAnsiTheme="minorHAnsi" w:cstheme="minorHAnsi"/>
                          <w:sz w:val="16"/>
                          <w:szCs w:val="16"/>
                          <w:lang w:eastAsia="en-US"/>
                        </w:rPr>
                        <w:t xml:space="preserve"> whenever possible (offer </w:t>
                      </w:r>
                      <w:r w:rsidRPr="00F95B3E">
                        <w:rPr>
                          <w:rFonts w:asciiTheme="minorHAnsi" w:eastAsiaTheme="minorHAnsi" w:hAnsiTheme="minorHAnsi" w:cstheme="minorHAnsi"/>
                          <w:i/>
                          <w:iCs/>
                          <w:sz w:val="16"/>
                          <w:szCs w:val="16"/>
                          <w:lang w:eastAsia="en-US"/>
                        </w:rPr>
                        <w:t>reversibility</w:t>
                      </w:r>
                      <w:r w:rsidRPr="00F95B3E">
                        <w:rPr>
                          <w:rFonts w:asciiTheme="minorHAnsi" w:eastAsiaTheme="minorHAnsi" w:hAnsiTheme="minorHAnsi" w:cstheme="minorHAnsi"/>
                          <w:sz w:val="16"/>
                          <w:szCs w:val="16"/>
                          <w:lang w:eastAsia="en-US"/>
                        </w:rPr>
                        <w:t xml:space="preserve">, </w:t>
                      </w:r>
                      <w:r w:rsidRPr="00F95B3E">
                        <w:rPr>
                          <w:rFonts w:asciiTheme="minorHAnsi" w:eastAsiaTheme="minorHAnsi" w:hAnsiTheme="minorHAnsi" w:cstheme="minorHAnsi"/>
                          <w:i/>
                          <w:iCs/>
                          <w:sz w:val="16"/>
                          <w:szCs w:val="16"/>
                          <w:lang w:eastAsia="en-US"/>
                        </w:rPr>
                        <w:t>adaptability</w:t>
                      </w:r>
                      <w:r w:rsidRPr="00F95B3E">
                        <w:rPr>
                          <w:rFonts w:asciiTheme="minorHAnsi" w:eastAsiaTheme="minorHAnsi" w:hAnsiTheme="minorHAnsi" w:cstheme="minorHAnsi"/>
                          <w:sz w:val="16"/>
                          <w:szCs w:val="16"/>
                          <w:lang w:eastAsia="en-US"/>
                        </w:rPr>
                        <w:t>, etc.).</w:t>
                      </w:r>
                    </w:p>
                    <w:p w14:paraId="5C257029" w14:textId="77777777" w:rsidR="00AD22FD" w:rsidRPr="003C722D" w:rsidRDefault="00AD22FD" w:rsidP="00AD22FD">
                      <w:pPr>
                        <w:pStyle w:val="TEXTBODY"/>
                        <w:spacing w:line="240" w:lineRule="auto"/>
                        <w:jc w:val="left"/>
                        <w:rPr>
                          <w:rFonts w:asciiTheme="minorHAnsi" w:hAnsiTheme="minorHAnsi" w:cstheme="minorHAnsi"/>
                          <w:sz w:val="16"/>
                          <w:szCs w:val="14"/>
                        </w:rPr>
                      </w:pPr>
                      <w:r w:rsidRPr="009B720F">
                        <w:rPr>
                          <w:rFonts w:asciiTheme="minorHAnsi" w:hAnsiTheme="minorHAnsi" w:cstheme="minorHAnsi"/>
                          <w:sz w:val="16"/>
                          <w:szCs w:val="14"/>
                        </w:rPr>
                        <w:t xml:space="preserve">The APs approach is defined as a (methodological) </w:t>
                      </w:r>
                      <w:r w:rsidRPr="009B720F">
                        <w:rPr>
                          <w:rFonts w:asciiTheme="minorHAnsi" w:hAnsiTheme="minorHAnsi" w:cstheme="minorHAnsi"/>
                          <w:b/>
                          <w:bCs/>
                          <w:i/>
                          <w:iCs/>
                          <w:sz w:val="16"/>
                          <w:szCs w:val="14"/>
                        </w:rPr>
                        <w:t>approach for exploring and sequencing a set of possible actions</w:t>
                      </w:r>
                      <w:r w:rsidRPr="009B720F">
                        <w:rPr>
                          <w:rFonts w:asciiTheme="minorHAnsi" w:hAnsiTheme="minorHAnsi" w:cstheme="minorHAnsi"/>
                          <w:i/>
                          <w:iCs/>
                          <w:sz w:val="16"/>
                          <w:szCs w:val="14"/>
                        </w:rPr>
                        <w:t xml:space="preserve"> </w:t>
                      </w:r>
                      <w:r w:rsidRPr="009B720F">
                        <w:rPr>
                          <w:rFonts w:asciiTheme="minorHAnsi" w:hAnsiTheme="minorHAnsi" w:cstheme="minorHAnsi"/>
                          <w:sz w:val="16"/>
                          <w:szCs w:val="14"/>
                        </w:rPr>
                        <w:t>(i.e. a set of possible measures)</w:t>
                      </w:r>
                      <w:r w:rsidRPr="009B720F">
                        <w:rPr>
                          <w:rFonts w:asciiTheme="minorHAnsi" w:hAnsiTheme="minorHAnsi" w:cstheme="minorHAnsi"/>
                          <w:i/>
                          <w:iCs/>
                          <w:sz w:val="16"/>
                          <w:szCs w:val="14"/>
                        </w:rPr>
                        <w:t xml:space="preserve"> based on alternative external developments over time</w:t>
                      </w:r>
                      <w:r w:rsidRPr="009B720F">
                        <w:rPr>
                          <w:rFonts w:asciiTheme="minorHAnsi" w:hAnsiTheme="minorHAnsi" w:cstheme="minorHAnsi"/>
                          <w:sz w:val="16"/>
                          <w:szCs w:val="14"/>
                        </w:rPr>
                        <w:t xml:space="preserve"> (</w:t>
                      </w:r>
                      <w:proofErr w:type="spellStart"/>
                      <w:r w:rsidRPr="009B720F">
                        <w:rPr>
                          <w:rFonts w:asciiTheme="minorHAnsi" w:hAnsiTheme="minorHAnsi" w:cstheme="minorHAnsi"/>
                          <w:color w:val="595959" w:themeColor="text1" w:themeTint="A6"/>
                          <w:sz w:val="16"/>
                          <w:szCs w:val="14"/>
                        </w:rPr>
                        <w:t>Haasnoot</w:t>
                      </w:r>
                      <w:proofErr w:type="spellEnd"/>
                      <w:r w:rsidRPr="009B720F">
                        <w:rPr>
                          <w:rFonts w:asciiTheme="minorHAnsi" w:hAnsiTheme="minorHAnsi" w:cstheme="minorHAnsi"/>
                          <w:color w:val="595959" w:themeColor="text1" w:themeTint="A6"/>
                          <w:sz w:val="16"/>
                          <w:szCs w:val="14"/>
                        </w:rPr>
                        <w:t xml:space="preserve"> et al. 2013, p.485</w:t>
                      </w:r>
                      <w:r w:rsidRPr="009B720F">
                        <w:rPr>
                          <w:rFonts w:asciiTheme="minorHAnsi" w:hAnsiTheme="minorHAnsi" w:cstheme="minorHAnsi"/>
                          <w:sz w:val="16"/>
                          <w:szCs w:val="14"/>
                        </w:rPr>
                        <w:t xml:space="preserve">). </w:t>
                      </w:r>
                      <w:proofErr w:type="spellStart"/>
                      <w:r w:rsidRPr="009B720F">
                        <w:rPr>
                          <w:rFonts w:asciiTheme="minorHAnsi" w:hAnsiTheme="minorHAnsi" w:cstheme="minorHAnsi"/>
                          <w:color w:val="7F7F7F" w:themeColor="text1" w:themeTint="80"/>
                          <w:sz w:val="16"/>
                          <w:szCs w:val="14"/>
                        </w:rPr>
                        <w:t>Haasnoot</w:t>
                      </w:r>
                      <w:proofErr w:type="spellEnd"/>
                      <w:r w:rsidRPr="009B720F">
                        <w:rPr>
                          <w:rFonts w:asciiTheme="minorHAnsi" w:hAnsiTheme="minorHAnsi" w:cstheme="minorHAnsi"/>
                          <w:color w:val="7F7F7F" w:themeColor="text1" w:themeTint="80"/>
                          <w:sz w:val="16"/>
                          <w:szCs w:val="14"/>
                        </w:rPr>
                        <w:t xml:space="preserve"> et al. (2012, 2013) </w:t>
                      </w:r>
                      <w:r w:rsidRPr="009B720F">
                        <w:rPr>
                          <w:rFonts w:asciiTheme="minorHAnsi" w:hAnsiTheme="minorHAnsi" w:cstheme="minorHAnsi"/>
                          <w:sz w:val="16"/>
                          <w:szCs w:val="14"/>
                        </w:rPr>
                        <w:t xml:space="preserve">and </w:t>
                      </w:r>
                      <w:r w:rsidRPr="009B720F">
                        <w:rPr>
                          <w:rFonts w:asciiTheme="minorHAnsi" w:hAnsiTheme="minorHAnsi" w:cstheme="minorHAnsi"/>
                          <w:color w:val="7F7F7F" w:themeColor="text1" w:themeTint="80"/>
                          <w:sz w:val="16"/>
                          <w:szCs w:val="14"/>
                        </w:rPr>
                        <w:t xml:space="preserve">Walker et al. (2013) </w:t>
                      </w:r>
                      <w:r w:rsidRPr="009B720F">
                        <w:rPr>
                          <w:rFonts w:asciiTheme="minorHAnsi" w:hAnsiTheme="minorHAnsi" w:cstheme="minorHAnsi"/>
                          <w:sz w:val="16"/>
                          <w:szCs w:val="14"/>
                        </w:rPr>
                        <w:t xml:space="preserve">place the APs within family of Adaptive Planning approaches. The APs offers a methodological approach for designing a </w:t>
                      </w:r>
                      <w:r w:rsidRPr="009B720F">
                        <w:rPr>
                          <w:rFonts w:asciiTheme="minorHAnsi" w:hAnsiTheme="minorHAnsi" w:cstheme="minorHAnsi"/>
                          <w:i/>
                          <w:iCs/>
                          <w:sz w:val="16"/>
                          <w:szCs w:val="14"/>
                        </w:rPr>
                        <w:t>dynamic adaptive plan</w:t>
                      </w:r>
                      <w:r w:rsidRPr="009B720F">
                        <w:rPr>
                          <w:rFonts w:asciiTheme="minorHAnsi" w:hAnsiTheme="minorHAnsi" w:cstheme="minorHAnsi"/>
                          <w:sz w:val="16"/>
                          <w:szCs w:val="14"/>
                        </w:rPr>
                        <w:t xml:space="preserve"> that is both </w:t>
                      </w:r>
                      <w:r w:rsidRPr="009B720F">
                        <w:rPr>
                          <w:rFonts w:asciiTheme="minorHAnsi" w:hAnsiTheme="minorHAnsi" w:cstheme="minorHAnsi"/>
                          <w:i/>
                          <w:iCs/>
                          <w:sz w:val="16"/>
                          <w:szCs w:val="14"/>
                        </w:rPr>
                        <w:t>robust</w:t>
                      </w:r>
                      <w:r w:rsidRPr="009B720F">
                        <w:rPr>
                          <w:rFonts w:asciiTheme="minorHAnsi" w:hAnsiTheme="minorHAnsi" w:cstheme="minorHAnsi"/>
                          <w:sz w:val="16"/>
                          <w:szCs w:val="14"/>
                        </w:rPr>
                        <w:t xml:space="preserve"> and </w:t>
                      </w:r>
                      <w:r w:rsidRPr="009B720F">
                        <w:rPr>
                          <w:rFonts w:asciiTheme="minorHAnsi" w:hAnsiTheme="minorHAnsi" w:cstheme="minorHAnsi"/>
                          <w:i/>
                          <w:iCs/>
                          <w:sz w:val="16"/>
                          <w:szCs w:val="14"/>
                        </w:rPr>
                        <w:t>adaptive</w:t>
                      </w:r>
                      <w:r w:rsidRPr="009B720F">
                        <w:rPr>
                          <w:rFonts w:asciiTheme="minorHAnsi" w:hAnsiTheme="minorHAnsi" w:cstheme="minorHAnsi"/>
                          <w:sz w:val="16"/>
                          <w:szCs w:val="14"/>
                        </w:rPr>
                        <w:t xml:space="preserve"> under uncertain future change.</w:t>
                      </w:r>
                    </w:p>
                    <w:p w14:paraId="234CB375" w14:textId="77777777" w:rsidR="00AD22FD" w:rsidRPr="00F179E6" w:rsidRDefault="00AD22FD" w:rsidP="00AD22FD">
                      <w:pPr>
                        <w:pStyle w:val="TEXTBODY"/>
                        <w:spacing w:line="240" w:lineRule="auto"/>
                        <w:jc w:val="left"/>
                        <w:rPr>
                          <w:rFonts w:asciiTheme="minorHAnsi" w:hAnsiTheme="minorHAnsi" w:cstheme="minorHAnsi"/>
                          <w:sz w:val="16"/>
                          <w:szCs w:val="14"/>
                        </w:rPr>
                      </w:pPr>
                    </w:p>
                  </w:txbxContent>
                </v:textbox>
                <w10:wrap anchorx="page"/>
              </v:shape>
            </w:pict>
          </mc:Fallback>
        </mc:AlternateContent>
      </w:r>
      <w:r w:rsidRPr="009B720F">
        <w:rPr>
          <w:bCs/>
        </w:rPr>
        <w:t xml:space="preserve">According to </w:t>
      </w:r>
      <w:proofErr w:type="spellStart"/>
      <w:r w:rsidRPr="009B720F">
        <w:rPr>
          <w:bCs/>
          <w:color w:val="7F7F7F" w:themeColor="text1" w:themeTint="80"/>
        </w:rPr>
        <w:t>Jeuken</w:t>
      </w:r>
      <w:proofErr w:type="spellEnd"/>
      <w:r w:rsidRPr="009B720F">
        <w:rPr>
          <w:bCs/>
          <w:color w:val="7F7F7F" w:themeColor="text1" w:themeTint="80"/>
        </w:rPr>
        <w:t xml:space="preserve"> et al.</w:t>
      </w:r>
      <w:r w:rsidRPr="009B720F">
        <w:rPr>
          <w:bCs/>
        </w:rPr>
        <w:t>, to deal with uncertain future change, it is necessary to develop a ‘</w:t>
      </w:r>
      <w:r w:rsidRPr="009B720F">
        <w:rPr>
          <w:bCs/>
          <w:i/>
          <w:iCs/>
        </w:rPr>
        <w:t>robust and</w:t>
      </w:r>
      <w:r w:rsidRPr="009B720F">
        <w:rPr>
          <w:bCs/>
        </w:rPr>
        <w:t xml:space="preserve"> </w:t>
      </w:r>
      <w:r w:rsidRPr="009B720F">
        <w:rPr>
          <w:bCs/>
          <w:i/>
          <w:iCs/>
        </w:rPr>
        <w:t>flexible</w:t>
      </w:r>
      <w:r w:rsidRPr="009B720F">
        <w:rPr>
          <w:bCs/>
        </w:rPr>
        <w:t>’ set of measures (</w:t>
      </w:r>
      <w:proofErr w:type="spellStart"/>
      <w:r w:rsidRPr="009B720F">
        <w:rPr>
          <w:bCs/>
          <w:color w:val="7F7F7F" w:themeColor="text1" w:themeTint="80"/>
        </w:rPr>
        <w:t>Jeuken</w:t>
      </w:r>
      <w:proofErr w:type="spellEnd"/>
      <w:r w:rsidRPr="009B720F">
        <w:rPr>
          <w:bCs/>
          <w:color w:val="7F7F7F" w:themeColor="text1" w:themeTint="80"/>
        </w:rPr>
        <w:t xml:space="preserve"> et al. 2014, p.23, 1</w:t>
      </w:r>
      <w:r w:rsidRPr="009B720F">
        <w:rPr>
          <w:bCs/>
        </w:rPr>
        <w:t xml:space="preserve">). To do this, the TE2100 devised and applied the </w:t>
      </w:r>
      <w:r w:rsidRPr="009B720F">
        <w:rPr>
          <w:bCs/>
          <w:i/>
          <w:iCs/>
        </w:rPr>
        <w:t xml:space="preserve">Adaptation Pathways approach </w:t>
      </w:r>
      <w:r w:rsidRPr="009B720F">
        <w:rPr>
          <w:bCs/>
        </w:rPr>
        <w:t>(</w:t>
      </w:r>
      <w:proofErr w:type="spellStart"/>
      <w:r w:rsidRPr="009B720F">
        <w:rPr>
          <w:bCs/>
          <w:color w:val="7F7F7F" w:themeColor="text1" w:themeTint="80"/>
        </w:rPr>
        <w:t>Jeuken</w:t>
      </w:r>
      <w:proofErr w:type="spellEnd"/>
      <w:r w:rsidRPr="009B720F">
        <w:rPr>
          <w:bCs/>
          <w:color w:val="7F7F7F" w:themeColor="text1" w:themeTint="80"/>
        </w:rPr>
        <w:t xml:space="preserve"> et al. 2014, p.10</w:t>
      </w:r>
      <w:r w:rsidRPr="009B720F">
        <w:rPr>
          <w:bCs/>
        </w:rPr>
        <w:t>) – that is, the TE2100 Team has designed a</w:t>
      </w:r>
      <w:r w:rsidRPr="009B720F">
        <w:rPr>
          <w:bCs/>
          <w:i/>
          <w:iCs/>
        </w:rPr>
        <w:t xml:space="preserve"> robust and</w:t>
      </w:r>
      <w:r w:rsidRPr="009B720F">
        <w:rPr>
          <w:bCs/>
        </w:rPr>
        <w:t xml:space="preserve"> </w:t>
      </w:r>
      <w:r w:rsidRPr="009B720F">
        <w:rPr>
          <w:bCs/>
          <w:i/>
          <w:iCs/>
        </w:rPr>
        <w:t>flexible</w:t>
      </w:r>
      <w:r w:rsidRPr="009B720F">
        <w:rPr>
          <w:bCs/>
        </w:rPr>
        <w:t xml:space="preserve"> set of m</w:t>
      </w:r>
      <w:r w:rsidRPr="00F95B3E">
        <w:rPr>
          <w:bCs/>
        </w:rPr>
        <w:t>easures – by using / with the APs approach (</w:t>
      </w:r>
      <w:proofErr w:type="spellStart"/>
      <w:r w:rsidRPr="00F95B3E">
        <w:rPr>
          <w:bCs/>
          <w:color w:val="7F7F7F" w:themeColor="text1" w:themeTint="80"/>
        </w:rPr>
        <w:t>Jeuken</w:t>
      </w:r>
      <w:proofErr w:type="spellEnd"/>
      <w:r w:rsidRPr="00F95B3E">
        <w:rPr>
          <w:bCs/>
          <w:color w:val="7F7F7F" w:themeColor="text1" w:themeTint="80"/>
        </w:rPr>
        <w:t xml:space="preserve"> et al. 2014, p.23</w:t>
      </w:r>
      <w:r w:rsidRPr="00F95B3E">
        <w:rPr>
          <w:bCs/>
        </w:rPr>
        <w:t>).</w:t>
      </w:r>
    </w:p>
    <w:p w14:paraId="6C1FAECA" w14:textId="77777777" w:rsidR="00AD22FD" w:rsidRDefault="00AD22FD" w:rsidP="00AD22FD">
      <w:pPr>
        <w:pStyle w:val="TEXTBODY"/>
        <w:spacing w:line="276" w:lineRule="auto"/>
        <w:rPr>
          <w:bCs/>
        </w:rPr>
      </w:pPr>
    </w:p>
    <w:p w14:paraId="16815D78" w14:textId="77777777" w:rsidR="00AD22FD" w:rsidRDefault="00AD22FD" w:rsidP="00AD22FD">
      <w:pPr>
        <w:pStyle w:val="TEXTBODY"/>
        <w:spacing w:line="276" w:lineRule="auto"/>
        <w:rPr>
          <w:bCs/>
        </w:rPr>
      </w:pPr>
    </w:p>
    <w:p w14:paraId="7BEB6F3A" w14:textId="77777777" w:rsidR="00AD22FD" w:rsidRDefault="00AD22FD" w:rsidP="00AD22FD">
      <w:pPr>
        <w:pStyle w:val="TEXTBODY"/>
        <w:spacing w:line="276" w:lineRule="auto"/>
        <w:rPr>
          <w:bCs/>
        </w:rPr>
      </w:pPr>
    </w:p>
    <w:p w14:paraId="1216EB79" w14:textId="77777777" w:rsidR="00AD22FD" w:rsidRDefault="00AD22FD" w:rsidP="00AD22FD">
      <w:pPr>
        <w:pStyle w:val="TEXTBODY"/>
        <w:spacing w:line="276" w:lineRule="auto"/>
        <w:rPr>
          <w:bCs/>
        </w:rPr>
      </w:pPr>
    </w:p>
    <w:p w14:paraId="14544DE9" w14:textId="77777777" w:rsidR="00AD22FD" w:rsidRPr="009B720F" w:rsidRDefault="00AD22FD" w:rsidP="00AD22FD">
      <w:pPr>
        <w:pStyle w:val="TEXTBODY"/>
        <w:spacing w:line="276" w:lineRule="auto"/>
        <w:rPr>
          <w:bCs/>
        </w:rPr>
      </w:pPr>
    </w:p>
    <w:p w14:paraId="013DAC08" w14:textId="77777777" w:rsidR="00AD22FD" w:rsidRPr="009B720F" w:rsidRDefault="00AD22FD" w:rsidP="00AD22FD">
      <w:pPr>
        <w:pStyle w:val="TEXTBODY"/>
        <w:spacing w:line="276" w:lineRule="auto"/>
        <w:rPr>
          <w:bCs/>
        </w:rPr>
      </w:pPr>
    </w:p>
    <w:p w14:paraId="35FD4DDA" w14:textId="77777777" w:rsidR="00AD22FD" w:rsidRPr="009B720F" w:rsidRDefault="00AD22FD" w:rsidP="00AD22FD">
      <w:pPr>
        <w:pStyle w:val="TEXTBODY"/>
        <w:spacing w:line="276" w:lineRule="auto"/>
        <w:rPr>
          <w:bCs/>
        </w:rPr>
      </w:pPr>
    </w:p>
    <w:p w14:paraId="51A07EB6" w14:textId="77777777" w:rsidR="00AD22FD" w:rsidRPr="009B720F" w:rsidRDefault="00AD22FD" w:rsidP="00AD22FD">
      <w:pPr>
        <w:pStyle w:val="TEXTBODY"/>
        <w:spacing w:line="276" w:lineRule="auto"/>
        <w:rPr>
          <w:bCs/>
        </w:rPr>
      </w:pPr>
    </w:p>
    <w:p w14:paraId="1529DB3F" w14:textId="77777777" w:rsidR="00AD22FD" w:rsidRPr="009B720F" w:rsidRDefault="00AD22FD" w:rsidP="00AD22FD">
      <w:pPr>
        <w:pStyle w:val="TEXTBODY"/>
        <w:spacing w:line="276" w:lineRule="auto"/>
        <w:rPr>
          <w:bCs/>
        </w:rPr>
      </w:pPr>
    </w:p>
    <w:p w14:paraId="01CCAC2C" w14:textId="77777777" w:rsidR="00AD22FD" w:rsidRPr="009B720F" w:rsidRDefault="00AD22FD" w:rsidP="00AD22FD">
      <w:pPr>
        <w:pStyle w:val="TEXTBODY"/>
        <w:spacing w:line="276" w:lineRule="auto"/>
        <w:rPr>
          <w:bCs/>
        </w:rPr>
      </w:pPr>
    </w:p>
    <w:p w14:paraId="23F5D4E0" w14:textId="77777777" w:rsidR="00AD22FD" w:rsidRPr="009B720F" w:rsidRDefault="00AD22FD" w:rsidP="00AD22FD">
      <w:pPr>
        <w:pStyle w:val="TEXTBODY"/>
        <w:spacing w:line="276" w:lineRule="auto"/>
        <w:rPr>
          <w:bCs/>
        </w:rPr>
      </w:pPr>
    </w:p>
    <w:p w14:paraId="28F45465" w14:textId="77777777" w:rsidR="00AD22FD" w:rsidRPr="009B720F" w:rsidRDefault="00AD22FD" w:rsidP="00AD22FD">
      <w:pPr>
        <w:pStyle w:val="TEXTBODY"/>
        <w:spacing w:line="276" w:lineRule="auto"/>
        <w:rPr>
          <w:bCs/>
        </w:rPr>
      </w:pPr>
    </w:p>
    <w:p w14:paraId="405667F4" w14:textId="77777777" w:rsidR="00AD22FD" w:rsidRPr="009B720F" w:rsidRDefault="00AD22FD" w:rsidP="00AD22FD">
      <w:pPr>
        <w:pStyle w:val="TEXTBODY"/>
        <w:spacing w:line="276" w:lineRule="auto"/>
        <w:rPr>
          <w:bCs/>
        </w:rPr>
      </w:pPr>
    </w:p>
    <w:p w14:paraId="4DDEDD7F" w14:textId="77777777" w:rsidR="00AD22FD" w:rsidRPr="009B720F" w:rsidRDefault="00AD22FD" w:rsidP="00AD22FD">
      <w:pPr>
        <w:pStyle w:val="Ttulo4"/>
        <w:spacing w:after="0" w:line="276" w:lineRule="auto"/>
        <w:rPr>
          <w:bCs/>
          <w:i/>
          <w:iCs/>
          <w:color w:val="76923C" w:themeColor="accent3" w:themeShade="BF"/>
        </w:rPr>
      </w:pPr>
      <w:r w:rsidRPr="009B720F">
        <w:rPr>
          <w:bCs/>
        </w:rPr>
        <w:t>Key-element 4</w:t>
      </w:r>
    </w:p>
    <w:p w14:paraId="79E43384" w14:textId="77777777" w:rsidR="00AD22FD" w:rsidRPr="009B720F" w:rsidRDefault="00AD22FD" w:rsidP="00AD22FD">
      <w:pPr>
        <w:pStyle w:val="TEXTBODY"/>
        <w:spacing w:line="276" w:lineRule="auto"/>
        <w:rPr>
          <w:bCs/>
        </w:rPr>
      </w:pPr>
      <w:r w:rsidRPr="009B720F">
        <w:rPr>
          <w:bCs/>
        </w:rPr>
        <w:t>The TE2100 Project set out (defined) its monitoring and review system, which not only specifies the main indicators that must be monitored, but also ‘</w:t>
      </w:r>
      <w:r w:rsidRPr="009B720F">
        <w:rPr>
          <w:bCs/>
          <w:i/>
          <w:iCs/>
        </w:rPr>
        <w:t>decision-points</w:t>
      </w:r>
      <w:r w:rsidRPr="009B720F">
        <w:rPr>
          <w:bCs/>
        </w:rPr>
        <w:t>’ and explains how to estimate them (</w:t>
      </w:r>
      <w:r w:rsidRPr="009B720F">
        <w:rPr>
          <w:bCs/>
          <w:color w:val="7F7F7F" w:themeColor="text1" w:themeTint="80"/>
        </w:rPr>
        <w:t xml:space="preserve">Ranger et al. 2013, p.233, 239, 258; </w:t>
      </w:r>
      <w:proofErr w:type="spellStart"/>
      <w:r w:rsidRPr="009B720F">
        <w:rPr>
          <w:bCs/>
          <w:color w:val="7F7F7F" w:themeColor="text1" w:themeTint="80"/>
        </w:rPr>
        <w:t>Jeuken</w:t>
      </w:r>
      <w:proofErr w:type="spellEnd"/>
      <w:r w:rsidRPr="009B720F">
        <w:rPr>
          <w:bCs/>
          <w:color w:val="7F7F7F" w:themeColor="text1" w:themeTint="80"/>
        </w:rPr>
        <w:t xml:space="preserve"> et al. 2014, p.10, 22</w:t>
      </w:r>
      <w:r w:rsidRPr="009B720F">
        <w:rPr>
          <w:bCs/>
        </w:rPr>
        <w:t xml:space="preserve">). </w:t>
      </w:r>
    </w:p>
    <w:p w14:paraId="42993BC0" w14:textId="77777777" w:rsidR="00AD22FD" w:rsidRPr="009B720F" w:rsidRDefault="00AD22FD" w:rsidP="00AD22FD">
      <w:pPr>
        <w:pStyle w:val="TEXTBODY"/>
        <w:spacing w:line="276" w:lineRule="auto"/>
        <w:rPr>
          <w:rFonts w:eastAsia="Calibri"/>
          <w:bCs/>
          <w:lang w:eastAsia="en-US"/>
        </w:rPr>
      </w:pPr>
      <w:r w:rsidRPr="009B720F">
        <w:rPr>
          <w:rFonts w:eastAsia="Calibri"/>
          <w:bCs/>
          <w:lang w:eastAsia="en-US"/>
        </w:rPr>
        <w:t xml:space="preserve">The TE2100 Plan defined its monitoring programme, it specified 10 indicators that must be monitored over Plan’s lifespan (e.g. mean sea level, extent of erosion, etc.) </w:t>
      </w:r>
      <w:r w:rsidRPr="009B720F">
        <w:rPr>
          <w:bCs/>
        </w:rPr>
        <w:t>(</w:t>
      </w:r>
      <w:r w:rsidRPr="009B720F">
        <w:rPr>
          <w:rFonts w:eastAsia="Calibri"/>
          <w:bCs/>
          <w:color w:val="7F7F7F" w:themeColor="text1" w:themeTint="80"/>
          <w:lang w:eastAsia="en-US"/>
        </w:rPr>
        <w:t xml:space="preserve">EA 2012, p.30, 37; </w:t>
      </w:r>
      <w:r w:rsidRPr="009B720F">
        <w:rPr>
          <w:bCs/>
          <w:color w:val="7F7F7F" w:themeColor="text1" w:themeTint="80"/>
        </w:rPr>
        <w:t>EA 2016; Ranger et al. 2013, p.233, 256; London Councils 2018; Ramsbottom and Sheppard 2017, p.12</w:t>
      </w:r>
      <w:r w:rsidRPr="009B720F">
        <w:rPr>
          <w:bCs/>
        </w:rPr>
        <w:t>).</w:t>
      </w:r>
      <w:r w:rsidRPr="009B720F">
        <w:rPr>
          <w:rFonts w:eastAsia="Calibri"/>
          <w:bCs/>
          <w:lang w:eastAsia="en-US"/>
        </w:rPr>
        <w:t xml:space="preserve"> </w:t>
      </w:r>
      <w:r w:rsidRPr="009B720F">
        <w:rPr>
          <w:bCs/>
        </w:rPr>
        <w:t>These indicators serve to monitor changes in the Estuary and its flood risk (</w:t>
      </w:r>
      <w:r w:rsidRPr="009B720F">
        <w:rPr>
          <w:bCs/>
          <w:color w:val="7F7F7F" w:themeColor="text1" w:themeTint="80"/>
        </w:rPr>
        <w:t>EA 2016</w:t>
      </w:r>
      <w:r w:rsidRPr="009B720F">
        <w:rPr>
          <w:bCs/>
        </w:rPr>
        <w:t xml:space="preserve">). Yet, the monitoring system must not only monitor how the climate and flood risk are changing locally (which implies measuring local changes in the indicators), but also global changes like climate change (CC) progress and </w:t>
      </w:r>
      <w:r w:rsidRPr="009B720F">
        <w:rPr>
          <w:rFonts w:cs="Arial"/>
          <w:bCs/>
        </w:rPr>
        <w:t>the rate of</w:t>
      </w:r>
      <w:r w:rsidRPr="009B720F">
        <w:rPr>
          <w:rFonts w:cs="Arial"/>
          <w:bCs/>
          <w:i/>
        </w:rPr>
        <w:t xml:space="preserve"> </w:t>
      </w:r>
      <w:r w:rsidRPr="009B720F">
        <w:rPr>
          <w:rFonts w:cs="Arial"/>
          <w:bCs/>
        </w:rPr>
        <w:t>CC effects</w:t>
      </w:r>
      <w:r w:rsidRPr="009B720F">
        <w:rPr>
          <w:bCs/>
        </w:rPr>
        <w:t xml:space="preserve"> (</w:t>
      </w:r>
      <w:r w:rsidRPr="009B720F">
        <w:rPr>
          <w:rFonts w:cs="Arial"/>
          <w:bCs/>
        </w:rPr>
        <w:t xml:space="preserve">which implies </w:t>
      </w:r>
      <w:r w:rsidRPr="009B720F">
        <w:rPr>
          <w:bCs/>
        </w:rPr>
        <w:t xml:space="preserve">continual observation and keeping track of updated future projections and </w:t>
      </w:r>
      <w:r w:rsidRPr="009B720F">
        <w:rPr>
          <w:rFonts w:eastAsia="Calibri"/>
          <w:bCs/>
        </w:rPr>
        <w:t xml:space="preserve">investment in climate science) </w:t>
      </w:r>
      <w:r w:rsidRPr="009B720F">
        <w:rPr>
          <w:bCs/>
        </w:rPr>
        <w:t>(</w:t>
      </w:r>
      <w:r w:rsidRPr="009B720F">
        <w:rPr>
          <w:bCs/>
          <w:color w:val="7F7F7F" w:themeColor="text1" w:themeTint="80"/>
        </w:rPr>
        <w:t>EA 2009b;</w:t>
      </w:r>
      <w:r w:rsidRPr="009B720F">
        <w:rPr>
          <w:rFonts w:cs="Arial"/>
          <w:bCs/>
          <w:color w:val="7F7F7F" w:themeColor="text1" w:themeTint="80"/>
        </w:rPr>
        <w:t xml:space="preserve"> </w:t>
      </w:r>
      <w:r w:rsidRPr="009B720F">
        <w:rPr>
          <w:bCs/>
          <w:color w:val="7F7F7F" w:themeColor="text1" w:themeTint="80"/>
        </w:rPr>
        <w:t xml:space="preserve">Lowe et al. 2009, p.85, 90; </w:t>
      </w:r>
      <w:r w:rsidRPr="009B720F">
        <w:rPr>
          <w:rFonts w:eastAsia="Calibri"/>
          <w:bCs/>
          <w:color w:val="7F7F7F" w:themeColor="text1" w:themeTint="80"/>
        </w:rPr>
        <w:t>Met Office 2012</w:t>
      </w:r>
      <w:r w:rsidRPr="009B720F">
        <w:rPr>
          <w:rFonts w:eastAsia="Calibri"/>
          <w:bCs/>
        </w:rPr>
        <w:t>).</w:t>
      </w:r>
      <w:r w:rsidRPr="009B720F">
        <w:rPr>
          <w:rFonts w:eastAsia="Calibri"/>
          <w:bCs/>
          <w:color w:val="0070C0"/>
        </w:rPr>
        <w:t xml:space="preserve"> </w:t>
      </w:r>
      <w:r w:rsidRPr="009B720F">
        <w:rPr>
          <w:bCs/>
        </w:rPr>
        <w:t xml:space="preserve"> </w:t>
      </w:r>
    </w:p>
    <w:p w14:paraId="0B9604B4" w14:textId="77777777" w:rsidR="00AD22FD" w:rsidRPr="00F95B3E" w:rsidRDefault="00AD22FD" w:rsidP="00AD22FD">
      <w:pPr>
        <w:pStyle w:val="TEXTBODY"/>
        <w:spacing w:line="276" w:lineRule="auto"/>
        <w:rPr>
          <w:bCs/>
        </w:rPr>
      </w:pPr>
      <w:r w:rsidRPr="009B720F">
        <w:rPr>
          <w:bCs/>
        </w:rPr>
        <w:t xml:space="preserve">The </w:t>
      </w:r>
      <w:r w:rsidRPr="009B720F">
        <w:rPr>
          <w:bCs/>
          <w:i/>
          <w:iCs/>
        </w:rPr>
        <w:t>Decision-</w:t>
      </w:r>
      <w:r w:rsidRPr="00F95B3E">
        <w:rPr>
          <w:bCs/>
          <w:i/>
          <w:iCs/>
        </w:rPr>
        <w:t>points</w:t>
      </w:r>
      <w:r w:rsidRPr="00F95B3E">
        <w:rPr>
          <w:bCs/>
        </w:rPr>
        <w:t xml:space="preserve"> (which </w:t>
      </w:r>
      <w:r w:rsidRPr="00F95B3E">
        <w:rPr>
          <w:rFonts w:cs="Arial"/>
          <w:bCs/>
          <w:szCs w:val="18"/>
        </w:rPr>
        <w:t xml:space="preserve">precede the critical thresholds) </w:t>
      </w:r>
      <w:r w:rsidRPr="00F95B3E">
        <w:rPr>
          <w:bCs/>
        </w:rPr>
        <w:t>can be estimated and detected based on the observation of certain key-indicators: if a trigger-value predefined for certain indicator is reached, this will trigger a decision (</w:t>
      </w:r>
      <w:r w:rsidRPr="00F95B3E">
        <w:rPr>
          <w:bCs/>
          <w:color w:val="7F7F7F" w:themeColor="text1" w:themeTint="80"/>
        </w:rPr>
        <w:t>Ranger et al. 2013, p.233, 239, 258</w:t>
      </w:r>
      <w:r w:rsidRPr="00F95B3E">
        <w:rPr>
          <w:bCs/>
        </w:rPr>
        <w:t>). T</w:t>
      </w:r>
      <w:r w:rsidRPr="00F95B3E">
        <w:rPr>
          <w:rFonts w:cs="Arial"/>
          <w:bCs/>
          <w:szCs w:val="18"/>
        </w:rPr>
        <w:t>he Project Team has estimated some important decision-points; to this end, it used</w:t>
      </w:r>
      <w:r w:rsidRPr="00F95B3E">
        <w:rPr>
          <w:bCs/>
        </w:rPr>
        <w:t xml:space="preserve"> several scenarios to assess when it will be necessary to adapt at earliest and at latest, and took into consideration </w:t>
      </w:r>
      <w:r w:rsidRPr="00F95B3E">
        <w:rPr>
          <w:rFonts w:cs="Arial"/>
          <w:bCs/>
          <w:szCs w:val="18"/>
        </w:rPr>
        <w:t xml:space="preserve">the lead-time required for designing and constructing a certain measure, as well as the </w:t>
      </w:r>
      <w:r w:rsidRPr="00F95B3E">
        <w:rPr>
          <w:bCs/>
          <w:iCs/>
        </w:rPr>
        <w:t>monitoring results on a certain indicator (observed changes) – in this way, it was possible to see</w:t>
      </w:r>
      <w:r w:rsidRPr="00F95B3E">
        <w:rPr>
          <w:bCs/>
        </w:rPr>
        <w:t xml:space="preserve"> if a decision should be postponed or taken earlier (</w:t>
      </w:r>
      <w:proofErr w:type="spellStart"/>
      <w:r w:rsidRPr="00F95B3E">
        <w:rPr>
          <w:bCs/>
          <w:color w:val="7F7F7F" w:themeColor="text1" w:themeTint="80"/>
        </w:rPr>
        <w:t>Jeuken</w:t>
      </w:r>
      <w:proofErr w:type="spellEnd"/>
      <w:r w:rsidRPr="00F95B3E">
        <w:rPr>
          <w:bCs/>
          <w:color w:val="7F7F7F" w:themeColor="text1" w:themeTint="80"/>
        </w:rPr>
        <w:t xml:space="preserve"> and Reeder 2011, p.6</w:t>
      </w:r>
      <w:r w:rsidRPr="00F95B3E">
        <w:rPr>
          <w:bCs/>
        </w:rPr>
        <w:t xml:space="preserve">). </w:t>
      </w:r>
      <w:r w:rsidRPr="00F95B3E">
        <w:rPr>
          <w:bCs/>
          <w:color w:val="000000"/>
        </w:rPr>
        <w:t xml:space="preserve">In this sense, the </w:t>
      </w:r>
      <w:r w:rsidRPr="00F95B3E">
        <w:rPr>
          <w:bCs/>
          <w:i/>
          <w:iCs/>
          <w:color w:val="000000"/>
        </w:rPr>
        <w:t>decision-</w:t>
      </w:r>
      <w:r w:rsidRPr="00F95B3E">
        <w:rPr>
          <w:bCs/>
          <w:i/>
          <w:iCs/>
        </w:rPr>
        <w:t>points</w:t>
      </w:r>
      <w:r w:rsidRPr="00F95B3E">
        <w:rPr>
          <w:bCs/>
        </w:rPr>
        <w:t xml:space="preserve"> help to ensure that measures (to manage evolving risk) are timely taken and cost-effective</w:t>
      </w:r>
      <w:r w:rsidRPr="00F95B3E">
        <w:rPr>
          <w:bCs/>
          <w:color w:val="000000"/>
        </w:rPr>
        <w:t xml:space="preserve"> </w:t>
      </w:r>
      <w:r w:rsidRPr="00F95B3E">
        <w:rPr>
          <w:bCs/>
        </w:rPr>
        <w:t>(</w:t>
      </w:r>
      <w:r w:rsidRPr="00F95B3E">
        <w:rPr>
          <w:bCs/>
          <w:color w:val="7F7F7F" w:themeColor="text1" w:themeTint="80"/>
        </w:rPr>
        <w:t>Ranger et al. 2013, p.233, 239, 258</w:t>
      </w:r>
      <w:r w:rsidRPr="00F95B3E">
        <w:rPr>
          <w:bCs/>
        </w:rPr>
        <w:t>).</w:t>
      </w:r>
      <w:r w:rsidRPr="00F95B3E">
        <w:rPr>
          <w:bCs/>
          <w:iCs/>
        </w:rPr>
        <w:t xml:space="preserve"> </w:t>
      </w:r>
    </w:p>
    <w:p w14:paraId="153F199A" w14:textId="77777777" w:rsidR="00AD22FD" w:rsidRPr="009B720F" w:rsidRDefault="00AD22FD" w:rsidP="00AD22FD">
      <w:pPr>
        <w:pStyle w:val="TEXTBODY"/>
        <w:spacing w:line="276" w:lineRule="auto"/>
        <w:rPr>
          <w:bCs/>
        </w:rPr>
      </w:pPr>
      <w:r w:rsidRPr="00F95B3E">
        <w:rPr>
          <w:bCs/>
        </w:rPr>
        <w:t xml:space="preserve">Besides the monitoring, it is also necessary to carry out regular reviews (reassessments and re-appraisals) and updates of the Plan. </w:t>
      </w:r>
      <w:r w:rsidRPr="00F95B3E">
        <w:rPr>
          <w:rFonts w:eastAsia="Calibri"/>
          <w:bCs/>
          <w:lang w:eastAsia="en-US"/>
        </w:rPr>
        <w:t xml:space="preserve">The TE2100 Plan must be reviewed (and updated) every 10 years or more frequently </w:t>
      </w:r>
      <w:r w:rsidRPr="00F95B3E">
        <w:rPr>
          <w:bCs/>
          <w:szCs w:val="22"/>
        </w:rPr>
        <w:t xml:space="preserve">if there is a major change in one or more indicators; </w:t>
      </w:r>
      <w:r w:rsidRPr="00F95B3E">
        <w:rPr>
          <w:bCs/>
          <w:szCs w:val="22"/>
          <w:lang w:val="en-US"/>
        </w:rPr>
        <w:t xml:space="preserve">and the 10 indicators (monitored through a formal </w:t>
      </w:r>
      <w:proofErr w:type="spellStart"/>
      <w:r w:rsidRPr="00F95B3E">
        <w:rPr>
          <w:bCs/>
          <w:szCs w:val="22"/>
          <w:lang w:val="en-US"/>
        </w:rPr>
        <w:t>programme</w:t>
      </w:r>
      <w:proofErr w:type="spellEnd"/>
      <w:r w:rsidRPr="00F95B3E">
        <w:rPr>
          <w:bCs/>
          <w:szCs w:val="22"/>
          <w:lang w:val="en-US"/>
        </w:rPr>
        <w:t xml:space="preserve">) must be reviewed against the Plan </w:t>
      </w:r>
      <w:r w:rsidRPr="00F95B3E">
        <w:rPr>
          <w:bCs/>
          <w:szCs w:val="22"/>
        </w:rPr>
        <w:t>(</w:t>
      </w:r>
      <w:r w:rsidRPr="00F95B3E">
        <w:rPr>
          <w:bCs/>
          <w:color w:val="7F7F7F" w:themeColor="text1" w:themeTint="80"/>
          <w:szCs w:val="22"/>
        </w:rPr>
        <w:t xml:space="preserve">EA 2009A, </w:t>
      </w:r>
      <w:proofErr w:type="spellStart"/>
      <w:r w:rsidRPr="00F95B3E">
        <w:rPr>
          <w:bCs/>
          <w:color w:val="7F7F7F" w:themeColor="text1" w:themeTint="80"/>
          <w:szCs w:val="22"/>
        </w:rPr>
        <w:t>p.xv</w:t>
      </w:r>
      <w:proofErr w:type="spellEnd"/>
      <w:r w:rsidRPr="00F95B3E">
        <w:rPr>
          <w:bCs/>
          <w:color w:val="7F7F7F" w:themeColor="text1" w:themeTint="80"/>
          <w:szCs w:val="22"/>
        </w:rPr>
        <w:t xml:space="preserve">, 262-263; </w:t>
      </w:r>
      <w:r w:rsidRPr="00F95B3E">
        <w:rPr>
          <w:rFonts w:eastAsia="Calibri"/>
          <w:bCs/>
          <w:color w:val="7F7F7F" w:themeColor="text1" w:themeTint="80"/>
          <w:szCs w:val="22"/>
          <w:lang w:eastAsia="en-US"/>
        </w:rPr>
        <w:t>EA 2012, p.30</w:t>
      </w:r>
      <w:r w:rsidRPr="00F95B3E">
        <w:rPr>
          <w:rFonts w:eastAsia="Calibri"/>
          <w:bCs/>
          <w:szCs w:val="22"/>
          <w:lang w:eastAsia="en-US"/>
        </w:rPr>
        <w:t>), i</w:t>
      </w:r>
      <w:r w:rsidRPr="00F95B3E">
        <w:rPr>
          <w:rFonts w:eastAsia="Calibri"/>
          <w:bCs/>
          <w:lang w:eastAsia="en-US"/>
        </w:rPr>
        <w:t>.e. p</w:t>
      </w:r>
      <w:r w:rsidRPr="00F95B3E">
        <w:rPr>
          <w:bCs/>
        </w:rPr>
        <w:t xml:space="preserve">eriodic reviews (re-appraisals) of the Plan were set every 10 years at least (based on the monitoring of indicators) or more frequently, </w:t>
      </w:r>
      <w:r w:rsidRPr="00F95B3E">
        <w:rPr>
          <w:bCs/>
        </w:rPr>
        <w:lastRenderedPageBreak/>
        <w:t>if a substantial change happens in one or more indicators (</w:t>
      </w:r>
      <w:r w:rsidRPr="00F95B3E">
        <w:rPr>
          <w:bCs/>
          <w:color w:val="7F7F7F" w:themeColor="text1" w:themeTint="80"/>
        </w:rPr>
        <w:t>EA 2012, p.30. 39; Ranger et al. 2013, p.254</w:t>
      </w:r>
      <w:r w:rsidRPr="00F95B3E">
        <w:rPr>
          <w:bCs/>
        </w:rPr>
        <w:t>). Moreover, a mid-term monitoring review process must be conducted</w:t>
      </w:r>
      <w:r w:rsidRPr="009B720F">
        <w:rPr>
          <w:bCs/>
        </w:rPr>
        <w:t xml:space="preserve"> every 5 years</w:t>
      </w:r>
      <w:r w:rsidRPr="009B720F">
        <w:rPr>
          <w:bCs/>
          <w:szCs w:val="18"/>
        </w:rPr>
        <w:t xml:space="preserve"> </w:t>
      </w:r>
      <w:r w:rsidRPr="009B720F">
        <w:rPr>
          <w:bCs/>
          <w:iCs/>
        </w:rPr>
        <w:t>(</w:t>
      </w:r>
      <w:r w:rsidRPr="009B720F">
        <w:rPr>
          <w:bCs/>
          <w:color w:val="7F7F7F" w:themeColor="text1" w:themeTint="80"/>
        </w:rPr>
        <w:t xml:space="preserve">EA 2009b; </w:t>
      </w:r>
      <w:r w:rsidRPr="009B720F">
        <w:rPr>
          <w:bCs/>
          <w:iCs/>
          <w:color w:val="7F7F7F" w:themeColor="text1" w:themeTint="80"/>
        </w:rPr>
        <w:t xml:space="preserve">Bloemen et al. 2018; </w:t>
      </w:r>
      <w:r w:rsidRPr="009B720F">
        <w:rPr>
          <w:bCs/>
          <w:color w:val="7F7F7F" w:themeColor="text1" w:themeTint="80"/>
        </w:rPr>
        <w:t>Ramsbottom and Sheppard 2017, p.13; HM Treasury 2009, p.26-28; London Councils 2018</w:t>
      </w:r>
      <w:r w:rsidRPr="009B720F">
        <w:rPr>
          <w:bCs/>
        </w:rPr>
        <w:t>).</w:t>
      </w:r>
      <w:r w:rsidRPr="00974448">
        <w:rPr>
          <w:rStyle w:val="Refdenotaderodap"/>
          <w:bCs/>
          <w:highlight w:val="lightGray"/>
        </w:rPr>
        <w:footnoteReference w:id="62"/>
      </w:r>
      <w:r w:rsidRPr="009B720F">
        <w:rPr>
          <w:bCs/>
        </w:rPr>
        <w:t xml:space="preserve"> The regular reviews (re-appraisals and updates) of the Plan must be informed by results of the monitoring programme (</w:t>
      </w:r>
      <w:r w:rsidRPr="009B720F">
        <w:rPr>
          <w:bCs/>
          <w:color w:val="7F7F7F" w:themeColor="text1" w:themeTint="80"/>
        </w:rPr>
        <w:t xml:space="preserve">Reeder and Ranger 2011; EA 2012, p.36; EA 2009b; Ranger et al. 2013, p.254; </w:t>
      </w:r>
      <w:r w:rsidRPr="009B720F">
        <w:rPr>
          <w:bCs/>
          <w:iCs/>
          <w:color w:val="7F7F7F" w:themeColor="text1" w:themeTint="80"/>
        </w:rPr>
        <w:t xml:space="preserve">Bloemen et al. 2018; </w:t>
      </w:r>
      <w:r w:rsidRPr="009B720F">
        <w:rPr>
          <w:bCs/>
          <w:color w:val="7F7F7F" w:themeColor="text1" w:themeTint="80"/>
        </w:rPr>
        <w:t>Ramsbottom and Sheppard 2017, p.13</w:t>
      </w:r>
      <w:r w:rsidRPr="009B720F">
        <w:rPr>
          <w:bCs/>
        </w:rPr>
        <w:t>)</w:t>
      </w:r>
      <w:r w:rsidRPr="009B720F">
        <w:rPr>
          <w:bCs/>
          <w:iCs/>
          <w:color w:val="7030A0"/>
        </w:rPr>
        <w:t xml:space="preserve">. </w:t>
      </w:r>
      <w:r w:rsidRPr="009B720F">
        <w:rPr>
          <w:bCs/>
        </w:rPr>
        <w:t>Monitoring results must be used to periodically update of the Plan, namely: the dates when actions are needed, or if necessary, its pathways (</w:t>
      </w:r>
      <w:r w:rsidRPr="009B720F">
        <w:rPr>
          <w:bCs/>
          <w:i/>
          <w:iCs/>
        </w:rPr>
        <w:t>Options</w:t>
      </w:r>
      <w:r w:rsidRPr="009B720F">
        <w:rPr>
          <w:bCs/>
        </w:rPr>
        <w:t>), and / or their actions (</w:t>
      </w:r>
      <w:r w:rsidRPr="009B720F">
        <w:rPr>
          <w:bCs/>
          <w:color w:val="7F7F7F" w:themeColor="text1" w:themeTint="80"/>
        </w:rPr>
        <w:t>Ramsbottom and Sheppard 2017, p.13</w:t>
      </w:r>
      <w:r w:rsidRPr="009B720F">
        <w:rPr>
          <w:bCs/>
        </w:rPr>
        <w:t>). In this way, the potential need of</w:t>
      </w:r>
      <w:r w:rsidRPr="009B720F">
        <w:rPr>
          <w:bCs/>
          <w:iCs/>
        </w:rPr>
        <w:t xml:space="preserve"> periodic updates of the </w:t>
      </w:r>
      <w:r w:rsidRPr="009B720F">
        <w:rPr>
          <w:bCs/>
          <w:i/>
        </w:rPr>
        <w:t xml:space="preserve">Options </w:t>
      </w:r>
      <w:r w:rsidRPr="009B720F">
        <w:rPr>
          <w:bCs/>
          <w:iCs/>
        </w:rPr>
        <w:t xml:space="preserve">(pathways) </w:t>
      </w:r>
      <w:r w:rsidRPr="009B720F">
        <w:rPr>
          <w:bCs/>
        </w:rPr>
        <w:t xml:space="preserve">could be </w:t>
      </w:r>
      <w:r w:rsidRPr="009B720F">
        <w:rPr>
          <w:bCs/>
          <w:iCs/>
        </w:rPr>
        <w:t>addressed (</w:t>
      </w:r>
      <w:r w:rsidRPr="009B720F">
        <w:rPr>
          <w:bCs/>
          <w:iCs/>
          <w:color w:val="7F7F7F" w:themeColor="text1" w:themeTint="80"/>
        </w:rPr>
        <w:t>Bloemen et al. 2018</w:t>
      </w:r>
      <w:r w:rsidRPr="009B720F">
        <w:rPr>
          <w:bCs/>
          <w:iCs/>
        </w:rPr>
        <w:t xml:space="preserve">). </w:t>
      </w:r>
      <w:r w:rsidRPr="009B720F">
        <w:rPr>
          <w:bCs/>
        </w:rPr>
        <w:t>The Plan also sets up a major review for 2050 (</w:t>
      </w:r>
      <w:r w:rsidRPr="009B720F">
        <w:rPr>
          <w:bCs/>
          <w:color w:val="7F7F7F" w:themeColor="text1" w:themeTint="80"/>
        </w:rPr>
        <w:t>EA 2012, p.30, 3, 41, 49, 56</w:t>
      </w:r>
      <w:r w:rsidRPr="009B720F">
        <w:rPr>
          <w:bCs/>
        </w:rPr>
        <w:t>).</w:t>
      </w:r>
    </w:p>
    <w:p w14:paraId="30C5E2DE" w14:textId="77777777" w:rsidR="00AD22FD" w:rsidRPr="00974448" w:rsidRDefault="00AD22FD" w:rsidP="00AD22FD">
      <w:pPr>
        <w:pStyle w:val="TEXTBODY"/>
        <w:spacing w:line="276" w:lineRule="auto"/>
        <w:rPr>
          <w:bCs/>
          <w:szCs w:val="22"/>
        </w:rPr>
      </w:pPr>
      <w:r w:rsidRPr="00974448">
        <w:rPr>
          <w:bCs/>
          <w:szCs w:val="22"/>
          <w:lang w:val="en-US"/>
        </w:rPr>
        <w:t xml:space="preserve">Importantly, at each 10-yearly review and update of the TE2100 Plan, the </w:t>
      </w:r>
      <w:r w:rsidRPr="00974448">
        <w:rPr>
          <w:bCs/>
          <w:i/>
          <w:iCs/>
          <w:szCs w:val="22"/>
          <w:lang w:val="en-US"/>
        </w:rPr>
        <w:t>front runner(s) Options</w:t>
      </w:r>
      <w:r w:rsidRPr="00974448">
        <w:rPr>
          <w:bCs/>
          <w:szCs w:val="22"/>
          <w:lang w:val="en-US"/>
        </w:rPr>
        <w:t xml:space="preserve"> for the period post-2070 will be reviewed – and around 2050 a firm decision must be made on the</w:t>
      </w:r>
      <w:r w:rsidRPr="00974448">
        <w:rPr>
          <w:bCs/>
          <w:i/>
          <w:iCs/>
          <w:szCs w:val="22"/>
          <w:lang w:val="en-US"/>
        </w:rPr>
        <w:t xml:space="preserve"> end-of-the-century Option </w:t>
      </w:r>
      <w:r w:rsidRPr="00974448">
        <w:rPr>
          <w:bCs/>
          <w:szCs w:val="22"/>
        </w:rPr>
        <w:t>(</w:t>
      </w:r>
      <w:r w:rsidRPr="00974448">
        <w:rPr>
          <w:bCs/>
          <w:color w:val="7F7F7F" w:themeColor="text1" w:themeTint="80"/>
          <w:szCs w:val="22"/>
        </w:rPr>
        <w:t xml:space="preserve">EA 2009A, </w:t>
      </w:r>
      <w:proofErr w:type="spellStart"/>
      <w:r w:rsidRPr="00974448">
        <w:rPr>
          <w:bCs/>
          <w:color w:val="7F7F7F" w:themeColor="text1" w:themeTint="80"/>
          <w:szCs w:val="22"/>
        </w:rPr>
        <w:t>p.xxi</w:t>
      </w:r>
      <w:proofErr w:type="spellEnd"/>
      <w:r w:rsidRPr="00974448">
        <w:rPr>
          <w:bCs/>
          <w:szCs w:val="22"/>
        </w:rPr>
        <w:t xml:space="preserve">). As part of the regular monitoring and of the periodic planned revision of the TE2100 Plan, it will be necessary to keep the ranking of </w:t>
      </w:r>
      <w:r w:rsidRPr="00974448">
        <w:rPr>
          <w:bCs/>
          <w:i/>
          <w:iCs/>
          <w:szCs w:val="22"/>
        </w:rPr>
        <w:t>Options</w:t>
      </w:r>
      <w:r w:rsidRPr="00974448">
        <w:rPr>
          <w:bCs/>
          <w:szCs w:val="22"/>
        </w:rPr>
        <w:t xml:space="preserve"> under review</w:t>
      </w:r>
      <w:r w:rsidRPr="00974448">
        <w:rPr>
          <w:bCs/>
          <w:i/>
          <w:iCs/>
          <w:szCs w:val="22"/>
        </w:rPr>
        <w:t xml:space="preserve"> </w:t>
      </w:r>
      <w:r w:rsidRPr="00974448">
        <w:rPr>
          <w:bCs/>
          <w:szCs w:val="22"/>
        </w:rPr>
        <w:t>(</w:t>
      </w:r>
      <w:r w:rsidRPr="00974448">
        <w:rPr>
          <w:bCs/>
          <w:color w:val="7F7F7F" w:themeColor="text1" w:themeTint="80"/>
          <w:szCs w:val="22"/>
        </w:rPr>
        <w:t>EA 2009A, p.232</w:t>
      </w:r>
      <w:r w:rsidRPr="00974448">
        <w:rPr>
          <w:bCs/>
          <w:szCs w:val="22"/>
        </w:rPr>
        <w:t xml:space="preserve">); i.e. at each 10-year review, the </w:t>
      </w:r>
      <w:r w:rsidRPr="00974448">
        <w:rPr>
          <w:bCs/>
          <w:i/>
          <w:iCs/>
          <w:szCs w:val="22"/>
        </w:rPr>
        <w:t>preferred Options</w:t>
      </w:r>
      <w:r w:rsidRPr="00974448">
        <w:rPr>
          <w:bCs/>
          <w:szCs w:val="22"/>
        </w:rPr>
        <w:t xml:space="preserve"> must be reviewed using the results of the monitoring of indicators (</w:t>
      </w:r>
      <w:r w:rsidRPr="00974448">
        <w:rPr>
          <w:bCs/>
          <w:color w:val="7F7F7F" w:themeColor="text1" w:themeTint="80"/>
          <w:szCs w:val="22"/>
        </w:rPr>
        <w:t>EA 2009A, p.262-263</w:t>
      </w:r>
      <w:r w:rsidRPr="00974448">
        <w:rPr>
          <w:bCs/>
          <w:szCs w:val="22"/>
        </w:rPr>
        <w:t>).</w:t>
      </w:r>
      <w:r w:rsidRPr="00974448">
        <w:rPr>
          <w:bCs/>
          <w:i/>
          <w:iCs/>
          <w:szCs w:val="22"/>
        </w:rPr>
        <w:t xml:space="preserve"> </w:t>
      </w:r>
      <w:r w:rsidRPr="00974448">
        <w:rPr>
          <w:bCs/>
          <w:szCs w:val="22"/>
        </w:rPr>
        <w:t xml:space="preserve">Moreover, the strategic aims, the design standards of protection for flood defences, the FRM Policy, or floodplain management activities, might need to be changed as time unfolds – these issues will need to be </w:t>
      </w:r>
      <w:r w:rsidRPr="00974448">
        <w:rPr>
          <w:bCs/>
          <w:i/>
          <w:iCs/>
          <w:szCs w:val="22"/>
        </w:rPr>
        <w:t>monitored over time and</w:t>
      </w:r>
      <w:r w:rsidRPr="00974448">
        <w:rPr>
          <w:bCs/>
          <w:szCs w:val="22"/>
        </w:rPr>
        <w:t xml:space="preserve"> </w:t>
      </w:r>
      <w:r w:rsidRPr="00974448">
        <w:rPr>
          <w:bCs/>
          <w:i/>
          <w:iCs/>
          <w:szCs w:val="22"/>
        </w:rPr>
        <w:t>revisited as part of regular reviews</w:t>
      </w:r>
      <w:r w:rsidRPr="00974448">
        <w:rPr>
          <w:bCs/>
          <w:szCs w:val="22"/>
        </w:rPr>
        <w:t xml:space="preserve"> of the TE2100 Plan (</w:t>
      </w:r>
      <w:r w:rsidRPr="00974448">
        <w:rPr>
          <w:bCs/>
          <w:color w:val="7F7F7F" w:themeColor="text1" w:themeTint="80"/>
          <w:szCs w:val="22"/>
        </w:rPr>
        <w:t>EA 2009A, p.232, 262-263</w:t>
      </w:r>
      <w:r w:rsidRPr="00974448">
        <w:rPr>
          <w:bCs/>
          <w:szCs w:val="22"/>
        </w:rPr>
        <w:t>).</w:t>
      </w:r>
    </w:p>
    <w:p w14:paraId="329D21C9" w14:textId="77777777" w:rsidR="00AD22FD" w:rsidRPr="00974448" w:rsidRDefault="00AD22FD" w:rsidP="00AD22FD">
      <w:pPr>
        <w:pStyle w:val="TEXTBODY"/>
        <w:spacing w:line="276" w:lineRule="auto"/>
        <w:rPr>
          <w:bCs/>
          <w:szCs w:val="22"/>
        </w:rPr>
      </w:pPr>
      <w:r w:rsidRPr="00974448">
        <w:rPr>
          <w:bCs/>
          <w:szCs w:val="22"/>
        </w:rPr>
        <w:t xml:space="preserve">The monitoring of indicators is, thus, a vital component of the Plan; monitoring results must be used to update the </w:t>
      </w:r>
      <w:r w:rsidRPr="0051298E">
        <w:rPr>
          <w:bCs/>
          <w:szCs w:val="22"/>
        </w:rPr>
        <w:t>Plan’s contents (</w:t>
      </w:r>
      <w:r w:rsidRPr="00974448">
        <w:rPr>
          <w:bCs/>
          <w:szCs w:val="22"/>
        </w:rPr>
        <w:t>e.g. the exact date when major interventions will be required will depend on the rate of CC and other changes as these are monitored</w:t>
      </w:r>
      <w:bookmarkStart w:id="101" w:name="_Hlk122969070"/>
      <w:r w:rsidRPr="00974448">
        <w:rPr>
          <w:bCs/>
          <w:szCs w:val="22"/>
        </w:rPr>
        <w:t>; the dates estimated for interventions are likely to change, i.e. the actual rates of change are unlikely to be the same as the assumed rates of change, therefore, indicators must be monitored as part of the Plan, and the intervention-dates must be modified as necessary and the Plan updated)</w:t>
      </w:r>
      <w:r w:rsidRPr="00974448">
        <w:rPr>
          <w:bCs/>
          <w:i/>
          <w:iCs/>
          <w:szCs w:val="22"/>
        </w:rPr>
        <w:t xml:space="preserve"> </w:t>
      </w:r>
      <w:r w:rsidRPr="00974448">
        <w:rPr>
          <w:bCs/>
          <w:szCs w:val="22"/>
        </w:rPr>
        <w:t>(</w:t>
      </w:r>
      <w:r w:rsidRPr="00974448">
        <w:rPr>
          <w:bCs/>
          <w:color w:val="7F7F7F" w:themeColor="text1" w:themeTint="80"/>
          <w:szCs w:val="22"/>
        </w:rPr>
        <w:t>EA 2009A, p.267</w:t>
      </w:r>
      <w:r w:rsidRPr="00974448">
        <w:rPr>
          <w:bCs/>
          <w:szCs w:val="22"/>
        </w:rPr>
        <w:t xml:space="preserve">). </w:t>
      </w:r>
      <w:bookmarkEnd w:id="101"/>
    </w:p>
    <w:p w14:paraId="5125EC44" w14:textId="77777777" w:rsidR="00AD22FD" w:rsidRPr="00974448" w:rsidRDefault="00AD22FD" w:rsidP="00AD22FD">
      <w:pPr>
        <w:pStyle w:val="TEXTBODY"/>
        <w:spacing w:line="276" w:lineRule="auto"/>
        <w:rPr>
          <w:bCs/>
          <w:szCs w:val="22"/>
        </w:rPr>
      </w:pPr>
      <w:r w:rsidRPr="00974448">
        <w:rPr>
          <w:bCs/>
          <w:szCs w:val="22"/>
        </w:rPr>
        <w:t>As indicators are monitored,</w:t>
      </w:r>
      <w:r w:rsidRPr="00974448">
        <w:rPr>
          <w:bCs/>
          <w:i/>
          <w:iCs/>
          <w:szCs w:val="22"/>
        </w:rPr>
        <w:t xml:space="preserve"> monitoring results must be used to update the estimated dates when ‘portfolios’ must be implemented as well as the dates when decisions must be made</w:t>
      </w:r>
      <w:r w:rsidRPr="00974448">
        <w:rPr>
          <w:bCs/>
          <w:i/>
          <w:iCs/>
          <w:color w:val="00B050"/>
          <w:szCs w:val="22"/>
        </w:rPr>
        <w:t xml:space="preserve"> </w:t>
      </w:r>
      <w:r w:rsidRPr="00974448">
        <w:rPr>
          <w:bCs/>
          <w:szCs w:val="22"/>
        </w:rPr>
        <w:t>(</w:t>
      </w:r>
      <w:r w:rsidRPr="00974448">
        <w:rPr>
          <w:bCs/>
          <w:color w:val="7F7F7F" w:themeColor="text1" w:themeTint="80"/>
          <w:szCs w:val="22"/>
        </w:rPr>
        <w:t>EA 2009A, p.280</w:t>
      </w:r>
      <w:r w:rsidRPr="00974448">
        <w:rPr>
          <w:bCs/>
          <w:szCs w:val="22"/>
        </w:rPr>
        <w:t xml:space="preserve">). The </w:t>
      </w:r>
      <w:r w:rsidRPr="00974448">
        <w:rPr>
          <w:bCs/>
          <w:i/>
          <w:iCs/>
          <w:szCs w:val="22"/>
        </w:rPr>
        <w:t>preferred Options</w:t>
      </w:r>
      <w:r w:rsidRPr="00974448">
        <w:rPr>
          <w:bCs/>
          <w:szCs w:val="22"/>
        </w:rPr>
        <w:t xml:space="preserve"> and the </w:t>
      </w:r>
      <w:r w:rsidRPr="00974448">
        <w:rPr>
          <w:bCs/>
          <w:i/>
          <w:iCs/>
          <w:szCs w:val="22"/>
        </w:rPr>
        <w:t>alternative Options</w:t>
      </w:r>
      <w:r w:rsidRPr="00974448">
        <w:rPr>
          <w:bCs/>
          <w:szCs w:val="22"/>
        </w:rPr>
        <w:t xml:space="preserve"> must be re-appraised, using the updated best estimates of future change, which may lead to a change in the selected </w:t>
      </w:r>
      <w:r w:rsidRPr="00974448">
        <w:rPr>
          <w:bCs/>
          <w:i/>
          <w:iCs/>
          <w:szCs w:val="22"/>
        </w:rPr>
        <w:t>Option</w:t>
      </w:r>
      <w:r w:rsidRPr="00974448">
        <w:rPr>
          <w:bCs/>
          <w:szCs w:val="22"/>
        </w:rPr>
        <w:t xml:space="preserve">. Moreover, while the Plan contains alternative </w:t>
      </w:r>
      <w:r w:rsidRPr="00974448">
        <w:rPr>
          <w:bCs/>
          <w:i/>
          <w:iCs/>
          <w:szCs w:val="22"/>
        </w:rPr>
        <w:t>Options</w:t>
      </w:r>
      <w:r w:rsidRPr="00974448">
        <w:rPr>
          <w:bCs/>
          <w:szCs w:val="22"/>
        </w:rPr>
        <w:t xml:space="preserve">, it will be necessary to consider whether there are any other alternative options whenever the </w:t>
      </w:r>
      <w:r w:rsidRPr="00974448">
        <w:rPr>
          <w:bCs/>
          <w:i/>
          <w:iCs/>
          <w:szCs w:val="22"/>
        </w:rPr>
        <w:t>Options</w:t>
      </w:r>
      <w:r w:rsidRPr="00974448">
        <w:rPr>
          <w:bCs/>
          <w:szCs w:val="22"/>
        </w:rPr>
        <w:t xml:space="preserve"> are reviewed (</w:t>
      </w:r>
      <w:r w:rsidRPr="00974448">
        <w:rPr>
          <w:bCs/>
          <w:color w:val="7F7F7F" w:themeColor="text1" w:themeTint="80"/>
          <w:szCs w:val="22"/>
        </w:rPr>
        <w:t>EA 2009A, p.280</w:t>
      </w:r>
      <w:r w:rsidRPr="00974448">
        <w:rPr>
          <w:bCs/>
          <w:szCs w:val="22"/>
        </w:rPr>
        <w:t>), i.e. it is wise</w:t>
      </w:r>
      <w:r w:rsidRPr="00974448">
        <w:rPr>
          <w:bCs/>
          <w:i/>
          <w:iCs/>
          <w:szCs w:val="22"/>
        </w:rPr>
        <w:t xml:space="preserve"> to consider whether the preferred options </w:t>
      </w:r>
      <w:r w:rsidRPr="00974448">
        <w:rPr>
          <w:bCs/>
          <w:szCs w:val="22"/>
        </w:rPr>
        <w:t>identified in 2009</w:t>
      </w:r>
      <w:r w:rsidRPr="00974448">
        <w:rPr>
          <w:bCs/>
          <w:i/>
          <w:iCs/>
          <w:szCs w:val="22"/>
        </w:rPr>
        <w:t xml:space="preserve"> are still the best; appraisal is (…) needed to decide the best way forward whenever the Plan is updated </w:t>
      </w:r>
      <w:r w:rsidRPr="00974448">
        <w:rPr>
          <w:bCs/>
          <w:szCs w:val="22"/>
        </w:rPr>
        <w:t>(</w:t>
      </w:r>
      <w:r w:rsidRPr="00974448">
        <w:rPr>
          <w:bCs/>
          <w:color w:val="7F7F7F" w:themeColor="text1" w:themeTint="80"/>
          <w:szCs w:val="22"/>
        </w:rPr>
        <w:t>EA 2009A, p.280</w:t>
      </w:r>
      <w:r w:rsidRPr="00974448">
        <w:rPr>
          <w:bCs/>
          <w:szCs w:val="22"/>
        </w:rPr>
        <w:t>).</w:t>
      </w:r>
      <w:r w:rsidRPr="00974448">
        <w:rPr>
          <w:bCs/>
          <w:i/>
          <w:iCs/>
          <w:szCs w:val="22"/>
        </w:rPr>
        <w:t xml:space="preserve"> </w:t>
      </w:r>
    </w:p>
    <w:p w14:paraId="36E5DB26" w14:textId="77777777" w:rsidR="00AD22FD" w:rsidRPr="009B720F" w:rsidRDefault="00AD22FD" w:rsidP="00AD22FD">
      <w:pPr>
        <w:pStyle w:val="TEXTBODY"/>
        <w:spacing w:after="60" w:line="276" w:lineRule="auto"/>
        <w:rPr>
          <w:bCs/>
          <w:iCs/>
        </w:rPr>
      </w:pPr>
      <w:r w:rsidRPr="00974448">
        <w:rPr>
          <w:rFonts w:eastAsia="Calibri"/>
          <w:bCs/>
        </w:rPr>
        <w:t xml:space="preserve">The monitoring of local changes and of the progress of climate change at global scale (as it is experienced and forecast) and of new scientific insights (1); and, on the other hand, the periodic reviews of the Plan and adaptations of the Plan and of the physical system to changes early in time as time unfolds (2) are deemed two essential factors for the effectiveness of the Plan as an </w:t>
      </w:r>
      <w:r w:rsidRPr="00974448">
        <w:rPr>
          <w:rFonts w:eastAsia="Calibri"/>
          <w:bCs/>
          <w:i/>
          <w:iCs/>
        </w:rPr>
        <w:t>adaptive plan</w:t>
      </w:r>
      <w:r w:rsidRPr="00974448">
        <w:rPr>
          <w:rFonts w:eastAsia="Calibri"/>
          <w:bCs/>
        </w:rPr>
        <w:t xml:space="preserve"> and of its APs approach (</w:t>
      </w:r>
      <w:r w:rsidRPr="00974448">
        <w:rPr>
          <w:rFonts w:eastAsia="Calibri"/>
          <w:bCs/>
          <w:color w:val="7F7F7F" w:themeColor="text1" w:themeTint="80"/>
        </w:rPr>
        <w:t xml:space="preserve">Met Office 2012; </w:t>
      </w:r>
      <w:r w:rsidRPr="00974448">
        <w:rPr>
          <w:bCs/>
          <w:color w:val="7F7F7F" w:themeColor="text1" w:themeTint="80"/>
        </w:rPr>
        <w:t xml:space="preserve">EA 2009b, p.10; </w:t>
      </w:r>
      <w:proofErr w:type="spellStart"/>
      <w:r w:rsidRPr="00974448">
        <w:rPr>
          <w:bCs/>
          <w:color w:val="7F7F7F" w:themeColor="text1" w:themeTint="80"/>
        </w:rPr>
        <w:t>Jeuken</w:t>
      </w:r>
      <w:proofErr w:type="spellEnd"/>
      <w:r w:rsidRPr="00974448">
        <w:rPr>
          <w:bCs/>
          <w:color w:val="7F7F7F" w:themeColor="text1" w:themeTint="80"/>
        </w:rPr>
        <w:t xml:space="preserve"> and Reeder 2011, p.6</w:t>
      </w:r>
      <w:r w:rsidRPr="00974448">
        <w:rPr>
          <w:bCs/>
        </w:rPr>
        <w:t>).</w:t>
      </w:r>
      <w:r w:rsidRPr="00974448">
        <w:rPr>
          <w:rStyle w:val="Refdenotaderodap"/>
          <w:bCs/>
        </w:rPr>
        <w:footnoteReference w:id="63"/>
      </w:r>
      <w:r w:rsidRPr="00974448">
        <w:rPr>
          <w:bCs/>
        </w:rPr>
        <w:t xml:space="preserve"> In specific, ongoing monitoring and the regular reviews of the Plan are essential to ensure that changes are timely detected and any necessary alterations to the Plan or its </w:t>
      </w:r>
      <w:r w:rsidRPr="00974448">
        <w:rPr>
          <w:bCs/>
          <w:i/>
          <w:iCs/>
        </w:rPr>
        <w:t>Options</w:t>
      </w:r>
      <w:r w:rsidRPr="00974448">
        <w:rPr>
          <w:bCs/>
        </w:rPr>
        <w:t xml:space="preserve"> are made (</w:t>
      </w:r>
      <w:r w:rsidRPr="00974448">
        <w:rPr>
          <w:bCs/>
          <w:color w:val="7F7F7F" w:themeColor="text1" w:themeTint="80"/>
        </w:rPr>
        <w:t>Reeder and Ranger 2011</w:t>
      </w:r>
      <w:r w:rsidRPr="00974448">
        <w:rPr>
          <w:bCs/>
        </w:rPr>
        <w:t xml:space="preserve">). For example, monitoring and Plan’s reviews are required to see if a switch to other measure, or another </w:t>
      </w:r>
      <w:r w:rsidRPr="00974448">
        <w:rPr>
          <w:bCs/>
          <w:i/>
          <w:iCs/>
        </w:rPr>
        <w:t>HLO</w:t>
      </w:r>
      <w:r w:rsidRPr="00974448">
        <w:rPr>
          <w:bCs/>
        </w:rPr>
        <w:t xml:space="preserve"> (pathway), is needed </w:t>
      </w:r>
      <w:proofErr w:type="gramStart"/>
      <w:r w:rsidRPr="00974448">
        <w:rPr>
          <w:bCs/>
        </w:rPr>
        <w:t>in light of</w:t>
      </w:r>
      <w:proofErr w:type="gramEnd"/>
      <w:r w:rsidRPr="00974448">
        <w:rPr>
          <w:bCs/>
        </w:rPr>
        <w:t xml:space="preserve"> observed changes in the indicators and new information (and such switch will be possible with no significant wasted investment in the early decades of the Plan) (</w:t>
      </w:r>
      <w:r w:rsidRPr="00974448">
        <w:rPr>
          <w:bCs/>
          <w:color w:val="7F7F7F" w:themeColor="text1" w:themeTint="80"/>
        </w:rPr>
        <w:t>HM Treasury 2009, p.27-28</w:t>
      </w:r>
      <w:r w:rsidRPr="00974448">
        <w:rPr>
          <w:bCs/>
        </w:rPr>
        <w:t>).</w:t>
      </w:r>
      <w:r w:rsidRPr="00974448">
        <w:rPr>
          <w:bCs/>
          <w:iCs/>
        </w:rPr>
        <w:t xml:space="preserve"> </w:t>
      </w:r>
      <w:r w:rsidRPr="00974448">
        <w:rPr>
          <w:bCs/>
        </w:rPr>
        <w:t xml:space="preserve">As highlighted in the Report of the first 5-year review, the TE and flood risk will change over time, but </w:t>
      </w:r>
      <w:r w:rsidRPr="00974448">
        <w:rPr>
          <w:bCs/>
          <w:iCs/>
        </w:rPr>
        <w:t xml:space="preserve">the Plan </w:t>
      </w:r>
      <w:r w:rsidRPr="00974448">
        <w:rPr>
          <w:bCs/>
          <w:i/>
        </w:rPr>
        <w:t>can accommodate future change and can be adjusted when the rate of change is</w:t>
      </w:r>
      <w:r w:rsidRPr="009B720F">
        <w:rPr>
          <w:bCs/>
          <w:i/>
        </w:rPr>
        <w:t xml:space="preserve"> either faster or slower than originally predicted – this flexibility was included to ensure that the actions in the Plan remain appropriate and are implemented at the right time </w:t>
      </w:r>
      <w:r w:rsidRPr="009B720F">
        <w:rPr>
          <w:bCs/>
          <w:iCs/>
        </w:rPr>
        <w:t>(</w:t>
      </w:r>
      <w:r w:rsidRPr="009B720F">
        <w:rPr>
          <w:bCs/>
          <w:iCs/>
          <w:color w:val="7F7F7F" w:themeColor="text1" w:themeTint="80"/>
        </w:rPr>
        <w:t>EA 2016, p.</w:t>
      </w:r>
      <w:r w:rsidRPr="009B720F">
        <w:rPr>
          <w:bCs/>
          <w:color w:val="7F7F7F" w:themeColor="text1" w:themeTint="80"/>
        </w:rPr>
        <w:t>15</w:t>
      </w:r>
      <w:r w:rsidRPr="009B720F">
        <w:rPr>
          <w:bCs/>
        </w:rPr>
        <w:t>).</w:t>
      </w:r>
    </w:p>
    <w:p w14:paraId="2B15109B" w14:textId="77777777" w:rsidR="00AD22FD" w:rsidRPr="00974448" w:rsidRDefault="00AD22FD" w:rsidP="00AD22FD">
      <w:pPr>
        <w:pStyle w:val="TEXTBODY"/>
        <w:spacing w:line="276" w:lineRule="auto"/>
        <w:rPr>
          <w:bCs/>
        </w:rPr>
      </w:pPr>
      <w:r w:rsidRPr="009B720F">
        <w:rPr>
          <w:bCs/>
        </w:rPr>
        <w:t xml:space="preserve">The monitoring </w:t>
      </w:r>
      <w:r w:rsidRPr="00974448">
        <w:rPr>
          <w:bCs/>
        </w:rPr>
        <w:t xml:space="preserve">programme has been conducted since the Plan’s publication (in 2012), it has kept track of changes in the indicators, and some indicators have been refined (EA 2016). Besides, in 2016 it was carried the first 5-year review (EA 2016), and in 2022 the first 10-year review. </w:t>
      </w:r>
    </w:p>
    <w:p w14:paraId="622ACEF1" w14:textId="77777777" w:rsidR="00AD22FD" w:rsidRPr="00974448" w:rsidRDefault="00AD22FD" w:rsidP="00AD22FD">
      <w:pPr>
        <w:pStyle w:val="TEXTBODY"/>
        <w:spacing w:line="276" w:lineRule="auto"/>
        <w:rPr>
          <w:rFonts w:eastAsiaTheme="minorHAnsi"/>
          <w:bCs/>
          <w:lang w:eastAsia="en-US"/>
        </w:rPr>
      </w:pPr>
      <w:r w:rsidRPr="009B720F">
        <w:rPr>
          <w:rFonts w:eastAsia="Calibri"/>
          <w:bCs/>
        </w:rPr>
        <w:t xml:space="preserve">As mentioned in the Plan itself, the indicators must be monitored, and the Plan must be regularly reassessed and reviewed (based on the monitored indicators), to ensure that the Plan </w:t>
      </w:r>
      <w:r w:rsidRPr="009B720F">
        <w:rPr>
          <w:bCs/>
        </w:rPr>
        <w:t>remains ‘</w:t>
      </w:r>
      <w:r w:rsidRPr="009B720F">
        <w:rPr>
          <w:bCs/>
          <w:i/>
          <w:iCs/>
        </w:rPr>
        <w:t>adaptable to change</w:t>
      </w:r>
      <w:r w:rsidRPr="009B720F">
        <w:rPr>
          <w:bCs/>
        </w:rPr>
        <w:t xml:space="preserve">’, </w:t>
      </w:r>
      <w:r w:rsidRPr="009B720F">
        <w:rPr>
          <w:bCs/>
          <w:i/>
          <w:iCs/>
        </w:rPr>
        <w:t>flexible</w:t>
      </w:r>
      <w:r w:rsidRPr="009B720F">
        <w:rPr>
          <w:bCs/>
        </w:rPr>
        <w:t>, and ‘</w:t>
      </w:r>
      <w:r w:rsidRPr="009B720F">
        <w:rPr>
          <w:bCs/>
          <w:i/>
          <w:iCs/>
        </w:rPr>
        <w:t>fit for purpose</w:t>
      </w:r>
      <w:r w:rsidRPr="009B720F">
        <w:rPr>
          <w:bCs/>
        </w:rPr>
        <w:t>’ over its lifespan</w:t>
      </w:r>
      <w:r w:rsidRPr="009B720F">
        <w:rPr>
          <w:rFonts w:eastAsia="Calibri"/>
          <w:bCs/>
        </w:rPr>
        <w:t>, and responds adequately to changes (</w:t>
      </w:r>
      <w:r w:rsidRPr="009B720F">
        <w:rPr>
          <w:rFonts w:eastAsia="Calibri"/>
          <w:bCs/>
          <w:color w:val="7F7F7F" w:themeColor="text1" w:themeTint="80"/>
        </w:rPr>
        <w:t>EA 2012, p</w:t>
      </w:r>
      <w:r w:rsidRPr="00974448">
        <w:rPr>
          <w:rFonts w:eastAsia="Calibri"/>
          <w:bCs/>
          <w:color w:val="7F7F7F" w:themeColor="text1" w:themeTint="80"/>
        </w:rPr>
        <w:t xml:space="preserve">.36,38, 39; </w:t>
      </w:r>
      <w:r w:rsidRPr="00974448">
        <w:rPr>
          <w:bCs/>
          <w:color w:val="7F7F7F" w:themeColor="text1" w:themeTint="80"/>
        </w:rPr>
        <w:t>EA 2016; EA 2009A, p.262, xv</w:t>
      </w:r>
      <w:r w:rsidRPr="00974448">
        <w:rPr>
          <w:bCs/>
        </w:rPr>
        <w:t xml:space="preserve">). The ongoing monitoring of local and global changes, and the regular reviews of the Plan (including the re-appraisals and updates of its diverse contents) have helped to ensure that the Plan remains </w:t>
      </w:r>
      <w:r w:rsidRPr="00974448">
        <w:rPr>
          <w:bCs/>
          <w:i/>
          <w:iCs/>
        </w:rPr>
        <w:t>adaptable</w:t>
      </w:r>
      <w:r w:rsidRPr="00974448">
        <w:rPr>
          <w:bCs/>
        </w:rPr>
        <w:t xml:space="preserve"> (</w:t>
      </w:r>
      <w:r w:rsidRPr="00974448">
        <w:rPr>
          <w:bCs/>
          <w:color w:val="595959" w:themeColor="text1" w:themeTint="A6"/>
        </w:rPr>
        <w:t>Ramsbottom and Sheppard 2017, p.5, 12-13</w:t>
      </w:r>
      <w:r w:rsidRPr="00974448">
        <w:rPr>
          <w:bCs/>
        </w:rPr>
        <w:t xml:space="preserve">). Thus, it can be argued that defining and conducting the M&amp;R system is another </w:t>
      </w:r>
      <w:r w:rsidRPr="00974448">
        <w:rPr>
          <w:bCs/>
        </w:rPr>
        <w:lastRenderedPageBreak/>
        <w:t xml:space="preserve">key-element of the </w:t>
      </w:r>
      <w:r w:rsidRPr="00974448">
        <w:rPr>
          <w:bCs/>
          <w:i/>
          <w:iCs/>
        </w:rPr>
        <w:t>Dynamic Adaptive Planning approach</w:t>
      </w:r>
      <w:r w:rsidRPr="00974448">
        <w:rPr>
          <w:bCs/>
        </w:rPr>
        <w:t xml:space="preserve"> of the TE2100 that has been essential to develop and operationalize a </w:t>
      </w:r>
      <w:r w:rsidRPr="00974448">
        <w:rPr>
          <w:bCs/>
          <w:i/>
          <w:iCs/>
        </w:rPr>
        <w:t>robust adaptive plan</w:t>
      </w:r>
      <w:r w:rsidRPr="00974448">
        <w:rPr>
          <w:bCs/>
        </w:rPr>
        <w:t xml:space="preserve"> and carry out a real </w:t>
      </w:r>
      <w:r w:rsidRPr="00974448">
        <w:rPr>
          <w:bCs/>
          <w:i/>
          <w:iCs/>
        </w:rPr>
        <w:t>Dynamic Adaptive Planning</w:t>
      </w:r>
      <w:r w:rsidRPr="00974448">
        <w:rPr>
          <w:rFonts w:eastAsiaTheme="minorHAnsi"/>
          <w:bCs/>
          <w:lang w:eastAsia="en-US"/>
        </w:rPr>
        <w:t>.</w:t>
      </w:r>
    </w:p>
    <w:p w14:paraId="1F51DC14" w14:textId="77777777" w:rsidR="00AD22FD" w:rsidRPr="009B720F" w:rsidRDefault="00AD22FD" w:rsidP="00AD22FD">
      <w:pPr>
        <w:pStyle w:val="TEXTBODY"/>
        <w:spacing w:line="276" w:lineRule="auto"/>
        <w:rPr>
          <w:bCs/>
        </w:rPr>
      </w:pPr>
      <w:r w:rsidRPr="009B720F">
        <w:rPr>
          <w:bCs/>
        </w:rPr>
        <w:t xml:space="preserve">Overall, the TE2100 Plan accounted for the monitoring of both local and global changes, and for its own reassessment and review – its M&amp;R system defines the main indicators that must be monitored, specifies key </w:t>
      </w:r>
      <w:r w:rsidRPr="009B720F">
        <w:rPr>
          <w:bCs/>
          <w:i/>
          <w:iCs/>
        </w:rPr>
        <w:t>decision-points</w:t>
      </w:r>
      <w:r w:rsidRPr="009B720F">
        <w:rPr>
          <w:bCs/>
        </w:rPr>
        <w:t xml:space="preserve"> and how these can be estimated (which required predefining a trigger-value for a certain indicator, which will trigger a decision) (</w:t>
      </w:r>
      <w:proofErr w:type="spellStart"/>
      <w:r w:rsidRPr="009B720F">
        <w:rPr>
          <w:bCs/>
          <w:color w:val="7F7F7F" w:themeColor="text1" w:themeTint="80"/>
        </w:rPr>
        <w:t>Jeuken</w:t>
      </w:r>
      <w:proofErr w:type="spellEnd"/>
      <w:r w:rsidRPr="009B720F">
        <w:rPr>
          <w:bCs/>
          <w:color w:val="7F7F7F" w:themeColor="text1" w:themeTint="80"/>
        </w:rPr>
        <w:t xml:space="preserve"> et al. 2014, p.10, 22</w:t>
      </w:r>
      <w:r w:rsidRPr="009B720F">
        <w:rPr>
          <w:bCs/>
        </w:rPr>
        <w:t>), and, importantly, it considers and explains ways through which (how) the Plan (and its contents) might be reviewed and adapted over time (e.g. by changing the timing for measures, i.e. ‘implementation-points’ and/or ‘decision-points’, by switching of measure or pathway, or adjusting a measure itself).</w:t>
      </w:r>
      <w:r w:rsidRPr="009B720F">
        <w:rPr>
          <w:rStyle w:val="Refdenotaderodap"/>
          <w:bCs/>
        </w:rPr>
        <w:footnoteReference w:id="64"/>
      </w:r>
      <w:r w:rsidRPr="009B720F">
        <w:rPr>
          <w:bCs/>
        </w:rPr>
        <w:t xml:space="preserve"> </w:t>
      </w:r>
    </w:p>
    <w:p w14:paraId="2274ADA7" w14:textId="77777777" w:rsidR="00AD22FD" w:rsidRPr="009B720F" w:rsidRDefault="00AD22FD" w:rsidP="00AD22FD">
      <w:pPr>
        <w:pStyle w:val="TEXTBODY"/>
        <w:spacing w:line="276" w:lineRule="auto"/>
        <w:rPr>
          <w:rFonts w:ascii="AdvPTimes" w:hAnsi="AdvPTimes" w:cs="AdvPTimes"/>
          <w:bCs/>
          <w:i/>
          <w:iCs/>
          <w:color w:val="000000"/>
        </w:rPr>
      </w:pPr>
      <w:r w:rsidRPr="009B720F">
        <w:rPr>
          <w:bCs/>
          <w:color w:val="000000"/>
        </w:rPr>
        <w:t xml:space="preserve">Thus, the definition and implementation of this monitoring and review system – to monitor relevant changes and new knowledge, and to regularly review (re-appraise) the Plan and adapt it accordingly – can be deemed other key-element of the TE2100’s </w:t>
      </w:r>
      <w:r w:rsidRPr="009B720F">
        <w:rPr>
          <w:bCs/>
          <w:i/>
          <w:iCs/>
          <w:color w:val="000000"/>
        </w:rPr>
        <w:t>Dynamic Adaptive Planning approach</w:t>
      </w:r>
      <w:r w:rsidRPr="009B720F">
        <w:rPr>
          <w:bCs/>
        </w:rPr>
        <w:t xml:space="preserve"> that has been essential to develop and operationalize a </w:t>
      </w:r>
      <w:r w:rsidRPr="009B720F">
        <w:rPr>
          <w:bCs/>
          <w:i/>
          <w:iCs/>
        </w:rPr>
        <w:t>dynamic robust adaptive plan</w:t>
      </w:r>
      <w:r w:rsidRPr="009B720F">
        <w:rPr>
          <w:bCs/>
        </w:rPr>
        <w:t xml:space="preserve">, and fundamental to carry out a true Adaptive Planning. </w:t>
      </w:r>
      <w:r w:rsidRPr="009B720F">
        <w:rPr>
          <w:rFonts w:ascii="AdvPTimes" w:hAnsi="AdvPTimes" w:cs="AdvPTimes"/>
          <w:bCs/>
          <w:i/>
          <w:iCs/>
          <w:color w:val="000000"/>
        </w:rPr>
        <w:t xml:space="preserve">  </w:t>
      </w:r>
    </w:p>
    <w:p w14:paraId="7136B6F5" w14:textId="77777777" w:rsidR="00AD22FD" w:rsidRPr="009B720F" w:rsidRDefault="00AD22FD" w:rsidP="00AD22FD">
      <w:pPr>
        <w:spacing w:after="0" w:line="276" w:lineRule="auto"/>
        <w:jc w:val="left"/>
        <w:rPr>
          <w:rFonts w:ascii="Times New Roman" w:hAnsi="Times New Roman"/>
          <w:bCs/>
          <w:color w:val="C00000"/>
          <w:sz w:val="18"/>
          <w:szCs w:val="18"/>
          <w:highlight w:val="darkGray"/>
        </w:rPr>
      </w:pPr>
      <w:r w:rsidRPr="009B720F">
        <w:rPr>
          <w:bCs/>
          <w:noProof/>
          <w:szCs w:val="18"/>
        </w:rPr>
        <mc:AlternateContent>
          <mc:Choice Requires="wps">
            <w:drawing>
              <wp:anchor distT="45720" distB="45720" distL="114300" distR="114300" simplePos="0" relativeHeight="252749312" behindDoc="0" locked="0" layoutInCell="1" allowOverlap="1" wp14:anchorId="2FEA3FEA" wp14:editId="48A2D0C5">
                <wp:simplePos x="0" y="0"/>
                <wp:positionH relativeFrom="margin">
                  <wp:posOffset>-10160</wp:posOffset>
                </wp:positionH>
                <wp:positionV relativeFrom="paragraph">
                  <wp:posOffset>32385</wp:posOffset>
                </wp:positionV>
                <wp:extent cx="6261735" cy="2095500"/>
                <wp:effectExtent l="0" t="0" r="5715" b="0"/>
                <wp:wrapNone/>
                <wp:docPr id="1199373055"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1735" cy="2095500"/>
                        </a:xfrm>
                        <a:prstGeom prst="rect">
                          <a:avLst/>
                        </a:prstGeom>
                        <a:solidFill>
                          <a:sysClr val="window" lastClr="FFFFFF">
                            <a:lumMod val="85000"/>
                          </a:sysClr>
                        </a:solidFill>
                        <a:ln w="57150">
                          <a:noFill/>
                          <a:miter lim="800000"/>
                          <a:headEnd/>
                          <a:tailEnd/>
                        </a:ln>
                      </wps:spPr>
                      <wps:txbx>
                        <w:txbxContent>
                          <w:p w14:paraId="508D4BD2" w14:textId="77777777" w:rsidR="00AD22FD" w:rsidRPr="00505570" w:rsidRDefault="00AD22FD" w:rsidP="00AD22FD">
                            <w:pPr>
                              <w:spacing w:after="60" w:line="240" w:lineRule="auto"/>
                              <w:rPr>
                                <w:rFonts w:cs="Arial"/>
                                <w:sz w:val="16"/>
                                <w:szCs w:val="16"/>
                              </w:rPr>
                            </w:pPr>
                            <w:r w:rsidRPr="00505570">
                              <w:rPr>
                                <w:rFonts w:cs="Arial"/>
                                <w:sz w:val="16"/>
                                <w:szCs w:val="16"/>
                              </w:rPr>
                              <w:t xml:space="preserve">Overall, the TE2100’s monitoring and review system (M&amp;R) seeks to ensure that the Plan is regularly reviewed and updated to reflect the existing circumstances, thus, it is crucial for the Plan’s </w:t>
                            </w:r>
                            <w:r w:rsidRPr="00505570">
                              <w:rPr>
                                <w:rFonts w:cs="Arial"/>
                                <w:i/>
                                <w:iCs/>
                                <w:sz w:val="16"/>
                                <w:szCs w:val="16"/>
                              </w:rPr>
                              <w:t>adaptability</w:t>
                            </w:r>
                            <w:r w:rsidRPr="00505570">
                              <w:rPr>
                                <w:rFonts w:cs="Arial"/>
                                <w:sz w:val="16"/>
                                <w:szCs w:val="16"/>
                              </w:rPr>
                              <w:t xml:space="preserve"> (</w:t>
                            </w:r>
                            <w:r w:rsidRPr="00505570">
                              <w:rPr>
                                <w:rFonts w:cs="Arial"/>
                                <w:color w:val="7F7F7F" w:themeColor="text1" w:themeTint="80"/>
                                <w:sz w:val="16"/>
                                <w:szCs w:val="16"/>
                              </w:rPr>
                              <w:t>EA 2009A, p.11</w:t>
                            </w:r>
                            <w:r w:rsidRPr="00505570">
                              <w:rPr>
                                <w:rFonts w:cs="Arial"/>
                                <w:sz w:val="16"/>
                                <w:szCs w:val="16"/>
                              </w:rPr>
                              <w:t>). Hence,</w:t>
                            </w:r>
                            <w:r w:rsidRPr="00505570">
                              <w:rPr>
                                <w:rFonts w:cs="Arial"/>
                                <w:sz w:val="16"/>
                                <w:szCs w:val="16"/>
                                <w:lang w:val="en-US"/>
                              </w:rPr>
                              <w:t xml:space="preserve"> monitoring of indicators </w:t>
                            </w:r>
                            <w:r w:rsidRPr="00505570">
                              <w:rPr>
                                <w:rFonts w:cs="Arial"/>
                                <w:sz w:val="16"/>
                                <w:szCs w:val="16"/>
                              </w:rPr>
                              <w:t xml:space="preserve">is deemed </w:t>
                            </w:r>
                            <w:r w:rsidRPr="00505570">
                              <w:rPr>
                                <w:rFonts w:cs="Arial"/>
                                <w:i/>
                                <w:iCs/>
                                <w:sz w:val="16"/>
                                <w:szCs w:val="16"/>
                              </w:rPr>
                              <w:t>a key part of the adaptability of the TE2100 Plan to future change</w:t>
                            </w:r>
                            <w:r w:rsidRPr="00505570">
                              <w:rPr>
                                <w:rFonts w:cs="Arial"/>
                                <w:sz w:val="16"/>
                                <w:szCs w:val="16"/>
                              </w:rPr>
                              <w:t xml:space="preserve"> (</w:t>
                            </w:r>
                            <w:r w:rsidRPr="00505570">
                              <w:rPr>
                                <w:rFonts w:cs="Arial"/>
                                <w:color w:val="7F7F7F" w:themeColor="text1" w:themeTint="80"/>
                                <w:sz w:val="16"/>
                                <w:szCs w:val="16"/>
                              </w:rPr>
                              <w:t>EA 2009A, p.8</w:t>
                            </w:r>
                            <w:r w:rsidRPr="00505570">
                              <w:rPr>
                                <w:rFonts w:cs="Arial"/>
                                <w:sz w:val="16"/>
                                <w:szCs w:val="16"/>
                              </w:rPr>
                              <w:t>). As noted in the Technical Report, given the uncertainty surrounding the effects of CC,</w:t>
                            </w:r>
                            <w:r w:rsidRPr="00505570">
                              <w:rPr>
                                <w:rFonts w:cs="Arial"/>
                                <w:i/>
                                <w:iCs/>
                                <w:sz w:val="16"/>
                                <w:szCs w:val="16"/>
                              </w:rPr>
                              <w:t xml:space="preserve"> it will be essential to have adaptability and flexibility as a key part of the Plan</w:t>
                            </w:r>
                            <w:r w:rsidRPr="00505570">
                              <w:rPr>
                                <w:rFonts w:cs="Arial"/>
                                <w:sz w:val="16"/>
                                <w:szCs w:val="16"/>
                              </w:rPr>
                              <w:t xml:space="preserve">, which points to </w:t>
                            </w:r>
                            <w:r w:rsidRPr="00505570">
                              <w:rPr>
                                <w:rFonts w:cs="Arial"/>
                                <w:i/>
                                <w:iCs/>
                                <w:sz w:val="16"/>
                                <w:szCs w:val="16"/>
                              </w:rPr>
                              <w:t>the need for the ongoing monitoring of CC science and the actual effects of CC, particularly of SLR</w:t>
                            </w:r>
                            <w:r w:rsidRPr="00505570">
                              <w:rPr>
                                <w:rFonts w:cs="Arial"/>
                                <w:sz w:val="16"/>
                                <w:szCs w:val="16"/>
                              </w:rPr>
                              <w:t>, as part of the implementation of the Plan (</w:t>
                            </w:r>
                            <w:r w:rsidRPr="00505570">
                              <w:rPr>
                                <w:rFonts w:cs="Arial"/>
                                <w:color w:val="7F7F7F" w:themeColor="text1" w:themeTint="80"/>
                                <w:sz w:val="16"/>
                                <w:szCs w:val="16"/>
                              </w:rPr>
                              <w:t>EA 2009A, p.72</w:t>
                            </w:r>
                            <w:r w:rsidRPr="00505570">
                              <w:rPr>
                                <w:rFonts w:cs="Arial"/>
                                <w:sz w:val="16"/>
                                <w:szCs w:val="16"/>
                              </w:rPr>
                              <w:t xml:space="preserve">).  </w:t>
                            </w:r>
                          </w:p>
                          <w:p w14:paraId="57A29998" w14:textId="77777777" w:rsidR="00AD22FD" w:rsidRPr="00505570" w:rsidRDefault="00AD22FD" w:rsidP="00AD22FD">
                            <w:pPr>
                              <w:spacing w:after="60" w:line="240" w:lineRule="auto"/>
                              <w:rPr>
                                <w:rFonts w:cs="Arial"/>
                                <w:sz w:val="16"/>
                                <w:szCs w:val="16"/>
                              </w:rPr>
                            </w:pPr>
                            <w:r w:rsidRPr="00505570">
                              <w:rPr>
                                <w:rFonts w:cs="Arial"/>
                                <w:sz w:val="16"/>
                                <w:szCs w:val="16"/>
                              </w:rPr>
                              <w:t>The monitoring of key indicators (monitoring activities), together with the programme of review and maintenance of the Plan itself, which were established in the Plan, are fundamental to ensure it remains ‘fit for purpose’ during its life (</w:t>
                            </w:r>
                            <w:r w:rsidRPr="00505570">
                              <w:rPr>
                                <w:rFonts w:cs="Arial"/>
                                <w:color w:val="7F7F7F" w:themeColor="text1" w:themeTint="80"/>
                                <w:sz w:val="16"/>
                                <w:szCs w:val="16"/>
                              </w:rPr>
                              <w:t>EA 2009A, p.262, xv</w:t>
                            </w:r>
                            <w:r w:rsidRPr="00505570">
                              <w:rPr>
                                <w:rFonts w:cs="Arial"/>
                                <w:sz w:val="16"/>
                                <w:szCs w:val="16"/>
                              </w:rPr>
                              <w:t>). The monitoring of indicators (namely sea levels and river flows) is deemed essential, for example, to detect rates of change and identify triggers (and thus, it is an important component of the ‘blueprint for implementation’), and the produced data must be regularly used to update estimates of the dates when new interventions will be required</w:t>
                            </w:r>
                            <w:r w:rsidRPr="00505570">
                              <w:rPr>
                                <w:rFonts w:cs="Arial"/>
                                <w:i/>
                                <w:iCs/>
                                <w:sz w:val="16"/>
                                <w:szCs w:val="16"/>
                              </w:rPr>
                              <w:t xml:space="preserve"> </w:t>
                            </w:r>
                            <w:r w:rsidRPr="00505570">
                              <w:rPr>
                                <w:rFonts w:cs="Arial"/>
                                <w:sz w:val="16"/>
                                <w:szCs w:val="16"/>
                              </w:rPr>
                              <w:t>(</w:t>
                            </w:r>
                            <w:r w:rsidRPr="00505570">
                              <w:rPr>
                                <w:rFonts w:cs="Arial"/>
                                <w:color w:val="7F7F7F" w:themeColor="text1" w:themeTint="80"/>
                                <w:sz w:val="16"/>
                                <w:szCs w:val="16"/>
                              </w:rPr>
                              <w:t>EA 2009A, p.11</w:t>
                            </w:r>
                            <w:r w:rsidRPr="00505570">
                              <w:rPr>
                                <w:rFonts w:cs="Arial"/>
                                <w:sz w:val="16"/>
                                <w:szCs w:val="16"/>
                              </w:rPr>
                              <w:t>).</w:t>
                            </w:r>
                            <w:r w:rsidRPr="00505570">
                              <w:rPr>
                                <w:rFonts w:cs="Arial"/>
                                <w:i/>
                                <w:iCs/>
                                <w:sz w:val="16"/>
                                <w:szCs w:val="16"/>
                              </w:rPr>
                              <w:t xml:space="preserve"> </w:t>
                            </w:r>
                            <w:r w:rsidRPr="00505570">
                              <w:rPr>
                                <w:rFonts w:cs="Arial"/>
                                <w:sz w:val="16"/>
                                <w:szCs w:val="16"/>
                              </w:rPr>
                              <w:t>Thus, the phase of implementation has included</w:t>
                            </w:r>
                            <w:r w:rsidRPr="00505570">
                              <w:rPr>
                                <w:rFonts w:cs="Arial"/>
                                <w:i/>
                                <w:iCs/>
                                <w:sz w:val="16"/>
                                <w:szCs w:val="16"/>
                              </w:rPr>
                              <w:t xml:space="preserve"> monitoring activities together with a programme of review and maintenance of the Plan itself </w:t>
                            </w:r>
                            <w:r w:rsidRPr="00505570">
                              <w:rPr>
                                <w:rFonts w:cs="Arial"/>
                                <w:sz w:val="16"/>
                                <w:szCs w:val="16"/>
                              </w:rPr>
                              <w:t>(</w:t>
                            </w:r>
                            <w:r w:rsidRPr="00505570">
                              <w:rPr>
                                <w:rFonts w:cs="Arial"/>
                                <w:color w:val="7F7F7F" w:themeColor="text1" w:themeTint="80"/>
                                <w:sz w:val="16"/>
                                <w:szCs w:val="16"/>
                              </w:rPr>
                              <w:t>EA 2009A, p.262</w:t>
                            </w:r>
                            <w:r w:rsidRPr="00505570">
                              <w:rPr>
                                <w:rFonts w:cs="Arial"/>
                                <w:sz w:val="16"/>
                                <w:szCs w:val="16"/>
                              </w:rPr>
                              <w:t>).</w:t>
                            </w:r>
                            <w:r w:rsidRPr="00505570">
                              <w:rPr>
                                <w:rFonts w:cs="Arial"/>
                                <w:color w:val="C00000"/>
                                <w:sz w:val="16"/>
                                <w:szCs w:val="16"/>
                              </w:rPr>
                              <w:t xml:space="preserve"> </w:t>
                            </w:r>
                            <w:r w:rsidRPr="00505570">
                              <w:rPr>
                                <w:rFonts w:cs="Arial"/>
                                <w:sz w:val="16"/>
                                <w:szCs w:val="16"/>
                              </w:rPr>
                              <w:t>The Plan was designed to adapt to changing climate or other factors over the next 100 years and be sustainable, thus, it must ‘</w:t>
                            </w:r>
                            <w:r w:rsidRPr="00505570">
                              <w:rPr>
                                <w:rFonts w:cs="Arial"/>
                                <w:i/>
                                <w:iCs/>
                                <w:sz w:val="16"/>
                                <w:szCs w:val="16"/>
                              </w:rPr>
                              <w:t>ensure that the right actions can be carried out at the right time</w:t>
                            </w:r>
                            <w:r w:rsidRPr="00505570">
                              <w:rPr>
                                <w:rFonts w:cs="Arial"/>
                                <w:sz w:val="16"/>
                                <w:szCs w:val="16"/>
                              </w:rPr>
                              <w:t>’ and ‘</w:t>
                            </w:r>
                            <w:r w:rsidRPr="00505570">
                              <w:rPr>
                                <w:rFonts w:cs="Arial"/>
                                <w:i/>
                                <w:iCs/>
                                <w:sz w:val="16"/>
                                <w:szCs w:val="16"/>
                              </w:rPr>
                              <w:t>not waste money on over-engineered solutions</w:t>
                            </w:r>
                            <w:r w:rsidRPr="00505570">
                              <w:rPr>
                                <w:rFonts w:cs="Arial"/>
                                <w:sz w:val="16"/>
                                <w:szCs w:val="16"/>
                              </w:rPr>
                              <w:t>’ (</w:t>
                            </w:r>
                            <w:r w:rsidRPr="00505570">
                              <w:rPr>
                                <w:rFonts w:cs="Arial"/>
                                <w:color w:val="7F7F7F" w:themeColor="text1" w:themeTint="80"/>
                                <w:sz w:val="16"/>
                                <w:szCs w:val="16"/>
                              </w:rPr>
                              <w:t>EA 2009A, p.262</w:t>
                            </w:r>
                            <w:r w:rsidRPr="00505570">
                              <w:rPr>
                                <w:rFonts w:cs="Arial"/>
                                <w:sz w:val="16"/>
                                <w:szCs w:val="16"/>
                              </w:rPr>
                              <w:t>). It is</w:t>
                            </w:r>
                            <w:r w:rsidRPr="00505570">
                              <w:rPr>
                                <w:rFonts w:cs="Arial"/>
                                <w:i/>
                                <w:iCs/>
                                <w:sz w:val="16"/>
                                <w:szCs w:val="16"/>
                              </w:rPr>
                              <w:t xml:space="preserve"> ‘essential that the Plan is adaptable, to take account of future change and to avoid commitment to a course of action that may be sub-optimal because future change differs from the assumptions made in the Plan’ </w:t>
                            </w:r>
                            <w:r w:rsidRPr="00505570">
                              <w:rPr>
                                <w:rFonts w:cs="Arial"/>
                                <w:sz w:val="16"/>
                                <w:szCs w:val="16"/>
                              </w:rPr>
                              <w:t>(</w:t>
                            </w:r>
                            <w:r w:rsidRPr="00505570">
                              <w:rPr>
                                <w:rFonts w:cs="Arial"/>
                                <w:color w:val="7F7F7F" w:themeColor="text1" w:themeTint="80"/>
                                <w:sz w:val="16"/>
                                <w:szCs w:val="16"/>
                              </w:rPr>
                              <w:t>EA 2009A, p.268</w:t>
                            </w:r>
                            <w:r w:rsidRPr="00505570">
                              <w:rPr>
                                <w:rFonts w:cs="Arial"/>
                                <w:sz w:val="16"/>
                                <w:szCs w:val="16"/>
                              </w:rPr>
                              <w:t xml:space="preserve">).  </w:t>
                            </w:r>
                          </w:p>
                          <w:p w14:paraId="13EB420D" w14:textId="77777777" w:rsidR="00AD22FD" w:rsidRPr="00974448" w:rsidRDefault="00AD22FD" w:rsidP="00AD22FD">
                            <w:pPr>
                              <w:spacing w:after="60" w:line="240" w:lineRule="auto"/>
                              <w:rPr>
                                <w:rFonts w:ascii="Times New Roman" w:hAnsi="Times New Roman"/>
                                <w:strike/>
                                <w:sz w:val="16"/>
                                <w:szCs w:val="16"/>
                              </w:rPr>
                            </w:pPr>
                          </w:p>
                          <w:p w14:paraId="43519A6E" w14:textId="77777777" w:rsidR="00AD22FD" w:rsidRPr="00974448" w:rsidRDefault="00AD22FD" w:rsidP="00AD22FD">
                            <w:pPr>
                              <w:spacing w:after="60" w:line="240" w:lineRule="auto"/>
                              <w:rPr>
                                <w:rFonts w:ascii="Times New Roman" w:hAnsi="Times New Roman"/>
                                <w:sz w:val="16"/>
                                <w:szCs w:val="16"/>
                                <w:highlight w:val="gree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EA3FEA" id="_x0000_s1033" type="#_x0000_t202" style="position:absolute;margin-left:-.8pt;margin-top:2.55pt;width:493.05pt;height:165pt;z-index:252749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" fillcolor="#d9d9d9" stroked="f" strokeweight="4.5pt">
                <v:textbox>
                  <w:txbxContent>
                    <w:p w14:paraId="508D4BD2" w14:textId="77777777" w:rsidR="00AD22FD" w:rsidRPr="00505570" w:rsidRDefault="00AD22FD" w:rsidP="00AD22FD">
                      <w:pPr>
                        <w:spacing w:after="60" w:line="240" w:lineRule="auto"/>
                        <w:rPr>
                          <w:rFonts w:cs="Arial"/>
                          <w:sz w:val="16"/>
                          <w:szCs w:val="16"/>
                        </w:rPr>
                      </w:pPr>
                      <w:r w:rsidRPr="00505570">
                        <w:rPr>
                          <w:rFonts w:cs="Arial"/>
                          <w:sz w:val="16"/>
                          <w:szCs w:val="16"/>
                        </w:rPr>
                        <w:t xml:space="preserve">Overall, the TE2100’s monitoring and review system (M&amp;R) seeks to ensure that the Plan is regularly reviewed and updated to reflect the existing circumstances, thus, it is crucial for the Plan’s </w:t>
                      </w:r>
                      <w:r w:rsidRPr="00505570">
                        <w:rPr>
                          <w:rFonts w:cs="Arial"/>
                          <w:i/>
                          <w:iCs/>
                          <w:sz w:val="16"/>
                          <w:szCs w:val="16"/>
                        </w:rPr>
                        <w:t>adaptability</w:t>
                      </w:r>
                      <w:r w:rsidRPr="00505570">
                        <w:rPr>
                          <w:rFonts w:cs="Arial"/>
                          <w:sz w:val="16"/>
                          <w:szCs w:val="16"/>
                        </w:rPr>
                        <w:t xml:space="preserve"> (</w:t>
                      </w:r>
                      <w:r w:rsidRPr="00505570">
                        <w:rPr>
                          <w:rFonts w:cs="Arial"/>
                          <w:color w:val="7F7F7F" w:themeColor="text1" w:themeTint="80"/>
                          <w:sz w:val="16"/>
                          <w:szCs w:val="16"/>
                        </w:rPr>
                        <w:t>EA 2009A, p.11</w:t>
                      </w:r>
                      <w:r w:rsidRPr="00505570">
                        <w:rPr>
                          <w:rFonts w:cs="Arial"/>
                          <w:sz w:val="16"/>
                          <w:szCs w:val="16"/>
                        </w:rPr>
                        <w:t>). Hence,</w:t>
                      </w:r>
                      <w:r w:rsidRPr="00505570">
                        <w:rPr>
                          <w:rFonts w:cs="Arial"/>
                          <w:sz w:val="16"/>
                          <w:szCs w:val="16"/>
                          <w:lang w:val="en-US"/>
                        </w:rPr>
                        <w:t xml:space="preserve"> monitoring of indicators </w:t>
                      </w:r>
                      <w:r w:rsidRPr="00505570">
                        <w:rPr>
                          <w:rFonts w:cs="Arial"/>
                          <w:sz w:val="16"/>
                          <w:szCs w:val="16"/>
                        </w:rPr>
                        <w:t xml:space="preserve">is deemed </w:t>
                      </w:r>
                      <w:r w:rsidRPr="00505570">
                        <w:rPr>
                          <w:rFonts w:cs="Arial"/>
                          <w:i/>
                          <w:iCs/>
                          <w:sz w:val="16"/>
                          <w:szCs w:val="16"/>
                        </w:rPr>
                        <w:t>a key part of the adaptability of the TE2100 Plan to future change</w:t>
                      </w:r>
                      <w:r w:rsidRPr="00505570">
                        <w:rPr>
                          <w:rFonts w:cs="Arial"/>
                          <w:sz w:val="16"/>
                          <w:szCs w:val="16"/>
                        </w:rPr>
                        <w:t xml:space="preserve"> (</w:t>
                      </w:r>
                      <w:r w:rsidRPr="00505570">
                        <w:rPr>
                          <w:rFonts w:cs="Arial"/>
                          <w:color w:val="7F7F7F" w:themeColor="text1" w:themeTint="80"/>
                          <w:sz w:val="16"/>
                          <w:szCs w:val="16"/>
                        </w:rPr>
                        <w:t>EA 2009A, p.8</w:t>
                      </w:r>
                      <w:r w:rsidRPr="00505570">
                        <w:rPr>
                          <w:rFonts w:cs="Arial"/>
                          <w:sz w:val="16"/>
                          <w:szCs w:val="16"/>
                        </w:rPr>
                        <w:t>). As noted in the Technical Report, given the uncertainty surrounding the effects of CC,</w:t>
                      </w:r>
                      <w:r w:rsidRPr="00505570">
                        <w:rPr>
                          <w:rFonts w:cs="Arial"/>
                          <w:i/>
                          <w:iCs/>
                          <w:sz w:val="16"/>
                          <w:szCs w:val="16"/>
                        </w:rPr>
                        <w:t xml:space="preserve"> it will be essential to have adaptability and flexibility as a key part of the Plan</w:t>
                      </w:r>
                      <w:r w:rsidRPr="00505570">
                        <w:rPr>
                          <w:rFonts w:cs="Arial"/>
                          <w:sz w:val="16"/>
                          <w:szCs w:val="16"/>
                        </w:rPr>
                        <w:t xml:space="preserve">, which points to </w:t>
                      </w:r>
                      <w:r w:rsidRPr="00505570">
                        <w:rPr>
                          <w:rFonts w:cs="Arial"/>
                          <w:i/>
                          <w:iCs/>
                          <w:sz w:val="16"/>
                          <w:szCs w:val="16"/>
                        </w:rPr>
                        <w:t>the need for the ongoing monitoring of CC science and the actual effects of CC, particularly of SLR</w:t>
                      </w:r>
                      <w:r w:rsidRPr="00505570">
                        <w:rPr>
                          <w:rFonts w:cs="Arial"/>
                          <w:sz w:val="16"/>
                          <w:szCs w:val="16"/>
                        </w:rPr>
                        <w:t>, as part of the implementation of the Plan (</w:t>
                      </w:r>
                      <w:r w:rsidRPr="00505570">
                        <w:rPr>
                          <w:rFonts w:cs="Arial"/>
                          <w:color w:val="7F7F7F" w:themeColor="text1" w:themeTint="80"/>
                          <w:sz w:val="16"/>
                          <w:szCs w:val="16"/>
                        </w:rPr>
                        <w:t>EA 2009A, p.72</w:t>
                      </w:r>
                      <w:r w:rsidRPr="00505570">
                        <w:rPr>
                          <w:rFonts w:cs="Arial"/>
                          <w:sz w:val="16"/>
                          <w:szCs w:val="16"/>
                        </w:rPr>
                        <w:t xml:space="preserve">).  </w:t>
                      </w:r>
                    </w:p>
                    <w:p w14:paraId="57A29998" w14:textId="77777777" w:rsidR="00AD22FD" w:rsidRPr="00505570" w:rsidRDefault="00AD22FD" w:rsidP="00AD22FD">
                      <w:pPr>
                        <w:spacing w:after="60" w:line="240" w:lineRule="auto"/>
                        <w:rPr>
                          <w:rFonts w:cs="Arial"/>
                          <w:sz w:val="16"/>
                          <w:szCs w:val="16"/>
                        </w:rPr>
                      </w:pPr>
                      <w:r w:rsidRPr="00505570">
                        <w:rPr>
                          <w:rFonts w:cs="Arial"/>
                          <w:sz w:val="16"/>
                          <w:szCs w:val="16"/>
                        </w:rPr>
                        <w:t>The monitoring of key indicators (monitoring activities), together with the programme of review and maintenance of the Plan itself, which were established in the Plan, are fundamental to ensure it remains ‘fit for purpose’ during its life (</w:t>
                      </w:r>
                      <w:r w:rsidRPr="00505570">
                        <w:rPr>
                          <w:rFonts w:cs="Arial"/>
                          <w:color w:val="7F7F7F" w:themeColor="text1" w:themeTint="80"/>
                          <w:sz w:val="16"/>
                          <w:szCs w:val="16"/>
                        </w:rPr>
                        <w:t>EA 2009A, p.262, xv</w:t>
                      </w:r>
                      <w:r w:rsidRPr="00505570">
                        <w:rPr>
                          <w:rFonts w:cs="Arial"/>
                          <w:sz w:val="16"/>
                          <w:szCs w:val="16"/>
                        </w:rPr>
                        <w:t>). The monitoring of indicators (namely sea levels and river flows) is deemed essential, for example, to detect rates of change and identify triggers (and thus, it is an important component of the ‘blueprint for implementation’), and the produced data must be regularly used to update estimates of the dates when new interventions will be required</w:t>
                      </w:r>
                      <w:r w:rsidRPr="00505570">
                        <w:rPr>
                          <w:rFonts w:cs="Arial"/>
                          <w:i/>
                          <w:iCs/>
                          <w:sz w:val="16"/>
                          <w:szCs w:val="16"/>
                        </w:rPr>
                        <w:t xml:space="preserve"> </w:t>
                      </w:r>
                      <w:r w:rsidRPr="00505570">
                        <w:rPr>
                          <w:rFonts w:cs="Arial"/>
                          <w:sz w:val="16"/>
                          <w:szCs w:val="16"/>
                        </w:rPr>
                        <w:t>(</w:t>
                      </w:r>
                      <w:r w:rsidRPr="00505570">
                        <w:rPr>
                          <w:rFonts w:cs="Arial"/>
                          <w:color w:val="7F7F7F" w:themeColor="text1" w:themeTint="80"/>
                          <w:sz w:val="16"/>
                          <w:szCs w:val="16"/>
                        </w:rPr>
                        <w:t>EA 2009A, p.11</w:t>
                      </w:r>
                      <w:r w:rsidRPr="00505570">
                        <w:rPr>
                          <w:rFonts w:cs="Arial"/>
                          <w:sz w:val="16"/>
                          <w:szCs w:val="16"/>
                        </w:rPr>
                        <w:t>).</w:t>
                      </w:r>
                      <w:r w:rsidRPr="00505570">
                        <w:rPr>
                          <w:rFonts w:cs="Arial"/>
                          <w:i/>
                          <w:iCs/>
                          <w:sz w:val="16"/>
                          <w:szCs w:val="16"/>
                        </w:rPr>
                        <w:t xml:space="preserve"> </w:t>
                      </w:r>
                      <w:r w:rsidRPr="00505570">
                        <w:rPr>
                          <w:rFonts w:cs="Arial"/>
                          <w:sz w:val="16"/>
                          <w:szCs w:val="16"/>
                        </w:rPr>
                        <w:t>Thus, the phase of implementation has included</w:t>
                      </w:r>
                      <w:r w:rsidRPr="00505570">
                        <w:rPr>
                          <w:rFonts w:cs="Arial"/>
                          <w:i/>
                          <w:iCs/>
                          <w:sz w:val="16"/>
                          <w:szCs w:val="16"/>
                        </w:rPr>
                        <w:t xml:space="preserve"> monitoring activities together with a programme of review and maintenance of the Plan itself </w:t>
                      </w:r>
                      <w:r w:rsidRPr="00505570">
                        <w:rPr>
                          <w:rFonts w:cs="Arial"/>
                          <w:sz w:val="16"/>
                          <w:szCs w:val="16"/>
                        </w:rPr>
                        <w:t>(</w:t>
                      </w:r>
                      <w:r w:rsidRPr="00505570">
                        <w:rPr>
                          <w:rFonts w:cs="Arial"/>
                          <w:color w:val="7F7F7F" w:themeColor="text1" w:themeTint="80"/>
                          <w:sz w:val="16"/>
                          <w:szCs w:val="16"/>
                        </w:rPr>
                        <w:t>EA 2009A, p.262</w:t>
                      </w:r>
                      <w:r w:rsidRPr="00505570">
                        <w:rPr>
                          <w:rFonts w:cs="Arial"/>
                          <w:sz w:val="16"/>
                          <w:szCs w:val="16"/>
                        </w:rPr>
                        <w:t>).</w:t>
                      </w:r>
                      <w:r w:rsidRPr="00505570">
                        <w:rPr>
                          <w:rFonts w:cs="Arial"/>
                          <w:color w:val="C00000"/>
                          <w:sz w:val="16"/>
                          <w:szCs w:val="16"/>
                        </w:rPr>
                        <w:t xml:space="preserve"> </w:t>
                      </w:r>
                      <w:r w:rsidRPr="00505570">
                        <w:rPr>
                          <w:rFonts w:cs="Arial"/>
                          <w:sz w:val="16"/>
                          <w:szCs w:val="16"/>
                        </w:rPr>
                        <w:t>The Plan was designed to adapt to changing climate or other factors over the next 100 years and be sustainable, thus, it must ‘</w:t>
                      </w:r>
                      <w:r w:rsidRPr="00505570">
                        <w:rPr>
                          <w:rFonts w:cs="Arial"/>
                          <w:i/>
                          <w:iCs/>
                          <w:sz w:val="16"/>
                          <w:szCs w:val="16"/>
                        </w:rPr>
                        <w:t>ensure that the right actions can be carried out at the right time</w:t>
                      </w:r>
                      <w:r w:rsidRPr="00505570">
                        <w:rPr>
                          <w:rFonts w:cs="Arial"/>
                          <w:sz w:val="16"/>
                          <w:szCs w:val="16"/>
                        </w:rPr>
                        <w:t>’ and ‘</w:t>
                      </w:r>
                      <w:r w:rsidRPr="00505570">
                        <w:rPr>
                          <w:rFonts w:cs="Arial"/>
                          <w:i/>
                          <w:iCs/>
                          <w:sz w:val="16"/>
                          <w:szCs w:val="16"/>
                        </w:rPr>
                        <w:t>not waste money on over-engineered solutions</w:t>
                      </w:r>
                      <w:r w:rsidRPr="00505570">
                        <w:rPr>
                          <w:rFonts w:cs="Arial"/>
                          <w:sz w:val="16"/>
                          <w:szCs w:val="16"/>
                        </w:rPr>
                        <w:t>’ (</w:t>
                      </w:r>
                      <w:r w:rsidRPr="00505570">
                        <w:rPr>
                          <w:rFonts w:cs="Arial"/>
                          <w:color w:val="7F7F7F" w:themeColor="text1" w:themeTint="80"/>
                          <w:sz w:val="16"/>
                          <w:szCs w:val="16"/>
                        </w:rPr>
                        <w:t>EA 2009A, p.262</w:t>
                      </w:r>
                      <w:r w:rsidRPr="00505570">
                        <w:rPr>
                          <w:rFonts w:cs="Arial"/>
                          <w:sz w:val="16"/>
                          <w:szCs w:val="16"/>
                        </w:rPr>
                        <w:t>). It is</w:t>
                      </w:r>
                      <w:r w:rsidRPr="00505570">
                        <w:rPr>
                          <w:rFonts w:cs="Arial"/>
                          <w:i/>
                          <w:iCs/>
                          <w:sz w:val="16"/>
                          <w:szCs w:val="16"/>
                        </w:rPr>
                        <w:t xml:space="preserve"> ‘essential that the Plan is adaptable, to take account of future change and to avoid commitment to a course of action that may be sub-optimal because future change differs from the assumptions made in the Plan’ </w:t>
                      </w:r>
                      <w:r w:rsidRPr="00505570">
                        <w:rPr>
                          <w:rFonts w:cs="Arial"/>
                          <w:sz w:val="16"/>
                          <w:szCs w:val="16"/>
                        </w:rPr>
                        <w:t>(</w:t>
                      </w:r>
                      <w:r w:rsidRPr="00505570">
                        <w:rPr>
                          <w:rFonts w:cs="Arial"/>
                          <w:color w:val="7F7F7F" w:themeColor="text1" w:themeTint="80"/>
                          <w:sz w:val="16"/>
                          <w:szCs w:val="16"/>
                        </w:rPr>
                        <w:t>EA 2009A, p.268</w:t>
                      </w:r>
                      <w:r w:rsidRPr="00505570">
                        <w:rPr>
                          <w:rFonts w:cs="Arial"/>
                          <w:sz w:val="16"/>
                          <w:szCs w:val="16"/>
                        </w:rPr>
                        <w:t xml:space="preserve">).  </w:t>
                      </w:r>
                    </w:p>
                    <w:p w14:paraId="13EB420D" w14:textId="77777777" w:rsidR="00AD22FD" w:rsidRPr="00974448" w:rsidRDefault="00AD22FD" w:rsidP="00AD22FD">
                      <w:pPr>
                        <w:spacing w:after="60" w:line="240" w:lineRule="auto"/>
                        <w:rPr>
                          <w:rFonts w:ascii="Times New Roman" w:hAnsi="Times New Roman"/>
                          <w:strike/>
                          <w:sz w:val="16"/>
                          <w:szCs w:val="16"/>
                        </w:rPr>
                      </w:pPr>
                    </w:p>
                    <w:p w14:paraId="43519A6E" w14:textId="77777777" w:rsidR="00AD22FD" w:rsidRPr="00974448" w:rsidRDefault="00AD22FD" w:rsidP="00AD22FD">
                      <w:pPr>
                        <w:spacing w:after="60" w:line="240" w:lineRule="auto"/>
                        <w:rPr>
                          <w:rFonts w:ascii="Times New Roman" w:hAnsi="Times New Roman"/>
                          <w:sz w:val="16"/>
                          <w:szCs w:val="16"/>
                          <w:highlight w:val="green"/>
                        </w:rPr>
                      </w:pPr>
                    </w:p>
                  </w:txbxContent>
                </v:textbox>
                <w10:wrap anchorx="margin"/>
              </v:shape>
            </w:pict>
          </mc:Fallback>
        </mc:AlternateContent>
      </w:r>
    </w:p>
    <w:p w14:paraId="5B15C64B" w14:textId="77777777" w:rsidR="00AD22FD" w:rsidRPr="009B720F" w:rsidRDefault="00AD22FD" w:rsidP="00AD22FD">
      <w:pPr>
        <w:pStyle w:val="TEXTBODY"/>
        <w:spacing w:line="276" w:lineRule="auto"/>
        <w:rPr>
          <w:rFonts w:eastAsiaTheme="minorHAnsi"/>
          <w:bCs/>
        </w:rPr>
      </w:pPr>
    </w:p>
    <w:p w14:paraId="6D651DA9" w14:textId="77777777" w:rsidR="00AD22FD" w:rsidRPr="009B720F" w:rsidRDefault="00AD22FD" w:rsidP="00AD22FD">
      <w:pPr>
        <w:pStyle w:val="TEXTBODY"/>
        <w:spacing w:line="276" w:lineRule="auto"/>
        <w:rPr>
          <w:rFonts w:eastAsiaTheme="minorHAnsi"/>
          <w:bCs/>
        </w:rPr>
      </w:pPr>
    </w:p>
    <w:p w14:paraId="5B2FC43E" w14:textId="77777777" w:rsidR="00AD22FD" w:rsidRPr="009B720F" w:rsidRDefault="00AD22FD" w:rsidP="00AD22FD">
      <w:pPr>
        <w:pStyle w:val="TEXTBODY"/>
        <w:spacing w:line="276" w:lineRule="auto"/>
        <w:rPr>
          <w:rFonts w:eastAsiaTheme="minorHAnsi"/>
          <w:bCs/>
        </w:rPr>
      </w:pPr>
    </w:p>
    <w:p w14:paraId="5288756F" w14:textId="77777777" w:rsidR="00AD22FD" w:rsidRPr="009B720F" w:rsidRDefault="00AD22FD" w:rsidP="00AD22FD">
      <w:pPr>
        <w:pStyle w:val="TEXTBODY"/>
        <w:spacing w:line="276" w:lineRule="auto"/>
        <w:rPr>
          <w:rFonts w:eastAsiaTheme="minorHAnsi"/>
          <w:bCs/>
        </w:rPr>
      </w:pPr>
    </w:p>
    <w:p w14:paraId="580E0747" w14:textId="77777777" w:rsidR="00AD22FD" w:rsidRPr="009B720F" w:rsidRDefault="00AD22FD" w:rsidP="00AD22FD">
      <w:pPr>
        <w:pStyle w:val="TEXTBODY"/>
        <w:spacing w:line="276" w:lineRule="auto"/>
        <w:rPr>
          <w:rFonts w:eastAsiaTheme="minorHAnsi"/>
          <w:bCs/>
        </w:rPr>
      </w:pPr>
    </w:p>
    <w:p w14:paraId="2D3A1479" w14:textId="77777777" w:rsidR="00AD22FD" w:rsidRPr="009B720F" w:rsidRDefault="00AD22FD" w:rsidP="00AD22FD">
      <w:pPr>
        <w:pStyle w:val="TEXTBODY"/>
        <w:spacing w:line="276" w:lineRule="auto"/>
        <w:rPr>
          <w:rFonts w:eastAsiaTheme="minorHAnsi"/>
          <w:bCs/>
        </w:rPr>
      </w:pPr>
    </w:p>
    <w:p w14:paraId="28302C17" w14:textId="77777777" w:rsidR="00AD22FD" w:rsidRPr="009B720F" w:rsidRDefault="00AD22FD" w:rsidP="00AD22FD">
      <w:pPr>
        <w:pStyle w:val="TEXTBODY"/>
        <w:spacing w:line="276" w:lineRule="auto"/>
        <w:rPr>
          <w:rFonts w:eastAsiaTheme="minorHAnsi"/>
          <w:bCs/>
        </w:rPr>
      </w:pPr>
    </w:p>
    <w:p w14:paraId="5B1848CB" w14:textId="77777777" w:rsidR="00AD22FD" w:rsidRDefault="00AD22FD" w:rsidP="00AD22FD">
      <w:pPr>
        <w:pStyle w:val="TEXTBODY"/>
        <w:spacing w:line="276" w:lineRule="auto"/>
        <w:rPr>
          <w:rFonts w:eastAsiaTheme="minorHAnsi"/>
          <w:bCs/>
        </w:rPr>
      </w:pPr>
    </w:p>
    <w:p w14:paraId="4DAD76CD" w14:textId="77777777" w:rsidR="00AD22FD" w:rsidRPr="009B720F" w:rsidRDefault="00AD22FD" w:rsidP="00AD22FD">
      <w:pPr>
        <w:pStyle w:val="TEXTBODY"/>
        <w:spacing w:line="276" w:lineRule="auto"/>
        <w:rPr>
          <w:rFonts w:eastAsiaTheme="minorHAnsi"/>
          <w:bCs/>
        </w:rPr>
      </w:pPr>
    </w:p>
    <w:p w14:paraId="12B37543" w14:textId="77777777" w:rsidR="00AD22FD" w:rsidRPr="009B720F" w:rsidRDefault="00AD22FD" w:rsidP="00AD22FD">
      <w:pPr>
        <w:pStyle w:val="Ttulo4"/>
        <w:spacing w:after="0" w:line="276" w:lineRule="auto"/>
        <w:rPr>
          <w:bCs/>
        </w:rPr>
      </w:pPr>
      <w:r w:rsidRPr="009B720F">
        <w:rPr>
          <w:bCs/>
        </w:rPr>
        <w:t>Key-element 5</w:t>
      </w:r>
    </w:p>
    <w:p w14:paraId="09A63634" w14:textId="77777777" w:rsidR="00AD22FD" w:rsidRPr="00974448" w:rsidRDefault="00AD22FD" w:rsidP="00AD22FD">
      <w:pPr>
        <w:pStyle w:val="TEXTBODY"/>
        <w:spacing w:line="276" w:lineRule="auto"/>
        <w:rPr>
          <w:bCs/>
        </w:rPr>
      </w:pPr>
      <w:r w:rsidRPr="00974448">
        <w:rPr>
          <w:bCs/>
        </w:rPr>
        <w:t xml:space="preserve">To develop </w:t>
      </w:r>
      <w:r w:rsidRPr="009B720F">
        <w:rPr>
          <w:bCs/>
        </w:rPr>
        <w:t xml:space="preserve">a long-term </w:t>
      </w:r>
      <w:r w:rsidRPr="009B720F">
        <w:rPr>
          <w:bCs/>
          <w:i/>
          <w:iCs/>
        </w:rPr>
        <w:t>robust adaptive plan</w:t>
      </w:r>
      <w:r w:rsidRPr="009B720F">
        <w:rPr>
          <w:bCs/>
        </w:rPr>
        <w:t xml:space="preserve"> (for FRM) in the face of uncertainties about future changes, the TE2100 Project has followed a ‘decision-centred’ planning process with several steps, which is associated to a continuous and iterative risk management (ongoing process of Adaptive Planning / Managed Adaptive approach). The </w:t>
      </w:r>
      <w:r w:rsidRPr="009B720F">
        <w:rPr>
          <w:bCs/>
          <w:i/>
          <w:iCs/>
        </w:rPr>
        <w:t xml:space="preserve">Dynamic Adaptive Planning approach </w:t>
      </w:r>
      <w:r w:rsidRPr="009B720F">
        <w:rPr>
          <w:bCs/>
        </w:rPr>
        <w:t xml:space="preserve">of the TE2100 presupposes an ongoing, iterative, learning-oriented planning and decision-making process (including the management process), which allows that the Plan (and its strategies / </w:t>
      </w:r>
      <w:r w:rsidRPr="009B720F">
        <w:rPr>
          <w:bCs/>
          <w:i/>
          <w:iCs/>
        </w:rPr>
        <w:t>Options</w:t>
      </w:r>
      <w:r w:rsidRPr="009B720F">
        <w:rPr>
          <w:bCs/>
        </w:rPr>
        <w:t xml:space="preserve">) are progressively and iteratively refined, incorporating new data over time – and thus, </w:t>
      </w:r>
      <w:r w:rsidRPr="009B720F">
        <w:rPr>
          <w:bCs/>
          <w:i/>
          <w:iCs/>
        </w:rPr>
        <w:t>adapted</w:t>
      </w:r>
      <w:r w:rsidRPr="009B720F">
        <w:rPr>
          <w:bCs/>
        </w:rPr>
        <w:t xml:space="preserve"> (</w:t>
      </w:r>
      <w:r w:rsidRPr="009B720F">
        <w:rPr>
          <w:bCs/>
          <w:color w:val="7F7F7F" w:themeColor="text1" w:themeTint="80"/>
        </w:rPr>
        <w:t>Ranger et al. 2013, p.257</w:t>
      </w:r>
      <w:r w:rsidRPr="009B720F">
        <w:rPr>
          <w:bCs/>
        </w:rPr>
        <w:t>). This continuous process is deemed one of the main innovations of the TE2100</w:t>
      </w:r>
      <w:r w:rsidRPr="009B720F">
        <w:rPr>
          <w:bCs/>
          <w:color w:val="000000"/>
        </w:rPr>
        <w:t xml:space="preserve"> (and an </w:t>
      </w:r>
      <w:r w:rsidRPr="009B720F">
        <w:rPr>
          <w:bCs/>
        </w:rPr>
        <w:t>innovation in the field of climate adaptation) (</w:t>
      </w:r>
      <w:r w:rsidRPr="009B720F">
        <w:rPr>
          <w:bCs/>
          <w:color w:val="7F7F7F" w:themeColor="text1" w:themeTint="80"/>
        </w:rPr>
        <w:t>Ranger et al. 2013, p.233, 239, 258</w:t>
      </w:r>
      <w:r w:rsidRPr="009B720F">
        <w:rPr>
          <w:bCs/>
        </w:rPr>
        <w:t xml:space="preserve">). Notwithstanding, </w:t>
      </w:r>
      <w:r w:rsidRPr="00974448">
        <w:rPr>
          <w:bCs/>
        </w:rPr>
        <w:t>it can also be argued, that it is also essential to operationalize a true / real adaptive planning and management process and to allow the development and implementation of a sustainable adaptive (adaptable) plan.</w:t>
      </w:r>
    </w:p>
    <w:p w14:paraId="487A1878" w14:textId="77777777" w:rsidR="00AD22FD" w:rsidRPr="00974448" w:rsidRDefault="00AD22FD" w:rsidP="00AD22FD">
      <w:pPr>
        <w:pStyle w:val="TEXTBODY"/>
        <w:spacing w:line="276" w:lineRule="auto"/>
        <w:rPr>
          <w:bCs/>
        </w:rPr>
      </w:pPr>
      <w:r w:rsidRPr="00974448">
        <w:rPr>
          <w:bCs/>
        </w:rPr>
        <w:t xml:space="preserve">It is essential to keep </w:t>
      </w:r>
      <w:r w:rsidRPr="00974448">
        <w:rPr>
          <w:bCs/>
          <w:i/>
          <w:iCs/>
        </w:rPr>
        <w:t xml:space="preserve">adaptability </w:t>
      </w:r>
      <w:r w:rsidRPr="00974448">
        <w:rPr>
          <w:bCs/>
        </w:rPr>
        <w:t xml:space="preserve">and </w:t>
      </w:r>
      <w:r w:rsidRPr="00974448">
        <w:rPr>
          <w:bCs/>
          <w:i/>
          <w:iCs/>
        </w:rPr>
        <w:t>flexibility</w:t>
      </w:r>
      <w:r w:rsidRPr="00974448">
        <w:rPr>
          <w:bCs/>
        </w:rPr>
        <w:t xml:space="preserve"> as key parts of the Plan, which highlights the need for the ongoing process of refinement and adaptation of the Plan and FRM system (which itself depends on the monitoring activities that form part of the implementation of the Plan) (</w:t>
      </w:r>
      <w:r w:rsidRPr="00974448">
        <w:rPr>
          <w:bCs/>
          <w:color w:val="7F7F7F" w:themeColor="text1" w:themeTint="80"/>
        </w:rPr>
        <w:t>EA 2009A, p.72</w:t>
      </w:r>
      <w:r w:rsidRPr="00974448">
        <w:rPr>
          <w:bCs/>
        </w:rPr>
        <w:t>).</w:t>
      </w:r>
    </w:p>
    <w:p w14:paraId="0F099A8C" w14:textId="77777777" w:rsidR="00AD22FD" w:rsidRPr="00974448" w:rsidRDefault="00AD22FD" w:rsidP="00AD22FD">
      <w:pPr>
        <w:pStyle w:val="TEXTBODY"/>
        <w:spacing w:line="276" w:lineRule="auto"/>
        <w:rPr>
          <w:bCs/>
        </w:rPr>
      </w:pPr>
      <w:r w:rsidRPr="00974448">
        <w:rPr>
          <w:bCs/>
        </w:rPr>
        <w:t>The iterative approach taken to develop the Plan (the Plan was developed in an iterative way, involving various stages through the planned phases of the Project, in which feedback from stakeholders was fed into and informed the Plan development) (</w:t>
      </w:r>
      <w:r w:rsidRPr="00974448">
        <w:rPr>
          <w:bCs/>
          <w:color w:val="7F7F7F" w:themeColor="text1" w:themeTint="80"/>
        </w:rPr>
        <w:t>EA 2009A, p.327</w:t>
      </w:r>
      <w:r w:rsidRPr="00974448">
        <w:rPr>
          <w:bCs/>
        </w:rPr>
        <w:t xml:space="preserve">), must be maintained. </w:t>
      </w:r>
    </w:p>
    <w:p w14:paraId="7E7AB65C" w14:textId="77777777" w:rsidR="00AD22FD" w:rsidRPr="00974448" w:rsidRDefault="00AD22FD" w:rsidP="00AD22FD">
      <w:pPr>
        <w:pStyle w:val="TEXTBODY"/>
        <w:spacing w:line="276" w:lineRule="auto"/>
        <w:rPr>
          <w:bCs/>
        </w:rPr>
      </w:pPr>
      <w:r w:rsidRPr="00974448">
        <w:rPr>
          <w:bCs/>
        </w:rPr>
        <w:t>In sum, the ongoing process of adaptive planning (continuous process of iterative risk management and climate adaptation), which implies feeding back the results of the monitoring and review system into a new cycle of planning – a replanning of the Plan’s contents, can be considered a 5</w:t>
      </w:r>
      <w:r w:rsidRPr="00974448">
        <w:rPr>
          <w:bCs/>
          <w:vertAlign w:val="superscript"/>
        </w:rPr>
        <w:t>th</w:t>
      </w:r>
      <w:r w:rsidRPr="00974448">
        <w:rPr>
          <w:bCs/>
        </w:rPr>
        <w:t xml:space="preserve"> key-element essential to operationalize a true adaptive plan. </w:t>
      </w:r>
    </w:p>
    <w:p w14:paraId="44B2EEE4" w14:textId="77777777" w:rsidR="00AD22FD" w:rsidRPr="00974448" w:rsidRDefault="00AD22FD" w:rsidP="00AD22FD">
      <w:pPr>
        <w:pStyle w:val="TEXTBODY"/>
        <w:spacing w:after="0" w:line="276" w:lineRule="auto"/>
        <w:rPr>
          <w:bCs/>
        </w:rPr>
      </w:pPr>
      <w:r w:rsidRPr="00974448">
        <w:rPr>
          <w:bCs/>
        </w:rPr>
        <w:t>In synthesis, the main elements found in the TE2100’s planning approach that were essential to develop an adaptive plan under uncertain future changes and conditions, were:</w:t>
      </w:r>
    </w:p>
    <w:p w14:paraId="1F838A41" w14:textId="77777777" w:rsidR="00AD22FD" w:rsidRPr="00974448" w:rsidRDefault="00AD22FD" w:rsidP="00AD22FD">
      <w:pPr>
        <w:pStyle w:val="TEXTBODY"/>
        <w:numPr>
          <w:ilvl w:val="0"/>
          <w:numId w:val="9"/>
        </w:numPr>
        <w:spacing w:after="0" w:line="276" w:lineRule="auto"/>
        <w:ind w:left="284" w:hanging="284"/>
        <w:rPr>
          <w:bCs/>
        </w:rPr>
      </w:pPr>
      <w:r w:rsidRPr="00974448">
        <w:rPr>
          <w:bCs/>
        </w:rPr>
        <w:lastRenderedPageBreak/>
        <w:t xml:space="preserve">The generation of a wide range of plausible future scenarios of SLR, and their use to test robustness of measures and pathways. Climate projections were generated during the development of the Plan. </w:t>
      </w:r>
    </w:p>
    <w:p w14:paraId="145BA8E5" w14:textId="77777777" w:rsidR="00AD22FD" w:rsidRPr="00974448" w:rsidRDefault="00AD22FD" w:rsidP="00AD22FD">
      <w:pPr>
        <w:pStyle w:val="TEXTBODY"/>
        <w:numPr>
          <w:ilvl w:val="0"/>
          <w:numId w:val="9"/>
        </w:numPr>
        <w:spacing w:after="0" w:line="276" w:lineRule="auto"/>
        <w:ind w:left="284" w:hanging="284"/>
        <w:rPr>
          <w:bCs/>
        </w:rPr>
      </w:pPr>
      <w:r w:rsidRPr="00974448">
        <w:rPr>
          <w:bCs/>
        </w:rPr>
        <w:t xml:space="preserve">The identification of ‘thresholds’ (which implied a ‘threshold analysis’). </w:t>
      </w:r>
    </w:p>
    <w:p w14:paraId="1B6B2565" w14:textId="77777777" w:rsidR="00AD22FD" w:rsidRPr="00974448" w:rsidRDefault="00AD22FD" w:rsidP="00AD22FD">
      <w:pPr>
        <w:pStyle w:val="TEXTBODY"/>
        <w:numPr>
          <w:ilvl w:val="0"/>
          <w:numId w:val="9"/>
        </w:numPr>
        <w:spacing w:after="0" w:line="276" w:lineRule="auto"/>
        <w:ind w:left="284" w:hanging="284"/>
        <w:rPr>
          <w:bCs/>
        </w:rPr>
      </w:pPr>
      <w:r w:rsidRPr="00974448">
        <w:rPr>
          <w:bCs/>
        </w:rPr>
        <w:t xml:space="preserve">The creation and use of the ‘Decision Pathways / Route-map / APs approach’ to develop </w:t>
      </w:r>
      <w:r w:rsidRPr="00974448">
        <w:rPr>
          <w:bCs/>
          <w:i/>
          <w:iCs/>
        </w:rPr>
        <w:t>robust flexible strategies</w:t>
      </w:r>
      <w:r w:rsidRPr="00974448">
        <w:rPr>
          <w:bCs/>
        </w:rPr>
        <w:t>, i.e. pathways (sets of sequenced measures to manage flood risk)</w:t>
      </w:r>
      <w:r w:rsidRPr="00974448">
        <w:rPr>
          <w:bCs/>
          <w:color w:val="7030A0"/>
        </w:rPr>
        <w:t xml:space="preserve">. </w:t>
      </w:r>
    </w:p>
    <w:p w14:paraId="7886631D" w14:textId="77777777" w:rsidR="00AD22FD" w:rsidRPr="00974448" w:rsidRDefault="00AD22FD" w:rsidP="00AD22FD">
      <w:pPr>
        <w:pStyle w:val="TEXTBODY"/>
        <w:numPr>
          <w:ilvl w:val="0"/>
          <w:numId w:val="9"/>
        </w:numPr>
        <w:spacing w:after="0" w:line="276" w:lineRule="auto"/>
        <w:ind w:left="284" w:hanging="284"/>
        <w:rPr>
          <w:bCs/>
        </w:rPr>
      </w:pPr>
      <w:r w:rsidRPr="00974448">
        <w:rPr>
          <w:bCs/>
        </w:rPr>
        <w:t>The definition of a monitoring programme, including indicators and decision-points, and the establishment of periodic reviews of the Plan.</w:t>
      </w:r>
    </w:p>
    <w:p w14:paraId="56953E0E" w14:textId="77777777" w:rsidR="00AD22FD" w:rsidRPr="00974448" w:rsidRDefault="00AD22FD" w:rsidP="00AD22FD">
      <w:pPr>
        <w:pStyle w:val="TEXTBODY"/>
        <w:numPr>
          <w:ilvl w:val="0"/>
          <w:numId w:val="9"/>
        </w:numPr>
        <w:spacing w:after="0" w:line="276" w:lineRule="auto"/>
        <w:ind w:left="284" w:hanging="284"/>
        <w:rPr>
          <w:bCs/>
        </w:rPr>
      </w:pPr>
      <w:r w:rsidRPr="00974448">
        <w:rPr>
          <w:bCs/>
        </w:rPr>
        <w:t xml:space="preserve">The ongoing learning-oriented </w:t>
      </w:r>
      <w:r w:rsidRPr="00974448">
        <w:rPr>
          <w:bCs/>
          <w:i/>
          <w:iCs/>
        </w:rPr>
        <w:t>decision-centred</w:t>
      </w:r>
      <w:r w:rsidRPr="00974448">
        <w:rPr>
          <w:bCs/>
        </w:rPr>
        <w:t xml:space="preserve"> process associated to the TE2100’s approach of </w:t>
      </w:r>
      <w:r w:rsidRPr="00974448">
        <w:rPr>
          <w:bCs/>
          <w:i/>
          <w:iCs/>
        </w:rPr>
        <w:t>iterative risk management</w:t>
      </w:r>
      <w:r w:rsidRPr="00974448">
        <w:rPr>
          <w:bCs/>
        </w:rPr>
        <w:t xml:space="preserve"> (also called </w:t>
      </w:r>
      <w:r w:rsidRPr="00974448">
        <w:rPr>
          <w:bCs/>
          <w:i/>
          <w:iCs/>
        </w:rPr>
        <w:t>Managed Adaptive approach</w:t>
      </w:r>
      <w:r w:rsidRPr="00974448">
        <w:rPr>
          <w:bCs/>
        </w:rPr>
        <w:t xml:space="preserve"> or </w:t>
      </w:r>
      <w:r w:rsidRPr="00974448">
        <w:rPr>
          <w:bCs/>
          <w:i/>
          <w:iCs/>
        </w:rPr>
        <w:t>Dynamic Adaptive Planning approach</w:t>
      </w:r>
      <w:r w:rsidRPr="00974448">
        <w:rPr>
          <w:bCs/>
        </w:rPr>
        <w:t>) (</w:t>
      </w:r>
      <w:r w:rsidRPr="00974448">
        <w:rPr>
          <w:bCs/>
          <w:color w:val="7F7F7F" w:themeColor="text1" w:themeTint="80"/>
        </w:rPr>
        <w:t>Ranger et al.2013, p.233, 239, 258;</w:t>
      </w:r>
      <w:r w:rsidRPr="00974448">
        <w:rPr>
          <w:bCs/>
        </w:rPr>
        <w:t xml:space="preserve"> </w:t>
      </w:r>
      <w:r w:rsidRPr="00974448">
        <w:rPr>
          <w:bCs/>
          <w:color w:val="7F7F7F" w:themeColor="text1" w:themeTint="80"/>
        </w:rPr>
        <w:t>EA 2009b, p.3,4</w:t>
      </w:r>
      <w:r w:rsidRPr="00974448">
        <w:rPr>
          <w:bCs/>
        </w:rPr>
        <w:t xml:space="preserve">). </w:t>
      </w:r>
    </w:p>
    <w:p w14:paraId="367A75EE" w14:textId="77777777" w:rsidR="00AD22FD" w:rsidRPr="00974448" w:rsidRDefault="00AD22FD" w:rsidP="00AD22FD">
      <w:pPr>
        <w:pStyle w:val="TEXTBODY"/>
        <w:spacing w:before="120" w:line="276" w:lineRule="auto"/>
        <w:rPr>
          <w:bCs/>
        </w:rPr>
      </w:pPr>
      <w:r w:rsidRPr="009B720F">
        <w:rPr>
          <w:bCs/>
          <w:szCs w:val="22"/>
        </w:rPr>
        <w:t xml:space="preserve">The TE2100 has been </w:t>
      </w:r>
      <w:r w:rsidRPr="00974448">
        <w:rPr>
          <w:bCs/>
          <w:szCs w:val="22"/>
        </w:rPr>
        <w:t xml:space="preserve">largely quoted as a leading example of how a major long-term planning project should address the emerging risks and challenges associated with climate change and climate adaptation: </w:t>
      </w:r>
      <w:r w:rsidRPr="00974448">
        <w:rPr>
          <w:bCs/>
        </w:rPr>
        <w:t xml:space="preserve">developing an </w:t>
      </w:r>
      <w:r w:rsidRPr="00974448">
        <w:rPr>
          <w:bCs/>
          <w:i/>
          <w:iCs/>
        </w:rPr>
        <w:t>adaptable plan</w:t>
      </w:r>
      <w:r w:rsidRPr="00974448">
        <w:rPr>
          <w:bCs/>
        </w:rPr>
        <w:t xml:space="preserve"> able to manage changing risk. The elements above-mentioned were essential to develop an </w:t>
      </w:r>
      <w:r w:rsidRPr="00974448">
        <w:rPr>
          <w:bCs/>
          <w:i/>
          <w:iCs/>
        </w:rPr>
        <w:t>adaptive plan</w:t>
      </w:r>
      <w:r w:rsidRPr="00974448">
        <w:rPr>
          <w:bCs/>
        </w:rPr>
        <w:t xml:space="preserve"> to manage flood risk in the TE until 2100 (</w:t>
      </w:r>
      <w:r w:rsidRPr="00974448">
        <w:rPr>
          <w:bCs/>
          <w:color w:val="7F7F7F" w:themeColor="text1" w:themeTint="80"/>
        </w:rPr>
        <w:t>EA 2009b, p.3</w:t>
      </w:r>
      <w:r w:rsidRPr="00974448">
        <w:rPr>
          <w:bCs/>
        </w:rPr>
        <w:t>).</w:t>
      </w:r>
      <w:r w:rsidRPr="00974448">
        <w:rPr>
          <w:rStyle w:val="Refdenotaderodap"/>
          <w:bCs/>
        </w:rPr>
        <w:footnoteReference w:id="65"/>
      </w:r>
      <w:r w:rsidRPr="00974448">
        <w:rPr>
          <w:bCs/>
        </w:rPr>
        <w:t xml:space="preserve"> </w:t>
      </w:r>
    </w:p>
    <w:p w14:paraId="130AF2F2" w14:textId="77777777" w:rsidR="00AD22FD" w:rsidRPr="009B720F" w:rsidRDefault="00AD22FD" w:rsidP="00AD22FD">
      <w:pPr>
        <w:pStyle w:val="TEXTBODY"/>
        <w:spacing w:before="120" w:line="276" w:lineRule="auto"/>
        <w:rPr>
          <w:bCs/>
        </w:rPr>
      </w:pPr>
      <w:r w:rsidRPr="00974448">
        <w:rPr>
          <w:bCs/>
        </w:rPr>
        <w:t>In sum, the use of</w:t>
      </w:r>
      <w:r w:rsidRPr="00974448">
        <w:rPr>
          <w:bCs/>
          <w:i/>
          <w:iCs/>
        </w:rPr>
        <w:t xml:space="preserve"> threshold analysis</w:t>
      </w:r>
      <w:r w:rsidRPr="00974448">
        <w:rPr>
          <w:bCs/>
        </w:rPr>
        <w:t xml:space="preserve">, the development of </w:t>
      </w:r>
      <w:r w:rsidRPr="00974448">
        <w:rPr>
          <w:bCs/>
          <w:i/>
          <w:iCs/>
        </w:rPr>
        <w:t>flexible adaptable</w:t>
      </w:r>
      <w:r w:rsidRPr="00974448">
        <w:rPr>
          <w:bCs/>
        </w:rPr>
        <w:t xml:space="preserve"> </w:t>
      </w:r>
      <w:r w:rsidRPr="00974448">
        <w:rPr>
          <w:bCs/>
          <w:i/>
          <w:iCs/>
        </w:rPr>
        <w:t>Options</w:t>
      </w:r>
      <w:r w:rsidRPr="00974448">
        <w:rPr>
          <w:bCs/>
        </w:rPr>
        <w:t xml:space="preserve"> (as ‘adaptation pathways’), and the development of better CC predictions, were critical to the production of a </w:t>
      </w:r>
      <w:r w:rsidRPr="00974448">
        <w:rPr>
          <w:bCs/>
          <w:i/>
          <w:iCs/>
        </w:rPr>
        <w:t>robust adaptable plan</w:t>
      </w:r>
      <w:r w:rsidRPr="00974448">
        <w:rPr>
          <w:bCs/>
        </w:rPr>
        <w:t xml:space="preserve"> that can manage flood risk in the TE throughout</w:t>
      </w:r>
      <w:r w:rsidRPr="00974448">
        <w:rPr>
          <w:bCs/>
          <w:i/>
          <w:iCs/>
        </w:rPr>
        <w:t xml:space="preserve"> </w:t>
      </w:r>
      <w:r w:rsidRPr="00974448">
        <w:rPr>
          <w:bCs/>
        </w:rPr>
        <w:t xml:space="preserve">the next 100 years. The Project has been extensively quoted as a leading example of how a major long-term planning project should tackle the challenge of an uncertain future climate and changing risk. The success of the Plan will also strongly depend on </w:t>
      </w:r>
      <w:r w:rsidRPr="00974448">
        <w:rPr>
          <w:bCs/>
          <w:i/>
          <w:iCs/>
        </w:rPr>
        <w:t>the periodic review and effective monitoring of CC as it is experienced and is forecast</w:t>
      </w:r>
      <w:r w:rsidRPr="00974448">
        <w:rPr>
          <w:bCs/>
        </w:rPr>
        <w:t xml:space="preserve"> (</w:t>
      </w:r>
      <w:r w:rsidRPr="00974448">
        <w:rPr>
          <w:bCs/>
          <w:color w:val="7F7F7F" w:themeColor="text1" w:themeTint="80"/>
        </w:rPr>
        <w:t xml:space="preserve">EA 2009b, p.10; EA 2009A, </w:t>
      </w:r>
      <w:proofErr w:type="spellStart"/>
      <w:r w:rsidRPr="00974448">
        <w:rPr>
          <w:bCs/>
          <w:color w:val="7F7F7F" w:themeColor="text1" w:themeTint="80"/>
        </w:rPr>
        <w:t>p.xv</w:t>
      </w:r>
      <w:proofErr w:type="spellEnd"/>
      <w:r w:rsidRPr="00974448">
        <w:rPr>
          <w:bCs/>
          <w:color w:val="7F7F7F" w:themeColor="text1" w:themeTint="80"/>
        </w:rPr>
        <w:t>, 1, 71</w:t>
      </w:r>
      <w:r w:rsidRPr="00974448">
        <w:rPr>
          <w:bCs/>
        </w:rPr>
        <w:t>).</w:t>
      </w:r>
    </w:p>
    <w:p w14:paraId="2616EC55" w14:textId="77777777" w:rsidR="00AD22FD" w:rsidRPr="009B720F" w:rsidRDefault="00AD22FD" w:rsidP="00AD22FD">
      <w:pPr>
        <w:pStyle w:val="TEXTBODY"/>
        <w:spacing w:before="120" w:line="276" w:lineRule="auto"/>
        <w:rPr>
          <w:bCs/>
          <w:color w:val="7F7F7F" w:themeColor="text1" w:themeTint="80"/>
        </w:rPr>
      </w:pPr>
    </w:p>
    <w:p w14:paraId="5875381E" w14:textId="4900CF7C" w:rsidR="00AD22FD" w:rsidRPr="00974448" w:rsidRDefault="00AD22FD" w:rsidP="00AD22FD">
      <w:pPr>
        <w:pStyle w:val="Ttulo4"/>
        <w:spacing w:line="276" w:lineRule="auto"/>
        <w:rPr>
          <w:bCs/>
        </w:rPr>
      </w:pPr>
      <w:r w:rsidRPr="00974448">
        <w:rPr>
          <w:bCs/>
        </w:rPr>
        <w:t>Synthesis table</w:t>
      </w:r>
      <w:r>
        <w:rPr>
          <w:bCs/>
        </w:rPr>
        <w:t xml:space="preserve"> (Table 3)</w:t>
      </w:r>
    </w:p>
    <w:p w14:paraId="23F6BC6E" w14:textId="1F7CFDC0" w:rsidR="00AD22FD" w:rsidRPr="009B720F" w:rsidRDefault="00AD22FD" w:rsidP="00AD22FD">
      <w:pPr>
        <w:pStyle w:val="TEXTBODY"/>
        <w:spacing w:line="276" w:lineRule="auto"/>
        <w:rPr>
          <w:bCs/>
        </w:rPr>
      </w:pPr>
      <w:r w:rsidRPr="00E74925">
        <w:rPr>
          <w:b/>
        </w:rPr>
        <w:t xml:space="preserve">Table </w:t>
      </w:r>
      <w:r>
        <w:rPr>
          <w:b/>
        </w:rPr>
        <w:t>3</w:t>
      </w:r>
      <w:r w:rsidRPr="00974448">
        <w:rPr>
          <w:bCs/>
        </w:rPr>
        <w:t xml:space="preserve"> summarizes the main elements that were essential to design and implement a </w:t>
      </w:r>
      <w:r w:rsidRPr="00974448">
        <w:rPr>
          <w:bCs/>
          <w:i/>
          <w:iCs/>
        </w:rPr>
        <w:t xml:space="preserve">dynamic adaptive plan, </w:t>
      </w:r>
      <w:r w:rsidRPr="00974448">
        <w:rPr>
          <w:bCs/>
        </w:rPr>
        <w:t>as well as the fundamental ‘ingredients’ that make this</w:t>
      </w:r>
      <w:r w:rsidRPr="009B720F">
        <w:rPr>
          <w:bCs/>
        </w:rPr>
        <w:t xml:space="preserve"> Plan a</w:t>
      </w:r>
      <w:r w:rsidRPr="009B720F">
        <w:rPr>
          <w:bCs/>
          <w:i/>
          <w:iCs/>
        </w:rPr>
        <w:t xml:space="preserve"> robust adaptable plan</w:t>
      </w:r>
      <w:r w:rsidRPr="009B720F">
        <w:rPr>
          <w:bCs/>
        </w:rPr>
        <w:t>.</w:t>
      </w:r>
    </w:p>
    <w:p w14:paraId="4BA78028" w14:textId="77777777" w:rsidR="00AD22FD" w:rsidRPr="009B720F" w:rsidRDefault="00AD22FD" w:rsidP="00AD22FD">
      <w:pPr>
        <w:spacing w:line="276" w:lineRule="auto"/>
        <w:rPr>
          <w:rFonts w:ascii="Times New Roman" w:hAnsi="Times New Roman"/>
          <w:bCs/>
          <w:sz w:val="22"/>
          <w:szCs w:val="20"/>
        </w:rPr>
      </w:pPr>
      <w:r w:rsidRPr="009B720F">
        <w:rPr>
          <w:bCs/>
        </w:rPr>
        <w:br w:type="page"/>
      </w:r>
    </w:p>
    <w:tbl>
      <w:tblPr>
        <w:tblStyle w:val="TabelacomGrelha"/>
        <w:tblW w:w="9918" w:type="dxa"/>
        <w:tblLook w:val="04A0" w:firstRow="1" w:lastRow="0" w:firstColumn="1" w:lastColumn="0" w:noHBand="0" w:noVBand="1"/>
      </w:tblPr>
      <w:tblGrid>
        <w:gridCol w:w="707"/>
        <w:gridCol w:w="7373"/>
        <w:gridCol w:w="1838"/>
      </w:tblGrid>
      <w:tr w:rsidR="00AD22FD" w:rsidRPr="00E74925" w14:paraId="4E5A36EC" w14:textId="77777777" w:rsidTr="007318C5">
        <w:tc>
          <w:tcPr>
            <w:tcW w:w="9918" w:type="dxa"/>
            <w:gridSpan w:val="3"/>
          </w:tcPr>
          <w:p w14:paraId="73EC6135" w14:textId="675256D9" w:rsidR="00AD22FD" w:rsidRPr="00E74925" w:rsidRDefault="00AD22FD" w:rsidP="007318C5">
            <w:pPr>
              <w:pStyle w:val="tablecontenttext"/>
              <w:spacing w:line="240" w:lineRule="auto"/>
              <w:rPr>
                <w:b/>
                <w:bCs w:val="0"/>
                <w:sz w:val="14"/>
                <w:szCs w:val="14"/>
              </w:rPr>
            </w:pPr>
            <w:r w:rsidRPr="00E74925">
              <w:rPr>
                <w:b/>
                <w:bCs w:val="0"/>
                <w:sz w:val="14"/>
                <w:szCs w:val="14"/>
              </w:rPr>
              <w:lastRenderedPageBreak/>
              <w:t xml:space="preserve">Table </w:t>
            </w:r>
            <w:r>
              <w:rPr>
                <w:b/>
                <w:bCs w:val="0"/>
                <w:sz w:val="14"/>
                <w:szCs w:val="14"/>
              </w:rPr>
              <w:t>3</w:t>
            </w:r>
            <w:r w:rsidRPr="00E74925">
              <w:rPr>
                <w:b/>
                <w:bCs w:val="0"/>
                <w:sz w:val="14"/>
                <w:szCs w:val="14"/>
              </w:rPr>
              <w:t xml:space="preserve">. Key-elements of the TE21000’s </w:t>
            </w:r>
            <w:r w:rsidRPr="00E74925">
              <w:rPr>
                <w:b/>
                <w:bCs w:val="0"/>
                <w:i/>
                <w:sz w:val="14"/>
                <w:szCs w:val="14"/>
              </w:rPr>
              <w:t>Dynamic Adaptive Planning approach</w:t>
            </w:r>
            <w:r w:rsidRPr="00E74925">
              <w:rPr>
                <w:b/>
                <w:bCs w:val="0"/>
                <w:i/>
                <w:color w:val="C00000"/>
                <w:sz w:val="14"/>
                <w:szCs w:val="14"/>
              </w:rPr>
              <w:t xml:space="preserve"> </w:t>
            </w:r>
          </w:p>
        </w:tc>
      </w:tr>
      <w:tr w:rsidR="00AD22FD" w:rsidRPr="00E74925" w14:paraId="4ECA1FA8" w14:textId="77777777" w:rsidTr="007318C5">
        <w:tc>
          <w:tcPr>
            <w:tcW w:w="660" w:type="dxa"/>
          </w:tcPr>
          <w:p w14:paraId="75F9E18F" w14:textId="77777777" w:rsidR="00AD22FD" w:rsidRPr="00E74925" w:rsidRDefault="00AD22FD" w:rsidP="007318C5">
            <w:pPr>
              <w:pStyle w:val="tablecontenttext"/>
              <w:spacing w:line="240" w:lineRule="auto"/>
              <w:rPr>
                <w:sz w:val="14"/>
                <w:szCs w:val="14"/>
              </w:rPr>
            </w:pPr>
            <w:r w:rsidRPr="00E74925">
              <w:rPr>
                <w:sz w:val="14"/>
                <w:szCs w:val="14"/>
              </w:rPr>
              <w:t>Step of process in Fig.</w:t>
            </w:r>
            <w:r>
              <w:rPr>
                <w:sz w:val="14"/>
                <w:szCs w:val="14"/>
              </w:rPr>
              <w:t>8</w:t>
            </w:r>
          </w:p>
        </w:tc>
        <w:tc>
          <w:tcPr>
            <w:tcW w:w="7415" w:type="dxa"/>
          </w:tcPr>
          <w:p w14:paraId="0E4F2563" w14:textId="77777777" w:rsidR="00AD22FD" w:rsidRPr="00E74925" w:rsidRDefault="00AD22FD" w:rsidP="007318C5">
            <w:pPr>
              <w:pStyle w:val="tablecontenttext"/>
              <w:spacing w:line="240" w:lineRule="auto"/>
              <w:rPr>
                <w:sz w:val="14"/>
                <w:szCs w:val="14"/>
              </w:rPr>
            </w:pPr>
            <w:r w:rsidRPr="00E74925">
              <w:rPr>
                <w:sz w:val="14"/>
                <w:szCs w:val="14"/>
              </w:rPr>
              <w:t>Interpretation (deriving key-elements through an induction process)</w:t>
            </w:r>
          </w:p>
        </w:tc>
        <w:tc>
          <w:tcPr>
            <w:tcW w:w="1843" w:type="dxa"/>
          </w:tcPr>
          <w:p w14:paraId="0D59F2F4" w14:textId="77777777" w:rsidR="00AD22FD" w:rsidRPr="00E74925" w:rsidRDefault="00AD22FD" w:rsidP="007318C5">
            <w:pPr>
              <w:pStyle w:val="tablecontenttext"/>
              <w:spacing w:line="240" w:lineRule="auto"/>
              <w:rPr>
                <w:sz w:val="14"/>
                <w:szCs w:val="14"/>
              </w:rPr>
            </w:pPr>
            <w:r w:rsidRPr="00E74925">
              <w:rPr>
                <w:sz w:val="14"/>
                <w:szCs w:val="14"/>
              </w:rPr>
              <w:t xml:space="preserve">Key-element essential to design an </w:t>
            </w:r>
            <w:r w:rsidRPr="00E74925">
              <w:rPr>
                <w:i/>
                <w:iCs w:val="0"/>
                <w:sz w:val="14"/>
                <w:szCs w:val="14"/>
              </w:rPr>
              <w:t>adaptive plan</w:t>
            </w:r>
            <w:r w:rsidRPr="00E74925">
              <w:rPr>
                <w:sz w:val="14"/>
                <w:szCs w:val="14"/>
              </w:rPr>
              <w:t xml:space="preserve"> and operationalize a process of Adaptive Planning </w:t>
            </w:r>
          </w:p>
        </w:tc>
      </w:tr>
      <w:tr w:rsidR="00AD22FD" w:rsidRPr="00E74925" w14:paraId="7AF2B993" w14:textId="77777777" w:rsidTr="007318C5">
        <w:tc>
          <w:tcPr>
            <w:tcW w:w="660" w:type="dxa"/>
          </w:tcPr>
          <w:p w14:paraId="3B2D3F88" w14:textId="77777777" w:rsidR="00AD22FD" w:rsidRPr="00E74925" w:rsidRDefault="00AD22FD" w:rsidP="007318C5">
            <w:pPr>
              <w:pStyle w:val="tablecontenttext"/>
              <w:spacing w:line="240" w:lineRule="auto"/>
              <w:rPr>
                <w:sz w:val="14"/>
                <w:szCs w:val="14"/>
              </w:rPr>
            </w:pPr>
            <w:r w:rsidRPr="00E74925">
              <w:rPr>
                <w:sz w:val="14"/>
                <w:szCs w:val="14"/>
              </w:rPr>
              <w:t>Step 1b, then Steps 2b and 2c</w:t>
            </w:r>
          </w:p>
        </w:tc>
        <w:tc>
          <w:tcPr>
            <w:tcW w:w="7415" w:type="dxa"/>
          </w:tcPr>
          <w:p w14:paraId="51EB1388" w14:textId="77777777" w:rsidR="00AD22FD" w:rsidRPr="00E74925" w:rsidRDefault="00AD22FD" w:rsidP="007318C5">
            <w:pPr>
              <w:pStyle w:val="TEXTBODY"/>
              <w:rPr>
                <w:rFonts w:ascii="Arial" w:hAnsi="Arial" w:cs="Arial"/>
                <w:bCs/>
                <w:sz w:val="14"/>
                <w:szCs w:val="14"/>
              </w:rPr>
            </w:pPr>
            <w:r w:rsidRPr="00E74925">
              <w:rPr>
                <w:rFonts w:ascii="Arial" w:hAnsi="Arial" w:cs="Arial"/>
                <w:bCs/>
                <w:sz w:val="14"/>
                <w:szCs w:val="14"/>
              </w:rPr>
              <w:t>From an early phase, the TE2100 Project Team decided to incorporate the uncertainties inherent to CC projections into the planning and decision-making process (</w:t>
            </w:r>
            <w:r w:rsidRPr="00E74925">
              <w:rPr>
                <w:rFonts w:ascii="Arial" w:hAnsi="Arial" w:cs="Arial"/>
                <w:bCs/>
                <w:color w:val="7F7F7F" w:themeColor="text1" w:themeTint="80"/>
                <w:sz w:val="14"/>
                <w:szCs w:val="14"/>
              </w:rPr>
              <w:t>EA 2009A, p.71</w:t>
            </w:r>
            <w:r w:rsidRPr="00E74925">
              <w:rPr>
                <w:rFonts w:ascii="Arial" w:hAnsi="Arial" w:cs="Arial"/>
                <w:bCs/>
                <w:sz w:val="14"/>
                <w:szCs w:val="14"/>
              </w:rPr>
              <w:t xml:space="preserve">). The existence of deep uncertainties about future effects of CC and SLR on flood risk in the TE led the Team to commission research studies to the </w:t>
            </w:r>
            <w:r w:rsidRPr="00E74925">
              <w:rPr>
                <w:rFonts w:ascii="Arial" w:hAnsi="Arial" w:cs="Arial"/>
                <w:bCs/>
                <w:i/>
                <w:iCs/>
                <w:sz w:val="14"/>
                <w:szCs w:val="14"/>
              </w:rPr>
              <w:t>Met Office</w:t>
            </w:r>
            <w:r w:rsidRPr="00E74925">
              <w:rPr>
                <w:rFonts w:ascii="Arial" w:hAnsi="Arial" w:cs="Arial"/>
                <w:bCs/>
                <w:sz w:val="14"/>
                <w:szCs w:val="14"/>
              </w:rPr>
              <w:t xml:space="preserve"> and other organizations, </w:t>
            </w:r>
            <w:r w:rsidRPr="00E74925">
              <w:rPr>
                <w:rFonts w:ascii="Arial" w:hAnsi="Arial" w:cs="Arial"/>
                <w:bCs/>
                <w:color w:val="000000"/>
                <w:sz w:val="14"/>
                <w:szCs w:val="14"/>
              </w:rPr>
              <w:t xml:space="preserve">to better understand CC effects on relative SLR, storm surge and river flows (and the uncertainties associated to CC projections), and </w:t>
            </w:r>
            <w:r w:rsidRPr="00E74925">
              <w:rPr>
                <w:rFonts w:ascii="Arial" w:hAnsi="Arial" w:cs="Arial"/>
                <w:bCs/>
                <w:sz w:val="14"/>
                <w:szCs w:val="14"/>
              </w:rPr>
              <w:t>the plausible future increases in extreme water levels in the TE</w:t>
            </w:r>
            <w:r w:rsidRPr="00E74925">
              <w:rPr>
                <w:rFonts w:ascii="Arial" w:hAnsi="Arial" w:cs="Arial"/>
                <w:bCs/>
                <w:color w:val="000000"/>
                <w:sz w:val="14"/>
                <w:szCs w:val="14"/>
              </w:rPr>
              <w:t>, and to produce a range of future scenarios of water level rise (WLR) until 2100 (</w:t>
            </w:r>
            <w:r w:rsidRPr="00E74925">
              <w:rPr>
                <w:rFonts w:ascii="Arial" w:hAnsi="Arial" w:cs="Arial"/>
                <w:bCs/>
                <w:color w:val="7F7F7F" w:themeColor="text1" w:themeTint="80"/>
                <w:sz w:val="14"/>
                <w:szCs w:val="14"/>
              </w:rPr>
              <w:t>EA 2012, p.28; EA 2009A, p.71, 11</w:t>
            </w:r>
            <w:r w:rsidRPr="00E74925">
              <w:rPr>
                <w:rFonts w:ascii="Arial" w:hAnsi="Arial" w:cs="Arial"/>
                <w:bCs/>
                <w:sz w:val="14"/>
                <w:szCs w:val="14"/>
              </w:rPr>
              <w:t xml:space="preserve">). </w:t>
            </w:r>
          </w:p>
          <w:p w14:paraId="42591B0D" w14:textId="77777777" w:rsidR="00AD22FD" w:rsidRPr="00E74925" w:rsidRDefault="00AD22FD" w:rsidP="007318C5">
            <w:pPr>
              <w:pStyle w:val="tablecontenttext"/>
              <w:spacing w:line="240" w:lineRule="auto"/>
              <w:rPr>
                <w:sz w:val="14"/>
                <w:szCs w:val="14"/>
              </w:rPr>
            </w:pPr>
            <w:r w:rsidRPr="00E74925">
              <w:rPr>
                <w:sz w:val="14"/>
                <w:szCs w:val="14"/>
              </w:rPr>
              <w:t xml:space="preserve">The Team commissioned a research study to generate a range of plausible future scenarios of water level rise for TE until 2100. In the meantime, it worked with an extreme SLR scenario (the </w:t>
            </w:r>
            <w:r w:rsidRPr="00E74925">
              <w:rPr>
                <w:i/>
                <w:iCs w:val="0"/>
                <w:sz w:val="14"/>
                <w:szCs w:val="14"/>
              </w:rPr>
              <w:t>High++</w:t>
            </w:r>
            <w:r w:rsidRPr="00E74925">
              <w:rPr>
                <w:sz w:val="14"/>
                <w:szCs w:val="14"/>
              </w:rPr>
              <w:t xml:space="preserve">, 4,2m), which set an </w:t>
            </w:r>
            <w:proofErr w:type="gramStart"/>
            <w:r w:rsidRPr="00E74925">
              <w:rPr>
                <w:sz w:val="14"/>
                <w:szCs w:val="14"/>
              </w:rPr>
              <w:t>upper-boundary</w:t>
            </w:r>
            <w:proofErr w:type="gramEnd"/>
            <w:r w:rsidRPr="00E74925">
              <w:rPr>
                <w:sz w:val="14"/>
                <w:szCs w:val="14"/>
              </w:rPr>
              <w:t xml:space="preserve"> for the identification of possible measures (</w:t>
            </w:r>
            <w:r w:rsidRPr="00E74925">
              <w:rPr>
                <w:i/>
                <w:iCs w:val="0"/>
                <w:sz w:val="14"/>
                <w:szCs w:val="14"/>
              </w:rPr>
              <w:t>responses</w:t>
            </w:r>
            <w:r w:rsidRPr="00E74925">
              <w:rPr>
                <w:sz w:val="14"/>
                <w:szCs w:val="14"/>
              </w:rPr>
              <w:t>) and development of pathways (</w:t>
            </w:r>
            <w:r w:rsidRPr="00E74925">
              <w:rPr>
                <w:i/>
                <w:iCs w:val="0"/>
                <w:sz w:val="14"/>
                <w:szCs w:val="14"/>
              </w:rPr>
              <w:t>HLOs</w:t>
            </w:r>
            <w:r w:rsidRPr="00E74925">
              <w:rPr>
                <w:sz w:val="14"/>
                <w:szCs w:val="14"/>
              </w:rPr>
              <w:t xml:space="preserve">), and also with four socioeconomic scenarios (A to D). Later, three other SLR scenarios, and two socioeconomic scenarios (A and D), were used for refining and detailing the </w:t>
            </w:r>
            <w:r w:rsidRPr="00E74925">
              <w:rPr>
                <w:i/>
                <w:iCs w:val="0"/>
                <w:sz w:val="14"/>
                <w:szCs w:val="14"/>
              </w:rPr>
              <w:t>HLOs</w:t>
            </w:r>
            <w:r w:rsidRPr="00E74925">
              <w:rPr>
                <w:sz w:val="14"/>
                <w:szCs w:val="14"/>
              </w:rPr>
              <w:t xml:space="preserve"> (into </w:t>
            </w:r>
            <w:r w:rsidRPr="00E74925">
              <w:rPr>
                <w:i/>
                <w:iCs w:val="0"/>
                <w:sz w:val="14"/>
                <w:szCs w:val="14"/>
              </w:rPr>
              <w:t>Detailed Options for appraisal</w:t>
            </w:r>
            <w:r w:rsidRPr="00E74925">
              <w:rPr>
                <w:sz w:val="14"/>
                <w:szCs w:val="14"/>
              </w:rPr>
              <w:t xml:space="preserve">) and then for appraising them, namely for assessing the </w:t>
            </w:r>
            <w:r w:rsidRPr="00E74925">
              <w:rPr>
                <w:i/>
                <w:iCs w:val="0"/>
                <w:sz w:val="14"/>
                <w:szCs w:val="14"/>
              </w:rPr>
              <w:t>Options</w:t>
            </w:r>
            <w:r w:rsidRPr="00E74925">
              <w:rPr>
                <w:sz w:val="14"/>
                <w:szCs w:val="14"/>
              </w:rPr>
              <w:t>’ robustness (</w:t>
            </w:r>
            <w:r w:rsidRPr="00E74925">
              <w:rPr>
                <w:color w:val="7F7F7F" w:themeColor="text1" w:themeTint="80"/>
                <w:sz w:val="14"/>
                <w:szCs w:val="14"/>
              </w:rPr>
              <w:t>Ranger et al. 2013</w:t>
            </w:r>
            <w:r w:rsidRPr="00E74925">
              <w:rPr>
                <w:sz w:val="14"/>
                <w:szCs w:val="14"/>
              </w:rPr>
              <w:t>).</w:t>
            </w:r>
          </w:p>
        </w:tc>
        <w:tc>
          <w:tcPr>
            <w:tcW w:w="1843" w:type="dxa"/>
          </w:tcPr>
          <w:p w14:paraId="6F6FA8F9" w14:textId="77777777" w:rsidR="00AD22FD" w:rsidRPr="00E74925" w:rsidRDefault="00AD22FD" w:rsidP="007318C5">
            <w:pPr>
              <w:pStyle w:val="tablecontenttext"/>
              <w:spacing w:line="240" w:lineRule="auto"/>
              <w:rPr>
                <w:sz w:val="14"/>
                <w:szCs w:val="14"/>
              </w:rPr>
            </w:pPr>
            <w:r w:rsidRPr="00E74925">
              <w:rPr>
                <w:sz w:val="14"/>
                <w:szCs w:val="14"/>
              </w:rPr>
              <w:t xml:space="preserve">KE1: Working with a wide range of </w:t>
            </w:r>
            <w:r w:rsidRPr="00E74925">
              <w:rPr>
                <w:i/>
                <w:iCs w:val="0"/>
                <w:sz w:val="14"/>
                <w:szCs w:val="14"/>
              </w:rPr>
              <w:t>plausible future scenarios</w:t>
            </w:r>
            <w:r w:rsidRPr="00E74925">
              <w:rPr>
                <w:sz w:val="14"/>
                <w:szCs w:val="14"/>
              </w:rPr>
              <w:t xml:space="preserve"> (diverse SLR scenarios and socioeconomic scenarios, rather than a single probabilistic projection of the future), </w:t>
            </w:r>
            <w:proofErr w:type="gramStart"/>
            <w:r w:rsidRPr="00E74925">
              <w:rPr>
                <w:sz w:val="14"/>
                <w:szCs w:val="14"/>
              </w:rPr>
              <w:t>namely</w:t>
            </w:r>
            <w:proofErr w:type="gramEnd"/>
            <w:r w:rsidRPr="00E74925">
              <w:rPr>
                <w:sz w:val="14"/>
                <w:szCs w:val="14"/>
              </w:rPr>
              <w:t xml:space="preserve"> to assess measures and pathways on their effectiveness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and Reeder 2011;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et al. 2014</w:t>
            </w:r>
            <w:r w:rsidRPr="00E74925">
              <w:rPr>
                <w:sz w:val="14"/>
                <w:szCs w:val="14"/>
              </w:rPr>
              <w:t>)</w:t>
            </w:r>
          </w:p>
          <w:p w14:paraId="29B23DD6" w14:textId="77777777" w:rsidR="00AD22FD" w:rsidRPr="00E74925" w:rsidRDefault="00AD22FD" w:rsidP="007318C5">
            <w:pPr>
              <w:pStyle w:val="tablecontenttext"/>
              <w:spacing w:line="240" w:lineRule="auto"/>
              <w:rPr>
                <w:sz w:val="14"/>
                <w:szCs w:val="14"/>
              </w:rPr>
            </w:pPr>
          </w:p>
          <w:p w14:paraId="35FB0B71" w14:textId="77777777" w:rsidR="00AD22FD" w:rsidRPr="00E74925" w:rsidRDefault="00AD22FD" w:rsidP="007318C5">
            <w:pPr>
              <w:pStyle w:val="tablecontenttext"/>
              <w:spacing w:line="240" w:lineRule="auto"/>
              <w:rPr>
                <w:sz w:val="14"/>
                <w:szCs w:val="14"/>
              </w:rPr>
            </w:pPr>
          </w:p>
        </w:tc>
      </w:tr>
      <w:tr w:rsidR="00AD22FD" w:rsidRPr="00E74925" w14:paraId="08181B50" w14:textId="77777777" w:rsidTr="007318C5">
        <w:tc>
          <w:tcPr>
            <w:tcW w:w="660" w:type="dxa"/>
          </w:tcPr>
          <w:p w14:paraId="4CC64033" w14:textId="77777777" w:rsidR="00AD22FD" w:rsidRPr="00E74925" w:rsidRDefault="00AD22FD" w:rsidP="007318C5">
            <w:pPr>
              <w:pStyle w:val="tablecontenttext"/>
              <w:spacing w:line="240" w:lineRule="auto"/>
              <w:rPr>
                <w:sz w:val="14"/>
                <w:szCs w:val="14"/>
              </w:rPr>
            </w:pPr>
            <w:r w:rsidRPr="00E74925">
              <w:rPr>
                <w:sz w:val="14"/>
                <w:szCs w:val="14"/>
              </w:rPr>
              <w:t>Step 1c, then in Steps 2a and 2c</w:t>
            </w:r>
          </w:p>
        </w:tc>
        <w:tc>
          <w:tcPr>
            <w:tcW w:w="7415" w:type="dxa"/>
          </w:tcPr>
          <w:p w14:paraId="6C99D1D8" w14:textId="77777777" w:rsidR="00AD22FD" w:rsidRPr="00E74925" w:rsidRDefault="00AD22FD" w:rsidP="007318C5">
            <w:pPr>
              <w:pStyle w:val="tablecontenttext"/>
              <w:spacing w:line="240" w:lineRule="auto"/>
              <w:rPr>
                <w:sz w:val="14"/>
                <w:szCs w:val="14"/>
              </w:rPr>
            </w:pPr>
            <w:r w:rsidRPr="00E74925">
              <w:rPr>
                <w:sz w:val="14"/>
                <w:szCs w:val="14"/>
              </w:rPr>
              <w:t>The TE2100 Team identified critical thresholds in terms of the sensitivity and vulnerability of the FRM system to flood risk, which may occur between the present and the upper-bound figure of SLR initially considered (</w:t>
            </w:r>
            <w:r w:rsidRPr="00E74925">
              <w:rPr>
                <w:i/>
                <w:iCs w:val="0"/>
                <w:sz w:val="14"/>
                <w:szCs w:val="14"/>
              </w:rPr>
              <w:t>High++</w:t>
            </w:r>
            <w:r w:rsidRPr="00E74925">
              <w:rPr>
                <w:sz w:val="14"/>
                <w:szCs w:val="14"/>
              </w:rPr>
              <w:t>) and which would require new measures (e.g. major change points, levels of SLR at which existing defences fail, limits to the adaptation of existing defences, namely the level of SLR that poses an engineering limit to adapting defences, limits that would be disruptive for the FRM system which would imply modifying existing defences, critical levels for the system, etc.) (</w:t>
            </w:r>
            <w:r w:rsidRPr="00E74925">
              <w:rPr>
                <w:color w:val="7F7F7F" w:themeColor="text1" w:themeTint="80"/>
                <w:sz w:val="14"/>
                <w:szCs w:val="14"/>
              </w:rPr>
              <w:t xml:space="preserve">EA 2009A, p.149-151; Ranger et al. 2013; Reeder and Ranger 2011; Bloemen et al. 2018; Ramsbottom and Sheppard 2017;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and Reeder 2011; EA 2009b</w:t>
            </w:r>
            <w:r w:rsidRPr="00E74925">
              <w:rPr>
                <w:sz w:val="14"/>
                <w:szCs w:val="14"/>
              </w:rPr>
              <w:t xml:space="preserve">). </w:t>
            </w:r>
          </w:p>
          <w:p w14:paraId="64144C32" w14:textId="77777777" w:rsidR="00AD22FD" w:rsidRPr="00E74925" w:rsidRDefault="00AD22FD" w:rsidP="007318C5">
            <w:pPr>
              <w:pStyle w:val="tablecontenttext"/>
              <w:spacing w:line="240" w:lineRule="auto"/>
              <w:rPr>
                <w:sz w:val="14"/>
                <w:szCs w:val="14"/>
              </w:rPr>
            </w:pPr>
            <w:r w:rsidRPr="00E74925">
              <w:rPr>
                <w:sz w:val="14"/>
                <w:szCs w:val="14"/>
              </w:rPr>
              <w:t xml:space="preserve">Thresholds served as a </w:t>
            </w:r>
            <w:proofErr w:type="gramStart"/>
            <w:r w:rsidRPr="00E74925">
              <w:rPr>
                <w:sz w:val="14"/>
                <w:szCs w:val="14"/>
              </w:rPr>
              <w:t>starting-point</w:t>
            </w:r>
            <w:proofErr w:type="gramEnd"/>
            <w:r w:rsidRPr="00E74925">
              <w:rPr>
                <w:sz w:val="14"/>
                <w:szCs w:val="14"/>
              </w:rPr>
              <w:t xml:space="preserve"> for planning measures and pathways (</w:t>
            </w:r>
            <w:r w:rsidRPr="00E74925">
              <w:rPr>
                <w:color w:val="7F7F7F" w:themeColor="text1" w:themeTint="80"/>
                <w:sz w:val="14"/>
                <w:szCs w:val="14"/>
              </w:rPr>
              <w:t>EA 2009b</w:t>
            </w:r>
            <w:r w:rsidRPr="00E74925">
              <w:rPr>
                <w:sz w:val="14"/>
                <w:szCs w:val="14"/>
              </w:rPr>
              <w:t>). To design pathways (</w:t>
            </w:r>
            <w:r w:rsidRPr="00E74925">
              <w:rPr>
                <w:i/>
                <w:iCs w:val="0"/>
                <w:sz w:val="14"/>
                <w:szCs w:val="14"/>
              </w:rPr>
              <w:t>HLOs</w:t>
            </w:r>
            <w:r w:rsidRPr="00E74925">
              <w:rPr>
                <w:sz w:val="14"/>
                <w:szCs w:val="14"/>
              </w:rPr>
              <w:t>), it was necessary to identify conditions under which a measure no longer meets prespecified criteria and it is necessary to either take a new measure or switch to another pathway; and, more broadly, examining under what conditions the Plan might fail and preparing actions to safeguard against this (</w:t>
            </w:r>
            <w:r w:rsidRPr="00E74925">
              <w:rPr>
                <w:color w:val="7F7F7F" w:themeColor="text1" w:themeTint="80"/>
                <w:sz w:val="14"/>
                <w:szCs w:val="14"/>
              </w:rPr>
              <w:t>Ranger et al. 2013, p.250</w:t>
            </w:r>
            <w:r w:rsidRPr="00E74925">
              <w:rPr>
                <w:sz w:val="14"/>
                <w:szCs w:val="14"/>
              </w:rPr>
              <w:t xml:space="preserve">), thus, the design of pathways required the identification of thresholds. The APs approach implied a </w:t>
            </w:r>
            <w:r w:rsidRPr="00E74925">
              <w:rPr>
                <w:i/>
                <w:sz w:val="14"/>
                <w:szCs w:val="14"/>
              </w:rPr>
              <w:t>threshold analysis</w:t>
            </w:r>
            <w:r w:rsidRPr="00E74925">
              <w:rPr>
                <w:sz w:val="14"/>
                <w:szCs w:val="14"/>
              </w:rPr>
              <w:t xml:space="preserve"> (also called </w:t>
            </w:r>
            <w:r w:rsidRPr="00E74925">
              <w:rPr>
                <w:i/>
                <w:sz w:val="14"/>
                <w:szCs w:val="14"/>
              </w:rPr>
              <w:t xml:space="preserve">scenario-neutral </w:t>
            </w:r>
            <w:r w:rsidRPr="00E74925">
              <w:rPr>
                <w:sz w:val="14"/>
                <w:szCs w:val="14"/>
              </w:rPr>
              <w:t>or</w:t>
            </w:r>
            <w:r w:rsidRPr="00E74925">
              <w:rPr>
                <w:i/>
                <w:sz w:val="14"/>
                <w:szCs w:val="14"/>
              </w:rPr>
              <w:t xml:space="preserve"> threshold approach</w:t>
            </w:r>
            <w:r w:rsidRPr="00E74925">
              <w:rPr>
                <w:sz w:val="14"/>
                <w:szCs w:val="14"/>
              </w:rPr>
              <w:t xml:space="preserve">). Measures were assessed on their performance and effectiveness under different plausible levels of SLR: when a measure ceased to be effective, a new measure was needed, and a pathway arose. Each </w:t>
            </w:r>
            <w:r w:rsidRPr="00E74925">
              <w:rPr>
                <w:i/>
                <w:sz w:val="14"/>
                <w:szCs w:val="14"/>
              </w:rPr>
              <w:t>HLO</w:t>
            </w:r>
            <w:r w:rsidRPr="00E74925">
              <w:rPr>
                <w:sz w:val="14"/>
                <w:szCs w:val="14"/>
              </w:rPr>
              <w:t xml:space="preserve"> is made of sequenced measures to prevent that a certain probability of flooding (threshold level) is exceeded.</w:t>
            </w:r>
          </w:p>
        </w:tc>
        <w:tc>
          <w:tcPr>
            <w:tcW w:w="1843" w:type="dxa"/>
          </w:tcPr>
          <w:p w14:paraId="79BBF666" w14:textId="77777777" w:rsidR="00AD22FD" w:rsidRPr="00E74925" w:rsidRDefault="00AD22FD" w:rsidP="007318C5">
            <w:pPr>
              <w:pStyle w:val="tablecontenttext"/>
              <w:spacing w:line="240" w:lineRule="auto"/>
              <w:rPr>
                <w:sz w:val="14"/>
                <w:szCs w:val="14"/>
              </w:rPr>
            </w:pPr>
            <w:r w:rsidRPr="00E74925">
              <w:rPr>
                <w:sz w:val="14"/>
                <w:szCs w:val="14"/>
              </w:rPr>
              <w:t>KE2: Identifying critical thresholds, i.e. conditions under which the current or a proposed measure fails (ceases to be effective / meet the objectives), or the current system performs unacceptably, and a new measure is needed (</w:t>
            </w:r>
            <w:r w:rsidRPr="00E74925">
              <w:rPr>
                <w:color w:val="7F7F7F" w:themeColor="text1" w:themeTint="80"/>
                <w:sz w:val="14"/>
                <w:szCs w:val="14"/>
              </w:rPr>
              <w:t xml:space="preserve">Reeder and Ranger 2011; Ramsbottom et and Sheppard 2017; Walker et al. 2013;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et al. 2014</w:t>
            </w:r>
            <w:r w:rsidRPr="00E74925">
              <w:rPr>
                <w:sz w:val="14"/>
                <w:szCs w:val="14"/>
              </w:rPr>
              <w:t>).</w:t>
            </w:r>
            <w:r w:rsidRPr="00E74925">
              <w:rPr>
                <w:noProof/>
                <w:color w:val="C00000"/>
                <w:sz w:val="14"/>
                <w:szCs w:val="14"/>
              </w:rPr>
              <w:t xml:space="preserve"> </w:t>
            </w:r>
          </w:p>
          <w:p w14:paraId="3AE897E6" w14:textId="77777777" w:rsidR="00AD22FD" w:rsidRPr="00E74925" w:rsidRDefault="00AD22FD" w:rsidP="007318C5">
            <w:pPr>
              <w:pStyle w:val="tablecontenttext"/>
              <w:spacing w:line="240" w:lineRule="auto"/>
              <w:rPr>
                <w:sz w:val="14"/>
                <w:szCs w:val="14"/>
              </w:rPr>
            </w:pPr>
          </w:p>
        </w:tc>
      </w:tr>
      <w:tr w:rsidR="00AD22FD" w:rsidRPr="00E74925" w14:paraId="2BDF2CC6" w14:textId="77777777" w:rsidTr="007318C5">
        <w:tc>
          <w:tcPr>
            <w:tcW w:w="660" w:type="dxa"/>
          </w:tcPr>
          <w:p w14:paraId="1FDC8DDA" w14:textId="77777777" w:rsidR="00AD22FD" w:rsidRPr="00E74925" w:rsidRDefault="00AD22FD" w:rsidP="007318C5">
            <w:pPr>
              <w:pStyle w:val="tablecontenttext"/>
              <w:spacing w:line="240" w:lineRule="auto"/>
              <w:rPr>
                <w:sz w:val="14"/>
                <w:szCs w:val="14"/>
              </w:rPr>
            </w:pPr>
            <w:r w:rsidRPr="00E74925">
              <w:rPr>
                <w:sz w:val="14"/>
                <w:szCs w:val="14"/>
              </w:rPr>
              <w:t>Step 2</w:t>
            </w:r>
          </w:p>
        </w:tc>
        <w:tc>
          <w:tcPr>
            <w:tcW w:w="7415" w:type="dxa"/>
          </w:tcPr>
          <w:p w14:paraId="6B3AAA1A" w14:textId="77777777" w:rsidR="00AD22FD" w:rsidRPr="00E74925" w:rsidRDefault="00AD22FD" w:rsidP="007318C5">
            <w:pPr>
              <w:pStyle w:val="TEXTBODY"/>
              <w:spacing w:after="60"/>
              <w:rPr>
                <w:rFonts w:ascii="Arial" w:hAnsi="Arial" w:cs="Arial"/>
                <w:bCs/>
                <w:sz w:val="14"/>
                <w:szCs w:val="14"/>
              </w:rPr>
            </w:pPr>
            <w:r w:rsidRPr="00E74925">
              <w:rPr>
                <w:rFonts w:ascii="Arial" w:hAnsi="Arial" w:cs="Arial"/>
                <w:bCs/>
                <w:sz w:val="14"/>
                <w:szCs w:val="14"/>
              </w:rPr>
              <w:t>The TE2100 Team decided to</w:t>
            </w:r>
            <w:r w:rsidRPr="00E74925">
              <w:rPr>
                <w:rFonts w:ascii="Arial" w:hAnsi="Arial" w:cs="Arial"/>
                <w:bCs/>
                <w:color w:val="C00000"/>
                <w:sz w:val="14"/>
                <w:szCs w:val="14"/>
              </w:rPr>
              <w:t xml:space="preserve"> </w:t>
            </w:r>
            <w:r w:rsidRPr="00E74925">
              <w:rPr>
                <w:rFonts w:ascii="Arial" w:hAnsi="Arial" w:cs="Arial"/>
                <w:bCs/>
                <w:sz w:val="14"/>
                <w:szCs w:val="14"/>
              </w:rPr>
              <w:t xml:space="preserve">develop a </w:t>
            </w:r>
            <w:r w:rsidRPr="00E74925">
              <w:rPr>
                <w:rFonts w:ascii="Arial" w:hAnsi="Arial" w:cs="Arial"/>
                <w:bCs/>
                <w:i/>
                <w:iCs/>
                <w:sz w:val="14"/>
                <w:szCs w:val="14"/>
              </w:rPr>
              <w:t>dynamic adaptive plan</w:t>
            </w:r>
            <w:r w:rsidRPr="00E74925">
              <w:rPr>
                <w:rFonts w:ascii="Arial" w:hAnsi="Arial" w:cs="Arial"/>
                <w:bCs/>
                <w:sz w:val="14"/>
                <w:szCs w:val="14"/>
              </w:rPr>
              <w:t xml:space="preserve"> that was both </w:t>
            </w:r>
            <w:r w:rsidRPr="00E74925">
              <w:rPr>
                <w:rFonts w:ascii="Arial" w:hAnsi="Arial" w:cs="Arial"/>
                <w:bCs/>
                <w:i/>
                <w:iCs/>
                <w:sz w:val="14"/>
                <w:szCs w:val="14"/>
              </w:rPr>
              <w:t xml:space="preserve">robust </w:t>
            </w:r>
            <w:r w:rsidRPr="00E74925">
              <w:rPr>
                <w:rFonts w:ascii="Arial" w:hAnsi="Arial" w:cs="Arial"/>
                <w:bCs/>
                <w:sz w:val="14"/>
                <w:szCs w:val="14"/>
              </w:rPr>
              <w:t xml:space="preserve">and </w:t>
            </w:r>
            <w:r w:rsidRPr="00E74925">
              <w:rPr>
                <w:rFonts w:ascii="Arial" w:hAnsi="Arial" w:cs="Arial"/>
                <w:bCs/>
                <w:i/>
                <w:iCs/>
                <w:sz w:val="14"/>
                <w:szCs w:val="14"/>
              </w:rPr>
              <w:t xml:space="preserve">flexible </w:t>
            </w:r>
            <w:r w:rsidRPr="00E74925">
              <w:rPr>
                <w:rFonts w:ascii="Arial" w:hAnsi="Arial" w:cs="Arial"/>
                <w:bCs/>
                <w:sz w:val="14"/>
                <w:szCs w:val="14"/>
              </w:rPr>
              <w:t xml:space="preserve">/ </w:t>
            </w:r>
            <w:r w:rsidRPr="00E74925">
              <w:rPr>
                <w:rFonts w:ascii="Arial" w:hAnsi="Arial" w:cs="Arial"/>
                <w:bCs/>
                <w:i/>
                <w:iCs/>
                <w:sz w:val="14"/>
                <w:szCs w:val="14"/>
              </w:rPr>
              <w:t>adaptable</w:t>
            </w:r>
            <w:r w:rsidRPr="00E74925">
              <w:rPr>
                <w:rFonts w:ascii="Arial" w:hAnsi="Arial" w:cs="Arial"/>
                <w:bCs/>
                <w:sz w:val="14"/>
                <w:szCs w:val="14"/>
              </w:rPr>
              <w:t xml:space="preserve"> to uncertain future changes (</w:t>
            </w:r>
            <w:r w:rsidRPr="00E74925">
              <w:rPr>
                <w:rFonts w:ascii="Arial" w:hAnsi="Arial" w:cs="Arial"/>
                <w:bCs/>
                <w:color w:val="7F7F7F" w:themeColor="text1" w:themeTint="80"/>
                <w:sz w:val="14"/>
                <w:szCs w:val="14"/>
              </w:rPr>
              <w:t>EA 2012, p.35-39, 1, 29; EA 2009A, p.11; Ranger et al. 2013, p.233, 239</w:t>
            </w:r>
            <w:r w:rsidRPr="00E74925">
              <w:rPr>
                <w:rFonts w:ascii="Arial" w:hAnsi="Arial" w:cs="Arial"/>
                <w:bCs/>
                <w:sz w:val="14"/>
                <w:szCs w:val="14"/>
              </w:rPr>
              <w:t>,</w:t>
            </w:r>
            <w:r w:rsidRPr="00E74925">
              <w:rPr>
                <w:rFonts w:ascii="Arial" w:hAnsi="Arial" w:cs="Arial"/>
                <w:bCs/>
                <w:color w:val="7F7F7F" w:themeColor="text1" w:themeTint="80"/>
                <w:sz w:val="14"/>
                <w:szCs w:val="14"/>
              </w:rPr>
              <w:t xml:space="preserve"> 247, 249-250, 254, 257-258; Ramsbottom and Sheppard 2017, p.1, 18</w:t>
            </w:r>
            <w:r w:rsidRPr="00E74925">
              <w:rPr>
                <w:rFonts w:ascii="Arial" w:hAnsi="Arial" w:cs="Arial"/>
                <w:bCs/>
                <w:sz w:val="14"/>
                <w:szCs w:val="14"/>
              </w:rPr>
              <w:t xml:space="preserve">), and to construct such </w:t>
            </w:r>
            <w:r w:rsidRPr="00E74925">
              <w:rPr>
                <w:rFonts w:ascii="Arial" w:hAnsi="Arial" w:cs="Arial"/>
                <w:bCs/>
                <w:i/>
                <w:iCs/>
                <w:sz w:val="14"/>
                <w:szCs w:val="14"/>
              </w:rPr>
              <w:t>dynamic adaptive plan</w:t>
            </w:r>
            <w:r w:rsidRPr="00E74925">
              <w:rPr>
                <w:rFonts w:ascii="Arial" w:hAnsi="Arial" w:cs="Arial"/>
                <w:bCs/>
                <w:sz w:val="14"/>
                <w:szCs w:val="14"/>
              </w:rPr>
              <w:t xml:space="preserve">, the Team devised a novel methodological approach: the </w:t>
            </w:r>
            <w:r w:rsidRPr="00E74925">
              <w:rPr>
                <w:rFonts w:ascii="Arial" w:hAnsi="Arial" w:cs="Arial"/>
                <w:bCs/>
                <w:i/>
                <w:iCs/>
                <w:sz w:val="14"/>
                <w:szCs w:val="14"/>
              </w:rPr>
              <w:t>Adaptation Pathways approach</w:t>
            </w:r>
            <w:r w:rsidRPr="00E74925">
              <w:rPr>
                <w:rFonts w:ascii="Arial" w:hAnsi="Arial" w:cs="Arial"/>
                <w:bCs/>
                <w:sz w:val="14"/>
                <w:szCs w:val="14"/>
              </w:rPr>
              <w:t xml:space="preserve"> (APs, </w:t>
            </w:r>
            <w:r w:rsidRPr="00E74925">
              <w:rPr>
                <w:rFonts w:ascii="Arial" w:hAnsi="Arial" w:cs="Arial"/>
                <w:bCs/>
                <w:i/>
                <w:iCs/>
                <w:sz w:val="14"/>
                <w:szCs w:val="14"/>
              </w:rPr>
              <w:t xml:space="preserve">Route-map </w:t>
            </w:r>
            <w:r w:rsidRPr="00E74925">
              <w:rPr>
                <w:rFonts w:ascii="Arial" w:hAnsi="Arial" w:cs="Arial"/>
                <w:bCs/>
                <w:sz w:val="14"/>
                <w:szCs w:val="14"/>
              </w:rPr>
              <w:t xml:space="preserve">or </w:t>
            </w:r>
            <w:r w:rsidRPr="00E74925">
              <w:rPr>
                <w:rFonts w:ascii="Arial" w:hAnsi="Arial" w:cs="Arial"/>
                <w:bCs/>
                <w:i/>
                <w:iCs/>
                <w:sz w:val="14"/>
                <w:szCs w:val="14"/>
              </w:rPr>
              <w:t>Decision Pathways approach</w:t>
            </w:r>
            <w:r w:rsidRPr="00E74925">
              <w:rPr>
                <w:rFonts w:ascii="Arial" w:hAnsi="Arial" w:cs="Arial"/>
                <w:bCs/>
                <w:sz w:val="14"/>
                <w:szCs w:val="14"/>
              </w:rPr>
              <w:t xml:space="preserve"> (</w:t>
            </w:r>
            <w:r w:rsidRPr="00E74925">
              <w:rPr>
                <w:rFonts w:ascii="Arial" w:hAnsi="Arial" w:cs="Arial"/>
                <w:bCs/>
                <w:color w:val="7F7F7F" w:themeColor="text1" w:themeTint="80"/>
                <w:sz w:val="14"/>
                <w:szCs w:val="14"/>
              </w:rPr>
              <w:t xml:space="preserve">EA 2009b, p.200, 3-4; Ranger et al. 2013, p.249; </w:t>
            </w:r>
            <w:r w:rsidRPr="00E74925">
              <w:rPr>
                <w:rFonts w:ascii="Arial" w:hAnsi="Arial" w:cs="Arial"/>
                <w:bCs/>
                <w:iCs/>
                <w:color w:val="7F7F7F" w:themeColor="text1" w:themeTint="80"/>
                <w:sz w:val="14"/>
                <w:szCs w:val="14"/>
              </w:rPr>
              <w:t>Reeder and Ranger 2011, p.5, 8</w:t>
            </w:r>
            <w:r w:rsidRPr="00E74925">
              <w:rPr>
                <w:rFonts w:ascii="Arial" w:hAnsi="Arial" w:cs="Arial"/>
                <w:bCs/>
                <w:sz w:val="14"/>
                <w:szCs w:val="14"/>
              </w:rPr>
              <w:t>).</w:t>
            </w:r>
            <w:r w:rsidRPr="00E74925">
              <w:rPr>
                <w:rStyle w:val="Refdenotaderodap"/>
                <w:rFonts w:ascii="Arial" w:hAnsi="Arial" w:cs="Arial"/>
                <w:bCs/>
                <w:sz w:val="14"/>
                <w:szCs w:val="14"/>
              </w:rPr>
              <w:footnoteReference w:id="66"/>
            </w:r>
            <w:r w:rsidRPr="00E74925">
              <w:rPr>
                <w:rFonts w:ascii="Arial" w:hAnsi="Arial" w:cs="Arial"/>
                <w:bCs/>
                <w:sz w:val="14"/>
                <w:szCs w:val="14"/>
              </w:rPr>
              <w:t xml:space="preserve"> </w:t>
            </w:r>
          </w:p>
          <w:p w14:paraId="449C9358" w14:textId="77777777" w:rsidR="00AD22FD" w:rsidRPr="00E74925" w:rsidRDefault="00AD22FD" w:rsidP="007318C5">
            <w:pPr>
              <w:pStyle w:val="TEXTBODY"/>
              <w:spacing w:after="60"/>
              <w:rPr>
                <w:rFonts w:ascii="Arial" w:hAnsi="Arial" w:cs="Arial"/>
                <w:bCs/>
                <w:sz w:val="14"/>
                <w:szCs w:val="14"/>
              </w:rPr>
            </w:pPr>
            <w:r w:rsidRPr="00E74925">
              <w:rPr>
                <w:rFonts w:ascii="Arial" w:hAnsi="Arial" w:cs="Arial"/>
                <w:bCs/>
                <w:sz w:val="14"/>
                <w:szCs w:val="14"/>
              </w:rPr>
              <w:t>In</w:t>
            </w:r>
            <w:r w:rsidRPr="00E74925">
              <w:rPr>
                <w:rFonts w:ascii="Arial" w:hAnsi="Arial" w:cs="Arial"/>
                <w:bCs/>
                <w:color w:val="00B050"/>
                <w:sz w:val="14"/>
                <w:szCs w:val="14"/>
              </w:rPr>
              <w:t xml:space="preserve"> </w:t>
            </w:r>
            <w:r w:rsidRPr="00E74925">
              <w:rPr>
                <w:rFonts w:ascii="Arial" w:hAnsi="Arial" w:cs="Arial"/>
                <w:bCs/>
                <w:sz w:val="14"/>
                <w:szCs w:val="14"/>
              </w:rPr>
              <w:t xml:space="preserve">the APs approach, the Plan and its strategies </w:t>
            </w:r>
            <w:r w:rsidRPr="00E74925">
              <w:rPr>
                <w:rFonts w:ascii="Arial" w:hAnsi="Arial" w:cs="Arial"/>
                <w:bCs/>
                <w:i/>
                <w:iCs/>
                <w:sz w:val="14"/>
                <w:szCs w:val="14"/>
              </w:rPr>
              <w:t>are designed to be adjusted over time as more is learnt about the future</w:t>
            </w:r>
            <w:r w:rsidRPr="00E74925">
              <w:rPr>
                <w:rFonts w:ascii="Arial" w:hAnsi="Arial" w:cs="Arial"/>
                <w:bCs/>
                <w:sz w:val="14"/>
                <w:szCs w:val="14"/>
              </w:rPr>
              <w:t xml:space="preserve"> or as changes occur (</w:t>
            </w:r>
            <w:r w:rsidRPr="00E74925">
              <w:rPr>
                <w:rFonts w:ascii="Arial" w:hAnsi="Arial" w:cs="Arial"/>
                <w:bCs/>
                <w:color w:val="7F7F7F" w:themeColor="text1" w:themeTint="80"/>
                <w:sz w:val="14"/>
                <w:szCs w:val="14"/>
              </w:rPr>
              <w:t>Ranger et al. 2013, p.249</w:t>
            </w:r>
            <w:r w:rsidRPr="00E74925">
              <w:rPr>
                <w:rFonts w:ascii="Arial" w:hAnsi="Arial" w:cs="Arial"/>
                <w:bCs/>
                <w:sz w:val="14"/>
                <w:szCs w:val="14"/>
              </w:rPr>
              <w:t xml:space="preserve">); in addition, measures are implemented over time to continuously manage risk (i.e. keep risk below acceptable levels), while keeping open options for the future (alternatives to manage future risk), thus, maintaining </w:t>
            </w:r>
            <w:r w:rsidRPr="00E74925">
              <w:rPr>
                <w:rFonts w:ascii="Arial" w:hAnsi="Arial" w:cs="Arial"/>
                <w:bCs/>
                <w:i/>
                <w:iCs/>
                <w:sz w:val="14"/>
                <w:szCs w:val="14"/>
              </w:rPr>
              <w:t>flexibility</w:t>
            </w:r>
            <w:r w:rsidRPr="00E74925">
              <w:rPr>
                <w:rFonts w:ascii="Arial" w:hAnsi="Arial" w:cs="Arial"/>
                <w:bCs/>
                <w:sz w:val="14"/>
                <w:szCs w:val="14"/>
              </w:rPr>
              <w:t>, rather than designing an optimal solution for a particular level of risk (</w:t>
            </w:r>
            <w:r w:rsidRPr="00E74925">
              <w:rPr>
                <w:rFonts w:ascii="Arial" w:hAnsi="Arial" w:cs="Arial"/>
                <w:bCs/>
                <w:color w:val="7F7F7F" w:themeColor="text1" w:themeTint="80"/>
                <w:sz w:val="14"/>
                <w:szCs w:val="14"/>
              </w:rPr>
              <w:t xml:space="preserve">Ranger et al. 2013, 249, 247, 239, 233, 258; Reeder and Ranger 2011, p.13, 4; </w:t>
            </w:r>
            <w:proofErr w:type="spellStart"/>
            <w:r w:rsidRPr="00E74925">
              <w:rPr>
                <w:rFonts w:ascii="Arial" w:hAnsi="Arial" w:cs="Arial"/>
                <w:bCs/>
                <w:color w:val="808080" w:themeColor="background1" w:themeShade="80"/>
                <w:sz w:val="14"/>
                <w:szCs w:val="14"/>
              </w:rPr>
              <w:t>J</w:t>
            </w:r>
            <w:r w:rsidRPr="00E74925">
              <w:rPr>
                <w:rFonts w:ascii="Arial" w:hAnsi="Arial" w:cs="Arial"/>
                <w:bCs/>
                <w:color w:val="7F7F7F" w:themeColor="text1" w:themeTint="80"/>
                <w:sz w:val="14"/>
                <w:szCs w:val="14"/>
              </w:rPr>
              <w:t>euken</w:t>
            </w:r>
            <w:proofErr w:type="spellEnd"/>
            <w:r w:rsidRPr="00E74925">
              <w:rPr>
                <w:rFonts w:ascii="Arial" w:hAnsi="Arial" w:cs="Arial"/>
                <w:bCs/>
                <w:color w:val="7F7F7F" w:themeColor="text1" w:themeTint="80"/>
                <w:sz w:val="14"/>
                <w:szCs w:val="14"/>
              </w:rPr>
              <w:t xml:space="preserve"> and Reeder 2011, p.4</w:t>
            </w:r>
            <w:r w:rsidRPr="00E74925">
              <w:rPr>
                <w:rFonts w:ascii="Arial" w:hAnsi="Arial" w:cs="Arial"/>
                <w:bCs/>
                <w:sz w:val="14"/>
                <w:szCs w:val="14"/>
              </w:rPr>
              <w:t>).</w:t>
            </w:r>
          </w:p>
          <w:p w14:paraId="45CD6006" w14:textId="77777777" w:rsidR="00AD22FD" w:rsidRPr="00E74925" w:rsidRDefault="00AD22FD" w:rsidP="007318C5">
            <w:pPr>
              <w:pStyle w:val="TEXTBODY"/>
              <w:spacing w:after="60"/>
              <w:rPr>
                <w:rFonts w:ascii="Arial" w:hAnsi="Arial" w:cs="Arial"/>
                <w:bCs/>
                <w:sz w:val="14"/>
                <w:szCs w:val="14"/>
              </w:rPr>
            </w:pPr>
            <w:r w:rsidRPr="00E74925">
              <w:rPr>
                <w:rFonts w:ascii="Arial" w:hAnsi="Arial" w:cs="Arial"/>
                <w:bCs/>
                <w:sz w:val="14"/>
                <w:szCs w:val="14"/>
              </w:rPr>
              <w:t xml:space="preserve">In the TE2100 Plan, each pathway – so-called </w:t>
            </w:r>
            <w:r w:rsidRPr="00E74925">
              <w:rPr>
                <w:rFonts w:ascii="Arial" w:hAnsi="Arial" w:cs="Arial"/>
                <w:bCs/>
                <w:i/>
                <w:iCs/>
                <w:sz w:val="14"/>
                <w:szCs w:val="14"/>
              </w:rPr>
              <w:t xml:space="preserve">HLO </w:t>
            </w:r>
            <w:r w:rsidRPr="00E74925">
              <w:rPr>
                <w:rFonts w:ascii="Arial" w:hAnsi="Arial" w:cs="Arial"/>
                <w:bCs/>
                <w:sz w:val="14"/>
                <w:szCs w:val="14"/>
              </w:rPr>
              <w:t xml:space="preserve">/ </w:t>
            </w:r>
            <w:r w:rsidRPr="00E74925">
              <w:rPr>
                <w:rFonts w:ascii="Arial" w:hAnsi="Arial" w:cs="Arial"/>
                <w:bCs/>
                <w:i/>
                <w:iCs/>
                <w:sz w:val="14"/>
                <w:szCs w:val="14"/>
              </w:rPr>
              <w:t>Option</w:t>
            </w:r>
            <w:r w:rsidRPr="00E74925">
              <w:rPr>
                <w:rFonts w:ascii="Arial" w:hAnsi="Arial" w:cs="Arial"/>
                <w:bCs/>
                <w:sz w:val="14"/>
                <w:szCs w:val="14"/>
              </w:rPr>
              <w:t xml:space="preserve"> – is a ‘</w:t>
            </w:r>
            <w:r w:rsidRPr="00E74925">
              <w:rPr>
                <w:rFonts w:ascii="Arial" w:hAnsi="Arial" w:cs="Arial"/>
                <w:bCs/>
                <w:i/>
                <w:iCs/>
                <w:sz w:val="14"/>
                <w:szCs w:val="14"/>
              </w:rPr>
              <w:t>package</w:t>
            </w:r>
            <w:r w:rsidRPr="00E74925">
              <w:rPr>
                <w:rFonts w:ascii="Arial" w:hAnsi="Arial" w:cs="Arial"/>
                <w:bCs/>
                <w:sz w:val="14"/>
                <w:szCs w:val="14"/>
              </w:rPr>
              <w:t>’</w:t>
            </w:r>
            <w:r w:rsidRPr="00E74925">
              <w:rPr>
                <w:rFonts w:ascii="Arial" w:hAnsi="Arial" w:cs="Arial"/>
                <w:bCs/>
                <w:i/>
                <w:iCs/>
                <w:sz w:val="14"/>
                <w:szCs w:val="14"/>
              </w:rPr>
              <w:t xml:space="preserve"> </w:t>
            </w:r>
            <w:r w:rsidRPr="00E74925">
              <w:rPr>
                <w:rFonts w:ascii="Arial" w:hAnsi="Arial" w:cs="Arial"/>
                <w:bCs/>
                <w:sz w:val="14"/>
                <w:szCs w:val="14"/>
              </w:rPr>
              <w:t>of sequenced measures that can be implemented over time (</w:t>
            </w:r>
            <w:r w:rsidRPr="00E74925">
              <w:rPr>
                <w:rFonts w:ascii="Arial" w:hAnsi="Arial" w:cs="Arial"/>
                <w:bCs/>
                <w:iCs/>
                <w:color w:val="7F7F7F" w:themeColor="text1" w:themeTint="80"/>
                <w:sz w:val="14"/>
                <w:szCs w:val="14"/>
              </w:rPr>
              <w:t xml:space="preserve">Ranger et al. 2013, p.249; Reeder and Ranger 2011, p.8; </w:t>
            </w:r>
            <w:proofErr w:type="spellStart"/>
            <w:r w:rsidRPr="00E74925">
              <w:rPr>
                <w:rFonts w:ascii="Arial" w:hAnsi="Arial" w:cs="Arial"/>
                <w:bCs/>
                <w:color w:val="7F7F7F" w:themeColor="text1" w:themeTint="80"/>
                <w:sz w:val="14"/>
                <w:szCs w:val="14"/>
              </w:rPr>
              <w:t>Jeuken</w:t>
            </w:r>
            <w:proofErr w:type="spellEnd"/>
            <w:r w:rsidRPr="00E74925">
              <w:rPr>
                <w:rFonts w:ascii="Arial" w:hAnsi="Arial" w:cs="Arial"/>
                <w:bCs/>
                <w:color w:val="7F7F7F" w:themeColor="text1" w:themeTint="80"/>
                <w:sz w:val="14"/>
                <w:szCs w:val="14"/>
              </w:rPr>
              <w:t xml:space="preserve"> and Reeder 2011, p.4; EA 2009b, p.3-4</w:t>
            </w:r>
            <w:r w:rsidRPr="00E74925">
              <w:rPr>
                <w:rFonts w:ascii="Arial" w:hAnsi="Arial" w:cs="Arial"/>
                <w:bCs/>
                <w:iCs/>
                <w:sz w:val="14"/>
                <w:szCs w:val="14"/>
              </w:rPr>
              <w:t>); hence, each</w:t>
            </w:r>
            <w:r w:rsidRPr="00E74925">
              <w:rPr>
                <w:rFonts w:ascii="Arial" w:hAnsi="Arial" w:cs="Arial"/>
                <w:bCs/>
                <w:sz w:val="14"/>
                <w:szCs w:val="14"/>
              </w:rPr>
              <w:t xml:space="preserve"> pathway consists of a </w:t>
            </w:r>
            <w:r w:rsidRPr="00E74925">
              <w:rPr>
                <w:rFonts w:ascii="Arial" w:hAnsi="Arial" w:cs="Arial"/>
                <w:bCs/>
                <w:i/>
                <w:iCs/>
                <w:sz w:val="14"/>
                <w:szCs w:val="14"/>
              </w:rPr>
              <w:t xml:space="preserve">number </w:t>
            </w:r>
            <w:r w:rsidRPr="00E74925">
              <w:rPr>
                <w:rFonts w:ascii="Arial" w:hAnsi="Arial" w:cs="Arial"/>
                <w:bCs/>
                <w:sz w:val="14"/>
                <w:szCs w:val="14"/>
              </w:rPr>
              <w:t xml:space="preserve">(set) of measures (individual or in </w:t>
            </w:r>
            <w:r w:rsidRPr="00E74925">
              <w:rPr>
                <w:rFonts w:ascii="Arial" w:hAnsi="Arial" w:cs="Arial"/>
                <w:bCs/>
                <w:i/>
                <w:iCs/>
                <w:sz w:val="14"/>
                <w:szCs w:val="14"/>
              </w:rPr>
              <w:t>portfolios</w:t>
            </w:r>
            <w:r w:rsidRPr="00E74925">
              <w:rPr>
                <w:rFonts w:ascii="Arial" w:hAnsi="Arial" w:cs="Arial"/>
                <w:bCs/>
                <w:sz w:val="14"/>
                <w:szCs w:val="14"/>
              </w:rPr>
              <w:t>) that are implemented in sequence to manage flood risk in a staged way (</w:t>
            </w:r>
            <w:r w:rsidRPr="00E74925">
              <w:rPr>
                <w:rFonts w:ascii="Arial" w:hAnsi="Arial" w:cs="Arial"/>
                <w:bCs/>
                <w:color w:val="7F7F7F" w:themeColor="text1" w:themeTint="80"/>
                <w:sz w:val="14"/>
                <w:szCs w:val="14"/>
              </w:rPr>
              <w:t>Bloemen et al. 2018, p.8; Ramsbottom and Sheppard 2017, p.2, 5</w:t>
            </w:r>
            <w:r w:rsidRPr="00E74925">
              <w:rPr>
                <w:rFonts w:ascii="Arial" w:hAnsi="Arial" w:cs="Arial"/>
                <w:bCs/>
                <w:sz w:val="14"/>
                <w:szCs w:val="14"/>
              </w:rPr>
              <w:t>).</w:t>
            </w:r>
            <w:r w:rsidRPr="00E74925">
              <w:rPr>
                <w:rStyle w:val="Refdenotaderodap"/>
                <w:rFonts w:ascii="Arial" w:hAnsi="Arial" w:cs="Arial"/>
                <w:bCs/>
                <w:sz w:val="14"/>
                <w:szCs w:val="14"/>
              </w:rPr>
              <w:footnoteReference w:id="67"/>
            </w:r>
            <w:r w:rsidRPr="00E74925">
              <w:rPr>
                <w:rFonts w:ascii="Arial" w:hAnsi="Arial" w:cs="Arial"/>
                <w:bCs/>
                <w:sz w:val="14"/>
                <w:szCs w:val="14"/>
              </w:rPr>
              <w:t xml:space="preserve"> </w:t>
            </w:r>
            <w:r w:rsidRPr="00E74925">
              <w:rPr>
                <w:rFonts w:ascii="Arial" w:hAnsi="Arial" w:cs="Arial"/>
                <w:bCs/>
                <w:iCs/>
                <w:sz w:val="14"/>
                <w:szCs w:val="14"/>
              </w:rPr>
              <w:t>Each</w:t>
            </w:r>
            <w:r w:rsidRPr="00E74925">
              <w:rPr>
                <w:rFonts w:ascii="Arial" w:hAnsi="Arial" w:cs="Arial"/>
                <w:bCs/>
                <w:i/>
                <w:sz w:val="14"/>
                <w:szCs w:val="14"/>
              </w:rPr>
              <w:t xml:space="preserve"> Option </w:t>
            </w:r>
            <w:r w:rsidRPr="00E74925">
              <w:rPr>
                <w:rFonts w:ascii="Arial" w:hAnsi="Arial" w:cs="Arial"/>
                <w:bCs/>
                <w:sz w:val="14"/>
                <w:szCs w:val="14"/>
              </w:rPr>
              <w:t xml:space="preserve">comprises </w:t>
            </w:r>
            <w:r w:rsidRPr="00E74925">
              <w:rPr>
                <w:rFonts w:ascii="Arial" w:hAnsi="Arial" w:cs="Arial"/>
                <w:bCs/>
                <w:i/>
                <w:iCs/>
                <w:sz w:val="14"/>
                <w:szCs w:val="14"/>
              </w:rPr>
              <w:t>a sequence of interventions</w:t>
            </w:r>
            <w:r w:rsidRPr="00E74925">
              <w:rPr>
                <w:rFonts w:ascii="Arial" w:hAnsi="Arial" w:cs="Arial"/>
                <w:bCs/>
                <w:sz w:val="14"/>
                <w:szCs w:val="14"/>
              </w:rPr>
              <w:t xml:space="preserve"> or </w:t>
            </w:r>
            <w:r w:rsidRPr="00E74925">
              <w:rPr>
                <w:rFonts w:ascii="Arial" w:hAnsi="Arial" w:cs="Arial"/>
                <w:bCs/>
                <w:i/>
                <w:sz w:val="14"/>
                <w:szCs w:val="14"/>
              </w:rPr>
              <w:t>portfolios</w:t>
            </w:r>
            <w:r w:rsidRPr="00E74925">
              <w:rPr>
                <w:rFonts w:ascii="Arial" w:hAnsi="Arial" w:cs="Arial"/>
                <w:bCs/>
                <w:sz w:val="14"/>
                <w:szCs w:val="14"/>
              </w:rPr>
              <w:t xml:space="preserve"> over the next 100 years; the</w:t>
            </w:r>
            <w:r w:rsidRPr="00E74925">
              <w:rPr>
                <w:rFonts w:ascii="Arial" w:hAnsi="Arial" w:cs="Arial"/>
                <w:bCs/>
                <w:i/>
                <w:sz w:val="14"/>
                <w:szCs w:val="14"/>
              </w:rPr>
              <w:t xml:space="preserve"> dates at which one portfolio changes to another portfolio depend on key thresholds for FRM assumed </w:t>
            </w:r>
            <w:r w:rsidRPr="00E74925">
              <w:rPr>
                <w:rFonts w:ascii="Arial" w:hAnsi="Arial" w:cs="Arial"/>
                <w:bCs/>
                <w:sz w:val="14"/>
                <w:szCs w:val="14"/>
              </w:rPr>
              <w:t>(</w:t>
            </w:r>
            <w:r w:rsidRPr="00E74925">
              <w:rPr>
                <w:rFonts w:ascii="Arial" w:hAnsi="Arial" w:cs="Arial"/>
                <w:bCs/>
                <w:color w:val="7F7F7F" w:themeColor="text1" w:themeTint="80"/>
                <w:sz w:val="14"/>
                <w:szCs w:val="14"/>
              </w:rPr>
              <w:t>EA 2009A, p.277, 297, 149-150, 152, 262</w:t>
            </w:r>
            <w:r w:rsidRPr="00E74925">
              <w:rPr>
                <w:rFonts w:ascii="Arial" w:hAnsi="Arial" w:cs="Arial"/>
                <w:bCs/>
                <w:sz w:val="14"/>
                <w:szCs w:val="14"/>
              </w:rPr>
              <w:t xml:space="preserve">). </w:t>
            </w:r>
          </w:p>
          <w:p w14:paraId="72E9A3D6" w14:textId="77777777" w:rsidR="00AD22FD" w:rsidRPr="00E74925" w:rsidRDefault="00AD22FD" w:rsidP="007318C5">
            <w:pPr>
              <w:pStyle w:val="TEXTBODY"/>
              <w:spacing w:after="60"/>
              <w:rPr>
                <w:rFonts w:ascii="Arial" w:hAnsi="Arial" w:cs="Arial"/>
                <w:bCs/>
                <w:sz w:val="14"/>
                <w:szCs w:val="14"/>
              </w:rPr>
            </w:pPr>
            <w:r w:rsidRPr="00E74925">
              <w:rPr>
                <w:rFonts w:ascii="Arial" w:hAnsi="Arial" w:cs="Arial"/>
                <w:bCs/>
                <w:sz w:val="14"/>
                <w:szCs w:val="14"/>
              </w:rPr>
              <w:t>Overall, the Team sought to</w:t>
            </w:r>
            <w:r w:rsidRPr="00E74925">
              <w:rPr>
                <w:rFonts w:ascii="Arial" w:hAnsi="Arial" w:cs="Arial"/>
                <w:bCs/>
                <w:i/>
                <w:iCs/>
                <w:sz w:val="14"/>
                <w:szCs w:val="14"/>
              </w:rPr>
              <w:t xml:space="preserve"> </w:t>
            </w:r>
            <w:r w:rsidRPr="00E74925">
              <w:rPr>
                <w:rFonts w:ascii="Arial" w:hAnsi="Arial" w:cs="Arial"/>
                <w:bCs/>
                <w:sz w:val="14"/>
                <w:szCs w:val="14"/>
              </w:rPr>
              <w:t xml:space="preserve">develop an </w:t>
            </w:r>
            <w:r w:rsidRPr="00E74925">
              <w:rPr>
                <w:rFonts w:ascii="Arial" w:hAnsi="Arial" w:cs="Arial"/>
                <w:bCs/>
                <w:i/>
                <w:iCs/>
                <w:sz w:val="14"/>
                <w:szCs w:val="14"/>
              </w:rPr>
              <w:t xml:space="preserve">adaptable Plan </w:t>
            </w:r>
            <w:r w:rsidRPr="00E74925">
              <w:rPr>
                <w:rFonts w:ascii="Arial" w:hAnsi="Arial" w:cs="Arial"/>
                <w:bCs/>
                <w:sz w:val="14"/>
                <w:szCs w:val="14"/>
              </w:rPr>
              <w:t xml:space="preserve">composed of </w:t>
            </w:r>
            <w:r w:rsidRPr="00E74925">
              <w:rPr>
                <w:rFonts w:ascii="Arial" w:hAnsi="Arial" w:cs="Arial"/>
                <w:bCs/>
                <w:i/>
                <w:iCs/>
                <w:sz w:val="14"/>
                <w:szCs w:val="14"/>
              </w:rPr>
              <w:t>Options</w:t>
            </w:r>
            <w:r w:rsidRPr="00E74925">
              <w:rPr>
                <w:rFonts w:ascii="Arial" w:hAnsi="Arial" w:cs="Arial"/>
                <w:bCs/>
                <w:sz w:val="14"/>
                <w:szCs w:val="14"/>
              </w:rPr>
              <w:t>, each</w:t>
            </w:r>
            <w:r w:rsidRPr="00E74925">
              <w:rPr>
                <w:rFonts w:ascii="Arial" w:hAnsi="Arial" w:cs="Arial"/>
                <w:bCs/>
                <w:i/>
                <w:iCs/>
                <w:sz w:val="14"/>
                <w:szCs w:val="14"/>
              </w:rPr>
              <w:t xml:space="preserve"> Option</w:t>
            </w:r>
            <w:r w:rsidRPr="00E74925">
              <w:rPr>
                <w:rFonts w:ascii="Arial" w:hAnsi="Arial" w:cs="Arial"/>
                <w:bCs/>
                <w:sz w:val="14"/>
                <w:szCs w:val="14"/>
              </w:rPr>
              <w:t xml:space="preserve"> made up </w:t>
            </w:r>
            <w:r w:rsidRPr="00E74925">
              <w:rPr>
                <w:rFonts w:ascii="Arial" w:hAnsi="Arial" w:cs="Arial"/>
                <w:bCs/>
                <w:i/>
                <w:iCs/>
                <w:sz w:val="14"/>
                <w:szCs w:val="14"/>
              </w:rPr>
              <w:t xml:space="preserve">with interventions sequenced through the century to adapt to future CC </w:t>
            </w:r>
            <w:r w:rsidRPr="00E74925">
              <w:rPr>
                <w:rFonts w:ascii="Arial" w:hAnsi="Arial" w:cs="Arial"/>
                <w:bCs/>
                <w:sz w:val="14"/>
                <w:szCs w:val="14"/>
              </w:rPr>
              <w:t>(</w:t>
            </w:r>
            <w:r w:rsidRPr="00E74925">
              <w:rPr>
                <w:rFonts w:ascii="Arial" w:hAnsi="Arial" w:cs="Arial"/>
                <w:bCs/>
                <w:color w:val="7F7F7F" w:themeColor="text1" w:themeTint="80"/>
                <w:sz w:val="14"/>
                <w:szCs w:val="14"/>
              </w:rPr>
              <w:t xml:space="preserve">EA 2009A, </w:t>
            </w:r>
            <w:proofErr w:type="spellStart"/>
            <w:r w:rsidRPr="00E74925">
              <w:rPr>
                <w:rFonts w:ascii="Arial" w:hAnsi="Arial" w:cs="Arial"/>
                <w:bCs/>
                <w:color w:val="7F7F7F" w:themeColor="text1" w:themeTint="80"/>
                <w:sz w:val="14"/>
                <w:szCs w:val="14"/>
              </w:rPr>
              <w:t>p.xv</w:t>
            </w:r>
            <w:proofErr w:type="spellEnd"/>
            <w:r w:rsidRPr="00E74925">
              <w:rPr>
                <w:rFonts w:ascii="Arial" w:hAnsi="Arial" w:cs="Arial"/>
                <w:bCs/>
                <w:color w:val="7F7F7F" w:themeColor="text1" w:themeTint="80"/>
                <w:sz w:val="14"/>
                <w:szCs w:val="14"/>
              </w:rPr>
              <w:t>, 73</w:t>
            </w:r>
            <w:r w:rsidRPr="00E74925">
              <w:rPr>
                <w:rFonts w:ascii="Arial" w:hAnsi="Arial" w:cs="Arial"/>
                <w:bCs/>
                <w:sz w:val="14"/>
                <w:szCs w:val="14"/>
              </w:rPr>
              <w:t>).</w:t>
            </w:r>
          </w:p>
          <w:p w14:paraId="083F4AE5" w14:textId="77777777" w:rsidR="00AD22FD" w:rsidRPr="00E74925" w:rsidRDefault="00AD22FD" w:rsidP="007318C5">
            <w:pPr>
              <w:pStyle w:val="TEXTBODY"/>
              <w:spacing w:after="60"/>
              <w:rPr>
                <w:rFonts w:ascii="Arial" w:hAnsi="Arial" w:cs="Arial"/>
                <w:bCs/>
                <w:color w:val="C00000"/>
                <w:sz w:val="14"/>
                <w:szCs w:val="14"/>
              </w:rPr>
            </w:pPr>
            <w:r w:rsidRPr="00E74925">
              <w:rPr>
                <w:rFonts w:ascii="Arial" w:hAnsi="Arial" w:cs="Arial"/>
                <w:bCs/>
                <w:sz w:val="14"/>
                <w:szCs w:val="14"/>
              </w:rPr>
              <w:t>The TE2100’s route-map shows</w:t>
            </w:r>
            <w:r w:rsidRPr="00E74925">
              <w:rPr>
                <w:rFonts w:ascii="Arial" w:hAnsi="Arial" w:cs="Arial"/>
                <w:bCs/>
                <w:color w:val="C00000"/>
                <w:sz w:val="14"/>
                <w:szCs w:val="14"/>
              </w:rPr>
              <w:t xml:space="preserve"> </w:t>
            </w:r>
            <w:r w:rsidRPr="00E74925">
              <w:rPr>
                <w:rFonts w:ascii="Arial" w:hAnsi="Arial" w:cs="Arial"/>
                <w:bCs/>
                <w:sz w:val="14"/>
                <w:szCs w:val="14"/>
              </w:rPr>
              <w:t xml:space="preserve">a </w:t>
            </w:r>
            <w:r w:rsidRPr="00505570">
              <w:rPr>
                <w:rFonts w:ascii="Arial" w:hAnsi="Arial" w:cs="Arial"/>
                <w:bCs/>
                <w:sz w:val="14"/>
                <w:szCs w:val="14"/>
              </w:rPr>
              <w:t xml:space="preserve">set / suite of </w:t>
            </w:r>
            <w:r w:rsidRPr="00E74925">
              <w:rPr>
                <w:rFonts w:ascii="Arial" w:hAnsi="Arial" w:cs="Arial"/>
                <w:bCs/>
                <w:sz w:val="14"/>
                <w:szCs w:val="14"/>
              </w:rPr>
              <w:t>five different possible pathways (</w:t>
            </w:r>
            <w:r w:rsidRPr="00E74925">
              <w:rPr>
                <w:rFonts w:ascii="Arial" w:hAnsi="Arial" w:cs="Arial"/>
                <w:bCs/>
                <w:i/>
                <w:iCs/>
                <w:sz w:val="14"/>
                <w:szCs w:val="14"/>
              </w:rPr>
              <w:t>HLOs</w:t>
            </w:r>
            <w:r w:rsidRPr="00E74925">
              <w:rPr>
                <w:rFonts w:ascii="Arial" w:hAnsi="Arial" w:cs="Arial"/>
                <w:bCs/>
                <w:sz w:val="14"/>
                <w:szCs w:val="14"/>
              </w:rPr>
              <w:t>) (</w:t>
            </w:r>
            <w:r w:rsidRPr="00E74925">
              <w:rPr>
                <w:rFonts w:ascii="Arial" w:hAnsi="Arial" w:cs="Arial"/>
                <w:bCs/>
                <w:color w:val="7F7F7F" w:themeColor="text1" w:themeTint="80"/>
                <w:sz w:val="14"/>
                <w:szCs w:val="14"/>
              </w:rPr>
              <w:t>EA 2009A, p.149</w:t>
            </w:r>
            <w:r w:rsidRPr="00E74925">
              <w:rPr>
                <w:rFonts w:ascii="Arial" w:hAnsi="Arial" w:cs="Arial"/>
                <w:bCs/>
                <w:sz w:val="14"/>
                <w:szCs w:val="14"/>
              </w:rPr>
              <w:t xml:space="preserve">). By using the APs approach, the Team could design </w:t>
            </w:r>
            <w:r w:rsidRPr="00E74925">
              <w:rPr>
                <w:rFonts w:ascii="Arial" w:hAnsi="Arial" w:cs="Arial"/>
                <w:bCs/>
                <w:i/>
                <w:iCs/>
                <w:sz w:val="14"/>
                <w:szCs w:val="14"/>
              </w:rPr>
              <w:t>a set of Options</w:t>
            </w:r>
            <w:r w:rsidRPr="00E74925">
              <w:rPr>
                <w:rFonts w:ascii="Arial" w:hAnsi="Arial" w:cs="Arial"/>
                <w:bCs/>
                <w:sz w:val="14"/>
                <w:szCs w:val="14"/>
              </w:rPr>
              <w:t>, i.e. the Project Team has</w:t>
            </w:r>
            <w:r w:rsidRPr="00E74925">
              <w:rPr>
                <w:rFonts w:ascii="Arial" w:hAnsi="Arial" w:cs="Arial"/>
                <w:bCs/>
                <w:i/>
                <w:iCs/>
                <w:sz w:val="14"/>
                <w:szCs w:val="14"/>
              </w:rPr>
              <w:t xml:space="preserve"> </w:t>
            </w:r>
            <w:r w:rsidRPr="00E74925">
              <w:rPr>
                <w:rFonts w:ascii="Arial" w:hAnsi="Arial" w:cs="Arial"/>
                <w:bCs/>
                <w:sz w:val="14"/>
                <w:szCs w:val="14"/>
              </w:rPr>
              <w:t>developed</w:t>
            </w:r>
            <w:r w:rsidRPr="00E74925">
              <w:rPr>
                <w:rFonts w:ascii="Arial" w:hAnsi="Arial" w:cs="Arial"/>
                <w:bCs/>
                <w:i/>
                <w:iCs/>
                <w:sz w:val="14"/>
                <w:szCs w:val="14"/>
              </w:rPr>
              <w:t xml:space="preserve"> a range of options to manage flood risk</w:t>
            </w:r>
            <w:r w:rsidRPr="00E74925">
              <w:rPr>
                <w:rFonts w:ascii="Arial" w:hAnsi="Arial" w:cs="Arial"/>
                <w:bCs/>
                <w:sz w:val="14"/>
                <w:szCs w:val="14"/>
              </w:rPr>
              <w:t xml:space="preserve"> (a range of different FRM options) (</w:t>
            </w:r>
            <w:r w:rsidRPr="00E74925">
              <w:rPr>
                <w:rFonts w:ascii="Arial" w:hAnsi="Arial" w:cs="Arial"/>
                <w:bCs/>
                <w:color w:val="7F7F7F" w:themeColor="text1" w:themeTint="80"/>
                <w:sz w:val="14"/>
                <w:szCs w:val="14"/>
              </w:rPr>
              <w:t xml:space="preserve">EA 2009A, </w:t>
            </w:r>
            <w:proofErr w:type="spellStart"/>
            <w:r w:rsidRPr="00E74925">
              <w:rPr>
                <w:rFonts w:ascii="Arial" w:hAnsi="Arial" w:cs="Arial"/>
                <w:bCs/>
                <w:color w:val="7F7F7F" w:themeColor="text1" w:themeTint="80"/>
                <w:sz w:val="14"/>
                <w:szCs w:val="14"/>
              </w:rPr>
              <w:t>p.x</w:t>
            </w:r>
            <w:proofErr w:type="spellEnd"/>
            <w:r w:rsidRPr="00E74925">
              <w:rPr>
                <w:rFonts w:ascii="Arial" w:hAnsi="Arial" w:cs="Arial"/>
                <w:bCs/>
                <w:color w:val="7F7F7F" w:themeColor="text1" w:themeTint="80"/>
                <w:sz w:val="14"/>
                <w:szCs w:val="14"/>
              </w:rPr>
              <w:t xml:space="preserve">, 8, 72, 142, 149, 259, 279, 290; EA 2012, p.32, 34, 6, 32; </w:t>
            </w:r>
            <w:r w:rsidRPr="00E74925">
              <w:rPr>
                <w:rFonts w:ascii="Arial" w:eastAsia="Frutiger-Roman" w:hAnsi="Arial" w:cs="Arial"/>
                <w:bCs/>
                <w:color w:val="7F7F7F" w:themeColor="text1" w:themeTint="80"/>
                <w:sz w:val="14"/>
                <w:szCs w:val="14"/>
              </w:rPr>
              <w:t xml:space="preserve">EA 2009b, p.2; </w:t>
            </w:r>
            <w:r w:rsidRPr="00E74925">
              <w:rPr>
                <w:rFonts w:ascii="Arial" w:eastAsia="Frutiger-Roman" w:hAnsi="Arial" w:cs="Arial"/>
                <w:bCs/>
                <w:iCs/>
                <w:color w:val="7F7F7F" w:themeColor="text1" w:themeTint="80"/>
                <w:sz w:val="14"/>
                <w:szCs w:val="14"/>
              </w:rPr>
              <w:t>Bloemen et al. 2018, p.7</w:t>
            </w:r>
            <w:r w:rsidRPr="00E74925">
              <w:rPr>
                <w:rFonts w:ascii="Arial" w:hAnsi="Arial" w:cs="Arial"/>
                <w:bCs/>
                <w:sz w:val="14"/>
                <w:szCs w:val="14"/>
              </w:rPr>
              <w:t>).</w:t>
            </w:r>
            <w:r w:rsidRPr="00E74925">
              <w:rPr>
                <w:rStyle w:val="Refdenotaderodap"/>
                <w:rFonts w:ascii="Arial" w:hAnsi="Arial" w:cs="Arial"/>
                <w:bCs/>
                <w:sz w:val="14"/>
                <w:szCs w:val="14"/>
              </w:rPr>
              <w:footnoteReference w:id="68"/>
            </w:r>
            <w:r w:rsidRPr="00E74925">
              <w:rPr>
                <w:rFonts w:ascii="Arial" w:hAnsi="Arial" w:cs="Arial"/>
                <w:bCs/>
                <w:sz w:val="14"/>
                <w:szCs w:val="14"/>
              </w:rPr>
              <w:t xml:space="preserve"> This </w:t>
            </w:r>
            <w:r w:rsidRPr="00E74925">
              <w:rPr>
                <w:rFonts w:ascii="Arial" w:hAnsi="Arial" w:cs="Arial"/>
                <w:bCs/>
                <w:i/>
                <w:iCs/>
                <w:sz w:val="14"/>
                <w:szCs w:val="14"/>
              </w:rPr>
              <w:t>set of Options</w:t>
            </w:r>
            <w:r w:rsidRPr="00E74925">
              <w:rPr>
                <w:rFonts w:ascii="Arial" w:hAnsi="Arial" w:cs="Arial"/>
                <w:bCs/>
                <w:sz w:val="14"/>
                <w:szCs w:val="14"/>
              </w:rPr>
              <w:t xml:space="preserve"> is a key output of the TE2100 Plan.</w:t>
            </w:r>
          </w:p>
          <w:p w14:paraId="7F28FA4B" w14:textId="77777777" w:rsidR="00AD22FD" w:rsidRPr="00E74925" w:rsidRDefault="00AD22FD" w:rsidP="007318C5">
            <w:pPr>
              <w:pStyle w:val="TEXTBODY"/>
              <w:spacing w:after="60"/>
              <w:rPr>
                <w:rFonts w:ascii="Arial" w:hAnsi="Arial" w:cs="Arial"/>
                <w:bCs/>
                <w:sz w:val="14"/>
                <w:szCs w:val="14"/>
              </w:rPr>
            </w:pPr>
            <w:r w:rsidRPr="00E74925">
              <w:rPr>
                <w:rFonts w:ascii="Arial" w:hAnsi="Arial" w:cs="Arial"/>
                <w:bCs/>
                <w:sz w:val="14"/>
                <w:szCs w:val="14"/>
              </w:rPr>
              <w:t>Each</w:t>
            </w:r>
            <w:r w:rsidRPr="00E74925">
              <w:rPr>
                <w:rFonts w:ascii="Arial" w:hAnsi="Arial" w:cs="Arial"/>
                <w:bCs/>
                <w:i/>
                <w:iCs/>
                <w:sz w:val="14"/>
                <w:szCs w:val="14"/>
              </w:rPr>
              <w:t xml:space="preserve"> HLO</w:t>
            </w:r>
            <w:r w:rsidRPr="00E74925">
              <w:rPr>
                <w:rFonts w:ascii="Arial" w:hAnsi="Arial" w:cs="Arial"/>
                <w:bCs/>
                <w:sz w:val="14"/>
                <w:szCs w:val="14"/>
              </w:rPr>
              <w:t xml:space="preserve">/pathway is </w:t>
            </w:r>
            <w:r w:rsidRPr="00E74925">
              <w:rPr>
                <w:rFonts w:ascii="Arial" w:hAnsi="Arial" w:cs="Arial"/>
                <w:bCs/>
                <w:i/>
                <w:iCs/>
                <w:sz w:val="14"/>
                <w:szCs w:val="14"/>
              </w:rPr>
              <w:t>flexible</w:t>
            </w:r>
            <w:r w:rsidRPr="00E74925">
              <w:rPr>
                <w:rFonts w:ascii="Arial" w:hAnsi="Arial" w:cs="Arial"/>
                <w:bCs/>
                <w:sz w:val="14"/>
                <w:szCs w:val="14"/>
              </w:rPr>
              <w:t xml:space="preserve"> as it is, e.g., possible to move from a measure to another, and it is also possible to move from a </w:t>
            </w:r>
            <w:r w:rsidRPr="00E74925">
              <w:rPr>
                <w:rFonts w:ascii="Arial" w:hAnsi="Arial" w:cs="Arial"/>
                <w:bCs/>
                <w:i/>
                <w:iCs/>
                <w:sz w:val="14"/>
                <w:szCs w:val="14"/>
              </w:rPr>
              <w:t xml:space="preserve">HLO </w:t>
            </w:r>
            <w:r w:rsidRPr="00E74925">
              <w:rPr>
                <w:rFonts w:ascii="Arial" w:hAnsi="Arial" w:cs="Arial"/>
                <w:bCs/>
                <w:sz w:val="14"/>
                <w:szCs w:val="14"/>
              </w:rPr>
              <w:t>to another one, depending on the rate of change experienced (</w:t>
            </w:r>
            <w:r w:rsidRPr="00E74925">
              <w:rPr>
                <w:rFonts w:ascii="Arial" w:hAnsi="Arial" w:cs="Arial"/>
                <w:bCs/>
                <w:color w:val="7F7F7F" w:themeColor="text1" w:themeTint="80"/>
                <w:sz w:val="14"/>
                <w:szCs w:val="14"/>
              </w:rPr>
              <w:t xml:space="preserve">EA 2009b, p.4; Reeder and Ranger 2011, p.9; Lowe et al. 2009, p.89; </w:t>
            </w:r>
            <w:proofErr w:type="spellStart"/>
            <w:r w:rsidRPr="00E74925">
              <w:rPr>
                <w:rFonts w:ascii="Arial" w:hAnsi="Arial" w:cs="Arial"/>
                <w:bCs/>
                <w:color w:val="7F7F7F" w:themeColor="text1" w:themeTint="80"/>
                <w:sz w:val="14"/>
                <w:szCs w:val="14"/>
              </w:rPr>
              <w:t>Jeuken</w:t>
            </w:r>
            <w:proofErr w:type="spellEnd"/>
            <w:r w:rsidRPr="00E74925">
              <w:rPr>
                <w:rFonts w:ascii="Arial" w:hAnsi="Arial" w:cs="Arial"/>
                <w:bCs/>
                <w:color w:val="7F7F7F" w:themeColor="text1" w:themeTint="80"/>
                <w:sz w:val="14"/>
                <w:szCs w:val="14"/>
              </w:rPr>
              <w:t xml:space="preserve"> and Reeder 2011, p.4</w:t>
            </w:r>
            <w:r w:rsidRPr="00E74925">
              <w:rPr>
                <w:rFonts w:ascii="Arial" w:hAnsi="Arial" w:cs="Arial"/>
                <w:bCs/>
                <w:sz w:val="14"/>
                <w:szCs w:val="14"/>
              </w:rPr>
              <w:t xml:space="preserve">), i.e. it is possible to switch between different </w:t>
            </w:r>
            <w:r w:rsidRPr="00E74925">
              <w:rPr>
                <w:rFonts w:ascii="Arial" w:hAnsi="Arial" w:cs="Arial"/>
                <w:bCs/>
                <w:sz w:val="14"/>
                <w:szCs w:val="14"/>
              </w:rPr>
              <w:lastRenderedPageBreak/>
              <w:t>measures or pathways (</w:t>
            </w:r>
            <w:proofErr w:type="spellStart"/>
            <w:r w:rsidRPr="00E74925">
              <w:rPr>
                <w:rFonts w:ascii="Arial" w:hAnsi="Arial" w:cs="Arial"/>
                <w:bCs/>
                <w:color w:val="7F7F7F" w:themeColor="text1" w:themeTint="80"/>
                <w:sz w:val="14"/>
                <w:szCs w:val="14"/>
              </w:rPr>
              <w:t>Jeuken</w:t>
            </w:r>
            <w:proofErr w:type="spellEnd"/>
            <w:r w:rsidRPr="00E74925">
              <w:rPr>
                <w:rFonts w:ascii="Arial" w:hAnsi="Arial" w:cs="Arial"/>
                <w:bCs/>
                <w:color w:val="7F7F7F" w:themeColor="text1" w:themeTint="80"/>
                <w:sz w:val="14"/>
                <w:szCs w:val="14"/>
              </w:rPr>
              <w:t xml:space="preserve"> et al. 2014, p.10</w:t>
            </w:r>
            <w:r w:rsidRPr="00E74925">
              <w:rPr>
                <w:rFonts w:ascii="Arial" w:hAnsi="Arial" w:cs="Arial"/>
                <w:bCs/>
                <w:sz w:val="14"/>
                <w:szCs w:val="14"/>
              </w:rPr>
              <w:t xml:space="preserve">). Moreover, in the TE2100’s APs approach, the timing of new measures, and measures themselves, can be changed over time, in this way, </w:t>
            </w:r>
            <w:r w:rsidRPr="00E74925">
              <w:rPr>
                <w:rFonts w:ascii="Arial" w:hAnsi="Arial" w:cs="Arial"/>
                <w:bCs/>
                <w:i/>
                <w:iCs/>
                <w:sz w:val="14"/>
                <w:szCs w:val="14"/>
              </w:rPr>
              <w:t>flexibility is built into the long-term strategy itself</w:t>
            </w:r>
            <w:r w:rsidRPr="00E74925">
              <w:rPr>
                <w:rFonts w:ascii="Arial" w:hAnsi="Arial" w:cs="Arial"/>
                <w:bCs/>
                <w:sz w:val="14"/>
                <w:szCs w:val="14"/>
              </w:rPr>
              <w:t xml:space="preserve"> (</w:t>
            </w:r>
            <w:r w:rsidRPr="00E74925">
              <w:rPr>
                <w:rFonts w:ascii="Arial" w:hAnsi="Arial" w:cs="Arial"/>
                <w:bCs/>
                <w:color w:val="7F7F7F" w:themeColor="text1" w:themeTint="80"/>
                <w:sz w:val="14"/>
                <w:szCs w:val="14"/>
              </w:rPr>
              <w:t>Ranger et al. 2013, p.249</w:t>
            </w:r>
            <w:r w:rsidRPr="00E74925">
              <w:rPr>
                <w:rFonts w:ascii="Arial" w:hAnsi="Arial" w:cs="Arial"/>
                <w:bCs/>
                <w:sz w:val="14"/>
                <w:szCs w:val="14"/>
              </w:rPr>
              <w:t xml:space="preserve">). </w:t>
            </w:r>
          </w:p>
          <w:p w14:paraId="62171DE8" w14:textId="77777777" w:rsidR="00AD22FD" w:rsidRPr="00E74925" w:rsidRDefault="00AD22FD" w:rsidP="007318C5">
            <w:pPr>
              <w:pStyle w:val="TEXTBODY"/>
              <w:spacing w:after="60"/>
              <w:rPr>
                <w:rFonts w:ascii="Arial" w:hAnsi="Arial" w:cs="Arial"/>
                <w:bCs/>
                <w:sz w:val="14"/>
                <w:szCs w:val="14"/>
              </w:rPr>
            </w:pPr>
            <w:r w:rsidRPr="00E74925">
              <w:rPr>
                <w:rFonts w:ascii="Arial" w:hAnsi="Arial" w:cs="Arial"/>
                <w:bCs/>
                <w:sz w:val="14"/>
                <w:szCs w:val="14"/>
              </w:rPr>
              <w:t xml:space="preserve">The APs </w:t>
            </w:r>
            <w:r w:rsidRPr="00E74925">
              <w:rPr>
                <w:rFonts w:ascii="Arial" w:eastAsiaTheme="minorHAnsi" w:hAnsi="Arial" w:cs="Arial"/>
                <w:bCs/>
                <w:sz w:val="14"/>
                <w:szCs w:val="14"/>
                <w:lang w:eastAsia="en-US"/>
              </w:rPr>
              <w:t xml:space="preserve">approach served to identify possible measures and explore their timing and sequencing over time, and, in this way, design several different pathways </w:t>
            </w:r>
            <w:r w:rsidRPr="00E74925">
              <w:rPr>
                <w:rFonts w:ascii="Arial" w:hAnsi="Arial" w:cs="Arial"/>
                <w:bCs/>
                <w:sz w:val="14"/>
                <w:szCs w:val="14"/>
              </w:rPr>
              <w:t>(</w:t>
            </w:r>
            <w:r w:rsidRPr="00E74925">
              <w:rPr>
                <w:rFonts w:ascii="Arial" w:hAnsi="Arial" w:cs="Arial"/>
                <w:bCs/>
                <w:color w:val="7F7F7F" w:themeColor="text1" w:themeTint="80"/>
                <w:sz w:val="14"/>
                <w:szCs w:val="14"/>
              </w:rPr>
              <w:t>Ranger et al. 2013, p.249</w:t>
            </w:r>
            <w:r w:rsidRPr="00E74925">
              <w:rPr>
                <w:rFonts w:ascii="Arial" w:hAnsi="Arial" w:cs="Arial"/>
                <w:bCs/>
                <w:sz w:val="14"/>
                <w:szCs w:val="14"/>
              </w:rPr>
              <w:t xml:space="preserve">; </w:t>
            </w:r>
            <w:r w:rsidRPr="00E74925">
              <w:rPr>
                <w:rFonts w:ascii="Arial" w:hAnsi="Arial" w:cs="Arial"/>
                <w:bCs/>
                <w:color w:val="7F7F7F" w:themeColor="text1" w:themeTint="80"/>
                <w:sz w:val="14"/>
                <w:szCs w:val="14"/>
              </w:rPr>
              <w:t>Reeder and Ranger 2011, p.13</w:t>
            </w:r>
            <w:r w:rsidRPr="00E74925">
              <w:rPr>
                <w:rFonts w:ascii="Arial" w:hAnsi="Arial" w:cs="Arial"/>
                <w:bCs/>
                <w:sz w:val="14"/>
                <w:szCs w:val="14"/>
              </w:rPr>
              <w:t>).</w:t>
            </w:r>
            <w:r w:rsidRPr="00E74925">
              <w:rPr>
                <w:rStyle w:val="Refdenotaderodap"/>
                <w:rFonts w:ascii="Arial" w:hAnsi="Arial" w:cs="Arial"/>
                <w:bCs/>
                <w:sz w:val="14"/>
                <w:szCs w:val="14"/>
              </w:rPr>
              <w:footnoteReference w:id="69"/>
            </w:r>
            <w:r w:rsidRPr="00E74925">
              <w:rPr>
                <w:rFonts w:ascii="Arial" w:hAnsi="Arial" w:cs="Arial"/>
                <w:bCs/>
                <w:sz w:val="14"/>
                <w:szCs w:val="14"/>
              </w:rPr>
              <w:t xml:space="preserve"> Above all, the Team aimed to build-in </w:t>
            </w:r>
            <w:r w:rsidRPr="00E74925">
              <w:rPr>
                <w:rFonts w:ascii="Arial" w:hAnsi="Arial" w:cs="Arial"/>
                <w:bCs/>
                <w:i/>
                <w:iCs/>
                <w:sz w:val="14"/>
                <w:szCs w:val="14"/>
              </w:rPr>
              <w:t xml:space="preserve">dynamic robustness </w:t>
            </w:r>
            <w:r w:rsidRPr="00E74925">
              <w:rPr>
                <w:rFonts w:ascii="Arial" w:hAnsi="Arial" w:cs="Arial"/>
                <w:bCs/>
                <w:sz w:val="14"/>
                <w:szCs w:val="14"/>
              </w:rPr>
              <w:t xml:space="preserve">and </w:t>
            </w:r>
            <w:r w:rsidRPr="00E74925">
              <w:rPr>
                <w:rFonts w:ascii="Arial" w:hAnsi="Arial" w:cs="Arial"/>
                <w:bCs/>
                <w:i/>
                <w:iCs/>
                <w:sz w:val="14"/>
                <w:szCs w:val="14"/>
              </w:rPr>
              <w:t>flexibility</w:t>
            </w:r>
            <w:r w:rsidRPr="00E74925">
              <w:rPr>
                <w:rFonts w:ascii="Arial" w:hAnsi="Arial" w:cs="Arial"/>
                <w:bCs/>
                <w:sz w:val="14"/>
                <w:szCs w:val="14"/>
              </w:rPr>
              <w:t xml:space="preserve"> into the Plan and its strategies, and the APs approach was key to achieve this.</w:t>
            </w:r>
            <w:r w:rsidRPr="00E74925">
              <w:rPr>
                <w:rStyle w:val="Refdenotaderodap"/>
                <w:rFonts w:ascii="Arial" w:hAnsi="Arial" w:cs="Arial"/>
                <w:bCs/>
                <w:sz w:val="14"/>
                <w:szCs w:val="14"/>
              </w:rPr>
              <w:footnoteReference w:id="70"/>
            </w:r>
            <w:r w:rsidRPr="00E74925">
              <w:rPr>
                <w:rFonts w:ascii="Arial" w:hAnsi="Arial" w:cs="Arial"/>
                <w:bCs/>
                <w:sz w:val="14"/>
                <w:szCs w:val="14"/>
              </w:rPr>
              <w:t xml:space="preserve"> The APs approach was essential to develop a ‘</w:t>
            </w:r>
            <w:r w:rsidRPr="00E74925">
              <w:rPr>
                <w:rFonts w:ascii="Arial" w:hAnsi="Arial" w:cs="Arial"/>
                <w:bCs/>
                <w:i/>
                <w:iCs/>
                <w:sz w:val="14"/>
                <w:szCs w:val="14"/>
              </w:rPr>
              <w:t>robust flexible set</w:t>
            </w:r>
            <w:r w:rsidRPr="00E74925">
              <w:rPr>
                <w:rFonts w:ascii="Arial" w:hAnsi="Arial" w:cs="Arial"/>
                <w:bCs/>
                <w:sz w:val="14"/>
                <w:szCs w:val="14"/>
              </w:rPr>
              <w:t xml:space="preserve">’ of Options, where each Option (pathway) is itself a </w:t>
            </w:r>
            <w:r w:rsidRPr="00E74925">
              <w:rPr>
                <w:rFonts w:ascii="Arial" w:hAnsi="Arial" w:cs="Arial"/>
                <w:bCs/>
                <w:i/>
                <w:iCs/>
                <w:sz w:val="14"/>
                <w:szCs w:val="14"/>
              </w:rPr>
              <w:t>robust flexible set</w:t>
            </w:r>
            <w:r w:rsidRPr="00E74925">
              <w:rPr>
                <w:rFonts w:ascii="Arial" w:hAnsi="Arial" w:cs="Arial"/>
                <w:bCs/>
                <w:sz w:val="14"/>
                <w:szCs w:val="14"/>
              </w:rPr>
              <w:t xml:space="preserve"> of measures.</w:t>
            </w:r>
          </w:p>
          <w:p w14:paraId="2BE3477E" w14:textId="77777777" w:rsidR="00AD22FD" w:rsidRPr="00E74925" w:rsidRDefault="00AD22FD" w:rsidP="007318C5">
            <w:pPr>
              <w:pStyle w:val="TEXTBODY"/>
              <w:spacing w:after="60"/>
              <w:rPr>
                <w:rFonts w:ascii="Arial" w:hAnsi="Arial" w:cs="Arial"/>
                <w:bCs/>
                <w:i/>
                <w:iCs/>
                <w:sz w:val="14"/>
                <w:szCs w:val="14"/>
              </w:rPr>
            </w:pPr>
            <w:r w:rsidRPr="00E74925">
              <w:rPr>
                <w:rFonts w:ascii="Arial" w:hAnsi="Arial" w:cs="Arial"/>
                <w:bCs/>
                <w:sz w:val="14"/>
                <w:szCs w:val="14"/>
              </w:rPr>
              <w:t xml:space="preserve">With the APs approach, the TE2100 Team designed a set of </w:t>
            </w:r>
            <w:r w:rsidRPr="00E74925">
              <w:rPr>
                <w:rFonts w:ascii="Arial" w:hAnsi="Arial" w:cs="Arial"/>
                <w:bCs/>
                <w:i/>
                <w:iCs/>
                <w:sz w:val="14"/>
                <w:szCs w:val="14"/>
              </w:rPr>
              <w:t>HLOs</w:t>
            </w:r>
            <w:r w:rsidRPr="00E74925">
              <w:rPr>
                <w:rFonts w:ascii="Arial" w:hAnsi="Arial" w:cs="Arial"/>
                <w:bCs/>
                <w:sz w:val="14"/>
                <w:szCs w:val="14"/>
              </w:rPr>
              <w:t xml:space="preserve"> / </w:t>
            </w:r>
            <w:r w:rsidRPr="00E74925">
              <w:rPr>
                <w:rFonts w:ascii="Arial" w:hAnsi="Arial" w:cs="Arial"/>
                <w:bCs/>
                <w:i/>
                <w:iCs/>
                <w:sz w:val="14"/>
                <w:szCs w:val="14"/>
              </w:rPr>
              <w:t xml:space="preserve">Options </w:t>
            </w:r>
            <w:r w:rsidRPr="00E74925">
              <w:rPr>
                <w:rFonts w:ascii="Arial" w:hAnsi="Arial" w:cs="Arial"/>
                <w:bCs/>
                <w:sz w:val="14"/>
                <w:szCs w:val="14"/>
              </w:rPr>
              <w:t>(pathways) (</w:t>
            </w:r>
            <w:proofErr w:type="spellStart"/>
            <w:r w:rsidRPr="00E74925">
              <w:rPr>
                <w:rFonts w:ascii="Arial" w:hAnsi="Arial" w:cs="Arial"/>
                <w:bCs/>
                <w:color w:val="7F7F7F" w:themeColor="text1" w:themeTint="80"/>
                <w:sz w:val="14"/>
                <w:szCs w:val="14"/>
              </w:rPr>
              <w:t>Jeuken</w:t>
            </w:r>
            <w:proofErr w:type="spellEnd"/>
            <w:r w:rsidRPr="00E74925">
              <w:rPr>
                <w:rFonts w:ascii="Arial" w:hAnsi="Arial" w:cs="Arial"/>
                <w:bCs/>
                <w:color w:val="7F7F7F" w:themeColor="text1" w:themeTint="80"/>
                <w:sz w:val="14"/>
                <w:szCs w:val="14"/>
              </w:rPr>
              <w:t xml:space="preserve"> and Reeder 2011, p.4</w:t>
            </w:r>
            <w:r w:rsidRPr="00E74925">
              <w:rPr>
                <w:rFonts w:ascii="Arial" w:hAnsi="Arial" w:cs="Arial"/>
                <w:bCs/>
                <w:sz w:val="14"/>
                <w:szCs w:val="14"/>
              </w:rPr>
              <w:t>); the APs allowed the design of a ‘</w:t>
            </w:r>
            <w:r w:rsidRPr="00E74925">
              <w:rPr>
                <w:rFonts w:ascii="Arial" w:hAnsi="Arial" w:cs="Arial"/>
                <w:bCs/>
                <w:i/>
                <w:iCs/>
                <w:sz w:val="14"/>
                <w:szCs w:val="14"/>
              </w:rPr>
              <w:t>robust flexible set’</w:t>
            </w:r>
            <w:r w:rsidRPr="00E74925">
              <w:rPr>
                <w:rFonts w:ascii="Arial" w:hAnsi="Arial" w:cs="Arial"/>
                <w:bCs/>
                <w:sz w:val="14"/>
                <w:szCs w:val="14"/>
              </w:rPr>
              <w:t xml:space="preserve"> of </w:t>
            </w:r>
            <w:r w:rsidRPr="00E74925">
              <w:rPr>
                <w:rFonts w:ascii="Arial" w:hAnsi="Arial" w:cs="Arial"/>
                <w:bCs/>
                <w:i/>
                <w:iCs/>
                <w:sz w:val="14"/>
                <w:szCs w:val="14"/>
              </w:rPr>
              <w:t>Options</w:t>
            </w:r>
            <w:r w:rsidRPr="00E74925">
              <w:rPr>
                <w:rFonts w:ascii="Arial" w:hAnsi="Arial" w:cs="Arial"/>
                <w:bCs/>
                <w:sz w:val="14"/>
                <w:szCs w:val="14"/>
              </w:rPr>
              <w:t xml:space="preserve"> – i.e. a route-map showing a robust and flexible set of </w:t>
            </w:r>
            <w:r w:rsidRPr="00E74925">
              <w:rPr>
                <w:rFonts w:ascii="Arial" w:hAnsi="Arial" w:cs="Arial"/>
                <w:bCs/>
                <w:i/>
                <w:iCs/>
                <w:sz w:val="14"/>
                <w:szCs w:val="14"/>
              </w:rPr>
              <w:t>Options</w:t>
            </w:r>
            <w:r w:rsidRPr="00E74925">
              <w:rPr>
                <w:rFonts w:ascii="Arial" w:hAnsi="Arial" w:cs="Arial"/>
                <w:bCs/>
                <w:sz w:val="14"/>
                <w:szCs w:val="14"/>
              </w:rPr>
              <w:t xml:space="preserve">, in which each </w:t>
            </w:r>
            <w:r w:rsidRPr="00E74925">
              <w:rPr>
                <w:rFonts w:ascii="Arial" w:hAnsi="Arial" w:cs="Arial"/>
                <w:bCs/>
                <w:i/>
                <w:iCs/>
                <w:sz w:val="14"/>
                <w:szCs w:val="14"/>
              </w:rPr>
              <w:t>Option</w:t>
            </w:r>
            <w:r w:rsidRPr="00E74925">
              <w:rPr>
                <w:rFonts w:ascii="Arial" w:hAnsi="Arial" w:cs="Arial"/>
                <w:bCs/>
                <w:sz w:val="14"/>
                <w:szCs w:val="14"/>
              </w:rPr>
              <w:t xml:space="preserve"> consists itself of a </w:t>
            </w:r>
            <w:r w:rsidRPr="00E74925">
              <w:rPr>
                <w:rFonts w:ascii="Arial" w:hAnsi="Arial" w:cs="Arial"/>
                <w:bCs/>
                <w:i/>
                <w:iCs/>
                <w:sz w:val="14"/>
                <w:szCs w:val="14"/>
              </w:rPr>
              <w:t>robust flexible set of measures</w:t>
            </w:r>
            <w:r w:rsidRPr="00E74925">
              <w:rPr>
                <w:rFonts w:ascii="Arial" w:hAnsi="Arial" w:cs="Arial"/>
                <w:bCs/>
                <w:sz w:val="14"/>
                <w:szCs w:val="14"/>
              </w:rPr>
              <w:t>.</w:t>
            </w:r>
            <w:r w:rsidRPr="00E74925">
              <w:rPr>
                <w:rFonts w:ascii="Arial" w:hAnsi="Arial" w:cs="Arial"/>
                <w:bCs/>
                <w:i/>
                <w:iCs/>
                <w:sz w:val="14"/>
                <w:szCs w:val="14"/>
              </w:rPr>
              <w:t xml:space="preserve"> </w:t>
            </w:r>
          </w:p>
          <w:p w14:paraId="493A6A11" w14:textId="77777777" w:rsidR="00AD22FD" w:rsidRPr="00E74925" w:rsidRDefault="00AD22FD" w:rsidP="007318C5">
            <w:pPr>
              <w:pStyle w:val="TEXTBODY"/>
              <w:spacing w:after="60"/>
              <w:rPr>
                <w:rFonts w:ascii="Arial" w:hAnsi="Arial" w:cs="Arial"/>
                <w:bCs/>
                <w:sz w:val="14"/>
                <w:szCs w:val="14"/>
              </w:rPr>
            </w:pPr>
            <w:r w:rsidRPr="00E74925">
              <w:rPr>
                <w:rFonts w:ascii="Arial" w:hAnsi="Arial" w:cs="Arial"/>
                <w:bCs/>
                <w:sz w:val="14"/>
                <w:szCs w:val="14"/>
              </w:rPr>
              <w:t xml:space="preserve">Overall, the TE2100 Team devised an approach for the development of the Plan and its strategies – so-called </w:t>
            </w:r>
            <w:r w:rsidRPr="00E74925">
              <w:rPr>
                <w:rFonts w:ascii="Arial" w:hAnsi="Arial" w:cs="Arial"/>
                <w:bCs/>
                <w:i/>
                <w:sz w:val="14"/>
                <w:szCs w:val="14"/>
              </w:rPr>
              <w:t>Options</w:t>
            </w:r>
            <w:r w:rsidRPr="00E74925">
              <w:rPr>
                <w:rFonts w:ascii="Arial" w:hAnsi="Arial" w:cs="Arial"/>
                <w:bCs/>
                <w:sz w:val="14"/>
                <w:szCs w:val="14"/>
              </w:rPr>
              <w:t xml:space="preserve"> – that deals with the uncertainties around future CC and socioeconomic developments in the TE; in specific, it devised</w:t>
            </w:r>
            <w:r w:rsidRPr="00E74925">
              <w:rPr>
                <w:rFonts w:ascii="Arial" w:hAnsi="Arial" w:cs="Arial"/>
                <w:bCs/>
                <w:color w:val="C00000"/>
                <w:sz w:val="14"/>
                <w:szCs w:val="14"/>
              </w:rPr>
              <w:t xml:space="preserve"> </w:t>
            </w:r>
            <w:r w:rsidRPr="00E74925">
              <w:rPr>
                <w:rFonts w:ascii="Arial" w:hAnsi="Arial" w:cs="Arial"/>
                <w:bCs/>
                <w:sz w:val="14"/>
                <w:szCs w:val="14"/>
              </w:rPr>
              <w:t>a method for developing</w:t>
            </w:r>
            <w:r w:rsidRPr="00E74925">
              <w:rPr>
                <w:rFonts w:ascii="Arial" w:hAnsi="Arial" w:cs="Arial"/>
                <w:bCs/>
                <w:color w:val="C00000"/>
                <w:sz w:val="14"/>
                <w:szCs w:val="14"/>
              </w:rPr>
              <w:t xml:space="preserve"> </w:t>
            </w:r>
            <w:r w:rsidRPr="00E74925">
              <w:rPr>
                <w:rFonts w:ascii="Arial" w:hAnsi="Arial" w:cs="Arial"/>
                <w:bCs/>
                <w:i/>
                <w:sz w:val="14"/>
                <w:szCs w:val="14"/>
              </w:rPr>
              <w:t>FRM Options</w:t>
            </w:r>
            <w:r w:rsidRPr="00E74925">
              <w:rPr>
                <w:rFonts w:ascii="Arial" w:hAnsi="Arial" w:cs="Arial"/>
                <w:bCs/>
                <w:sz w:val="14"/>
                <w:szCs w:val="14"/>
              </w:rPr>
              <w:t xml:space="preserve"> as pathways</w:t>
            </w:r>
            <w:r w:rsidRPr="00E74925">
              <w:rPr>
                <w:rFonts w:ascii="Arial" w:hAnsi="Arial" w:cs="Arial"/>
                <w:bCs/>
                <w:color w:val="C00000"/>
                <w:sz w:val="14"/>
                <w:szCs w:val="14"/>
              </w:rPr>
              <w:t xml:space="preserve"> </w:t>
            </w:r>
            <w:r w:rsidRPr="00E74925">
              <w:rPr>
                <w:rFonts w:ascii="Arial" w:hAnsi="Arial" w:cs="Arial"/>
                <w:bCs/>
                <w:sz w:val="14"/>
                <w:szCs w:val="14"/>
              </w:rPr>
              <w:t xml:space="preserve">(each pathway as a </w:t>
            </w:r>
            <w:r w:rsidRPr="00E74925">
              <w:rPr>
                <w:rFonts w:ascii="Arial" w:hAnsi="Arial" w:cs="Arial"/>
                <w:bCs/>
                <w:i/>
                <w:sz w:val="14"/>
                <w:szCs w:val="14"/>
              </w:rPr>
              <w:t>package</w:t>
            </w:r>
            <w:r w:rsidRPr="00E74925">
              <w:rPr>
                <w:rFonts w:ascii="Arial" w:hAnsi="Arial" w:cs="Arial"/>
                <w:bCs/>
                <w:sz w:val="14"/>
                <w:szCs w:val="14"/>
              </w:rPr>
              <w:t xml:space="preserve"> of sequenced measures) </w:t>
            </w:r>
            <w:r w:rsidRPr="00E74925">
              <w:rPr>
                <w:rFonts w:ascii="Arial" w:eastAsiaTheme="minorHAnsi" w:hAnsi="Arial" w:cs="Arial"/>
                <w:bCs/>
                <w:sz w:val="14"/>
                <w:szCs w:val="14"/>
                <w:lang w:eastAsia="en-US"/>
              </w:rPr>
              <w:t>(</w:t>
            </w:r>
            <w:r w:rsidRPr="00E74925">
              <w:rPr>
                <w:rFonts w:ascii="Arial" w:eastAsiaTheme="minorHAnsi" w:hAnsi="Arial" w:cs="Arial"/>
                <w:bCs/>
                <w:color w:val="7F7F7F" w:themeColor="text1" w:themeTint="80"/>
                <w:sz w:val="14"/>
                <w:szCs w:val="14"/>
                <w:lang w:eastAsia="en-US"/>
              </w:rPr>
              <w:t>EA 2009b, p.3; Lowe et al. 2009, p.86</w:t>
            </w:r>
            <w:r w:rsidRPr="00E74925">
              <w:rPr>
                <w:rFonts w:ascii="Arial" w:eastAsiaTheme="minorHAnsi" w:hAnsi="Arial" w:cs="Arial"/>
                <w:bCs/>
                <w:sz w:val="14"/>
                <w:szCs w:val="14"/>
                <w:lang w:eastAsia="en-US"/>
              </w:rPr>
              <w:t xml:space="preserve">). </w:t>
            </w:r>
            <w:r w:rsidRPr="00E74925">
              <w:rPr>
                <w:rFonts w:ascii="Arial" w:hAnsi="Arial" w:cs="Arial"/>
                <w:bCs/>
                <w:sz w:val="14"/>
                <w:szCs w:val="14"/>
              </w:rPr>
              <w:t>Using this method, which involved detecting thresholds (</w:t>
            </w:r>
            <w:r w:rsidRPr="00E74925">
              <w:rPr>
                <w:rFonts w:ascii="Arial" w:hAnsi="Arial" w:cs="Arial"/>
                <w:bCs/>
                <w:i/>
                <w:sz w:val="14"/>
                <w:szCs w:val="14"/>
              </w:rPr>
              <w:t xml:space="preserve">threshold </w:t>
            </w:r>
            <w:r w:rsidRPr="00E74925">
              <w:rPr>
                <w:rFonts w:ascii="Arial" w:hAnsi="Arial" w:cs="Arial"/>
                <w:bCs/>
                <w:i/>
                <w:iCs/>
                <w:sz w:val="14"/>
                <w:szCs w:val="14"/>
              </w:rPr>
              <w:t>analysis</w:t>
            </w:r>
            <w:r w:rsidRPr="00E74925">
              <w:rPr>
                <w:rFonts w:ascii="Arial" w:hAnsi="Arial" w:cs="Arial"/>
                <w:bCs/>
                <w:sz w:val="14"/>
                <w:szCs w:val="14"/>
              </w:rPr>
              <w:t xml:space="preserve">), the Team produced the </w:t>
            </w:r>
            <w:r w:rsidRPr="00E74925">
              <w:rPr>
                <w:rFonts w:ascii="Arial" w:hAnsi="Arial" w:cs="Arial"/>
                <w:bCs/>
                <w:i/>
                <w:iCs/>
                <w:sz w:val="14"/>
                <w:szCs w:val="14"/>
              </w:rPr>
              <w:t>HLOs</w:t>
            </w:r>
            <w:r w:rsidRPr="00E74925">
              <w:rPr>
                <w:rFonts w:ascii="Arial" w:hAnsi="Arial" w:cs="Arial"/>
                <w:bCs/>
                <w:sz w:val="14"/>
                <w:szCs w:val="14"/>
              </w:rPr>
              <w:t xml:space="preserve"> – </w:t>
            </w:r>
            <w:r w:rsidRPr="00E74925">
              <w:rPr>
                <w:rFonts w:ascii="Arial" w:hAnsi="Arial" w:cs="Arial"/>
                <w:bCs/>
                <w:color w:val="C00000"/>
                <w:sz w:val="14"/>
                <w:szCs w:val="14"/>
              </w:rPr>
              <w:t xml:space="preserve">i.e. </w:t>
            </w:r>
            <w:r w:rsidRPr="00E74925">
              <w:rPr>
                <w:rFonts w:ascii="Arial" w:hAnsi="Arial" w:cs="Arial"/>
                <w:bCs/>
                <w:sz w:val="14"/>
                <w:szCs w:val="14"/>
              </w:rPr>
              <w:t xml:space="preserve">a set of different </w:t>
            </w:r>
            <w:r w:rsidRPr="00E74925">
              <w:rPr>
                <w:rFonts w:ascii="Arial" w:hAnsi="Arial" w:cs="Arial"/>
                <w:bCs/>
                <w:i/>
                <w:sz w:val="14"/>
                <w:szCs w:val="14"/>
              </w:rPr>
              <w:t>Options</w:t>
            </w:r>
            <w:r w:rsidRPr="00E74925">
              <w:rPr>
                <w:rFonts w:ascii="Arial" w:hAnsi="Arial" w:cs="Arial"/>
                <w:bCs/>
                <w:sz w:val="14"/>
                <w:szCs w:val="14"/>
              </w:rPr>
              <w:t xml:space="preserve"> (HLO1, 2, 3a, 3b, and 4); each </w:t>
            </w:r>
            <w:r w:rsidRPr="00E74925">
              <w:rPr>
                <w:rFonts w:ascii="Arial" w:hAnsi="Arial" w:cs="Arial"/>
                <w:bCs/>
                <w:i/>
                <w:sz w:val="14"/>
                <w:szCs w:val="14"/>
              </w:rPr>
              <w:t>HLO</w:t>
            </w:r>
            <w:r w:rsidRPr="00E74925">
              <w:rPr>
                <w:rFonts w:ascii="Arial" w:hAnsi="Arial" w:cs="Arial"/>
                <w:bCs/>
                <w:sz w:val="14"/>
                <w:szCs w:val="14"/>
              </w:rPr>
              <w:t xml:space="preserve"> as a</w:t>
            </w:r>
            <w:r w:rsidRPr="00E74925">
              <w:rPr>
                <w:rFonts w:ascii="Arial" w:hAnsi="Arial" w:cs="Arial"/>
                <w:bCs/>
                <w:i/>
                <w:sz w:val="14"/>
                <w:szCs w:val="14"/>
              </w:rPr>
              <w:t xml:space="preserve"> pathway or route through the century</w:t>
            </w:r>
            <w:r w:rsidRPr="00E74925">
              <w:rPr>
                <w:rFonts w:ascii="Arial" w:hAnsi="Arial" w:cs="Arial"/>
                <w:bCs/>
                <w:sz w:val="14"/>
                <w:szCs w:val="14"/>
              </w:rPr>
              <w:t xml:space="preserve"> </w:t>
            </w:r>
            <w:r w:rsidRPr="00E74925">
              <w:rPr>
                <w:rFonts w:ascii="Arial" w:eastAsiaTheme="minorHAnsi" w:hAnsi="Arial" w:cs="Arial"/>
                <w:bCs/>
                <w:sz w:val="14"/>
                <w:szCs w:val="14"/>
                <w:lang w:eastAsia="en-US"/>
              </w:rPr>
              <w:t>(</w:t>
            </w:r>
            <w:r w:rsidRPr="00E74925">
              <w:rPr>
                <w:rFonts w:ascii="Arial" w:eastAsiaTheme="minorHAnsi" w:hAnsi="Arial" w:cs="Arial"/>
                <w:bCs/>
                <w:color w:val="7F7F7F" w:themeColor="text1" w:themeTint="80"/>
                <w:sz w:val="14"/>
                <w:szCs w:val="14"/>
                <w:lang w:eastAsia="en-US"/>
              </w:rPr>
              <w:t>EA 2009b, p.3</w:t>
            </w:r>
            <w:r w:rsidRPr="00E74925">
              <w:rPr>
                <w:rFonts w:ascii="Arial" w:eastAsiaTheme="minorHAnsi" w:hAnsi="Arial" w:cs="Arial"/>
                <w:bCs/>
                <w:sz w:val="14"/>
                <w:szCs w:val="14"/>
                <w:lang w:eastAsia="en-US"/>
              </w:rPr>
              <w:t xml:space="preserve">). </w:t>
            </w:r>
            <w:r w:rsidRPr="00E74925">
              <w:rPr>
                <w:rFonts w:ascii="Arial" w:hAnsi="Arial" w:cs="Arial"/>
                <w:bCs/>
                <w:sz w:val="14"/>
                <w:szCs w:val="14"/>
              </w:rPr>
              <w:t xml:space="preserve">This method allowed the development of </w:t>
            </w:r>
            <w:r w:rsidRPr="00E74925">
              <w:rPr>
                <w:rFonts w:ascii="Arial" w:hAnsi="Arial" w:cs="Arial"/>
                <w:bCs/>
                <w:i/>
                <w:sz w:val="14"/>
                <w:szCs w:val="14"/>
              </w:rPr>
              <w:t>flexible, adaptable Options</w:t>
            </w:r>
            <w:r w:rsidRPr="00E74925">
              <w:rPr>
                <w:rFonts w:ascii="Arial" w:hAnsi="Arial" w:cs="Arial"/>
                <w:bCs/>
                <w:iCs/>
                <w:sz w:val="14"/>
                <w:szCs w:val="14"/>
              </w:rPr>
              <w:t>,</w:t>
            </w:r>
            <w:r w:rsidRPr="00E74925">
              <w:rPr>
                <w:rFonts w:ascii="Arial" w:hAnsi="Arial" w:cs="Arial"/>
                <w:bCs/>
                <w:i/>
                <w:sz w:val="14"/>
                <w:szCs w:val="14"/>
              </w:rPr>
              <w:t xml:space="preserve"> </w:t>
            </w:r>
            <w:r w:rsidRPr="00E74925">
              <w:rPr>
                <w:rFonts w:ascii="Arial" w:hAnsi="Arial" w:cs="Arial"/>
                <w:bCs/>
                <w:sz w:val="14"/>
                <w:szCs w:val="14"/>
              </w:rPr>
              <w:t>and led to a Plan that is</w:t>
            </w:r>
            <w:r w:rsidRPr="00E74925">
              <w:rPr>
                <w:rFonts w:ascii="Arial" w:hAnsi="Arial" w:cs="Arial"/>
                <w:bCs/>
                <w:i/>
                <w:sz w:val="14"/>
                <w:szCs w:val="14"/>
              </w:rPr>
              <w:t xml:space="preserve"> flexible</w:t>
            </w:r>
            <w:r w:rsidRPr="00E74925">
              <w:rPr>
                <w:rFonts w:ascii="Arial" w:hAnsi="Arial" w:cs="Arial"/>
                <w:bCs/>
                <w:sz w:val="14"/>
                <w:szCs w:val="14"/>
              </w:rPr>
              <w:t xml:space="preserve"> (</w:t>
            </w:r>
            <w:r w:rsidRPr="00E74925">
              <w:rPr>
                <w:rFonts w:ascii="Arial" w:hAnsi="Arial" w:cs="Arial"/>
                <w:bCs/>
                <w:i/>
                <w:sz w:val="14"/>
                <w:szCs w:val="14"/>
              </w:rPr>
              <w:t>dynamic</w:t>
            </w:r>
            <w:r w:rsidRPr="00E74925">
              <w:rPr>
                <w:rFonts w:ascii="Arial" w:hAnsi="Arial" w:cs="Arial"/>
                <w:bCs/>
                <w:i/>
                <w:iCs/>
                <w:sz w:val="14"/>
                <w:szCs w:val="14"/>
              </w:rPr>
              <w:t>ally</w:t>
            </w:r>
            <w:r w:rsidRPr="00E74925">
              <w:rPr>
                <w:rFonts w:ascii="Arial" w:hAnsi="Arial" w:cs="Arial"/>
                <w:bCs/>
                <w:i/>
                <w:sz w:val="14"/>
                <w:szCs w:val="14"/>
              </w:rPr>
              <w:t xml:space="preserve"> robust</w:t>
            </w:r>
            <w:r w:rsidRPr="00E74925">
              <w:rPr>
                <w:rFonts w:ascii="Arial" w:hAnsi="Arial" w:cs="Arial"/>
                <w:bCs/>
                <w:sz w:val="14"/>
                <w:szCs w:val="14"/>
              </w:rPr>
              <w:t xml:space="preserve">) and </w:t>
            </w:r>
            <w:r w:rsidRPr="00E74925">
              <w:rPr>
                <w:rFonts w:ascii="Arial" w:hAnsi="Arial" w:cs="Arial"/>
                <w:bCs/>
                <w:i/>
                <w:sz w:val="14"/>
                <w:szCs w:val="14"/>
              </w:rPr>
              <w:t xml:space="preserve">adaptable </w:t>
            </w:r>
            <w:r w:rsidRPr="00E74925">
              <w:rPr>
                <w:rFonts w:ascii="Arial" w:hAnsi="Arial" w:cs="Arial"/>
                <w:bCs/>
                <w:sz w:val="14"/>
                <w:szCs w:val="14"/>
              </w:rPr>
              <w:t>to uncertain future changes (</w:t>
            </w:r>
            <w:r w:rsidRPr="00E74925">
              <w:rPr>
                <w:rFonts w:ascii="Arial" w:hAnsi="Arial" w:cs="Arial"/>
                <w:bCs/>
                <w:color w:val="7F7F7F" w:themeColor="text1" w:themeTint="80"/>
                <w:sz w:val="14"/>
                <w:szCs w:val="14"/>
              </w:rPr>
              <w:t>EA 2009b, p.1, 4; EA 2009A, p.71; xv</w:t>
            </w:r>
            <w:r w:rsidRPr="00E74925">
              <w:rPr>
                <w:rFonts w:ascii="Arial" w:hAnsi="Arial" w:cs="Arial"/>
                <w:bCs/>
                <w:sz w:val="14"/>
                <w:szCs w:val="14"/>
              </w:rPr>
              <w:t>).</w:t>
            </w:r>
            <w:r w:rsidRPr="00E74925">
              <w:rPr>
                <w:rStyle w:val="Refdenotaderodap"/>
                <w:rFonts w:ascii="Arial" w:hAnsi="Arial" w:cs="Arial"/>
                <w:bCs/>
                <w:sz w:val="14"/>
                <w:szCs w:val="14"/>
              </w:rPr>
              <w:footnoteReference w:id="71"/>
            </w:r>
            <w:r w:rsidRPr="00E74925">
              <w:rPr>
                <w:rFonts w:ascii="Arial" w:hAnsi="Arial" w:cs="Arial"/>
                <w:bCs/>
                <w:sz w:val="14"/>
                <w:szCs w:val="14"/>
              </w:rPr>
              <w:t xml:space="preserve"> The ‘</w:t>
            </w:r>
            <w:r w:rsidRPr="00E74925">
              <w:rPr>
                <w:rFonts w:ascii="Arial" w:hAnsi="Arial" w:cs="Arial"/>
                <w:bCs/>
                <w:i/>
                <w:sz w:val="14"/>
                <w:szCs w:val="14"/>
              </w:rPr>
              <w:t>Decision Pathways approach</w:t>
            </w:r>
            <w:r w:rsidRPr="00E74925">
              <w:rPr>
                <w:rFonts w:ascii="Arial" w:hAnsi="Arial" w:cs="Arial"/>
                <w:bCs/>
                <w:sz w:val="14"/>
                <w:szCs w:val="14"/>
              </w:rPr>
              <w:t xml:space="preserve">’ (APs) led to the development of </w:t>
            </w:r>
            <w:r w:rsidRPr="00E74925">
              <w:rPr>
                <w:rFonts w:ascii="Arial" w:hAnsi="Arial" w:cs="Arial"/>
                <w:bCs/>
                <w:i/>
                <w:sz w:val="14"/>
                <w:szCs w:val="14"/>
              </w:rPr>
              <w:t>Options</w:t>
            </w:r>
            <w:r w:rsidRPr="00E74925">
              <w:rPr>
                <w:rFonts w:ascii="Arial" w:hAnsi="Arial" w:cs="Arial"/>
                <w:bCs/>
                <w:sz w:val="14"/>
                <w:szCs w:val="14"/>
              </w:rPr>
              <w:t xml:space="preserve"> as </w:t>
            </w:r>
            <w:r w:rsidRPr="00E74925">
              <w:rPr>
                <w:rFonts w:ascii="Arial" w:hAnsi="Arial" w:cs="Arial"/>
                <w:bCs/>
                <w:i/>
                <w:sz w:val="14"/>
                <w:szCs w:val="14"/>
              </w:rPr>
              <w:t>flexible adaptable decision pathways</w:t>
            </w:r>
            <w:r w:rsidRPr="00E74925">
              <w:rPr>
                <w:rFonts w:ascii="Arial" w:hAnsi="Arial" w:cs="Arial"/>
                <w:bCs/>
                <w:sz w:val="14"/>
                <w:szCs w:val="14"/>
              </w:rPr>
              <w:t xml:space="preserve"> </w:t>
            </w:r>
            <w:r w:rsidRPr="00E74925">
              <w:rPr>
                <w:rFonts w:ascii="Arial" w:eastAsiaTheme="minorHAnsi" w:hAnsi="Arial" w:cs="Arial"/>
                <w:bCs/>
                <w:color w:val="000000"/>
                <w:sz w:val="14"/>
                <w:szCs w:val="14"/>
              </w:rPr>
              <w:t>(</w:t>
            </w:r>
            <w:r w:rsidRPr="00E74925">
              <w:rPr>
                <w:rFonts w:ascii="Arial" w:hAnsi="Arial" w:cs="Arial"/>
                <w:bCs/>
                <w:color w:val="7F7F7F" w:themeColor="text1" w:themeTint="80"/>
                <w:sz w:val="14"/>
                <w:szCs w:val="14"/>
              </w:rPr>
              <w:t>EA 2009b, p.199-200, 2-4, 10</w:t>
            </w:r>
            <w:r w:rsidRPr="00E74925">
              <w:rPr>
                <w:rFonts w:ascii="Arial" w:hAnsi="Arial" w:cs="Arial"/>
                <w:bCs/>
                <w:sz w:val="14"/>
                <w:szCs w:val="14"/>
              </w:rPr>
              <w:t xml:space="preserve">). </w:t>
            </w:r>
          </w:p>
          <w:p w14:paraId="6103D7FA" w14:textId="77777777" w:rsidR="00AD22FD" w:rsidRPr="00E74925" w:rsidRDefault="00AD22FD" w:rsidP="007318C5">
            <w:pPr>
              <w:pStyle w:val="TEXTBODY"/>
              <w:spacing w:after="60"/>
              <w:rPr>
                <w:rFonts w:ascii="Arial" w:hAnsi="Arial" w:cs="Arial"/>
                <w:bCs/>
                <w:iCs/>
                <w:sz w:val="14"/>
                <w:szCs w:val="14"/>
              </w:rPr>
            </w:pPr>
            <w:r w:rsidRPr="00E74925">
              <w:rPr>
                <w:rFonts w:ascii="Arial" w:hAnsi="Arial" w:cs="Arial"/>
                <w:bCs/>
                <w:sz w:val="14"/>
                <w:szCs w:val="14"/>
              </w:rPr>
              <w:t xml:space="preserve">With the APs approach, the Team could design different possible routes/pathways, each pathway as a composite </w:t>
            </w:r>
            <w:r w:rsidRPr="00E74925">
              <w:rPr>
                <w:rFonts w:ascii="Arial" w:hAnsi="Arial" w:cs="Arial"/>
                <w:bCs/>
                <w:i/>
                <w:iCs/>
                <w:sz w:val="14"/>
                <w:szCs w:val="14"/>
              </w:rPr>
              <w:t>strategy</w:t>
            </w:r>
            <w:r w:rsidRPr="00E74925">
              <w:rPr>
                <w:rFonts w:ascii="Arial" w:hAnsi="Arial" w:cs="Arial"/>
                <w:bCs/>
                <w:sz w:val="14"/>
                <w:szCs w:val="14"/>
              </w:rPr>
              <w:t xml:space="preserve"> (a package of measures sequenced to manage changing risk over time). Together, the various pathways formed a </w:t>
            </w:r>
            <w:r w:rsidRPr="00E74925">
              <w:rPr>
                <w:rFonts w:ascii="Arial" w:hAnsi="Arial" w:cs="Arial"/>
                <w:bCs/>
                <w:i/>
                <w:sz w:val="14"/>
                <w:szCs w:val="14"/>
              </w:rPr>
              <w:t>robust adaptive plan</w:t>
            </w:r>
            <w:r w:rsidRPr="00E74925">
              <w:rPr>
                <w:rFonts w:ascii="Arial" w:hAnsi="Arial" w:cs="Arial"/>
                <w:bCs/>
                <w:iCs/>
                <w:sz w:val="14"/>
                <w:szCs w:val="14"/>
              </w:rPr>
              <w:t>.</w:t>
            </w:r>
            <w:r w:rsidRPr="00E74925">
              <w:rPr>
                <w:rStyle w:val="Refdenotaderodap"/>
                <w:rFonts w:ascii="Arial" w:hAnsi="Arial" w:cs="Arial"/>
                <w:bCs/>
                <w:iCs/>
                <w:sz w:val="14"/>
                <w:szCs w:val="14"/>
              </w:rPr>
              <w:footnoteReference w:id="72"/>
            </w:r>
          </w:p>
          <w:p w14:paraId="6B818ECC" w14:textId="77777777" w:rsidR="00AD22FD" w:rsidRPr="00E74925" w:rsidRDefault="00AD22FD" w:rsidP="007318C5">
            <w:pPr>
              <w:pStyle w:val="TEXTBODY"/>
              <w:spacing w:after="60"/>
              <w:rPr>
                <w:rFonts w:ascii="Arial" w:hAnsi="Arial" w:cs="Arial"/>
                <w:bCs/>
                <w:sz w:val="14"/>
                <w:szCs w:val="14"/>
              </w:rPr>
            </w:pPr>
            <w:r w:rsidRPr="00E74925">
              <w:rPr>
                <w:rFonts w:ascii="Arial" w:hAnsi="Arial" w:cs="Arial"/>
                <w:bCs/>
                <w:sz w:val="14"/>
                <w:szCs w:val="14"/>
              </w:rPr>
              <w:t>By using the APs approach, the TE2100 Team has developed a set of ‘</w:t>
            </w:r>
            <w:r w:rsidRPr="00E74925">
              <w:rPr>
                <w:rFonts w:ascii="Arial" w:hAnsi="Arial" w:cs="Arial"/>
                <w:bCs/>
                <w:i/>
                <w:iCs/>
                <w:sz w:val="14"/>
                <w:szCs w:val="14"/>
              </w:rPr>
              <w:t>robust flexible Options</w:t>
            </w:r>
            <w:r w:rsidRPr="00E74925">
              <w:rPr>
                <w:rFonts w:ascii="Arial" w:hAnsi="Arial" w:cs="Arial"/>
                <w:bCs/>
                <w:sz w:val="14"/>
                <w:szCs w:val="14"/>
              </w:rPr>
              <w:t>’</w:t>
            </w:r>
            <w:r w:rsidRPr="00E74925">
              <w:rPr>
                <w:rFonts w:ascii="Arial" w:hAnsi="Arial" w:cs="Arial"/>
                <w:bCs/>
                <w:i/>
                <w:sz w:val="14"/>
                <w:szCs w:val="14"/>
              </w:rPr>
              <w:t xml:space="preserve"> </w:t>
            </w:r>
            <w:r w:rsidRPr="00E74925">
              <w:rPr>
                <w:rFonts w:ascii="Arial" w:hAnsi="Arial" w:cs="Arial"/>
                <w:bCs/>
                <w:sz w:val="14"/>
                <w:szCs w:val="14"/>
              </w:rPr>
              <w:t>(</w:t>
            </w:r>
            <w:r w:rsidRPr="00E74925">
              <w:rPr>
                <w:rFonts w:ascii="Arial" w:hAnsi="Arial" w:cs="Arial"/>
                <w:bCs/>
                <w:i/>
                <w:sz w:val="14"/>
                <w:szCs w:val="14"/>
              </w:rPr>
              <w:t>HLOs</w:t>
            </w:r>
            <w:r w:rsidRPr="00E74925">
              <w:rPr>
                <w:rFonts w:ascii="Arial" w:hAnsi="Arial" w:cs="Arial"/>
                <w:bCs/>
                <w:sz w:val="14"/>
                <w:szCs w:val="14"/>
              </w:rPr>
              <w:t xml:space="preserve">), where each </w:t>
            </w:r>
            <w:r w:rsidRPr="00E74925">
              <w:rPr>
                <w:rFonts w:ascii="Arial" w:hAnsi="Arial" w:cs="Arial"/>
                <w:bCs/>
                <w:i/>
                <w:iCs/>
                <w:sz w:val="14"/>
                <w:szCs w:val="14"/>
              </w:rPr>
              <w:t>Option</w:t>
            </w:r>
            <w:r w:rsidRPr="00E74925">
              <w:rPr>
                <w:rFonts w:ascii="Arial" w:hAnsi="Arial" w:cs="Arial"/>
                <w:bCs/>
                <w:i/>
                <w:sz w:val="14"/>
                <w:szCs w:val="14"/>
              </w:rPr>
              <w:t xml:space="preserve"> </w:t>
            </w:r>
            <w:r w:rsidRPr="00E74925">
              <w:rPr>
                <w:rFonts w:ascii="Arial" w:hAnsi="Arial" w:cs="Arial"/>
                <w:bCs/>
                <w:sz w:val="14"/>
                <w:szCs w:val="14"/>
              </w:rPr>
              <w:t xml:space="preserve">is itself a </w:t>
            </w:r>
            <w:r w:rsidRPr="00E74925">
              <w:rPr>
                <w:rFonts w:ascii="Arial" w:hAnsi="Arial" w:cs="Arial"/>
                <w:bCs/>
                <w:i/>
                <w:iCs/>
                <w:sz w:val="14"/>
                <w:szCs w:val="14"/>
              </w:rPr>
              <w:t>robust and flexible set of measures</w:t>
            </w:r>
            <w:r w:rsidRPr="00E74925">
              <w:rPr>
                <w:rFonts w:ascii="Arial" w:hAnsi="Arial" w:cs="Arial"/>
                <w:bCs/>
                <w:sz w:val="14"/>
                <w:szCs w:val="14"/>
              </w:rPr>
              <w:t>, i.e. a pathway (</w:t>
            </w:r>
            <w:proofErr w:type="spellStart"/>
            <w:r w:rsidRPr="00E74925">
              <w:rPr>
                <w:rFonts w:ascii="Arial" w:hAnsi="Arial" w:cs="Arial"/>
                <w:bCs/>
                <w:color w:val="7F7F7F" w:themeColor="text1" w:themeTint="80"/>
                <w:sz w:val="14"/>
                <w:szCs w:val="14"/>
              </w:rPr>
              <w:t>Jeuken</w:t>
            </w:r>
            <w:proofErr w:type="spellEnd"/>
            <w:r w:rsidRPr="00E74925">
              <w:rPr>
                <w:rFonts w:ascii="Arial" w:hAnsi="Arial" w:cs="Arial"/>
                <w:bCs/>
                <w:color w:val="7F7F7F" w:themeColor="text1" w:themeTint="80"/>
                <w:sz w:val="14"/>
                <w:szCs w:val="14"/>
              </w:rPr>
              <w:t xml:space="preserve"> and Reeder 2011, p.2-3</w:t>
            </w:r>
            <w:r w:rsidRPr="00E74925">
              <w:rPr>
                <w:rFonts w:ascii="Arial" w:hAnsi="Arial" w:cs="Arial"/>
                <w:bCs/>
                <w:sz w:val="14"/>
                <w:szCs w:val="14"/>
              </w:rPr>
              <w:t>). The APs method allowed the development of a ‘</w:t>
            </w:r>
            <w:r w:rsidRPr="00E74925">
              <w:rPr>
                <w:rFonts w:ascii="Arial" w:hAnsi="Arial" w:cs="Arial"/>
                <w:bCs/>
                <w:i/>
                <w:sz w:val="14"/>
                <w:szCs w:val="14"/>
              </w:rPr>
              <w:t>robust and flexible</w:t>
            </w:r>
            <w:r w:rsidRPr="00E74925">
              <w:rPr>
                <w:rFonts w:ascii="Arial" w:hAnsi="Arial" w:cs="Arial"/>
                <w:bCs/>
                <w:sz w:val="14"/>
                <w:szCs w:val="14"/>
              </w:rPr>
              <w:t xml:space="preserve">’ set of </w:t>
            </w:r>
            <w:r w:rsidRPr="00E74925">
              <w:rPr>
                <w:rFonts w:ascii="Arial" w:hAnsi="Arial" w:cs="Arial"/>
                <w:bCs/>
                <w:i/>
                <w:iCs/>
                <w:sz w:val="14"/>
                <w:szCs w:val="14"/>
              </w:rPr>
              <w:t>Options</w:t>
            </w:r>
            <w:r w:rsidRPr="00E74925">
              <w:rPr>
                <w:rFonts w:ascii="Arial" w:hAnsi="Arial" w:cs="Arial"/>
                <w:bCs/>
                <w:iCs/>
                <w:sz w:val="14"/>
                <w:szCs w:val="14"/>
              </w:rPr>
              <w:t>,</w:t>
            </w:r>
            <w:r w:rsidRPr="00E74925">
              <w:rPr>
                <w:rFonts w:ascii="Arial" w:hAnsi="Arial" w:cs="Arial"/>
                <w:bCs/>
                <w:i/>
                <w:sz w:val="14"/>
                <w:szCs w:val="14"/>
              </w:rPr>
              <w:t xml:space="preserve"> </w:t>
            </w:r>
            <w:r w:rsidRPr="00E74925">
              <w:rPr>
                <w:rFonts w:ascii="Arial" w:hAnsi="Arial" w:cs="Arial"/>
                <w:bCs/>
                <w:sz w:val="14"/>
                <w:szCs w:val="14"/>
              </w:rPr>
              <w:t xml:space="preserve">each </w:t>
            </w:r>
            <w:r w:rsidRPr="00E74925">
              <w:rPr>
                <w:rFonts w:ascii="Arial" w:hAnsi="Arial" w:cs="Arial"/>
                <w:bCs/>
                <w:i/>
                <w:iCs/>
                <w:sz w:val="14"/>
                <w:szCs w:val="14"/>
              </w:rPr>
              <w:t xml:space="preserve">Option </w:t>
            </w:r>
            <w:r w:rsidRPr="00E74925">
              <w:rPr>
                <w:rFonts w:ascii="Arial" w:hAnsi="Arial" w:cs="Arial"/>
                <w:bCs/>
                <w:sz w:val="14"/>
                <w:szCs w:val="14"/>
              </w:rPr>
              <w:t>as a pathway, i.e. a set of sequenced measures.</w:t>
            </w:r>
          </w:p>
          <w:p w14:paraId="64502769" w14:textId="77777777" w:rsidR="00AD22FD" w:rsidRPr="00E74925" w:rsidRDefault="00AD22FD" w:rsidP="007318C5">
            <w:pPr>
              <w:pStyle w:val="TEXTBODY"/>
              <w:spacing w:after="60"/>
              <w:rPr>
                <w:rFonts w:ascii="Arial" w:hAnsi="Arial" w:cs="Arial"/>
                <w:bCs/>
                <w:sz w:val="14"/>
                <w:szCs w:val="14"/>
              </w:rPr>
            </w:pPr>
            <w:r w:rsidRPr="00E74925">
              <w:rPr>
                <w:rFonts w:ascii="Arial" w:hAnsi="Arial" w:cs="Arial"/>
                <w:bCs/>
                <w:sz w:val="14"/>
                <w:szCs w:val="14"/>
              </w:rPr>
              <w:t xml:space="preserve">It can be concluded that developing a set of </w:t>
            </w:r>
            <w:r w:rsidRPr="00E74925">
              <w:rPr>
                <w:rFonts w:ascii="Arial" w:hAnsi="Arial" w:cs="Arial"/>
                <w:bCs/>
                <w:i/>
                <w:iCs/>
                <w:sz w:val="14"/>
                <w:szCs w:val="14"/>
              </w:rPr>
              <w:t>robust flexible Options</w:t>
            </w:r>
            <w:r w:rsidRPr="00E74925">
              <w:rPr>
                <w:rFonts w:ascii="Arial" w:hAnsi="Arial" w:cs="Arial"/>
                <w:bCs/>
                <w:sz w:val="14"/>
                <w:szCs w:val="14"/>
              </w:rPr>
              <w:t xml:space="preserve"> – each </w:t>
            </w:r>
            <w:r w:rsidRPr="00E74925">
              <w:rPr>
                <w:rFonts w:ascii="Arial" w:hAnsi="Arial" w:cs="Arial"/>
                <w:bCs/>
                <w:i/>
                <w:iCs/>
                <w:sz w:val="14"/>
                <w:szCs w:val="14"/>
              </w:rPr>
              <w:t>Option</w:t>
            </w:r>
            <w:r w:rsidRPr="00E74925">
              <w:rPr>
                <w:rFonts w:ascii="Arial" w:hAnsi="Arial" w:cs="Arial"/>
                <w:bCs/>
                <w:sz w:val="14"/>
                <w:szCs w:val="14"/>
              </w:rPr>
              <w:t xml:space="preserve"> devised as a </w:t>
            </w:r>
            <w:r w:rsidRPr="00E74925">
              <w:rPr>
                <w:rFonts w:ascii="Arial" w:hAnsi="Arial" w:cs="Arial"/>
                <w:bCs/>
                <w:i/>
                <w:iCs/>
                <w:sz w:val="14"/>
                <w:szCs w:val="14"/>
              </w:rPr>
              <w:t>robust and flexible</w:t>
            </w:r>
            <w:r w:rsidRPr="00E74925">
              <w:rPr>
                <w:rFonts w:ascii="Arial" w:hAnsi="Arial" w:cs="Arial"/>
                <w:bCs/>
                <w:sz w:val="14"/>
                <w:szCs w:val="14"/>
              </w:rPr>
              <w:t xml:space="preserve"> set of measures – by using the </w:t>
            </w:r>
            <w:r w:rsidRPr="00E74925">
              <w:rPr>
                <w:rFonts w:ascii="Arial" w:hAnsi="Arial" w:cs="Arial"/>
                <w:bCs/>
                <w:i/>
                <w:iCs/>
                <w:sz w:val="14"/>
                <w:szCs w:val="14"/>
              </w:rPr>
              <w:t>Adaptation Pathways approach</w:t>
            </w:r>
            <w:r w:rsidRPr="00E74925">
              <w:rPr>
                <w:rFonts w:ascii="Arial" w:hAnsi="Arial" w:cs="Arial"/>
                <w:bCs/>
                <w:sz w:val="14"/>
                <w:szCs w:val="14"/>
              </w:rPr>
              <w:t xml:space="preserve"> (APs), to deal with uncertain future changes, is another key-element of the TE2100’s Dynamic Adaptive Planning that has been essential to draw up and operationalize a </w:t>
            </w:r>
            <w:r w:rsidRPr="00E74925">
              <w:rPr>
                <w:rFonts w:ascii="Arial" w:hAnsi="Arial" w:cs="Arial"/>
                <w:bCs/>
                <w:i/>
                <w:iCs/>
                <w:sz w:val="14"/>
                <w:szCs w:val="14"/>
              </w:rPr>
              <w:t>robust adaptive plan</w:t>
            </w:r>
            <w:r w:rsidRPr="00E74925">
              <w:rPr>
                <w:rFonts w:ascii="Arial" w:hAnsi="Arial" w:cs="Arial"/>
                <w:bCs/>
                <w:sz w:val="14"/>
                <w:szCs w:val="14"/>
              </w:rPr>
              <w:t xml:space="preserve"> (</w:t>
            </w:r>
            <w:r w:rsidRPr="00E74925">
              <w:rPr>
                <w:rFonts w:ascii="Arial" w:hAnsi="Arial" w:cs="Arial"/>
                <w:bCs/>
                <w:color w:val="7F7F7F" w:themeColor="text1" w:themeTint="80"/>
                <w:sz w:val="14"/>
                <w:szCs w:val="14"/>
              </w:rPr>
              <w:t xml:space="preserve">EA 2009b, p.200; Ranger et al. 2013, p.249; Reeder and Ranger 2011; </w:t>
            </w:r>
            <w:proofErr w:type="spellStart"/>
            <w:r w:rsidRPr="00E74925">
              <w:rPr>
                <w:rFonts w:ascii="Arial" w:hAnsi="Arial" w:cs="Arial"/>
                <w:bCs/>
                <w:color w:val="7F7F7F" w:themeColor="text1" w:themeTint="80"/>
                <w:sz w:val="14"/>
                <w:szCs w:val="14"/>
              </w:rPr>
              <w:t>Jeuken</w:t>
            </w:r>
            <w:proofErr w:type="spellEnd"/>
            <w:r w:rsidRPr="00E74925">
              <w:rPr>
                <w:rFonts w:ascii="Arial" w:hAnsi="Arial" w:cs="Arial"/>
                <w:bCs/>
                <w:color w:val="7F7F7F" w:themeColor="text1" w:themeTint="80"/>
                <w:sz w:val="14"/>
                <w:szCs w:val="14"/>
              </w:rPr>
              <w:t xml:space="preserve"> and Reeder 2011, p.2, 4; Ramsbottom and Sheppard 2017, p.5; </w:t>
            </w:r>
            <w:proofErr w:type="spellStart"/>
            <w:r w:rsidRPr="00E74925">
              <w:rPr>
                <w:rFonts w:ascii="Arial" w:hAnsi="Arial" w:cs="Arial"/>
                <w:bCs/>
                <w:color w:val="7F7F7F" w:themeColor="text1" w:themeTint="80"/>
                <w:sz w:val="14"/>
                <w:szCs w:val="14"/>
              </w:rPr>
              <w:t>Jeuken</w:t>
            </w:r>
            <w:proofErr w:type="spellEnd"/>
            <w:r w:rsidRPr="00E74925">
              <w:rPr>
                <w:rFonts w:ascii="Arial" w:hAnsi="Arial" w:cs="Arial"/>
                <w:bCs/>
                <w:color w:val="7F7F7F" w:themeColor="text1" w:themeTint="80"/>
                <w:sz w:val="14"/>
                <w:szCs w:val="14"/>
              </w:rPr>
              <w:t xml:space="preserve"> et al. 2014, p.1, 23</w:t>
            </w:r>
            <w:r w:rsidRPr="00E74925">
              <w:rPr>
                <w:rFonts w:ascii="Arial" w:hAnsi="Arial" w:cs="Arial"/>
                <w:bCs/>
                <w:sz w:val="14"/>
                <w:szCs w:val="14"/>
              </w:rPr>
              <w:t xml:space="preserve">). In other words, the development of a </w:t>
            </w:r>
            <w:r w:rsidRPr="00E74925">
              <w:rPr>
                <w:rFonts w:ascii="Arial" w:hAnsi="Arial" w:cs="Arial"/>
                <w:bCs/>
                <w:iCs/>
                <w:sz w:val="14"/>
                <w:szCs w:val="14"/>
              </w:rPr>
              <w:t>‘</w:t>
            </w:r>
            <w:r w:rsidRPr="00E74925">
              <w:rPr>
                <w:rFonts w:ascii="Arial" w:hAnsi="Arial" w:cs="Arial"/>
                <w:bCs/>
                <w:i/>
                <w:sz w:val="14"/>
                <w:szCs w:val="14"/>
              </w:rPr>
              <w:t>robust and flexible</w:t>
            </w:r>
            <w:r w:rsidRPr="00E74925">
              <w:rPr>
                <w:rFonts w:ascii="Arial" w:hAnsi="Arial" w:cs="Arial"/>
                <w:bCs/>
                <w:iCs/>
                <w:sz w:val="14"/>
                <w:szCs w:val="14"/>
              </w:rPr>
              <w:t xml:space="preserve">’ </w:t>
            </w:r>
            <w:r w:rsidRPr="00E74925">
              <w:rPr>
                <w:rFonts w:ascii="Arial" w:hAnsi="Arial" w:cs="Arial"/>
                <w:bCs/>
                <w:sz w:val="14"/>
                <w:szCs w:val="14"/>
              </w:rPr>
              <w:t xml:space="preserve">set of measures – or, more precisely, </w:t>
            </w:r>
            <w:r w:rsidRPr="00E74925">
              <w:rPr>
                <w:rFonts w:ascii="Arial" w:hAnsi="Arial" w:cs="Arial"/>
                <w:bCs/>
                <w:i/>
                <w:iCs/>
                <w:sz w:val="14"/>
                <w:szCs w:val="14"/>
              </w:rPr>
              <w:t>sets of measures</w:t>
            </w:r>
            <w:r w:rsidRPr="00E74925">
              <w:rPr>
                <w:rFonts w:ascii="Arial" w:hAnsi="Arial" w:cs="Arial"/>
                <w:bCs/>
                <w:sz w:val="14"/>
                <w:szCs w:val="14"/>
              </w:rPr>
              <w:t xml:space="preserve"> (as each </w:t>
            </w:r>
            <w:r w:rsidRPr="00E74925">
              <w:rPr>
                <w:rFonts w:ascii="Arial" w:hAnsi="Arial" w:cs="Arial"/>
                <w:bCs/>
                <w:i/>
                <w:iCs/>
                <w:sz w:val="14"/>
                <w:szCs w:val="14"/>
              </w:rPr>
              <w:t>Option</w:t>
            </w:r>
            <w:r w:rsidRPr="00E74925">
              <w:rPr>
                <w:rFonts w:ascii="Arial" w:hAnsi="Arial" w:cs="Arial"/>
                <w:bCs/>
                <w:sz w:val="14"/>
                <w:szCs w:val="14"/>
              </w:rPr>
              <w:t xml:space="preserve"> / pathway is itself a </w:t>
            </w:r>
            <w:r w:rsidRPr="00E74925">
              <w:rPr>
                <w:rFonts w:ascii="Arial" w:hAnsi="Arial" w:cs="Arial"/>
                <w:bCs/>
                <w:i/>
                <w:iCs/>
                <w:sz w:val="14"/>
                <w:szCs w:val="14"/>
              </w:rPr>
              <w:t>robust flexible set</w:t>
            </w:r>
            <w:r w:rsidRPr="00E74925">
              <w:rPr>
                <w:rFonts w:ascii="Arial" w:hAnsi="Arial" w:cs="Arial"/>
                <w:bCs/>
                <w:sz w:val="14"/>
                <w:szCs w:val="14"/>
              </w:rPr>
              <w:t xml:space="preserve"> of measures) – by using the APs approach, is other key-element of the TE2100’s approach essential to create and implement </w:t>
            </w:r>
            <w:r w:rsidRPr="00E74925">
              <w:rPr>
                <w:rFonts w:ascii="Arial" w:hAnsi="Arial" w:cs="Arial"/>
                <w:bCs/>
                <w:i/>
                <w:iCs/>
                <w:sz w:val="14"/>
                <w:szCs w:val="14"/>
              </w:rPr>
              <w:t>a robust adaptive plan</w:t>
            </w:r>
            <w:r w:rsidRPr="00E74925">
              <w:rPr>
                <w:rFonts w:ascii="Arial" w:hAnsi="Arial" w:cs="Arial"/>
                <w:bCs/>
                <w:sz w:val="14"/>
                <w:szCs w:val="14"/>
              </w:rPr>
              <w:t xml:space="preserve">. </w:t>
            </w:r>
          </w:p>
        </w:tc>
        <w:tc>
          <w:tcPr>
            <w:tcW w:w="1843" w:type="dxa"/>
          </w:tcPr>
          <w:p w14:paraId="7204D85C" w14:textId="77777777" w:rsidR="00AD22FD" w:rsidRPr="00E74925" w:rsidRDefault="00AD22FD" w:rsidP="007318C5">
            <w:pPr>
              <w:pStyle w:val="tablecontenttext"/>
              <w:spacing w:line="240" w:lineRule="auto"/>
              <w:rPr>
                <w:sz w:val="14"/>
                <w:szCs w:val="14"/>
              </w:rPr>
            </w:pPr>
            <w:r w:rsidRPr="00E74925">
              <w:rPr>
                <w:sz w:val="14"/>
                <w:szCs w:val="14"/>
              </w:rPr>
              <w:lastRenderedPageBreak/>
              <w:t xml:space="preserve">KE3: Developing </w:t>
            </w:r>
            <w:r w:rsidRPr="00E74925">
              <w:rPr>
                <w:i/>
                <w:sz w:val="14"/>
                <w:szCs w:val="14"/>
              </w:rPr>
              <w:t>‘</w:t>
            </w:r>
            <w:r w:rsidRPr="00E74925">
              <w:rPr>
                <w:sz w:val="14"/>
                <w:szCs w:val="14"/>
              </w:rPr>
              <w:t xml:space="preserve">a robust flexible set of </w:t>
            </w:r>
            <w:r w:rsidRPr="00E74925">
              <w:rPr>
                <w:i/>
                <w:iCs w:val="0"/>
                <w:sz w:val="14"/>
                <w:szCs w:val="14"/>
              </w:rPr>
              <w:t>Options</w:t>
            </w:r>
            <w:r w:rsidRPr="00E74925">
              <w:rPr>
                <w:sz w:val="14"/>
                <w:szCs w:val="14"/>
              </w:rPr>
              <w:t xml:space="preserve">, where each Option is itself a </w:t>
            </w:r>
            <w:r w:rsidRPr="00E74925">
              <w:rPr>
                <w:i/>
                <w:iCs w:val="0"/>
                <w:sz w:val="14"/>
                <w:szCs w:val="14"/>
              </w:rPr>
              <w:t>robust flexible set</w:t>
            </w:r>
            <w:r w:rsidRPr="00E74925">
              <w:rPr>
                <w:sz w:val="14"/>
                <w:szCs w:val="14"/>
              </w:rPr>
              <w:t xml:space="preserve"> of measures – to deal with uncertain changes, using the </w:t>
            </w:r>
            <w:r w:rsidRPr="00E74925">
              <w:rPr>
                <w:i/>
                <w:sz w:val="14"/>
                <w:szCs w:val="14"/>
              </w:rPr>
              <w:t>Adaptation Pathways approach</w:t>
            </w:r>
            <w:r w:rsidRPr="00E74925">
              <w:rPr>
                <w:sz w:val="14"/>
                <w:szCs w:val="14"/>
              </w:rPr>
              <w:t xml:space="preserve"> (APs) (also called </w:t>
            </w:r>
            <w:r w:rsidRPr="00E74925">
              <w:rPr>
                <w:i/>
                <w:sz w:val="14"/>
                <w:szCs w:val="14"/>
              </w:rPr>
              <w:t>Route-map</w:t>
            </w:r>
            <w:r w:rsidRPr="00E74925">
              <w:rPr>
                <w:sz w:val="14"/>
                <w:szCs w:val="14"/>
              </w:rPr>
              <w:t xml:space="preserve"> or </w:t>
            </w:r>
            <w:r w:rsidRPr="00E74925">
              <w:rPr>
                <w:i/>
                <w:sz w:val="14"/>
                <w:szCs w:val="14"/>
              </w:rPr>
              <w:t>Decision Pathways approach</w:t>
            </w:r>
            <w:r w:rsidRPr="00E74925">
              <w:rPr>
                <w:sz w:val="14"/>
                <w:szCs w:val="14"/>
              </w:rPr>
              <w:t>) (</w:t>
            </w:r>
            <w:r w:rsidRPr="00E74925">
              <w:rPr>
                <w:color w:val="7F7F7F" w:themeColor="text1" w:themeTint="80"/>
                <w:sz w:val="14"/>
                <w:szCs w:val="14"/>
              </w:rPr>
              <w:t>EA 2009A;</w:t>
            </w:r>
            <w:r w:rsidRPr="00E74925">
              <w:rPr>
                <w:iCs w:val="0"/>
                <w:color w:val="7F7F7F" w:themeColor="text1" w:themeTint="80"/>
                <w:sz w:val="14"/>
                <w:szCs w:val="14"/>
              </w:rPr>
              <w:t xml:space="preserve"> </w:t>
            </w:r>
            <w:r w:rsidRPr="00E74925">
              <w:rPr>
                <w:color w:val="7F7F7F" w:themeColor="text1" w:themeTint="80"/>
                <w:sz w:val="14"/>
                <w:szCs w:val="14"/>
              </w:rPr>
              <w:t xml:space="preserve">EA 2009b; Reeder and Ranger 2011; Ranger et al. 2013; Ramsbottom et and Sheppard 2017;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et al. 2014, p.1, 3, 23, based on Sayers et al. 2012</w:t>
            </w:r>
            <w:r w:rsidRPr="00E74925">
              <w:rPr>
                <w:sz w:val="14"/>
                <w:szCs w:val="14"/>
              </w:rPr>
              <w:t>).</w:t>
            </w:r>
          </w:p>
          <w:p w14:paraId="3EED2CDF" w14:textId="77777777" w:rsidR="00AD22FD" w:rsidRPr="00E74925" w:rsidRDefault="00AD22FD" w:rsidP="007318C5">
            <w:pPr>
              <w:pStyle w:val="tablecontenttext"/>
              <w:spacing w:line="240" w:lineRule="auto"/>
              <w:rPr>
                <w:sz w:val="14"/>
                <w:szCs w:val="14"/>
              </w:rPr>
            </w:pPr>
            <w:r w:rsidRPr="00E74925">
              <w:rPr>
                <w:sz w:val="14"/>
                <w:szCs w:val="14"/>
              </w:rPr>
              <w:t xml:space="preserve">This element consisted of designing </w:t>
            </w:r>
            <w:r w:rsidRPr="00E74925">
              <w:rPr>
                <w:i/>
                <w:iCs w:val="0"/>
                <w:sz w:val="14"/>
                <w:szCs w:val="14"/>
              </w:rPr>
              <w:t>robust flexible strategies</w:t>
            </w:r>
            <w:r w:rsidRPr="00E74925">
              <w:rPr>
                <w:sz w:val="14"/>
                <w:szCs w:val="14"/>
              </w:rPr>
              <w:t xml:space="preserve"> – so-called </w:t>
            </w:r>
            <w:r w:rsidRPr="00E74925">
              <w:rPr>
                <w:i/>
                <w:iCs w:val="0"/>
                <w:sz w:val="14"/>
                <w:szCs w:val="14"/>
              </w:rPr>
              <w:t xml:space="preserve">HLOs </w:t>
            </w:r>
            <w:r w:rsidRPr="00E74925">
              <w:rPr>
                <w:sz w:val="14"/>
                <w:szCs w:val="14"/>
              </w:rPr>
              <w:t xml:space="preserve">/ </w:t>
            </w:r>
            <w:r w:rsidRPr="00E74925">
              <w:rPr>
                <w:i/>
                <w:iCs w:val="0"/>
                <w:sz w:val="14"/>
                <w:szCs w:val="14"/>
              </w:rPr>
              <w:t>Options</w:t>
            </w:r>
            <w:r w:rsidRPr="00E74925">
              <w:rPr>
                <w:i/>
                <w:sz w:val="14"/>
                <w:szCs w:val="14"/>
              </w:rPr>
              <w:t xml:space="preserve"> </w:t>
            </w:r>
            <w:r w:rsidRPr="00E74925">
              <w:rPr>
                <w:iCs w:val="0"/>
                <w:sz w:val="14"/>
                <w:szCs w:val="14"/>
              </w:rPr>
              <w:t xml:space="preserve">– </w:t>
            </w:r>
            <w:r w:rsidRPr="00E74925">
              <w:rPr>
                <w:sz w:val="14"/>
                <w:szCs w:val="14"/>
              </w:rPr>
              <w:t xml:space="preserve">with the APs approach (each strategy can be considered a set of measures, i.e. a pathway </w:t>
            </w:r>
            <w:r w:rsidRPr="00E74925">
              <w:rPr>
                <w:iCs w:val="0"/>
                <w:sz w:val="14"/>
                <w:szCs w:val="14"/>
              </w:rPr>
              <w:t>made</w:t>
            </w:r>
            <w:r w:rsidRPr="00E74925">
              <w:rPr>
                <w:sz w:val="14"/>
                <w:szCs w:val="14"/>
              </w:rPr>
              <w:t xml:space="preserve"> up of </w:t>
            </w:r>
            <w:r w:rsidRPr="00E74925">
              <w:rPr>
                <w:i/>
                <w:iCs w:val="0"/>
                <w:sz w:val="14"/>
                <w:szCs w:val="14"/>
              </w:rPr>
              <w:t xml:space="preserve">robust </w:t>
            </w:r>
            <w:r w:rsidRPr="00E74925">
              <w:rPr>
                <w:sz w:val="14"/>
                <w:szCs w:val="14"/>
              </w:rPr>
              <w:t xml:space="preserve">and / or </w:t>
            </w:r>
            <w:r w:rsidRPr="00E74925">
              <w:rPr>
                <w:i/>
                <w:iCs w:val="0"/>
                <w:sz w:val="14"/>
                <w:szCs w:val="14"/>
              </w:rPr>
              <w:t xml:space="preserve">flexible </w:t>
            </w:r>
            <w:r w:rsidRPr="00E74925">
              <w:rPr>
                <w:sz w:val="14"/>
                <w:szCs w:val="14"/>
              </w:rPr>
              <w:t xml:space="preserve">measures) </w:t>
            </w:r>
            <w:r w:rsidRPr="00E74925">
              <w:rPr>
                <w:sz w:val="14"/>
                <w:szCs w:val="14"/>
              </w:rPr>
              <w:lastRenderedPageBreak/>
              <w:t>(</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and Reeder 2011, p.2-3</w:t>
            </w:r>
            <w:r w:rsidRPr="00E74925">
              <w:rPr>
                <w:sz w:val="14"/>
                <w:szCs w:val="14"/>
              </w:rPr>
              <w:t>).</w:t>
            </w:r>
          </w:p>
        </w:tc>
      </w:tr>
      <w:tr w:rsidR="00AD22FD" w:rsidRPr="00E74925" w14:paraId="14FD79D6" w14:textId="77777777" w:rsidTr="007318C5">
        <w:tc>
          <w:tcPr>
            <w:tcW w:w="660" w:type="dxa"/>
          </w:tcPr>
          <w:p w14:paraId="2BC55F87" w14:textId="77777777" w:rsidR="00AD22FD" w:rsidRPr="00E74925" w:rsidRDefault="00AD22FD" w:rsidP="007318C5">
            <w:pPr>
              <w:pStyle w:val="tablecontenttext"/>
              <w:spacing w:line="240" w:lineRule="auto"/>
              <w:rPr>
                <w:sz w:val="14"/>
                <w:szCs w:val="14"/>
              </w:rPr>
            </w:pPr>
            <w:r w:rsidRPr="00E74925">
              <w:rPr>
                <w:sz w:val="14"/>
                <w:szCs w:val="14"/>
              </w:rPr>
              <w:t xml:space="preserve">Step 3c </w:t>
            </w:r>
          </w:p>
          <w:p w14:paraId="4DEE8F57" w14:textId="77777777" w:rsidR="00AD22FD" w:rsidRPr="00E74925" w:rsidRDefault="00AD22FD" w:rsidP="007318C5">
            <w:pPr>
              <w:pStyle w:val="tablecontenttext"/>
              <w:spacing w:line="240" w:lineRule="auto"/>
              <w:rPr>
                <w:sz w:val="14"/>
                <w:szCs w:val="14"/>
              </w:rPr>
            </w:pPr>
            <w:r w:rsidRPr="00E74925">
              <w:rPr>
                <w:sz w:val="14"/>
                <w:szCs w:val="14"/>
              </w:rPr>
              <w:t>+</w:t>
            </w:r>
          </w:p>
          <w:p w14:paraId="53FDD984" w14:textId="77777777" w:rsidR="00AD22FD" w:rsidRPr="00E74925" w:rsidRDefault="00AD22FD" w:rsidP="007318C5">
            <w:pPr>
              <w:pStyle w:val="tablecontenttext"/>
              <w:spacing w:line="240" w:lineRule="auto"/>
              <w:rPr>
                <w:sz w:val="14"/>
                <w:szCs w:val="14"/>
              </w:rPr>
            </w:pPr>
            <w:r w:rsidRPr="00E74925">
              <w:rPr>
                <w:sz w:val="14"/>
                <w:szCs w:val="14"/>
              </w:rPr>
              <w:t>Step 5</w:t>
            </w:r>
          </w:p>
        </w:tc>
        <w:tc>
          <w:tcPr>
            <w:tcW w:w="7415" w:type="dxa"/>
          </w:tcPr>
          <w:p w14:paraId="4C8E7FC8" w14:textId="77777777" w:rsidR="00AD22FD" w:rsidRPr="00E74925" w:rsidRDefault="00AD22FD" w:rsidP="007318C5">
            <w:pPr>
              <w:pStyle w:val="TEXTBODY"/>
              <w:spacing w:after="60"/>
              <w:jc w:val="left"/>
              <w:rPr>
                <w:rFonts w:ascii="Arial" w:hAnsi="Arial" w:cs="Arial"/>
                <w:bCs/>
                <w:sz w:val="14"/>
                <w:szCs w:val="14"/>
              </w:rPr>
            </w:pPr>
            <w:r w:rsidRPr="00E74925">
              <w:rPr>
                <w:rFonts w:ascii="Arial" w:hAnsi="Arial" w:cs="Arial"/>
                <w:bCs/>
                <w:sz w:val="14"/>
                <w:szCs w:val="14"/>
              </w:rPr>
              <w:t>The TE2100 Project set out its monitoring and review system (M&amp;R), which specifies the indicators to be monitored and how to estimate ‘</w:t>
            </w:r>
            <w:r w:rsidRPr="00E74925">
              <w:rPr>
                <w:rFonts w:ascii="Arial" w:hAnsi="Arial" w:cs="Arial"/>
                <w:bCs/>
                <w:i/>
                <w:iCs/>
                <w:sz w:val="14"/>
                <w:szCs w:val="14"/>
              </w:rPr>
              <w:t>decision-points</w:t>
            </w:r>
            <w:r w:rsidRPr="00E74925">
              <w:rPr>
                <w:rFonts w:ascii="Arial" w:hAnsi="Arial" w:cs="Arial"/>
                <w:bCs/>
                <w:sz w:val="14"/>
                <w:szCs w:val="14"/>
              </w:rPr>
              <w:t>’ (</w:t>
            </w:r>
            <w:r w:rsidRPr="00E74925">
              <w:rPr>
                <w:rFonts w:ascii="Arial" w:hAnsi="Arial" w:cs="Arial"/>
                <w:bCs/>
                <w:color w:val="7F7F7F" w:themeColor="text1" w:themeTint="80"/>
                <w:sz w:val="14"/>
                <w:szCs w:val="14"/>
              </w:rPr>
              <w:t xml:space="preserve">Ranger et al. 2013, p.233, 239, 258; </w:t>
            </w:r>
            <w:proofErr w:type="spellStart"/>
            <w:r w:rsidRPr="00E74925">
              <w:rPr>
                <w:rFonts w:ascii="Arial" w:hAnsi="Arial" w:cs="Arial"/>
                <w:bCs/>
                <w:color w:val="7F7F7F" w:themeColor="text1" w:themeTint="80"/>
                <w:sz w:val="14"/>
                <w:szCs w:val="14"/>
              </w:rPr>
              <w:t>Jeuken</w:t>
            </w:r>
            <w:proofErr w:type="spellEnd"/>
            <w:r w:rsidRPr="00E74925">
              <w:rPr>
                <w:rFonts w:ascii="Arial" w:hAnsi="Arial" w:cs="Arial"/>
                <w:bCs/>
                <w:color w:val="7F7F7F" w:themeColor="text1" w:themeTint="80"/>
                <w:sz w:val="14"/>
                <w:szCs w:val="14"/>
              </w:rPr>
              <w:t xml:space="preserve"> et al. 2014, p.10, 22</w:t>
            </w:r>
            <w:r w:rsidRPr="00E74925">
              <w:rPr>
                <w:rFonts w:ascii="Arial" w:hAnsi="Arial" w:cs="Arial"/>
                <w:bCs/>
                <w:sz w:val="14"/>
                <w:szCs w:val="14"/>
              </w:rPr>
              <w:t xml:space="preserve">). </w:t>
            </w:r>
            <w:r w:rsidRPr="00E74925">
              <w:rPr>
                <w:rFonts w:ascii="Arial" w:eastAsia="Calibri" w:hAnsi="Arial" w:cs="Arial"/>
                <w:bCs/>
                <w:sz w:val="14"/>
                <w:szCs w:val="14"/>
                <w:lang w:eastAsia="en-US"/>
              </w:rPr>
              <w:t xml:space="preserve">The monitoring programme is defined in the TE2100 Plan, including the 10 indicators that must be monitored over Plan’s lifespan (e.g. mean sea level, extent of erosion, etc.), </w:t>
            </w:r>
            <w:r w:rsidRPr="00E74925">
              <w:rPr>
                <w:rFonts w:ascii="Arial" w:hAnsi="Arial" w:cs="Arial"/>
                <w:bCs/>
                <w:sz w:val="14"/>
                <w:szCs w:val="14"/>
              </w:rPr>
              <w:t>to detect changes in the Estuary and its flood risk</w:t>
            </w:r>
            <w:r w:rsidRPr="00E74925">
              <w:rPr>
                <w:rFonts w:ascii="Arial" w:eastAsia="Calibri" w:hAnsi="Arial" w:cs="Arial"/>
                <w:bCs/>
                <w:sz w:val="14"/>
                <w:szCs w:val="14"/>
                <w:lang w:eastAsia="en-US"/>
              </w:rPr>
              <w:t xml:space="preserve"> </w:t>
            </w:r>
            <w:r w:rsidRPr="00E74925">
              <w:rPr>
                <w:rFonts w:ascii="Arial" w:hAnsi="Arial" w:cs="Arial"/>
                <w:bCs/>
                <w:sz w:val="14"/>
                <w:szCs w:val="14"/>
              </w:rPr>
              <w:t>(</w:t>
            </w:r>
            <w:r w:rsidRPr="00E74925">
              <w:rPr>
                <w:rFonts w:ascii="Arial" w:eastAsia="Calibri" w:hAnsi="Arial" w:cs="Arial"/>
                <w:bCs/>
                <w:color w:val="7F7F7F" w:themeColor="text1" w:themeTint="80"/>
                <w:sz w:val="14"/>
                <w:szCs w:val="14"/>
                <w:lang w:eastAsia="en-US"/>
              </w:rPr>
              <w:t xml:space="preserve">EA 2012, p.30, 37; </w:t>
            </w:r>
            <w:r w:rsidRPr="00E74925">
              <w:rPr>
                <w:rFonts w:ascii="Arial" w:hAnsi="Arial" w:cs="Arial"/>
                <w:bCs/>
                <w:color w:val="7F7F7F" w:themeColor="text1" w:themeTint="80"/>
                <w:sz w:val="14"/>
                <w:szCs w:val="14"/>
              </w:rPr>
              <w:t>EA 2016; Ranger et al. 2013, p.233, 256; London Councils 2018; Ramsbottom and Sheppard 2017, p.12</w:t>
            </w:r>
            <w:r w:rsidRPr="00E74925">
              <w:rPr>
                <w:rFonts w:ascii="Arial" w:hAnsi="Arial" w:cs="Arial"/>
                <w:bCs/>
                <w:sz w:val="14"/>
                <w:szCs w:val="14"/>
              </w:rPr>
              <w:t>). This programme not only monitors how the climate and flood risk are changing locally (by measuring changes in the indicators), but also global changes like climate change and the rate of</w:t>
            </w:r>
            <w:r w:rsidRPr="00E74925">
              <w:rPr>
                <w:rFonts w:ascii="Arial" w:hAnsi="Arial" w:cs="Arial"/>
                <w:bCs/>
                <w:i/>
                <w:sz w:val="14"/>
                <w:szCs w:val="14"/>
              </w:rPr>
              <w:t xml:space="preserve"> </w:t>
            </w:r>
            <w:r w:rsidRPr="00E74925">
              <w:rPr>
                <w:rFonts w:ascii="Arial" w:hAnsi="Arial" w:cs="Arial"/>
                <w:bCs/>
                <w:sz w:val="14"/>
                <w:szCs w:val="14"/>
              </w:rPr>
              <w:t>its effects (observation of updated future projections</w:t>
            </w:r>
            <w:r w:rsidRPr="00E74925">
              <w:rPr>
                <w:rFonts w:ascii="Arial" w:eastAsia="Calibri" w:hAnsi="Arial" w:cs="Arial"/>
                <w:bCs/>
                <w:sz w:val="14"/>
                <w:szCs w:val="14"/>
              </w:rPr>
              <w:t xml:space="preserve">) </w:t>
            </w:r>
            <w:r w:rsidRPr="00E74925">
              <w:rPr>
                <w:rFonts w:ascii="Arial" w:hAnsi="Arial" w:cs="Arial"/>
                <w:bCs/>
                <w:sz w:val="14"/>
                <w:szCs w:val="14"/>
              </w:rPr>
              <w:t>(</w:t>
            </w:r>
            <w:r w:rsidRPr="00E74925">
              <w:rPr>
                <w:rFonts w:ascii="Arial" w:hAnsi="Arial" w:cs="Arial"/>
                <w:bCs/>
                <w:color w:val="7F7F7F" w:themeColor="text1" w:themeTint="80"/>
                <w:sz w:val="14"/>
                <w:szCs w:val="14"/>
              </w:rPr>
              <w:t xml:space="preserve">EA 2009b; Lowe et al. 2009, p.85, 90; </w:t>
            </w:r>
            <w:r w:rsidRPr="00E74925">
              <w:rPr>
                <w:rFonts w:ascii="Arial" w:eastAsia="Calibri" w:hAnsi="Arial" w:cs="Arial"/>
                <w:bCs/>
                <w:color w:val="7F7F7F" w:themeColor="text1" w:themeTint="80"/>
                <w:sz w:val="14"/>
                <w:szCs w:val="14"/>
              </w:rPr>
              <w:t>Met Office 2012</w:t>
            </w:r>
            <w:r w:rsidRPr="00E74925">
              <w:rPr>
                <w:rFonts w:ascii="Arial" w:eastAsia="Calibri" w:hAnsi="Arial" w:cs="Arial"/>
                <w:bCs/>
                <w:sz w:val="14"/>
                <w:szCs w:val="14"/>
              </w:rPr>
              <w:t>).</w:t>
            </w:r>
            <w:r w:rsidRPr="00E74925">
              <w:rPr>
                <w:rFonts w:ascii="Arial" w:eastAsia="Calibri" w:hAnsi="Arial" w:cs="Arial"/>
                <w:bCs/>
                <w:color w:val="0070C0"/>
                <w:sz w:val="14"/>
                <w:szCs w:val="14"/>
              </w:rPr>
              <w:t xml:space="preserve"> </w:t>
            </w:r>
            <w:r w:rsidRPr="00E74925">
              <w:rPr>
                <w:rFonts w:ascii="Arial" w:hAnsi="Arial" w:cs="Arial"/>
                <w:bCs/>
                <w:sz w:val="14"/>
                <w:szCs w:val="14"/>
              </w:rPr>
              <w:t xml:space="preserve"> The </w:t>
            </w:r>
            <w:r w:rsidRPr="00E74925">
              <w:rPr>
                <w:rFonts w:ascii="Arial" w:hAnsi="Arial" w:cs="Arial"/>
                <w:bCs/>
                <w:i/>
                <w:iCs/>
                <w:sz w:val="14"/>
                <w:szCs w:val="14"/>
              </w:rPr>
              <w:t>decision-points</w:t>
            </w:r>
            <w:r w:rsidRPr="00E74925">
              <w:rPr>
                <w:rFonts w:ascii="Arial" w:hAnsi="Arial" w:cs="Arial"/>
                <w:bCs/>
                <w:sz w:val="14"/>
                <w:szCs w:val="14"/>
              </w:rPr>
              <w:t xml:space="preserve"> trigger a decision on the measures to be implemented based on the observation of the indicators.</w:t>
            </w:r>
            <w:r w:rsidRPr="00E74925">
              <w:rPr>
                <w:rStyle w:val="Refdenotaderodap"/>
                <w:rFonts w:ascii="Arial" w:hAnsi="Arial" w:cs="Arial"/>
                <w:bCs/>
                <w:sz w:val="14"/>
                <w:szCs w:val="14"/>
              </w:rPr>
              <w:footnoteReference w:id="73"/>
            </w:r>
            <w:r w:rsidRPr="00E74925">
              <w:rPr>
                <w:rFonts w:ascii="Arial" w:hAnsi="Arial" w:cs="Arial"/>
                <w:bCs/>
                <w:sz w:val="14"/>
                <w:szCs w:val="14"/>
              </w:rPr>
              <w:t xml:space="preserve"> </w:t>
            </w:r>
          </w:p>
          <w:p w14:paraId="11C90BE7" w14:textId="77777777" w:rsidR="00AD22FD" w:rsidRPr="00E74925" w:rsidRDefault="00AD22FD" w:rsidP="007318C5">
            <w:pPr>
              <w:pStyle w:val="TEXTBODY"/>
              <w:spacing w:after="60"/>
              <w:jc w:val="left"/>
              <w:rPr>
                <w:rFonts w:ascii="Arial" w:hAnsi="Arial" w:cs="Arial"/>
                <w:bCs/>
                <w:iCs/>
                <w:color w:val="7030A0"/>
                <w:sz w:val="14"/>
                <w:szCs w:val="14"/>
              </w:rPr>
            </w:pPr>
            <w:r w:rsidRPr="00E74925">
              <w:rPr>
                <w:rFonts w:ascii="Arial" w:hAnsi="Arial" w:cs="Arial"/>
                <w:bCs/>
                <w:sz w:val="14"/>
                <w:szCs w:val="14"/>
              </w:rPr>
              <w:t xml:space="preserve">Besides this, the TE2100 carries out regular reviews (reassessments) of the Plan. </w:t>
            </w:r>
            <w:r w:rsidRPr="00E74925">
              <w:rPr>
                <w:rFonts w:ascii="Arial" w:eastAsia="Calibri" w:hAnsi="Arial" w:cs="Arial"/>
                <w:bCs/>
                <w:sz w:val="14"/>
                <w:szCs w:val="14"/>
                <w:lang w:eastAsia="en-US"/>
              </w:rPr>
              <w:t xml:space="preserve">The TE2100 Plan must be reviewed every 10 years or more </w:t>
            </w:r>
            <w:bookmarkStart w:id="102" w:name="_Hlk138953385"/>
            <w:r w:rsidRPr="00E74925">
              <w:rPr>
                <w:rFonts w:ascii="Arial" w:eastAsia="Calibri" w:hAnsi="Arial" w:cs="Arial"/>
                <w:bCs/>
                <w:sz w:val="14"/>
                <w:szCs w:val="14"/>
                <w:lang w:eastAsia="en-US"/>
              </w:rPr>
              <w:t xml:space="preserve">frequently </w:t>
            </w:r>
            <w:r w:rsidRPr="00E74925">
              <w:rPr>
                <w:rFonts w:ascii="Arial" w:hAnsi="Arial" w:cs="Arial"/>
                <w:bCs/>
                <w:sz w:val="14"/>
                <w:szCs w:val="14"/>
              </w:rPr>
              <w:t>if there is a major change in one or more indicators</w:t>
            </w:r>
            <w:bookmarkEnd w:id="102"/>
            <w:r w:rsidRPr="00E74925">
              <w:rPr>
                <w:rFonts w:ascii="Arial" w:hAnsi="Arial" w:cs="Arial"/>
                <w:bCs/>
                <w:sz w:val="14"/>
                <w:szCs w:val="14"/>
              </w:rPr>
              <w:t>,</w:t>
            </w:r>
            <w:r w:rsidRPr="00E74925">
              <w:rPr>
                <w:rFonts w:ascii="Arial" w:eastAsia="Calibri" w:hAnsi="Arial" w:cs="Arial"/>
                <w:bCs/>
                <w:sz w:val="14"/>
                <w:szCs w:val="14"/>
                <w:lang w:eastAsia="en-US"/>
              </w:rPr>
              <w:t xml:space="preserve"> i.e. p</w:t>
            </w:r>
            <w:r w:rsidRPr="00E74925">
              <w:rPr>
                <w:rFonts w:ascii="Arial" w:hAnsi="Arial" w:cs="Arial"/>
                <w:bCs/>
                <w:sz w:val="14"/>
                <w:szCs w:val="14"/>
              </w:rPr>
              <w:t>eriodic reviews of the Plan were set every 10 years at least (based on monitoring results) or more frequently if a substantial change happens in one or more indicators (</w:t>
            </w:r>
            <w:r w:rsidRPr="00E74925">
              <w:rPr>
                <w:rFonts w:ascii="Arial" w:hAnsi="Arial" w:cs="Arial"/>
                <w:bCs/>
                <w:color w:val="7F7F7F" w:themeColor="text1" w:themeTint="80"/>
                <w:sz w:val="14"/>
                <w:szCs w:val="14"/>
              </w:rPr>
              <w:t xml:space="preserve">EA 2012, p.30, 39; EA 2009A, </w:t>
            </w:r>
            <w:proofErr w:type="spellStart"/>
            <w:r w:rsidRPr="00E74925">
              <w:rPr>
                <w:rFonts w:ascii="Arial" w:hAnsi="Arial" w:cs="Arial"/>
                <w:bCs/>
                <w:color w:val="7F7F7F" w:themeColor="text1" w:themeTint="80"/>
                <w:sz w:val="14"/>
                <w:szCs w:val="14"/>
              </w:rPr>
              <w:t>p.xv</w:t>
            </w:r>
            <w:proofErr w:type="spellEnd"/>
            <w:r w:rsidRPr="00E74925">
              <w:rPr>
                <w:rFonts w:ascii="Arial" w:hAnsi="Arial" w:cs="Arial"/>
                <w:bCs/>
                <w:color w:val="7F7F7F" w:themeColor="text1" w:themeTint="80"/>
                <w:sz w:val="14"/>
                <w:szCs w:val="14"/>
              </w:rPr>
              <w:t>, 262-263; Ranger et al. 2013, p.254</w:t>
            </w:r>
            <w:r w:rsidRPr="00E74925">
              <w:rPr>
                <w:rFonts w:ascii="Arial" w:hAnsi="Arial" w:cs="Arial"/>
                <w:bCs/>
                <w:sz w:val="14"/>
                <w:szCs w:val="14"/>
              </w:rPr>
              <w:t xml:space="preserve">). Moreover, a mid-term monitoring review process must be conducted every 5 years </w:t>
            </w:r>
            <w:r w:rsidRPr="00E74925">
              <w:rPr>
                <w:rFonts w:ascii="Arial" w:hAnsi="Arial" w:cs="Arial"/>
                <w:bCs/>
                <w:iCs/>
                <w:sz w:val="14"/>
                <w:szCs w:val="14"/>
              </w:rPr>
              <w:t>(</w:t>
            </w:r>
            <w:r w:rsidRPr="00E74925">
              <w:rPr>
                <w:rFonts w:ascii="Arial" w:hAnsi="Arial" w:cs="Arial"/>
                <w:bCs/>
                <w:color w:val="7F7F7F" w:themeColor="text1" w:themeTint="80"/>
                <w:sz w:val="14"/>
                <w:szCs w:val="14"/>
              </w:rPr>
              <w:t>EA 2009b; Ramsbottom and Sheppard 2017, p.13</w:t>
            </w:r>
            <w:r w:rsidRPr="00E74925">
              <w:rPr>
                <w:rFonts w:ascii="Arial" w:hAnsi="Arial" w:cs="Arial"/>
                <w:bCs/>
                <w:sz w:val="14"/>
                <w:szCs w:val="14"/>
              </w:rPr>
              <w:t>)</w:t>
            </w:r>
            <w:r w:rsidRPr="00E74925">
              <w:rPr>
                <w:rFonts w:ascii="Arial" w:hAnsi="Arial" w:cs="Arial"/>
                <w:bCs/>
                <w:iCs/>
                <w:color w:val="7030A0"/>
                <w:sz w:val="14"/>
                <w:szCs w:val="14"/>
              </w:rPr>
              <w:t>.</w:t>
            </w:r>
            <w:r w:rsidRPr="00E74925">
              <w:rPr>
                <w:rStyle w:val="Refdenotaderodap"/>
                <w:rFonts w:ascii="Arial" w:hAnsi="Arial" w:cs="Arial"/>
                <w:bCs/>
                <w:iCs/>
                <w:color w:val="7030A0"/>
                <w:sz w:val="14"/>
                <w:szCs w:val="14"/>
              </w:rPr>
              <w:footnoteReference w:id="74"/>
            </w:r>
            <w:r w:rsidRPr="00E74925">
              <w:rPr>
                <w:rFonts w:ascii="Arial" w:hAnsi="Arial" w:cs="Arial"/>
                <w:bCs/>
                <w:iCs/>
                <w:color w:val="7030A0"/>
                <w:sz w:val="14"/>
                <w:szCs w:val="14"/>
              </w:rPr>
              <w:t xml:space="preserve"> </w:t>
            </w:r>
          </w:p>
          <w:p w14:paraId="68DA5423" w14:textId="77777777" w:rsidR="00AD22FD" w:rsidRPr="00E74925" w:rsidRDefault="00AD22FD" w:rsidP="007318C5">
            <w:pPr>
              <w:pStyle w:val="TEXTBODY"/>
              <w:spacing w:after="60"/>
              <w:jc w:val="left"/>
              <w:rPr>
                <w:rFonts w:ascii="Arial" w:hAnsi="Arial" w:cs="Arial"/>
                <w:bCs/>
                <w:sz w:val="14"/>
                <w:szCs w:val="14"/>
              </w:rPr>
            </w:pPr>
            <w:r w:rsidRPr="00E74925">
              <w:rPr>
                <w:rFonts w:ascii="Arial" w:eastAsia="Calibri" w:hAnsi="Arial" w:cs="Arial"/>
                <w:bCs/>
                <w:sz w:val="14"/>
                <w:szCs w:val="14"/>
              </w:rPr>
              <w:lastRenderedPageBreak/>
              <w:t xml:space="preserve">The monitoring of local changes and of the progress of CC at a global scale (as experienced and forecast) and of new scientific insights, and also the periodic reviews of the Plan and adapting it and the physical system to changes early as time unfolds, are deemed two essential factors for the effectiveness of the Plan as an </w:t>
            </w:r>
            <w:r w:rsidRPr="00E74925">
              <w:rPr>
                <w:rFonts w:ascii="Arial" w:eastAsia="Calibri" w:hAnsi="Arial" w:cs="Arial"/>
                <w:bCs/>
                <w:i/>
                <w:iCs/>
                <w:sz w:val="14"/>
                <w:szCs w:val="14"/>
              </w:rPr>
              <w:t>adaptive plan</w:t>
            </w:r>
            <w:r w:rsidRPr="00E74925">
              <w:rPr>
                <w:rFonts w:ascii="Arial" w:eastAsia="Calibri" w:hAnsi="Arial" w:cs="Arial"/>
                <w:bCs/>
                <w:sz w:val="14"/>
                <w:szCs w:val="14"/>
              </w:rPr>
              <w:t xml:space="preserve"> and of its APs approach (</w:t>
            </w:r>
            <w:r w:rsidRPr="00E74925">
              <w:rPr>
                <w:rFonts w:ascii="Arial" w:eastAsia="Calibri" w:hAnsi="Arial" w:cs="Arial"/>
                <w:bCs/>
                <w:color w:val="7F7F7F" w:themeColor="text1" w:themeTint="80"/>
                <w:sz w:val="14"/>
                <w:szCs w:val="14"/>
              </w:rPr>
              <w:t xml:space="preserve">Met Office 2012; </w:t>
            </w:r>
            <w:r w:rsidRPr="00E74925">
              <w:rPr>
                <w:rFonts w:ascii="Arial" w:hAnsi="Arial" w:cs="Arial"/>
                <w:bCs/>
                <w:color w:val="7F7F7F" w:themeColor="text1" w:themeTint="80"/>
                <w:sz w:val="14"/>
                <w:szCs w:val="14"/>
              </w:rPr>
              <w:t xml:space="preserve">EA 2009b, p.10; </w:t>
            </w:r>
            <w:proofErr w:type="spellStart"/>
            <w:r w:rsidRPr="00E74925">
              <w:rPr>
                <w:rFonts w:ascii="Arial" w:hAnsi="Arial" w:cs="Arial"/>
                <w:bCs/>
                <w:color w:val="7F7F7F" w:themeColor="text1" w:themeTint="80"/>
                <w:sz w:val="14"/>
                <w:szCs w:val="14"/>
              </w:rPr>
              <w:t>Jeuken</w:t>
            </w:r>
            <w:proofErr w:type="spellEnd"/>
            <w:r w:rsidRPr="00E74925">
              <w:rPr>
                <w:rFonts w:ascii="Arial" w:hAnsi="Arial" w:cs="Arial"/>
                <w:bCs/>
                <w:color w:val="7F7F7F" w:themeColor="text1" w:themeTint="80"/>
                <w:sz w:val="14"/>
                <w:szCs w:val="14"/>
              </w:rPr>
              <w:t xml:space="preserve"> and Reeder 2011, p.6</w:t>
            </w:r>
            <w:r w:rsidRPr="00E74925">
              <w:rPr>
                <w:rFonts w:ascii="Arial" w:hAnsi="Arial" w:cs="Arial"/>
                <w:bCs/>
                <w:sz w:val="14"/>
                <w:szCs w:val="14"/>
              </w:rPr>
              <w:t>).</w:t>
            </w:r>
            <w:r w:rsidRPr="00E74925">
              <w:rPr>
                <w:rStyle w:val="Refdenotaderodap"/>
                <w:rFonts w:ascii="Arial" w:hAnsi="Arial" w:cs="Arial"/>
                <w:bCs/>
                <w:sz w:val="14"/>
                <w:szCs w:val="14"/>
              </w:rPr>
              <w:footnoteReference w:id="75"/>
            </w:r>
            <w:r w:rsidRPr="00E74925">
              <w:rPr>
                <w:rFonts w:ascii="Arial" w:hAnsi="Arial" w:cs="Arial"/>
                <w:bCs/>
                <w:sz w:val="14"/>
                <w:szCs w:val="14"/>
              </w:rPr>
              <w:t xml:space="preserve"> In specific, the ongoing monitoring and the regular reviews of the Plan are essential to ensure that changes are timely detected and any necessary alterations to the Plan (or its </w:t>
            </w:r>
            <w:r w:rsidRPr="00E74925">
              <w:rPr>
                <w:rFonts w:ascii="Arial" w:hAnsi="Arial" w:cs="Arial"/>
                <w:bCs/>
                <w:i/>
                <w:iCs/>
                <w:sz w:val="14"/>
                <w:szCs w:val="14"/>
              </w:rPr>
              <w:t>Options</w:t>
            </w:r>
            <w:r w:rsidRPr="00E74925">
              <w:rPr>
                <w:rFonts w:ascii="Arial" w:hAnsi="Arial" w:cs="Arial"/>
                <w:bCs/>
                <w:sz w:val="14"/>
                <w:szCs w:val="14"/>
              </w:rPr>
              <w:t>) are made (</w:t>
            </w:r>
            <w:r w:rsidRPr="00E74925">
              <w:rPr>
                <w:rFonts w:ascii="Arial" w:hAnsi="Arial" w:cs="Arial"/>
                <w:bCs/>
                <w:color w:val="7F7F7F" w:themeColor="text1" w:themeTint="80"/>
                <w:sz w:val="14"/>
                <w:szCs w:val="14"/>
              </w:rPr>
              <w:t>Reeder and Ranger 2011</w:t>
            </w:r>
            <w:r w:rsidRPr="00E74925">
              <w:rPr>
                <w:rFonts w:ascii="Arial" w:hAnsi="Arial" w:cs="Arial"/>
                <w:bCs/>
                <w:sz w:val="14"/>
                <w:szCs w:val="14"/>
              </w:rPr>
              <w:t xml:space="preserve">). For example, monitoring and Plan’s reviews are required to see if a switch to other measure, or </w:t>
            </w:r>
            <w:r w:rsidRPr="00E74925">
              <w:rPr>
                <w:rFonts w:ascii="Arial" w:hAnsi="Arial" w:cs="Arial"/>
                <w:bCs/>
                <w:i/>
                <w:iCs/>
                <w:sz w:val="14"/>
                <w:szCs w:val="14"/>
              </w:rPr>
              <w:t>Option</w:t>
            </w:r>
            <w:r w:rsidRPr="00E74925">
              <w:rPr>
                <w:rFonts w:ascii="Arial" w:hAnsi="Arial" w:cs="Arial"/>
                <w:bCs/>
                <w:sz w:val="14"/>
                <w:szCs w:val="14"/>
              </w:rPr>
              <w:t xml:space="preserve"> (pathway), is needed given observed changes in the indicators and new information (</w:t>
            </w:r>
            <w:r w:rsidRPr="00E74925">
              <w:rPr>
                <w:rFonts w:ascii="Arial" w:hAnsi="Arial" w:cs="Arial"/>
                <w:bCs/>
                <w:color w:val="7F7F7F" w:themeColor="text1" w:themeTint="80"/>
                <w:sz w:val="14"/>
                <w:szCs w:val="14"/>
              </w:rPr>
              <w:t>HM Treasury 2009, p.27-28</w:t>
            </w:r>
            <w:r w:rsidRPr="00E74925">
              <w:rPr>
                <w:rFonts w:ascii="Arial" w:hAnsi="Arial" w:cs="Arial"/>
                <w:bCs/>
                <w:sz w:val="14"/>
                <w:szCs w:val="14"/>
              </w:rPr>
              <w:t>).</w:t>
            </w:r>
            <w:r w:rsidRPr="00E74925">
              <w:rPr>
                <w:rStyle w:val="Refdenotaderodap"/>
                <w:rFonts w:ascii="Arial" w:hAnsi="Arial" w:cs="Arial"/>
                <w:bCs/>
                <w:sz w:val="14"/>
                <w:szCs w:val="14"/>
              </w:rPr>
              <w:t xml:space="preserve"> </w:t>
            </w:r>
            <w:r w:rsidRPr="00E74925">
              <w:rPr>
                <w:rStyle w:val="Refdenotaderodap"/>
                <w:rFonts w:ascii="Arial" w:hAnsi="Arial" w:cs="Arial"/>
                <w:bCs/>
                <w:sz w:val="14"/>
                <w:szCs w:val="14"/>
              </w:rPr>
              <w:footnoteReference w:id="76"/>
            </w:r>
            <w:r w:rsidRPr="00E74925">
              <w:rPr>
                <w:rFonts w:ascii="Arial" w:hAnsi="Arial" w:cs="Arial"/>
                <w:bCs/>
                <w:iCs/>
                <w:sz w:val="14"/>
                <w:szCs w:val="14"/>
              </w:rPr>
              <w:t xml:space="preserve"> </w:t>
            </w:r>
            <w:r w:rsidRPr="00E74925">
              <w:rPr>
                <w:rFonts w:ascii="Arial" w:hAnsi="Arial" w:cs="Arial"/>
                <w:bCs/>
                <w:sz w:val="14"/>
                <w:szCs w:val="14"/>
              </w:rPr>
              <w:t xml:space="preserve"> Monitoring of local and global changes</w:t>
            </w:r>
            <w:r w:rsidRPr="00E74925">
              <w:rPr>
                <w:rFonts w:ascii="Arial" w:hAnsi="Arial" w:cs="Arial"/>
                <w:bCs/>
                <w:iCs/>
                <w:sz w:val="14"/>
                <w:szCs w:val="14"/>
              </w:rPr>
              <w:t>, in particular,</w:t>
            </w:r>
            <w:r w:rsidRPr="00E74925">
              <w:rPr>
                <w:rFonts w:ascii="Arial" w:hAnsi="Arial" w:cs="Arial"/>
                <w:bCs/>
                <w:sz w:val="14"/>
                <w:szCs w:val="14"/>
              </w:rPr>
              <w:t xml:space="preserve"> is necessary to examine if </w:t>
            </w:r>
            <w:r w:rsidRPr="00E74925">
              <w:rPr>
                <w:rFonts w:ascii="Arial" w:hAnsi="Arial" w:cs="Arial"/>
                <w:bCs/>
                <w:i/>
                <w:sz w:val="14"/>
                <w:szCs w:val="14"/>
              </w:rPr>
              <w:t xml:space="preserve">Options </w:t>
            </w:r>
            <w:r w:rsidRPr="00E74925">
              <w:rPr>
                <w:rFonts w:ascii="Arial" w:hAnsi="Arial" w:cs="Arial"/>
                <w:bCs/>
                <w:sz w:val="14"/>
                <w:szCs w:val="14"/>
              </w:rPr>
              <w:t>(pathways), their measures, or decisions regarding them, should be taken earlier or postponed</w:t>
            </w:r>
            <w:r w:rsidRPr="00E74925">
              <w:rPr>
                <w:rFonts w:ascii="Arial" w:hAnsi="Arial" w:cs="Arial"/>
                <w:bCs/>
                <w:color w:val="C00000"/>
                <w:sz w:val="14"/>
                <w:szCs w:val="14"/>
              </w:rPr>
              <w:t xml:space="preserve">, </w:t>
            </w:r>
            <w:r w:rsidRPr="00E74925">
              <w:rPr>
                <w:rFonts w:ascii="Arial" w:hAnsi="Arial" w:cs="Arial"/>
                <w:bCs/>
                <w:sz w:val="14"/>
                <w:szCs w:val="14"/>
              </w:rPr>
              <w:t xml:space="preserve">revised or altered, namely in the </w:t>
            </w:r>
            <w:r w:rsidRPr="00E74925">
              <w:rPr>
                <w:rFonts w:ascii="Arial" w:hAnsi="Arial" w:cs="Arial"/>
                <w:bCs/>
                <w:i/>
                <w:iCs/>
                <w:sz w:val="14"/>
                <w:szCs w:val="14"/>
              </w:rPr>
              <w:t>Action Plan</w:t>
            </w:r>
            <w:r w:rsidRPr="00E74925">
              <w:rPr>
                <w:rFonts w:ascii="Arial" w:hAnsi="Arial" w:cs="Arial"/>
                <w:bCs/>
                <w:sz w:val="14"/>
                <w:szCs w:val="14"/>
              </w:rPr>
              <w:t xml:space="preserve"> (</w:t>
            </w:r>
            <w:proofErr w:type="spellStart"/>
            <w:r w:rsidRPr="00E74925">
              <w:rPr>
                <w:rFonts w:ascii="Arial" w:hAnsi="Arial" w:cs="Arial"/>
                <w:bCs/>
                <w:color w:val="7F7F7F" w:themeColor="text1" w:themeTint="80"/>
                <w:sz w:val="14"/>
                <w:szCs w:val="14"/>
              </w:rPr>
              <w:t>Jeuken</w:t>
            </w:r>
            <w:proofErr w:type="spellEnd"/>
            <w:r w:rsidRPr="00E74925">
              <w:rPr>
                <w:rFonts w:ascii="Arial" w:hAnsi="Arial" w:cs="Arial"/>
                <w:bCs/>
                <w:color w:val="7F7F7F" w:themeColor="text1" w:themeTint="80"/>
                <w:sz w:val="14"/>
                <w:szCs w:val="14"/>
              </w:rPr>
              <w:t xml:space="preserve"> and Reeder 2011</w:t>
            </w:r>
            <w:r w:rsidRPr="00E74925">
              <w:rPr>
                <w:rFonts w:ascii="Arial" w:hAnsi="Arial" w:cs="Arial"/>
                <w:bCs/>
                <w:sz w:val="14"/>
                <w:szCs w:val="14"/>
              </w:rPr>
              <w:t>), thus, it is essential to allow adaptations of the Plan and its pathways (</w:t>
            </w:r>
            <w:r w:rsidRPr="00E74925">
              <w:rPr>
                <w:rFonts w:ascii="Arial" w:hAnsi="Arial" w:cs="Arial"/>
                <w:bCs/>
                <w:color w:val="7F7F7F" w:themeColor="text1" w:themeTint="80"/>
                <w:sz w:val="14"/>
                <w:szCs w:val="14"/>
              </w:rPr>
              <w:t>EA 2009A, p.11, 8, 72</w:t>
            </w:r>
            <w:r w:rsidRPr="00E74925">
              <w:rPr>
                <w:rFonts w:ascii="Arial" w:hAnsi="Arial" w:cs="Arial"/>
                <w:bCs/>
                <w:sz w:val="14"/>
                <w:szCs w:val="14"/>
              </w:rPr>
              <w:t>).</w:t>
            </w:r>
            <w:r w:rsidRPr="00E74925">
              <w:rPr>
                <w:rStyle w:val="Refdenotaderodap"/>
                <w:rFonts w:ascii="Arial" w:hAnsi="Arial" w:cs="Arial"/>
                <w:bCs/>
                <w:sz w:val="14"/>
                <w:szCs w:val="14"/>
              </w:rPr>
              <w:footnoteReference w:id="77"/>
            </w:r>
          </w:p>
          <w:p w14:paraId="1ADABDE6" w14:textId="77777777" w:rsidR="00AD22FD" w:rsidRPr="00E74925" w:rsidRDefault="00AD22FD" w:rsidP="007318C5">
            <w:pPr>
              <w:pStyle w:val="TEXTBODY"/>
              <w:jc w:val="left"/>
              <w:rPr>
                <w:rFonts w:ascii="Arial" w:hAnsi="Arial" w:cs="Arial"/>
                <w:bCs/>
                <w:sz w:val="14"/>
                <w:szCs w:val="14"/>
              </w:rPr>
            </w:pPr>
            <w:r w:rsidRPr="00E74925">
              <w:rPr>
                <w:rFonts w:ascii="Arial" w:hAnsi="Arial" w:cs="Arial"/>
                <w:bCs/>
                <w:sz w:val="14"/>
                <w:szCs w:val="14"/>
              </w:rPr>
              <w:t>The monitoring programme has been conducted since the Plan’s publication (in 2012), it has kept track of changes in the indicators, and some indicators have been refined (</w:t>
            </w:r>
            <w:r w:rsidRPr="00E74925">
              <w:rPr>
                <w:rFonts w:ascii="Arial" w:hAnsi="Arial" w:cs="Arial"/>
                <w:bCs/>
                <w:color w:val="7F7F7F" w:themeColor="text1" w:themeTint="80"/>
                <w:sz w:val="14"/>
                <w:szCs w:val="14"/>
              </w:rPr>
              <w:t>EA 2016</w:t>
            </w:r>
            <w:r w:rsidRPr="00E74925">
              <w:rPr>
                <w:rFonts w:ascii="Arial" w:hAnsi="Arial" w:cs="Arial"/>
                <w:bCs/>
                <w:sz w:val="14"/>
                <w:szCs w:val="14"/>
              </w:rPr>
              <w:t>).</w:t>
            </w:r>
            <w:r w:rsidRPr="00E74925">
              <w:rPr>
                <w:rStyle w:val="Refdenotaderodap"/>
                <w:rFonts w:ascii="Arial" w:hAnsi="Arial" w:cs="Arial"/>
                <w:bCs/>
                <w:sz w:val="14"/>
                <w:szCs w:val="14"/>
              </w:rPr>
              <w:footnoteReference w:id="78"/>
            </w:r>
            <w:r w:rsidRPr="00E74925">
              <w:rPr>
                <w:rFonts w:ascii="Arial" w:hAnsi="Arial" w:cs="Arial"/>
                <w:bCs/>
                <w:sz w:val="14"/>
                <w:szCs w:val="14"/>
              </w:rPr>
              <w:t xml:space="preserve"> </w:t>
            </w:r>
          </w:p>
          <w:p w14:paraId="54B3EBB5" w14:textId="77777777" w:rsidR="00AD22FD" w:rsidRPr="00E74925" w:rsidRDefault="00AD22FD" w:rsidP="007318C5">
            <w:pPr>
              <w:pStyle w:val="TEXTBODY"/>
              <w:jc w:val="left"/>
              <w:rPr>
                <w:rFonts w:ascii="Arial" w:hAnsi="Arial" w:cs="Arial"/>
                <w:bCs/>
                <w:sz w:val="14"/>
                <w:szCs w:val="14"/>
              </w:rPr>
            </w:pPr>
            <w:r w:rsidRPr="00E74925">
              <w:rPr>
                <w:rFonts w:ascii="Arial" w:hAnsi="Arial" w:cs="Arial"/>
                <w:bCs/>
                <w:sz w:val="14"/>
                <w:szCs w:val="14"/>
              </w:rPr>
              <w:t xml:space="preserve">Overall, the TE2100 Plan accounts for the monitoring local and global changes, and for its own reassessment and review – its M&amp;R system defines the main indicators that must be monitored, specifies key </w:t>
            </w:r>
            <w:r w:rsidRPr="00E74925">
              <w:rPr>
                <w:rFonts w:ascii="Arial" w:hAnsi="Arial" w:cs="Arial"/>
                <w:bCs/>
                <w:i/>
                <w:iCs/>
                <w:sz w:val="14"/>
                <w:szCs w:val="14"/>
              </w:rPr>
              <w:t>decision-points</w:t>
            </w:r>
            <w:r w:rsidRPr="00E74925">
              <w:rPr>
                <w:rFonts w:ascii="Arial" w:hAnsi="Arial" w:cs="Arial"/>
                <w:bCs/>
                <w:sz w:val="14"/>
                <w:szCs w:val="14"/>
              </w:rPr>
              <w:t xml:space="preserve"> and how these can be estimated (</w:t>
            </w:r>
            <w:proofErr w:type="spellStart"/>
            <w:r w:rsidRPr="00E74925">
              <w:rPr>
                <w:rFonts w:ascii="Arial" w:hAnsi="Arial" w:cs="Arial"/>
                <w:bCs/>
                <w:color w:val="7F7F7F" w:themeColor="text1" w:themeTint="80"/>
                <w:sz w:val="14"/>
                <w:szCs w:val="14"/>
              </w:rPr>
              <w:t>Jeuken</w:t>
            </w:r>
            <w:proofErr w:type="spellEnd"/>
            <w:r w:rsidRPr="00E74925">
              <w:rPr>
                <w:rFonts w:ascii="Arial" w:hAnsi="Arial" w:cs="Arial"/>
                <w:bCs/>
                <w:color w:val="7F7F7F" w:themeColor="text1" w:themeTint="80"/>
                <w:sz w:val="14"/>
                <w:szCs w:val="14"/>
              </w:rPr>
              <w:t xml:space="preserve"> et al. 2014, p.10, 22</w:t>
            </w:r>
            <w:r w:rsidRPr="00E74925">
              <w:rPr>
                <w:rFonts w:ascii="Arial" w:hAnsi="Arial" w:cs="Arial"/>
                <w:bCs/>
                <w:sz w:val="14"/>
                <w:szCs w:val="14"/>
              </w:rPr>
              <w:t>), and it describes ways through which (how) the Plan and its contents can be reviewed and adapted over time (e.g. by changing the timing for measures, i.e. ‘implementation-points’ or ‘decision-points’, by switching of measure or pathway, or adjusting a measure itself).</w:t>
            </w:r>
            <w:r w:rsidRPr="00E74925">
              <w:rPr>
                <w:rStyle w:val="Refdenotaderodap"/>
                <w:rFonts w:ascii="Arial" w:hAnsi="Arial" w:cs="Arial"/>
                <w:bCs/>
                <w:sz w:val="14"/>
                <w:szCs w:val="14"/>
              </w:rPr>
              <w:footnoteReference w:id="79"/>
            </w:r>
            <w:r w:rsidRPr="00E74925">
              <w:rPr>
                <w:rFonts w:ascii="Arial" w:hAnsi="Arial" w:cs="Arial"/>
                <w:bCs/>
                <w:sz w:val="14"/>
                <w:szCs w:val="14"/>
              </w:rPr>
              <w:t xml:space="preserve"> </w:t>
            </w:r>
          </w:p>
          <w:p w14:paraId="15665FB7" w14:textId="77777777" w:rsidR="00AD22FD" w:rsidRPr="00E74925" w:rsidRDefault="00AD22FD" w:rsidP="007318C5">
            <w:pPr>
              <w:pStyle w:val="TEXTBODY"/>
              <w:spacing w:after="120"/>
              <w:jc w:val="left"/>
              <w:rPr>
                <w:rFonts w:ascii="Arial" w:hAnsi="Arial" w:cs="Arial"/>
                <w:bCs/>
                <w:sz w:val="14"/>
                <w:szCs w:val="14"/>
              </w:rPr>
            </w:pPr>
            <w:r w:rsidRPr="00E74925">
              <w:rPr>
                <w:rFonts w:ascii="Arial" w:hAnsi="Arial" w:cs="Arial"/>
                <w:bCs/>
                <w:color w:val="000000"/>
                <w:sz w:val="14"/>
                <w:szCs w:val="14"/>
              </w:rPr>
              <w:t xml:space="preserve">The definition and implementation of this monitoring and review system – to monitor relevant changes and new knowledge, and to regularly review (re-appraise) the Plan and adapt it accordingly – can be deemed other key-element of the TE2100’s </w:t>
            </w:r>
            <w:r w:rsidRPr="00E74925">
              <w:rPr>
                <w:rFonts w:ascii="Arial" w:hAnsi="Arial" w:cs="Arial"/>
                <w:bCs/>
                <w:i/>
                <w:iCs/>
                <w:color w:val="000000"/>
                <w:sz w:val="14"/>
                <w:szCs w:val="14"/>
              </w:rPr>
              <w:t>Dynamic Adaptive Planning approach</w:t>
            </w:r>
            <w:r w:rsidRPr="00E74925">
              <w:rPr>
                <w:rFonts w:ascii="Arial" w:hAnsi="Arial" w:cs="Arial"/>
                <w:bCs/>
                <w:sz w:val="14"/>
                <w:szCs w:val="14"/>
              </w:rPr>
              <w:t xml:space="preserve"> that has been essential to develop and operationalize a </w:t>
            </w:r>
            <w:r w:rsidRPr="00E74925">
              <w:rPr>
                <w:rFonts w:ascii="Arial" w:hAnsi="Arial" w:cs="Arial"/>
                <w:bCs/>
                <w:i/>
                <w:iCs/>
                <w:sz w:val="14"/>
                <w:szCs w:val="14"/>
              </w:rPr>
              <w:t>robust adaptive plan</w:t>
            </w:r>
            <w:r w:rsidRPr="00E74925">
              <w:rPr>
                <w:rFonts w:ascii="Arial" w:hAnsi="Arial" w:cs="Arial"/>
                <w:bCs/>
                <w:sz w:val="14"/>
                <w:szCs w:val="14"/>
              </w:rPr>
              <w:t>, and fundamental to carry out a true Adaptive Planning.</w:t>
            </w:r>
          </w:p>
        </w:tc>
        <w:tc>
          <w:tcPr>
            <w:tcW w:w="1843" w:type="dxa"/>
          </w:tcPr>
          <w:p w14:paraId="1372A49C" w14:textId="77777777" w:rsidR="00AD22FD" w:rsidRPr="00E74925" w:rsidRDefault="00AD22FD" w:rsidP="007318C5">
            <w:pPr>
              <w:pStyle w:val="tablecontenttext"/>
              <w:spacing w:line="240" w:lineRule="auto"/>
              <w:rPr>
                <w:rFonts w:eastAsiaTheme="minorHAnsi"/>
                <w:sz w:val="14"/>
                <w:szCs w:val="14"/>
                <w:lang w:eastAsia="en-US"/>
              </w:rPr>
            </w:pPr>
            <w:r w:rsidRPr="00E74925">
              <w:rPr>
                <w:sz w:val="14"/>
                <w:szCs w:val="14"/>
              </w:rPr>
              <w:lastRenderedPageBreak/>
              <w:t>KE4: C</w:t>
            </w:r>
            <w:r w:rsidRPr="00E74925">
              <w:rPr>
                <w:rFonts w:eastAsiaTheme="minorHAnsi"/>
                <w:sz w:val="14"/>
                <w:szCs w:val="14"/>
                <w:lang w:eastAsia="en-US"/>
              </w:rPr>
              <w:t xml:space="preserve">ontinuously monitoring relevant changes and new information, periodically reassessing the Plan, and reviewing and adjusting (adapting) it accordingly </w:t>
            </w:r>
            <w:r w:rsidRPr="00E74925">
              <w:rPr>
                <w:sz w:val="14"/>
                <w:szCs w:val="14"/>
              </w:rPr>
              <w:t>(</w:t>
            </w:r>
            <w:r w:rsidRPr="00E74925">
              <w:rPr>
                <w:color w:val="7F7F7F" w:themeColor="text1" w:themeTint="80"/>
                <w:sz w:val="14"/>
                <w:szCs w:val="14"/>
              </w:rPr>
              <w:t xml:space="preserve">Ranger et al. 2013;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et al. 2014; Sayers et al. 2012; Walker et al. 2013; Bloemen et al. 2018</w:t>
            </w:r>
            <w:r w:rsidRPr="00E74925">
              <w:rPr>
                <w:sz w:val="14"/>
                <w:szCs w:val="14"/>
              </w:rPr>
              <w:t>).</w:t>
            </w:r>
            <w:r w:rsidRPr="00E74925">
              <w:rPr>
                <w:rFonts w:eastAsiaTheme="minorHAnsi"/>
                <w:sz w:val="14"/>
                <w:szCs w:val="14"/>
                <w:lang w:eastAsia="en-US"/>
              </w:rPr>
              <w:t xml:space="preserve"> </w:t>
            </w:r>
          </w:p>
          <w:p w14:paraId="30219FD5" w14:textId="77777777" w:rsidR="00AD22FD" w:rsidRPr="00E74925" w:rsidRDefault="00AD22FD" w:rsidP="007318C5">
            <w:pPr>
              <w:pStyle w:val="tablecontenttext"/>
              <w:spacing w:line="240" w:lineRule="auto"/>
              <w:rPr>
                <w:rFonts w:eastAsiaTheme="minorHAnsi"/>
                <w:sz w:val="14"/>
                <w:szCs w:val="14"/>
                <w:lang w:eastAsia="en-US"/>
              </w:rPr>
            </w:pPr>
            <w:r w:rsidRPr="00E74925">
              <w:rPr>
                <w:rFonts w:eastAsiaTheme="minorHAnsi"/>
                <w:sz w:val="14"/>
                <w:szCs w:val="14"/>
                <w:lang w:eastAsia="en-US"/>
              </w:rPr>
              <w:t xml:space="preserve">This implies a targeted monitoring of changes (in external conditions, </w:t>
            </w:r>
            <w:r w:rsidRPr="00E74925">
              <w:rPr>
                <w:rFonts w:eastAsiaTheme="minorHAnsi"/>
                <w:sz w:val="14"/>
                <w:szCs w:val="14"/>
                <w:lang w:eastAsia="en-US"/>
              </w:rPr>
              <w:lastRenderedPageBreak/>
              <w:t xml:space="preserve">effects of measures) and continual evaluation of new knowledge (e.g. updated scenarios); as well as regular reassessments (reviews) of the Plan, and, if necessary, its adjustment </w:t>
            </w:r>
            <w:r w:rsidRPr="00E74925">
              <w:rPr>
                <w:sz w:val="14"/>
                <w:szCs w:val="14"/>
              </w:rPr>
              <w:t xml:space="preserve">(by </w:t>
            </w:r>
            <w:r w:rsidRPr="00E74925">
              <w:rPr>
                <w:rFonts w:eastAsiaTheme="minorHAnsi"/>
                <w:sz w:val="14"/>
                <w:szCs w:val="14"/>
                <w:lang w:eastAsia="en-US"/>
              </w:rPr>
              <w:t xml:space="preserve">updating, redefining or modifying </w:t>
            </w:r>
            <w:r w:rsidRPr="00E74925">
              <w:rPr>
                <w:sz w:val="14"/>
                <w:szCs w:val="14"/>
              </w:rPr>
              <w:t>policies, pathways, their measures, or their timing, according to monitoring outputs)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et al. 2014; Sayers et al. 2012; Walker et al. 2013; Bloemen et al. 2018</w:t>
            </w:r>
            <w:r w:rsidRPr="00E74925">
              <w:rPr>
                <w:sz w:val="14"/>
                <w:szCs w:val="14"/>
              </w:rPr>
              <w:t xml:space="preserve">). </w:t>
            </w:r>
          </w:p>
        </w:tc>
      </w:tr>
      <w:tr w:rsidR="00AD22FD" w:rsidRPr="00E74925" w14:paraId="2F7D8592" w14:textId="77777777" w:rsidTr="007318C5">
        <w:tc>
          <w:tcPr>
            <w:tcW w:w="660" w:type="dxa"/>
          </w:tcPr>
          <w:p w14:paraId="5B37B6D8" w14:textId="77777777" w:rsidR="00AD22FD" w:rsidRPr="00E74925" w:rsidRDefault="00AD22FD" w:rsidP="007318C5">
            <w:pPr>
              <w:pStyle w:val="tablecontenttext"/>
              <w:spacing w:line="240" w:lineRule="auto"/>
              <w:rPr>
                <w:sz w:val="14"/>
                <w:szCs w:val="14"/>
              </w:rPr>
            </w:pPr>
            <w:r w:rsidRPr="00E74925">
              <w:rPr>
                <w:sz w:val="14"/>
                <w:szCs w:val="14"/>
              </w:rPr>
              <w:t>Entire process</w:t>
            </w:r>
          </w:p>
        </w:tc>
        <w:tc>
          <w:tcPr>
            <w:tcW w:w="7415" w:type="dxa"/>
          </w:tcPr>
          <w:p w14:paraId="036E6DD7" w14:textId="77777777" w:rsidR="00AD22FD" w:rsidRPr="00E74925" w:rsidRDefault="00AD22FD" w:rsidP="007318C5">
            <w:pPr>
              <w:pStyle w:val="tablecontenttext"/>
              <w:spacing w:line="240" w:lineRule="auto"/>
              <w:rPr>
                <w:sz w:val="14"/>
                <w:szCs w:val="14"/>
              </w:rPr>
            </w:pPr>
            <w:r w:rsidRPr="00E74925">
              <w:rPr>
                <w:sz w:val="14"/>
                <w:szCs w:val="14"/>
              </w:rPr>
              <w:t xml:space="preserve">The TE2100 has followed an ongoing iterative process of </w:t>
            </w:r>
            <w:r w:rsidRPr="00E74925">
              <w:rPr>
                <w:i/>
                <w:iCs w:val="0"/>
                <w:sz w:val="14"/>
                <w:szCs w:val="14"/>
              </w:rPr>
              <w:t>Adaptive Planning</w:t>
            </w:r>
            <w:r w:rsidRPr="00E74925">
              <w:rPr>
                <w:sz w:val="14"/>
                <w:szCs w:val="14"/>
              </w:rPr>
              <w:t xml:space="preserve"> (also named </w:t>
            </w:r>
            <w:r w:rsidRPr="00E74925">
              <w:rPr>
                <w:i/>
                <w:iCs w:val="0"/>
                <w:sz w:val="14"/>
                <w:szCs w:val="14"/>
              </w:rPr>
              <w:t>Iterative Risk Management</w:t>
            </w:r>
            <w:r w:rsidRPr="00E74925">
              <w:rPr>
                <w:sz w:val="14"/>
                <w:szCs w:val="14"/>
              </w:rPr>
              <w:t xml:space="preserve">), which involves several steps that allow adapting the Plan to uncertain changes over time. A continuous cycle has been carried out, with several steps: </w:t>
            </w:r>
            <w:proofErr w:type="spellStart"/>
            <w:r w:rsidRPr="00E74925">
              <w:rPr>
                <w:sz w:val="14"/>
                <w:szCs w:val="14"/>
              </w:rPr>
              <w:t>i</w:t>
            </w:r>
            <w:proofErr w:type="spellEnd"/>
            <w:r w:rsidRPr="00E74925">
              <w:rPr>
                <w:sz w:val="14"/>
                <w:szCs w:val="14"/>
              </w:rPr>
              <w:t>) assessment of current and potential future risk and impacts, including the definition of critical thresholds for the system’s vulnerability and sensitivity; 2) identification of possible measures and development of</w:t>
            </w:r>
            <w:r w:rsidRPr="00E74925">
              <w:rPr>
                <w:i/>
                <w:iCs w:val="0"/>
                <w:sz w:val="14"/>
                <w:szCs w:val="14"/>
              </w:rPr>
              <w:t xml:space="preserve"> Options</w:t>
            </w:r>
            <w:r w:rsidRPr="00E74925">
              <w:rPr>
                <w:sz w:val="14"/>
                <w:szCs w:val="14"/>
              </w:rPr>
              <w:t xml:space="preserve"> (pathways) considering a wide range of plausible future scenarios; 3) selection of preferred </w:t>
            </w:r>
            <w:r w:rsidRPr="00E74925">
              <w:rPr>
                <w:i/>
                <w:iCs w:val="0"/>
                <w:sz w:val="14"/>
                <w:szCs w:val="14"/>
              </w:rPr>
              <w:t>Option(s)</w:t>
            </w:r>
            <w:r w:rsidRPr="00E74925">
              <w:rPr>
                <w:sz w:val="14"/>
                <w:szCs w:val="14"/>
              </w:rPr>
              <w:t xml:space="preserve"> (decision-making); 4) implementation; 5) monitoring of changes, applied measures and new information, and periodic reviews of the Plan and, if necessary, correct, alter, or change its pathways, measures, or their timing (by feeding back new information into any of the prior steps). This iterative process is learning-oriented and safeguards the adaptability of the Plan over time – the ability to adapt the Plan, its policies, measures, the timing of decisions or actions, as new knowledge or changes arise – so that it can better cope with uncertain future change</w:t>
            </w:r>
            <w:r w:rsidRPr="00E74925">
              <w:rPr>
                <w:color w:val="C00000"/>
                <w:sz w:val="14"/>
                <w:szCs w:val="14"/>
              </w:rPr>
              <w:t>.</w:t>
            </w:r>
            <w:r w:rsidRPr="00E74925">
              <w:rPr>
                <w:sz w:val="14"/>
                <w:szCs w:val="14"/>
              </w:rPr>
              <w:t xml:space="preserve"> It enhances </w:t>
            </w:r>
          </w:p>
        </w:tc>
        <w:tc>
          <w:tcPr>
            <w:tcW w:w="1843" w:type="dxa"/>
          </w:tcPr>
          <w:p w14:paraId="3E787DC3" w14:textId="77777777" w:rsidR="00AD22FD" w:rsidRPr="00E74925" w:rsidRDefault="00AD22FD" w:rsidP="007318C5">
            <w:pPr>
              <w:pStyle w:val="tablecontenttext"/>
              <w:spacing w:line="240" w:lineRule="auto"/>
              <w:rPr>
                <w:sz w:val="14"/>
                <w:szCs w:val="14"/>
              </w:rPr>
            </w:pPr>
            <w:r w:rsidRPr="00E74925">
              <w:rPr>
                <w:sz w:val="14"/>
                <w:szCs w:val="14"/>
              </w:rPr>
              <w:t xml:space="preserve">KE5: ongoing process of </w:t>
            </w:r>
            <w:r w:rsidRPr="00E74925">
              <w:rPr>
                <w:i/>
                <w:iCs w:val="0"/>
                <w:sz w:val="14"/>
                <w:szCs w:val="14"/>
              </w:rPr>
              <w:t>Adaptive Planning</w:t>
            </w:r>
            <w:r w:rsidRPr="00E74925">
              <w:rPr>
                <w:sz w:val="14"/>
                <w:szCs w:val="14"/>
              </w:rPr>
              <w:t xml:space="preserve"> (</w:t>
            </w:r>
            <w:r w:rsidRPr="00E74925">
              <w:rPr>
                <w:i/>
                <w:iCs w:val="0"/>
                <w:sz w:val="14"/>
                <w:szCs w:val="14"/>
              </w:rPr>
              <w:t>Iterative Risk Management</w:t>
            </w:r>
            <w:r w:rsidRPr="00E74925">
              <w:rPr>
                <w:sz w:val="14"/>
                <w:szCs w:val="14"/>
              </w:rPr>
              <w:t xml:space="preserve"> </w:t>
            </w:r>
            <w:r w:rsidRPr="00E74925">
              <w:rPr>
                <w:i/>
                <w:iCs w:val="0"/>
                <w:sz w:val="14"/>
                <w:szCs w:val="14"/>
              </w:rPr>
              <w:t>approach</w:t>
            </w:r>
            <w:r w:rsidRPr="00E74925">
              <w:rPr>
                <w:sz w:val="14"/>
                <w:szCs w:val="14"/>
              </w:rPr>
              <w:t xml:space="preserve">), which involves several steps necessary to allow adaptations of the Plan to changes. </w:t>
            </w:r>
          </w:p>
        </w:tc>
      </w:tr>
    </w:tbl>
    <w:p w14:paraId="7D7A02CF" w14:textId="77777777" w:rsidR="00AD22FD" w:rsidRPr="009B720F" w:rsidRDefault="00AD22FD" w:rsidP="00AD22FD">
      <w:pPr>
        <w:pStyle w:val="TEXTBODY"/>
        <w:spacing w:after="0"/>
        <w:rPr>
          <w:bCs/>
        </w:rPr>
      </w:pPr>
      <w:r w:rsidRPr="00BA2399">
        <w:rPr>
          <w:noProof/>
        </w:rPr>
        <mc:AlternateContent>
          <mc:Choice Requires="wps">
            <w:drawing>
              <wp:anchor distT="45720" distB="45720" distL="114300" distR="114300" simplePos="0" relativeHeight="252750336" behindDoc="0" locked="0" layoutInCell="1" allowOverlap="1" wp14:anchorId="292FEA76" wp14:editId="2E4282FD">
                <wp:simplePos x="0" y="0"/>
                <wp:positionH relativeFrom="margin">
                  <wp:posOffset>37465</wp:posOffset>
                </wp:positionH>
                <wp:positionV relativeFrom="paragraph">
                  <wp:posOffset>84456</wp:posOffset>
                </wp:positionV>
                <wp:extent cx="6286500" cy="381000"/>
                <wp:effectExtent l="0" t="0" r="0" b="0"/>
                <wp:wrapNone/>
                <wp:docPr id="1702496869"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6500" cy="381000"/>
                        </a:xfrm>
                        <a:prstGeom prst="rect">
                          <a:avLst/>
                        </a:prstGeom>
                        <a:noFill/>
                        <a:ln w="9525">
                          <a:noFill/>
                          <a:miter lim="800000"/>
                          <a:headEnd/>
                          <a:tailEnd/>
                        </a:ln>
                      </wps:spPr>
                      <wps:txbx>
                        <w:txbxContent>
                          <w:p w14:paraId="2C9E4029" w14:textId="651E6D4A" w:rsidR="00AD22FD" w:rsidRPr="00006076" w:rsidRDefault="00AD22FD" w:rsidP="00AD22FD">
                            <w:pPr>
                              <w:pStyle w:val="TEXTBODY"/>
                              <w:spacing w:line="240" w:lineRule="auto"/>
                              <w:rPr>
                                <w:rFonts w:ascii="Arial" w:hAnsi="Arial" w:cs="Arial"/>
                                <w:sz w:val="14"/>
                                <w:szCs w:val="14"/>
                              </w:rPr>
                            </w:pPr>
                            <w:r>
                              <w:rPr>
                                <w:rFonts w:ascii="Arial" w:hAnsi="Arial" w:cs="Arial"/>
                                <w:b/>
                                <w:bCs/>
                                <w:color w:val="000000"/>
                                <w:sz w:val="14"/>
                                <w:szCs w:val="14"/>
                              </w:rPr>
                              <w:t>Table 3.</w:t>
                            </w:r>
                            <w:r>
                              <w:rPr>
                                <w:rFonts w:ascii="Arial" w:hAnsi="Arial" w:cs="Arial"/>
                                <w:sz w:val="14"/>
                                <w:szCs w:val="14"/>
                              </w:rPr>
                              <w:t xml:space="preserve"> </w:t>
                            </w:r>
                            <w:r>
                              <w:rPr>
                                <w:rFonts w:ascii="Arial" w:hAnsi="Arial" w:cs="Arial"/>
                                <w:bCs/>
                                <w:sz w:val="14"/>
                                <w:szCs w:val="14"/>
                              </w:rPr>
                              <w:t>M</w:t>
                            </w:r>
                            <w:r w:rsidRPr="001A6DF9">
                              <w:rPr>
                                <w:rFonts w:ascii="Arial" w:hAnsi="Arial" w:cs="Arial"/>
                                <w:bCs/>
                                <w:sz w:val="14"/>
                                <w:szCs w:val="14"/>
                              </w:rPr>
                              <w:t xml:space="preserve">ain elements of the TE2100’s </w:t>
                            </w:r>
                            <w:r w:rsidRPr="001A6DF9">
                              <w:rPr>
                                <w:rFonts w:ascii="Arial" w:hAnsi="Arial" w:cs="Arial"/>
                                <w:bCs/>
                                <w:i/>
                                <w:iCs/>
                                <w:sz w:val="14"/>
                                <w:szCs w:val="14"/>
                              </w:rPr>
                              <w:t>Dynamic Adaptive Planning approach</w:t>
                            </w:r>
                            <w:r w:rsidRPr="001A6DF9">
                              <w:rPr>
                                <w:rFonts w:ascii="Arial" w:hAnsi="Arial" w:cs="Arial"/>
                                <w:bCs/>
                                <w:sz w:val="14"/>
                                <w:szCs w:val="14"/>
                              </w:rPr>
                              <w:t xml:space="preserve"> that were essential to develop an </w:t>
                            </w:r>
                            <w:r w:rsidRPr="001A6DF9">
                              <w:rPr>
                                <w:rFonts w:ascii="Arial" w:hAnsi="Arial" w:cs="Arial"/>
                                <w:bCs/>
                                <w:i/>
                                <w:iCs/>
                                <w:sz w:val="14"/>
                                <w:szCs w:val="14"/>
                              </w:rPr>
                              <w:t>adaptive plan</w:t>
                            </w:r>
                            <w:r w:rsidRPr="001A6DF9">
                              <w:rPr>
                                <w:rFonts w:ascii="Arial" w:hAnsi="Arial" w:cs="Arial"/>
                                <w:bCs/>
                                <w:sz w:val="14"/>
                                <w:szCs w:val="14"/>
                              </w:rPr>
                              <w:t xml:space="preserve"> and operationalize a real Adaptive Planning</w:t>
                            </w:r>
                            <w:r>
                              <w:rPr>
                                <w:rFonts w:ascii="Arial" w:hAnsi="Arial" w:cs="Arial"/>
                                <w:bCs/>
                                <w:sz w:val="14"/>
                                <w:szCs w:val="14"/>
                              </w:rPr>
                              <w:t>,</w:t>
                            </w:r>
                            <w:r w:rsidRPr="001A6DF9">
                              <w:rPr>
                                <w:rFonts w:ascii="Arial" w:hAnsi="Arial" w:cs="Arial"/>
                                <w:sz w:val="14"/>
                                <w:szCs w:val="14"/>
                              </w:rPr>
                              <w:t xml:space="preserve"> </w:t>
                            </w:r>
                            <w:r>
                              <w:rPr>
                                <w:rFonts w:ascii="Arial" w:hAnsi="Arial" w:cs="Arial"/>
                                <w:sz w:val="14"/>
                                <w:szCs w:val="14"/>
                              </w:rPr>
                              <w:t>which were identified and derived from the TE2100 case</w:t>
                            </w:r>
                            <w:r w:rsidRPr="007804F7">
                              <w:rPr>
                                <w:rFonts w:ascii="Arial" w:hAnsi="Arial" w:cs="Arial"/>
                                <w:sz w:val="14"/>
                                <w:szCs w:val="14"/>
                              </w:rPr>
                              <w:t xml:space="preserve">. </w:t>
                            </w:r>
                            <w:r w:rsidRPr="007804F7">
                              <w:rPr>
                                <w:rFonts w:ascii="Arial" w:hAnsi="Arial" w:cs="Arial"/>
                                <w:color w:val="7F7F7F" w:themeColor="text1" w:themeTint="80"/>
                                <w:sz w:val="14"/>
                                <w:szCs w:val="14"/>
                              </w:rPr>
                              <w:t xml:space="preserve">Source: own elaboration, based on EA 2012, 2009a, 2009b; Ranger et al. 2013, 2010; </w:t>
                            </w:r>
                            <w:r w:rsidRPr="007804F7">
                              <w:rPr>
                                <w:rFonts w:ascii="Arial" w:eastAsia="Calibri" w:hAnsi="Arial" w:cs="Arial"/>
                                <w:color w:val="7F7F7F" w:themeColor="text1" w:themeTint="80"/>
                                <w:sz w:val="14"/>
                                <w:szCs w:val="14"/>
                              </w:rPr>
                              <w:t xml:space="preserve">Reeder and Ranger 2011; </w:t>
                            </w:r>
                            <w:r w:rsidRPr="007804F7">
                              <w:rPr>
                                <w:rFonts w:ascii="Arial" w:hAnsi="Arial" w:cs="Arial"/>
                                <w:color w:val="7F7F7F" w:themeColor="text1" w:themeTint="80"/>
                                <w:sz w:val="14"/>
                                <w:szCs w:val="14"/>
                              </w:rPr>
                              <w:t>Ramsbottom and Sheppard 2017; Lowe et al. 2009; HM Treasury 2009; Penning-Rowsell et al. 2013; London Councils 2007, 2018; etc.</w:t>
                            </w:r>
                          </w:p>
                          <w:p w14:paraId="4E102256" w14:textId="77777777" w:rsidR="00AD22FD" w:rsidRPr="007804F7" w:rsidRDefault="00AD22FD" w:rsidP="00AD22FD">
                            <w:pPr>
                              <w:spacing w:line="240" w:lineRule="auto"/>
                              <w:jc w:val="center"/>
                              <w:rPr>
                                <w:rFonts w:cs="Arial"/>
                                <w:sz w:val="14"/>
                                <w:szCs w:val="14"/>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92FEA76" id="_x0000_s1034" type="#_x0000_t202" style="position:absolute;left:0;text-align:left;margin-left:2.95pt;margin-top:6.65pt;width:495pt;height:30pt;z-index:252750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" filled="f" stroked="f">
                <v:textbox inset="0,0,0,0">
                  <w:txbxContent>
                    <w:p w14:paraId="2C9E4029" w14:textId="651E6D4A" w:rsidR="00AD22FD" w:rsidRPr="00006076" w:rsidRDefault="00AD22FD" w:rsidP="00AD22FD">
                      <w:pPr>
                        <w:pStyle w:val="TEXTBODY"/>
                        <w:spacing w:line="240" w:lineRule="auto"/>
                        <w:rPr>
                          <w:rFonts w:ascii="Arial" w:hAnsi="Arial" w:cs="Arial"/>
                          <w:sz w:val="14"/>
                          <w:szCs w:val="14"/>
                        </w:rPr>
                      </w:pPr>
                      <w:r>
                        <w:rPr>
                          <w:rFonts w:ascii="Arial" w:hAnsi="Arial" w:cs="Arial"/>
                          <w:b/>
                          <w:bCs/>
                          <w:color w:val="000000"/>
                          <w:sz w:val="14"/>
                          <w:szCs w:val="14"/>
                        </w:rPr>
                        <w:t>Table 3.</w:t>
                      </w:r>
                      <w:r>
                        <w:rPr>
                          <w:rFonts w:ascii="Arial" w:hAnsi="Arial" w:cs="Arial"/>
                          <w:sz w:val="14"/>
                          <w:szCs w:val="14"/>
                        </w:rPr>
                        <w:t xml:space="preserve"> </w:t>
                      </w:r>
                      <w:r>
                        <w:rPr>
                          <w:rFonts w:ascii="Arial" w:hAnsi="Arial" w:cs="Arial"/>
                          <w:bCs/>
                          <w:sz w:val="14"/>
                          <w:szCs w:val="14"/>
                        </w:rPr>
                        <w:t>M</w:t>
                      </w:r>
                      <w:r w:rsidRPr="001A6DF9">
                        <w:rPr>
                          <w:rFonts w:ascii="Arial" w:hAnsi="Arial" w:cs="Arial"/>
                          <w:bCs/>
                          <w:sz w:val="14"/>
                          <w:szCs w:val="14"/>
                        </w:rPr>
                        <w:t xml:space="preserve">ain elements of the TE2100’s </w:t>
                      </w:r>
                      <w:r w:rsidRPr="001A6DF9">
                        <w:rPr>
                          <w:rFonts w:ascii="Arial" w:hAnsi="Arial" w:cs="Arial"/>
                          <w:bCs/>
                          <w:i/>
                          <w:iCs/>
                          <w:sz w:val="14"/>
                          <w:szCs w:val="14"/>
                        </w:rPr>
                        <w:t>Dynamic Adaptive Planning approach</w:t>
                      </w:r>
                      <w:r w:rsidRPr="001A6DF9">
                        <w:rPr>
                          <w:rFonts w:ascii="Arial" w:hAnsi="Arial" w:cs="Arial"/>
                          <w:bCs/>
                          <w:sz w:val="14"/>
                          <w:szCs w:val="14"/>
                        </w:rPr>
                        <w:t xml:space="preserve"> that were essential to develop an </w:t>
                      </w:r>
                      <w:r w:rsidRPr="001A6DF9">
                        <w:rPr>
                          <w:rFonts w:ascii="Arial" w:hAnsi="Arial" w:cs="Arial"/>
                          <w:bCs/>
                          <w:i/>
                          <w:iCs/>
                          <w:sz w:val="14"/>
                          <w:szCs w:val="14"/>
                        </w:rPr>
                        <w:t>adaptive plan</w:t>
                      </w:r>
                      <w:r w:rsidRPr="001A6DF9">
                        <w:rPr>
                          <w:rFonts w:ascii="Arial" w:hAnsi="Arial" w:cs="Arial"/>
                          <w:bCs/>
                          <w:sz w:val="14"/>
                          <w:szCs w:val="14"/>
                        </w:rPr>
                        <w:t xml:space="preserve"> and operationalize a real Adaptive Planning</w:t>
                      </w:r>
                      <w:r>
                        <w:rPr>
                          <w:rFonts w:ascii="Arial" w:hAnsi="Arial" w:cs="Arial"/>
                          <w:bCs/>
                          <w:sz w:val="14"/>
                          <w:szCs w:val="14"/>
                        </w:rPr>
                        <w:t>,</w:t>
                      </w:r>
                      <w:r w:rsidRPr="001A6DF9">
                        <w:rPr>
                          <w:rFonts w:ascii="Arial" w:hAnsi="Arial" w:cs="Arial"/>
                          <w:sz w:val="14"/>
                          <w:szCs w:val="14"/>
                        </w:rPr>
                        <w:t xml:space="preserve"> </w:t>
                      </w:r>
                      <w:r>
                        <w:rPr>
                          <w:rFonts w:ascii="Arial" w:hAnsi="Arial" w:cs="Arial"/>
                          <w:sz w:val="14"/>
                          <w:szCs w:val="14"/>
                        </w:rPr>
                        <w:t>which were identified and derived from the TE2100 case</w:t>
                      </w:r>
                      <w:r w:rsidRPr="007804F7">
                        <w:rPr>
                          <w:rFonts w:ascii="Arial" w:hAnsi="Arial" w:cs="Arial"/>
                          <w:sz w:val="14"/>
                          <w:szCs w:val="14"/>
                        </w:rPr>
                        <w:t xml:space="preserve">. </w:t>
                      </w:r>
                      <w:r w:rsidRPr="007804F7">
                        <w:rPr>
                          <w:rFonts w:ascii="Arial" w:hAnsi="Arial" w:cs="Arial"/>
                          <w:color w:val="7F7F7F" w:themeColor="text1" w:themeTint="80"/>
                          <w:sz w:val="14"/>
                          <w:szCs w:val="14"/>
                        </w:rPr>
                        <w:t xml:space="preserve">Source: own elaboration, based on EA 2012, 2009a, 2009b; Ranger et al. 2013, 2010; </w:t>
                      </w:r>
                      <w:r w:rsidRPr="007804F7">
                        <w:rPr>
                          <w:rFonts w:ascii="Arial" w:eastAsia="Calibri" w:hAnsi="Arial" w:cs="Arial"/>
                          <w:color w:val="7F7F7F" w:themeColor="text1" w:themeTint="80"/>
                          <w:sz w:val="14"/>
                          <w:szCs w:val="14"/>
                        </w:rPr>
                        <w:t xml:space="preserve">Reeder and Ranger 2011; </w:t>
                      </w:r>
                      <w:r w:rsidRPr="007804F7">
                        <w:rPr>
                          <w:rFonts w:ascii="Arial" w:hAnsi="Arial" w:cs="Arial"/>
                          <w:color w:val="7F7F7F" w:themeColor="text1" w:themeTint="80"/>
                          <w:sz w:val="14"/>
                          <w:szCs w:val="14"/>
                        </w:rPr>
                        <w:t>Ramsbottom and Sheppard 2017; Lowe et al. 2009; HM Treasury 2009; Penning-Rowsell et al. 2013; London Councils 2007, 2018; etc.</w:t>
                      </w:r>
                    </w:p>
                    <w:p w14:paraId="4E102256" w14:textId="77777777" w:rsidR="00AD22FD" w:rsidRPr="007804F7" w:rsidRDefault="00AD22FD" w:rsidP="00AD22FD">
                      <w:pPr>
                        <w:spacing w:line="240" w:lineRule="auto"/>
                        <w:jc w:val="center"/>
                        <w:rPr>
                          <w:rFonts w:cs="Arial"/>
                          <w:sz w:val="14"/>
                          <w:szCs w:val="14"/>
                        </w:rPr>
                      </w:pPr>
                    </w:p>
                  </w:txbxContent>
                </v:textbox>
                <w10:wrap anchorx="margin"/>
              </v:shape>
            </w:pict>
          </mc:Fallback>
        </mc:AlternateContent>
      </w:r>
    </w:p>
    <w:p w14:paraId="4CCAB80F" w14:textId="77777777" w:rsidR="00AD22FD" w:rsidRDefault="00AD22FD" w:rsidP="00AD22FD">
      <w:pPr>
        <w:pStyle w:val="TEXTBODY"/>
        <w:spacing w:after="0"/>
        <w:rPr>
          <w:bCs/>
        </w:rPr>
      </w:pPr>
    </w:p>
    <w:p w14:paraId="1803F0D7" w14:textId="77777777" w:rsidR="00AD22FD" w:rsidRDefault="00AD22FD" w:rsidP="00AD22FD">
      <w:pPr>
        <w:pStyle w:val="TEXTBODY"/>
        <w:spacing w:after="0"/>
        <w:rPr>
          <w:bCs/>
        </w:rPr>
      </w:pPr>
    </w:p>
    <w:p w14:paraId="3D954205" w14:textId="6A3B3654" w:rsidR="00AD22FD" w:rsidRDefault="00AD22FD" w:rsidP="00AD22FD">
      <w:pPr>
        <w:pStyle w:val="Ttulo1"/>
      </w:pPr>
      <w:r>
        <w:rPr>
          <w:bCs/>
        </w:rPr>
        <w:br w:type="page"/>
      </w:r>
    </w:p>
    <w:p w14:paraId="05A1F4D3" w14:textId="1D6EC556" w:rsidR="00354CF8" w:rsidRPr="009B720F" w:rsidRDefault="00BA6F30" w:rsidP="0052283E">
      <w:pPr>
        <w:pStyle w:val="Ttulo1"/>
      </w:pPr>
      <w:r w:rsidRPr="005C558F">
        <w:lastRenderedPageBreak/>
        <w:t>N</w:t>
      </w:r>
      <w:r w:rsidR="0052283E">
        <w:t>OTE</w:t>
      </w:r>
      <w:r w:rsidRPr="005C558F">
        <w:t xml:space="preserve"> </w:t>
      </w:r>
      <w:r w:rsidR="00995F3E" w:rsidRPr="005C558F">
        <w:t>4</w:t>
      </w:r>
      <w:r w:rsidR="00335094" w:rsidRPr="005C558F">
        <w:t xml:space="preserve">. </w:t>
      </w:r>
      <w:r w:rsidR="0051298E" w:rsidRPr="0052283E">
        <w:t>K</w:t>
      </w:r>
      <w:r w:rsidR="00354CF8" w:rsidRPr="0052283E">
        <w:t>ey</w:t>
      </w:r>
      <w:r w:rsidR="00354CF8" w:rsidRPr="005C558F">
        <w:t xml:space="preserve">-elements of the ADM approach </w:t>
      </w:r>
      <w:bookmarkStart w:id="103" w:name="_Hlk33602902"/>
      <w:bookmarkEnd w:id="62"/>
      <w:r w:rsidRPr="005C558F">
        <w:t>of</w:t>
      </w:r>
      <w:r w:rsidR="00354CF8" w:rsidRPr="005C558F">
        <w:t xml:space="preserve"> the DP</w:t>
      </w:r>
      <w:r w:rsidRPr="005C558F">
        <w:t xml:space="preserve"> essential to design robust adaptive strategies</w:t>
      </w:r>
    </w:p>
    <w:p w14:paraId="2B95B4AE" w14:textId="11FCA835" w:rsidR="00354CF8" w:rsidRPr="009B720F" w:rsidRDefault="00354CF8" w:rsidP="00E74925">
      <w:pPr>
        <w:pStyle w:val="TEXTBODY"/>
        <w:spacing w:line="276" w:lineRule="auto"/>
        <w:rPr>
          <w:bCs/>
        </w:rPr>
      </w:pPr>
      <w:r w:rsidRPr="009B720F">
        <w:rPr>
          <w:bCs/>
        </w:rPr>
        <w:t xml:space="preserve">The DP devised and used </w:t>
      </w:r>
      <w:r w:rsidRPr="009B720F">
        <w:rPr>
          <w:bCs/>
          <w:i/>
          <w:iCs/>
        </w:rPr>
        <w:t>Adaptive Delta Management</w:t>
      </w:r>
      <w:r w:rsidRPr="009B720F">
        <w:rPr>
          <w:bCs/>
        </w:rPr>
        <w:t xml:space="preserve"> (</w:t>
      </w:r>
      <w:r w:rsidRPr="005C558F">
        <w:rPr>
          <w:bCs/>
        </w:rPr>
        <w:t>ADM) as its Adaptive Planning approach, and with the aim of designing strategies that were</w:t>
      </w:r>
      <w:r w:rsidR="001D2AF6" w:rsidRPr="005C558F">
        <w:rPr>
          <w:bCs/>
        </w:rPr>
        <w:t xml:space="preserve"> both </w:t>
      </w:r>
      <w:r w:rsidRPr="005C558F">
        <w:rPr>
          <w:bCs/>
          <w:i/>
          <w:iCs/>
        </w:rPr>
        <w:t xml:space="preserve">robust </w:t>
      </w:r>
      <w:r w:rsidRPr="005C558F">
        <w:rPr>
          <w:bCs/>
        </w:rPr>
        <w:t xml:space="preserve">and </w:t>
      </w:r>
      <w:r w:rsidRPr="005C558F">
        <w:rPr>
          <w:bCs/>
          <w:i/>
          <w:iCs/>
        </w:rPr>
        <w:t>flexible</w:t>
      </w:r>
      <w:r w:rsidR="007D75B4" w:rsidRPr="005C558F">
        <w:rPr>
          <w:bCs/>
        </w:rPr>
        <w:t xml:space="preserve">, and thus, </w:t>
      </w:r>
      <w:r w:rsidR="007D75B4" w:rsidRPr="005C558F">
        <w:rPr>
          <w:bCs/>
          <w:i/>
          <w:iCs/>
        </w:rPr>
        <w:t xml:space="preserve">dynamic </w:t>
      </w:r>
      <w:r w:rsidRPr="005C558F">
        <w:rPr>
          <w:bCs/>
          <w:i/>
          <w:iCs/>
        </w:rPr>
        <w:t>adaptive</w:t>
      </w:r>
      <w:r w:rsidR="007D75B4" w:rsidRPr="005C558F">
        <w:rPr>
          <w:bCs/>
        </w:rPr>
        <w:t>.</w:t>
      </w:r>
      <w:r w:rsidRPr="005C558F">
        <w:rPr>
          <w:bCs/>
        </w:rPr>
        <w:t xml:space="preserve"> This section identifies the key elements of the </w:t>
      </w:r>
      <w:r w:rsidR="007D75B4" w:rsidRPr="005C558F">
        <w:rPr>
          <w:bCs/>
        </w:rPr>
        <w:t xml:space="preserve">DP’s </w:t>
      </w:r>
      <w:r w:rsidRPr="005C558F">
        <w:rPr>
          <w:bCs/>
        </w:rPr>
        <w:t xml:space="preserve">ADM approach that were essential to develop </w:t>
      </w:r>
      <w:r w:rsidRPr="005C558F">
        <w:rPr>
          <w:bCs/>
          <w:i/>
          <w:iCs/>
        </w:rPr>
        <w:t>adaptive strategies</w:t>
      </w:r>
      <w:r w:rsidRPr="005C558F">
        <w:rPr>
          <w:bCs/>
        </w:rPr>
        <w:t xml:space="preserve"> and that make the DP an </w:t>
      </w:r>
      <w:r w:rsidRPr="005C558F">
        <w:rPr>
          <w:bCs/>
          <w:i/>
          <w:iCs/>
        </w:rPr>
        <w:t>adaptive programme</w:t>
      </w:r>
      <w:r w:rsidRPr="005C558F">
        <w:rPr>
          <w:bCs/>
        </w:rPr>
        <w:t xml:space="preserve"> </w:t>
      </w:r>
      <w:r w:rsidR="001D2AF6" w:rsidRPr="005C558F">
        <w:rPr>
          <w:bCs/>
        </w:rPr>
        <w:t>‘</w:t>
      </w:r>
      <w:r w:rsidRPr="005C558F">
        <w:rPr>
          <w:bCs/>
          <w:i/>
          <w:iCs/>
        </w:rPr>
        <w:t>per se</w:t>
      </w:r>
      <w:proofErr w:type="gramStart"/>
      <w:r w:rsidR="001D2AF6" w:rsidRPr="005C558F">
        <w:rPr>
          <w:bCs/>
        </w:rPr>
        <w:t>’</w:t>
      </w:r>
      <w:r w:rsidR="007D75B4" w:rsidRPr="005C558F">
        <w:rPr>
          <w:bCs/>
        </w:rPr>
        <w:t>, and</w:t>
      </w:r>
      <w:proofErr w:type="gramEnd"/>
      <w:r w:rsidR="007D75B4" w:rsidRPr="005C558F">
        <w:rPr>
          <w:bCs/>
        </w:rPr>
        <w:t xml:space="preserve"> describes how these elements were applied in practice by the DP staff and Subprogrammes. This section builds on the prior analysis of the DP and on studies of other authors.</w:t>
      </w:r>
      <w:r w:rsidR="001D2AF6" w:rsidRPr="005C558F">
        <w:rPr>
          <w:rStyle w:val="Refdenotaderodap"/>
          <w:bCs/>
        </w:rPr>
        <w:footnoteReference w:id="80"/>
      </w:r>
      <w:r w:rsidR="007D75B4" w:rsidRPr="005C558F">
        <w:rPr>
          <w:bCs/>
        </w:rPr>
        <w:t xml:space="preserve"> </w:t>
      </w:r>
      <w:r w:rsidR="00AA5FE3" w:rsidRPr="005C558F">
        <w:rPr>
          <w:bCs/>
        </w:rPr>
        <w:t>The</w:t>
      </w:r>
      <w:r w:rsidRPr="005C558F">
        <w:rPr>
          <w:bCs/>
        </w:rPr>
        <w:t xml:space="preserve"> main elements of ADM that were essential to develop </w:t>
      </w:r>
      <w:r w:rsidR="007D75B4" w:rsidRPr="005C558F">
        <w:rPr>
          <w:bCs/>
        </w:rPr>
        <w:t xml:space="preserve">to </w:t>
      </w:r>
      <w:r w:rsidR="00AA5FE3" w:rsidRPr="005C558F">
        <w:rPr>
          <w:bCs/>
          <w:i/>
          <w:iCs/>
        </w:rPr>
        <w:t xml:space="preserve">dynamic </w:t>
      </w:r>
      <w:r w:rsidRPr="005C558F">
        <w:rPr>
          <w:bCs/>
          <w:i/>
          <w:iCs/>
        </w:rPr>
        <w:t>adaptive strategies</w:t>
      </w:r>
      <w:bookmarkStart w:id="104" w:name="_Hlk22049376"/>
      <w:r w:rsidR="00AA5FE3" w:rsidRPr="005C558F">
        <w:rPr>
          <w:bCs/>
        </w:rPr>
        <w:t xml:space="preserve"> are synthesized in </w:t>
      </w:r>
      <w:r w:rsidR="00AA5FE3" w:rsidRPr="005C558F">
        <w:rPr>
          <w:b/>
        </w:rPr>
        <w:t xml:space="preserve">Table </w:t>
      </w:r>
      <w:r w:rsidR="005C558F" w:rsidRPr="005C558F">
        <w:rPr>
          <w:b/>
        </w:rPr>
        <w:t>D</w:t>
      </w:r>
      <w:r w:rsidR="00AA5FE3" w:rsidRPr="005C558F">
        <w:rPr>
          <w:bCs/>
        </w:rPr>
        <w:t>.</w:t>
      </w:r>
      <w:r w:rsidR="00AA5FE3" w:rsidRPr="009B720F">
        <w:rPr>
          <w:bCs/>
        </w:rPr>
        <w:t xml:space="preserve"> </w:t>
      </w:r>
    </w:p>
    <w:p w14:paraId="3E56D1AF" w14:textId="548BA443" w:rsidR="00AA5FE3" w:rsidRPr="00E74925" w:rsidRDefault="001D2AF6" w:rsidP="00E74925">
      <w:pPr>
        <w:pStyle w:val="TEXTBODY"/>
        <w:spacing w:after="60" w:line="276" w:lineRule="auto"/>
        <w:rPr>
          <w:bCs/>
          <w:vertAlign w:val="superscript"/>
        </w:rPr>
      </w:pPr>
      <w:r w:rsidRPr="005C558F">
        <w:rPr>
          <w:bCs/>
        </w:rPr>
        <w:t xml:space="preserve">In the light of the paradigm of Adaptive Planning, </w:t>
      </w:r>
      <w:bookmarkStart w:id="105" w:name="_Hlk43293300"/>
      <w:r w:rsidRPr="005C558F">
        <w:rPr>
          <w:bCs/>
        </w:rPr>
        <w:t>under deep uncertainty about future changes,</w:t>
      </w:r>
      <w:r w:rsidRPr="005C558F">
        <w:rPr>
          <w:bCs/>
          <w:color w:val="C00000"/>
        </w:rPr>
        <w:t xml:space="preserve"> </w:t>
      </w:r>
      <w:r w:rsidRPr="005C558F">
        <w:rPr>
          <w:bCs/>
        </w:rPr>
        <w:t>it is necessary to develop a ‘</w:t>
      </w:r>
      <w:r w:rsidRPr="005C558F">
        <w:rPr>
          <w:bCs/>
          <w:i/>
          <w:iCs/>
        </w:rPr>
        <w:t>dynamic adaptive plan</w:t>
      </w:r>
      <w:r w:rsidRPr="005C558F">
        <w:rPr>
          <w:bCs/>
        </w:rPr>
        <w:t xml:space="preserve">’, and such plan must have </w:t>
      </w:r>
      <w:r w:rsidRPr="005C558F">
        <w:rPr>
          <w:bCs/>
          <w:i/>
          <w:iCs/>
        </w:rPr>
        <w:t>robust and</w:t>
      </w:r>
      <w:r w:rsidRPr="005C558F">
        <w:rPr>
          <w:bCs/>
        </w:rPr>
        <w:t xml:space="preserve"> </w:t>
      </w:r>
      <w:r w:rsidRPr="005C558F">
        <w:rPr>
          <w:bCs/>
          <w:i/>
          <w:iCs/>
        </w:rPr>
        <w:t xml:space="preserve">adaptive policies </w:t>
      </w:r>
      <w:r w:rsidRPr="005C558F">
        <w:rPr>
          <w:bCs/>
        </w:rPr>
        <w:t>(strategies). Robust policies / strategies ‘</w:t>
      </w:r>
      <w:r w:rsidRPr="005C558F">
        <w:rPr>
          <w:bCs/>
          <w:i/>
          <w:iCs/>
        </w:rPr>
        <w:t>perform well under a wide range of plausible futures</w:t>
      </w:r>
      <w:r w:rsidRPr="005C558F">
        <w:rPr>
          <w:bCs/>
        </w:rPr>
        <w:t>’, while adaptive policies / strategies ‘</w:t>
      </w:r>
      <w:r w:rsidRPr="005C558F">
        <w:rPr>
          <w:bCs/>
          <w:i/>
          <w:iCs/>
        </w:rPr>
        <w:t>can be adapted once the future unfolds differently than foreseen</w:t>
      </w:r>
      <w:r w:rsidRPr="005C558F">
        <w:rPr>
          <w:bCs/>
        </w:rPr>
        <w:t>’ (</w:t>
      </w:r>
      <w:proofErr w:type="spellStart"/>
      <w:r w:rsidRPr="005C558F">
        <w:rPr>
          <w:bCs/>
          <w:color w:val="7F7F7F" w:themeColor="text1" w:themeTint="80"/>
        </w:rPr>
        <w:t>Jeuken</w:t>
      </w:r>
      <w:proofErr w:type="spellEnd"/>
      <w:r w:rsidRPr="005C558F">
        <w:rPr>
          <w:bCs/>
          <w:color w:val="7F7F7F" w:themeColor="text1" w:themeTint="80"/>
        </w:rPr>
        <w:t xml:space="preserve"> et al. 2014, p.2</w:t>
      </w:r>
      <w:r w:rsidRPr="005C558F">
        <w:rPr>
          <w:bCs/>
        </w:rPr>
        <w:t>).</w:t>
      </w:r>
      <w:r w:rsidRPr="009B720F">
        <w:rPr>
          <w:bCs/>
          <w:vertAlign w:val="superscript"/>
        </w:rPr>
        <w:t xml:space="preserve"> </w:t>
      </w:r>
      <w:bookmarkEnd w:id="105"/>
    </w:p>
    <w:p w14:paraId="64C7A4BF" w14:textId="066DF26A" w:rsidR="00A87883" w:rsidRPr="005C558F" w:rsidRDefault="00A87883" w:rsidP="00E74925">
      <w:pPr>
        <w:pStyle w:val="TEXTBODY"/>
        <w:spacing w:line="276" w:lineRule="auto"/>
        <w:ind w:left="180"/>
        <w:rPr>
          <w:bCs/>
        </w:rPr>
      </w:pPr>
      <w:r w:rsidRPr="009B720F">
        <w:rPr>
          <w:bCs/>
        </w:rPr>
        <w:t>In 2010, the DP Commissioner claimed that the DP has introduced a new way of planning</w:t>
      </w:r>
      <w:r w:rsidR="00513A75" w:rsidRPr="009B720F">
        <w:rPr>
          <w:bCs/>
        </w:rPr>
        <w:t>, initially called</w:t>
      </w:r>
      <w:r w:rsidR="00513A75" w:rsidRPr="009B720F">
        <w:rPr>
          <w:bCs/>
          <w:i/>
          <w:iCs/>
        </w:rPr>
        <w:t xml:space="preserve"> ‘A</w:t>
      </w:r>
      <w:r w:rsidRPr="009B720F">
        <w:rPr>
          <w:bCs/>
          <w:i/>
          <w:iCs/>
        </w:rPr>
        <w:t xml:space="preserve">daptive </w:t>
      </w:r>
      <w:r w:rsidR="00513A75" w:rsidRPr="009B720F">
        <w:rPr>
          <w:bCs/>
          <w:i/>
          <w:iCs/>
        </w:rPr>
        <w:t>D</w:t>
      </w:r>
      <w:r w:rsidRPr="009B720F">
        <w:rPr>
          <w:bCs/>
          <w:i/>
          <w:iCs/>
        </w:rPr>
        <w:t xml:space="preserve">elta </w:t>
      </w:r>
      <w:r w:rsidR="00513A75" w:rsidRPr="009B720F">
        <w:rPr>
          <w:bCs/>
          <w:i/>
          <w:iCs/>
        </w:rPr>
        <w:t>P</w:t>
      </w:r>
      <w:r w:rsidRPr="009B720F">
        <w:rPr>
          <w:bCs/>
          <w:i/>
          <w:iCs/>
        </w:rPr>
        <w:t>lanning’</w:t>
      </w:r>
      <w:r w:rsidR="00513A75" w:rsidRPr="009B720F">
        <w:rPr>
          <w:bCs/>
        </w:rPr>
        <w:t xml:space="preserve">, </w:t>
      </w:r>
      <w:r w:rsidRPr="009B720F">
        <w:rPr>
          <w:bCs/>
        </w:rPr>
        <w:t>which ‘</w:t>
      </w:r>
      <w:r w:rsidRPr="009B720F">
        <w:rPr>
          <w:bCs/>
          <w:i/>
          <w:iCs/>
        </w:rPr>
        <w:t>seeks to maximize flexibility; keep options open and avoid ‘lock-ins’</w:t>
      </w:r>
      <w:r w:rsidRPr="009B720F">
        <w:rPr>
          <w:bCs/>
        </w:rPr>
        <w:t xml:space="preserve"> (</w:t>
      </w:r>
      <w:proofErr w:type="spellStart"/>
      <w:r w:rsidRPr="009B720F">
        <w:rPr>
          <w:bCs/>
          <w:color w:val="7F7F7F" w:themeColor="text1" w:themeTint="80"/>
        </w:rPr>
        <w:t>Kuijken</w:t>
      </w:r>
      <w:proofErr w:type="spellEnd"/>
      <w:r w:rsidRPr="009B720F">
        <w:rPr>
          <w:bCs/>
          <w:color w:val="7F7F7F" w:themeColor="text1" w:themeTint="80"/>
        </w:rPr>
        <w:t xml:space="preserve"> 2010 </w:t>
      </w:r>
      <w:r w:rsidRPr="009B720F">
        <w:rPr>
          <w:bCs/>
          <w:i/>
          <w:iCs/>
        </w:rPr>
        <w:t>in</w:t>
      </w:r>
      <w:r w:rsidRPr="009B720F">
        <w:rPr>
          <w:bCs/>
        </w:rPr>
        <w:t xml:space="preserve"> </w:t>
      </w:r>
      <w:proofErr w:type="spellStart"/>
      <w:r w:rsidRPr="009B720F">
        <w:rPr>
          <w:bCs/>
          <w:color w:val="7F7F7F" w:themeColor="text1" w:themeTint="80"/>
        </w:rPr>
        <w:t>Haasnoot</w:t>
      </w:r>
      <w:proofErr w:type="spellEnd"/>
      <w:r w:rsidRPr="009B720F">
        <w:rPr>
          <w:bCs/>
          <w:color w:val="7F7F7F" w:themeColor="text1" w:themeTint="80"/>
        </w:rPr>
        <w:t xml:space="preserve"> et al.2013 p. 490; Werners et al. 2016</w:t>
      </w:r>
      <w:r w:rsidRPr="009B720F">
        <w:rPr>
          <w:bCs/>
        </w:rPr>
        <w:t xml:space="preserve">). </w:t>
      </w:r>
      <w:r w:rsidR="00513A75" w:rsidRPr="009B720F">
        <w:rPr>
          <w:rFonts w:eastAsia="RijksoverheidSansText-Regular" w:cs="Arial"/>
          <w:bCs/>
          <w:color w:val="000000"/>
          <w:szCs w:val="18"/>
        </w:rPr>
        <w:t>The</w:t>
      </w:r>
      <w:r w:rsidRPr="009B720F">
        <w:rPr>
          <w:rFonts w:eastAsia="RijksoverheidSansText-Regular" w:cs="Arial"/>
          <w:bCs/>
          <w:color w:val="000000"/>
          <w:szCs w:val="18"/>
        </w:rPr>
        <w:t xml:space="preserve"> deep uncertainties about </w:t>
      </w:r>
      <w:r w:rsidRPr="009B720F">
        <w:rPr>
          <w:bCs/>
        </w:rPr>
        <w:t>future climatic and socioeconomic changes</w:t>
      </w:r>
      <w:r w:rsidRPr="009B720F">
        <w:rPr>
          <w:rFonts w:eastAsia="RijksoverheidSansText-Regular" w:cs="Arial"/>
          <w:bCs/>
          <w:color w:val="000000"/>
          <w:szCs w:val="18"/>
        </w:rPr>
        <w:t>, and, on the other hand, the need to make responsible financial investments</w:t>
      </w:r>
      <w:r w:rsidRPr="009B720F">
        <w:rPr>
          <w:bCs/>
        </w:rPr>
        <w:t xml:space="preserve">, </w:t>
      </w:r>
      <w:r w:rsidR="00513A75" w:rsidRPr="009B720F">
        <w:rPr>
          <w:rFonts w:eastAsia="RijksoverheidSansText-Regular" w:cs="Arial"/>
          <w:bCs/>
          <w:color w:val="000000"/>
          <w:szCs w:val="18"/>
        </w:rPr>
        <w:t>demanded a</w:t>
      </w:r>
      <w:r w:rsidRPr="009B720F">
        <w:rPr>
          <w:rFonts w:eastAsia="RijksoverheidSansText-Regular" w:cs="Arial"/>
          <w:bCs/>
          <w:color w:val="000000"/>
          <w:szCs w:val="18"/>
        </w:rPr>
        <w:t xml:space="preserve"> more ‘</w:t>
      </w:r>
      <w:r w:rsidRPr="009B720F">
        <w:rPr>
          <w:rFonts w:eastAsia="RijksoverheidSansText-Regular" w:cs="Arial"/>
          <w:bCs/>
          <w:i/>
          <w:iCs/>
          <w:color w:val="000000"/>
          <w:szCs w:val="18"/>
        </w:rPr>
        <w:t>flexible</w:t>
      </w:r>
      <w:r w:rsidRPr="009B720F">
        <w:rPr>
          <w:rFonts w:eastAsia="RijksoverheidSansText-Regular" w:cs="Arial"/>
          <w:bCs/>
          <w:color w:val="000000"/>
          <w:szCs w:val="18"/>
        </w:rPr>
        <w:t>’ but also</w:t>
      </w:r>
      <w:r w:rsidRPr="009B720F">
        <w:rPr>
          <w:rFonts w:eastAsia="RijksoverheidSansText-Regular" w:cs="Arial"/>
          <w:bCs/>
          <w:i/>
          <w:iCs/>
          <w:color w:val="000000"/>
          <w:szCs w:val="18"/>
        </w:rPr>
        <w:t xml:space="preserve"> realistic </w:t>
      </w:r>
      <w:r w:rsidR="00513A75" w:rsidRPr="009B720F">
        <w:rPr>
          <w:rFonts w:eastAsia="RijksoverheidSansText-Regular" w:cs="Arial"/>
          <w:bCs/>
          <w:i/>
          <w:iCs/>
          <w:color w:val="000000"/>
          <w:szCs w:val="18"/>
        </w:rPr>
        <w:t>(</w:t>
      </w:r>
      <w:r w:rsidRPr="009B720F">
        <w:rPr>
          <w:rFonts w:eastAsia="RijksoverheidSansText-Regular" w:cs="Arial"/>
          <w:bCs/>
          <w:i/>
          <w:iCs/>
          <w:color w:val="000000"/>
          <w:szCs w:val="18"/>
        </w:rPr>
        <w:t>down-to-earth</w:t>
      </w:r>
      <w:r w:rsidR="00513A75" w:rsidRPr="009B720F">
        <w:rPr>
          <w:rFonts w:eastAsia="RijksoverheidSansText-Regular" w:cs="Arial"/>
          <w:bCs/>
          <w:i/>
          <w:iCs/>
          <w:color w:val="000000"/>
          <w:szCs w:val="18"/>
        </w:rPr>
        <w:t>)</w:t>
      </w:r>
      <w:r w:rsidRPr="009B720F">
        <w:rPr>
          <w:rFonts w:eastAsia="RijksoverheidSansText-Regular" w:cs="Arial"/>
          <w:bCs/>
          <w:i/>
          <w:iCs/>
          <w:color w:val="000000"/>
          <w:szCs w:val="18"/>
        </w:rPr>
        <w:t xml:space="preserve"> approach</w:t>
      </w:r>
      <w:r w:rsidRPr="009B720F">
        <w:rPr>
          <w:rFonts w:eastAsia="RijksoverheidSansText-Regular" w:cs="Arial"/>
          <w:bCs/>
          <w:color w:val="000000"/>
          <w:szCs w:val="18"/>
        </w:rPr>
        <w:t xml:space="preserve">, which </w:t>
      </w:r>
      <w:r w:rsidR="00513A75" w:rsidRPr="009B720F">
        <w:rPr>
          <w:rFonts w:eastAsia="RijksoverheidSansText-Regular" w:cs="Arial"/>
          <w:bCs/>
          <w:color w:val="000000"/>
          <w:szCs w:val="18"/>
        </w:rPr>
        <w:t>gave rise to the</w:t>
      </w:r>
      <w:r w:rsidRPr="009B720F">
        <w:rPr>
          <w:rFonts w:eastAsia="RijksoverheidSansText-Regular" w:cs="Arial"/>
          <w:bCs/>
          <w:color w:val="000000"/>
          <w:szCs w:val="18"/>
        </w:rPr>
        <w:t xml:space="preserve"> DP’s </w:t>
      </w:r>
      <w:r w:rsidRPr="009B720F">
        <w:rPr>
          <w:rFonts w:eastAsia="RijksoverheidSansText-Regular" w:cs="Arial"/>
          <w:bCs/>
          <w:i/>
          <w:iCs/>
          <w:color w:val="000000"/>
          <w:szCs w:val="18"/>
        </w:rPr>
        <w:t>Adaptive Delta Management</w:t>
      </w:r>
      <w:r w:rsidRPr="009B720F">
        <w:rPr>
          <w:rFonts w:eastAsia="RijksoverheidSansText-Regular" w:cs="Arial"/>
          <w:bCs/>
          <w:color w:val="000000"/>
          <w:szCs w:val="18"/>
        </w:rPr>
        <w:t xml:space="preserve"> (ADM) approach (</w:t>
      </w:r>
      <w:r w:rsidRPr="009B720F">
        <w:rPr>
          <w:rFonts w:eastAsia="RijksoverheidSansText-Regular" w:cs="Arial"/>
          <w:bCs/>
          <w:color w:val="7F7F7F" w:themeColor="text1" w:themeTint="80"/>
          <w:szCs w:val="18"/>
        </w:rPr>
        <w:t>Rhee 2012</w:t>
      </w:r>
      <w:r w:rsidRPr="009B720F">
        <w:rPr>
          <w:rFonts w:eastAsia="RijksoverheidSansText-Regular" w:cs="Arial"/>
          <w:bCs/>
          <w:color w:val="000000"/>
          <w:szCs w:val="18"/>
        </w:rPr>
        <w:t xml:space="preserve"> </w:t>
      </w:r>
      <w:r w:rsidRPr="009B720F">
        <w:rPr>
          <w:rFonts w:eastAsia="RijksoverheidSansText-Regular" w:cs="Arial"/>
          <w:bCs/>
          <w:i/>
          <w:iCs/>
          <w:color w:val="000000"/>
          <w:szCs w:val="18"/>
        </w:rPr>
        <w:t>in</w:t>
      </w:r>
      <w:r w:rsidRPr="009B720F">
        <w:rPr>
          <w:rFonts w:eastAsia="RijksoverheidSansText-Regular" w:cs="Arial"/>
          <w:bCs/>
          <w:color w:val="000000"/>
          <w:szCs w:val="18"/>
        </w:rPr>
        <w:t xml:space="preserve"> </w:t>
      </w:r>
      <w:r w:rsidRPr="009B720F">
        <w:rPr>
          <w:rFonts w:eastAsia="RijksoverheidSansText-Regular" w:cs="Arial"/>
          <w:bCs/>
          <w:color w:val="7F7F7F" w:themeColor="text1" w:themeTint="80"/>
          <w:szCs w:val="18"/>
        </w:rPr>
        <w:t>DP 2014, p.138; 2011, p.16, 48, 70;</w:t>
      </w:r>
      <w:r w:rsidRPr="009B720F">
        <w:rPr>
          <w:bCs/>
          <w:color w:val="7F7F7F" w:themeColor="text1" w:themeTint="80"/>
        </w:rPr>
        <w:t xml:space="preserve"> 2013, p.6</w:t>
      </w:r>
      <w:r w:rsidRPr="009B720F">
        <w:rPr>
          <w:rFonts w:eastAsia="RijksoverheidSansText-Regular" w:cs="Arial"/>
          <w:bCs/>
          <w:color w:val="000000"/>
          <w:szCs w:val="18"/>
        </w:rPr>
        <w:t>).</w:t>
      </w:r>
      <w:r w:rsidRPr="009B720F">
        <w:rPr>
          <w:rStyle w:val="Refdenotaderodap"/>
          <w:bCs/>
        </w:rPr>
        <w:t xml:space="preserve"> </w:t>
      </w:r>
      <w:r w:rsidR="00513A75" w:rsidRPr="009B720F">
        <w:rPr>
          <w:bCs/>
        </w:rPr>
        <w:t>The new</w:t>
      </w:r>
      <w:r w:rsidRPr="009B720F">
        <w:rPr>
          <w:bCs/>
        </w:rPr>
        <w:t xml:space="preserve"> planning approach </w:t>
      </w:r>
      <w:r w:rsidR="00513A75" w:rsidRPr="009B720F">
        <w:rPr>
          <w:bCs/>
        </w:rPr>
        <w:t>should consider,</w:t>
      </w:r>
      <w:r w:rsidRPr="009B720F">
        <w:rPr>
          <w:bCs/>
        </w:rPr>
        <w:t xml:space="preserve"> and </w:t>
      </w:r>
      <w:r w:rsidR="00513A75" w:rsidRPr="009B720F">
        <w:rPr>
          <w:bCs/>
        </w:rPr>
        <w:t>be able</w:t>
      </w:r>
      <w:r w:rsidRPr="009B720F">
        <w:rPr>
          <w:bCs/>
        </w:rPr>
        <w:t xml:space="preserve"> to deal with</w:t>
      </w:r>
      <w:r w:rsidR="00513A75" w:rsidRPr="009B720F">
        <w:rPr>
          <w:bCs/>
        </w:rPr>
        <w:t>,</w:t>
      </w:r>
      <w:r w:rsidRPr="009B720F">
        <w:rPr>
          <w:bCs/>
        </w:rPr>
        <w:t xml:space="preserve"> deep uncertainties about future changes and conditions</w:t>
      </w:r>
      <w:r w:rsidR="00513A75" w:rsidRPr="009B720F">
        <w:rPr>
          <w:bCs/>
        </w:rPr>
        <w:t>,</w:t>
      </w:r>
      <w:r w:rsidRPr="009B720F">
        <w:rPr>
          <w:bCs/>
        </w:rPr>
        <w:t xml:space="preserve"> </w:t>
      </w:r>
      <w:r w:rsidR="00513A75" w:rsidRPr="009B720F">
        <w:rPr>
          <w:bCs/>
        </w:rPr>
        <w:t xml:space="preserve">therefore, </w:t>
      </w:r>
      <w:r w:rsidRPr="009B720F">
        <w:rPr>
          <w:bCs/>
        </w:rPr>
        <w:t xml:space="preserve">the DP used </w:t>
      </w:r>
      <w:r w:rsidRPr="009B720F">
        <w:rPr>
          <w:bCs/>
          <w:iCs/>
        </w:rPr>
        <w:t>an</w:t>
      </w:r>
      <w:r w:rsidRPr="009B720F">
        <w:rPr>
          <w:bCs/>
          <w:i/>
        </w:rPr>
        <w:t xml:space="preserve"> adaptive way of planning </w:t>
      </w:r>
      <w:r w:rsidRPr="009B720F">
        <w:rPr>
          <w:bCs/>
        </w:rPr>
        <w:t>(</w:t>
      </w:r>
      <w:r w:rsidRPr="009B720F">
        <w:rPr>
          <w:bCs/>
          <w:color w:val="7F7F7F" w:themeColor="text1" w:themeTint="80"/>
        </w:rPr>
        <w:t>Alphen 2015</w:t>
      </w:r>
      <w:r w:rsidRPr="009B720F">
        <w:rPr>
          <w:bCs/>
        </w:rPr>
        <w:t>). Such ‘</w:t>
      </w:r>
      <w:r w:rsidRPr="009B720F">
        <w:rPr>
          <w:bCs/>
          <w:i/>
          <w:iCs/>
        </w:rPr>
        <w:t>adaptive approach</w:t>
      </w:r>
      <w:r w:rsidRPr="009B720F">
        <w:rPr>
          <w:bCs/>
        </w:rPr>
        <w:t xml:space="preserve">’ should be </w:t>
      </w:r>
      <w:r w:rsidRPr="009B720F">
        <w:rPr>
          <w:bCs/>
          <w:i/>
          <w:iCs/>
        </w:rPr>
        <w:t xml:space="preserve">flexible </w:t>
      </w:r>
      <w:r w:rsidRPr="009B720F">
        <w:rPr>
          <w:bCs/>
        </w:rPr>
        <w:t xml:space="preserve">enough to adapt the plan / strategy to changing </w:t>
      </w:r>
      <w:r w:rsidRPr="005C558F">
        <w:rPr>
          <w:bCs/>
        </w:rPr>
        <w:t>and un</w:t>
      </w:r>
      <w:r w:rsidR="00356843" w:rsidRPr="005C558F">
        <w:rPr>
          <w:bCs/>
        </w:rPr>
        <w:t>expected</w:t>
      </w:r>
      <w:r w:rsidRPr="005C558F">
        <w:rPr>
          <w:bCs/>
        </w:rPr>
        <w:t xml:space="preserve"> future conditions, and at the same time, devise short-term measures and investments under uncertainty (</w:t>
      </w:r>
      <w:r w:rsidRPr="005C558F">
        <w:rPr>
          <w:bCs/>
          <w:color w:val="7F7F7F" w:themeColor="text1" w:themeTint="80"/>
        </w:rPr>
        <w:t xml:space="preserve">Brugge and </w:t>
      </w:r>
      <w:proofErr w:type="spellStart"/>
      <w:r w:rsidRPr="005C558F">
        <w:rPr>
          <w:bCs/>
          <w:color w:val="7F7F7F" w:themeColor="text1" w:themeTint="80"/>
        </w:rPr>
        <w:t>Brugeman</w:t>
      </w:r>
      <w:proofErr w:type="spellEnd"/>
      <w:r w:rsidRPr="005C558F">
        <w:rPr>
          <w:bCs/>
          <w:color w:val="7F7F7F" w:themeColor="text1" w:themeTint="80"/>
        </w:rPr>
        <w:t>, p.1</w:t>
      </w:r>
      <w:r w:rsidRPr="005C558F">
        <w:rPr>
          <w:bCs/>
        </w:rPr>
        <w:t xml:space="preserve">). ADM responds to these two aspects: it is </w:t>
      </w:r>
      <w:r w:rsidRPr="00F8219A">
        <w:rPr>
          <w:bCs/>
          <w:i/>
          <w:iCs/>
        </w:rPr>
        <w:t>adaptive</w:t>
      </w:r>
      <w:r w:rsidRPr="00F8219A">
        <w:rPr>
          <w:bCs/>
        </w:rPr>
        <w:t xml:space="preserve"> to </w:t>
      </w:r>
      <w:proofErr w:type="gramStart"/>
      <w:r w:rsidRPr="00F8219A">
        <w:rPr>
          <w:bCs/>
        </w:rPr>
        <w:t>change</w:t>
      </w:r>
      <w:proofErr w:type="gramEnd"/>
      <w:r w:rsidRPr="00F8219A">
        <w:rPr>
          <w:bCs/>
        </w:rPr>
        <w:t xml:space="preserve"> and </w:t>
      </w:r>
      <w:r w:rsidR="00513A75" w:rsidRPr="005C558F">
        <w:rPr>
          <w:bCs/>
        </w:rPr>
        <w:t xml:space="preserve">it copes </w:t>
      </w:r>
      <w:r w:rsidRPr="005C558F">
        <w:rPr>
          <w:bCs/>
        </w:rPr>
        <w:t>with uncertainties about the future (</w:t>
      </w:r>
      <w:proofErr w:type="spellStart"/>
      <w:r w:rsidR="005C558F">
        <w:rPr>
          <w:bCs/>
          <w:color w:val="7F7F7F" w:themeColor="text1" w:themeTint="80"/>
        </w:rPr>
        <w:t>Deltares</w:t>
      </w:r>
      <w:proofErr w:type="spellEnd"/>
      <w:r w:rsidR="005C558F">
        <w:rPr>
          <w:bCs/>
          <w:color w:val="7F7F7F" w:themeColor="text1" w:themeTint="80"/>
        </w:rPr>
        <w:t xml:space="preserve"> 2018</w:t>
      </w:r>
      <w:r w:rsidRPr="005C558F">
        <w:rPr>
          <w:bCs/>
        </w:rPr>
        <w:t xml:space="preserve">). Overall, the DP devised ADM as an </w:t>
      </w:r>
      <w:r w:rsidRPr="005C558F">
        <w:rPr>
          <w:bCs/>
          <w:i/>
          <w:iCs/>
        </w:rPr>
        <w:t>adaptive planning approach</w:t>
      </w:r>
      <w:r w:rsidRPr="005C558F">
        <w:rPr>
          <w:bCs/>
        </w:rPr>
        <w:t xml:space="preserve"> to cope with uncertain future changes </w:t>
      </w:r>
      <w:r w:rsidR="00513A75" w:rsidRPr="005C558F">
        <w:rPr>
          <w:bCs/>
        </w:rPr>
        <w:t xml:space="preserve">and conditions </w:t>
      </w:r>
      <w:r w:rsidRPr="005C558F">
        <w:rPr>
          <w:bCs/>
        </w:rPr>
        <w:t>(</w:t>
      </w:r>
      <w:r w:rsidRPr="005C558F">
        <w:rPr>
          <w:bCs/>
          <w:color w:val="7F7F7F" w:themeColor="text1" w:themeTint="80"/>
        </w:rPr>
        <w:t>Ritzema and Steensma 2018</w:t>
      </w:r>
      <w:r w:rsidRPr="005C558F">
        <w:rPr>
          <w:bCs/>
        </w:rPr>
        <w:t>). With ADM, the DP aims to remain ‘adaptable’ to changing climatic and socioeconomic conditions (</w:t>
      </w:r>
      <w:proofErr w:type="spellStart"/>
      <w:r w:rsidRPr="005C558F">
        <w:rPr>
          <w:bCs/>
          <w:color w:val="808080" w:themeColor="background1" w:themeShade="80"/>
        </w:rPr>
        <w:t>Restemeyer</w:t>
      </w:r>
      <w:proofErr w:type="spellEnd"/>
      <w:r w:rsidRPr="005C558F">
        <w:rPr>
          <w:bCs/>
          <w:color w:val="808080" w:themeColor="background1" w:themeShade="80"/>
        </w:rPr>
        <w:t xml:space="preserve"> et al. 2017, p.921</w:t>
      </w:r>
      <w:r w:rsidRPr="005C558F">
        <w:rPr>
          <w:bCs/>
        </w:rPr>
        <w:t xml:space="preserve">). </w:t>
      </w:r>
    </w:p>
    <w:p w14:paraId="5A0829FF" w14:textId="4A96664D" w:rsidR="00A87883" w:rsidRPr="009B720F" w:rsidRDefault="00513A75" w:rsidP="00E74925">
      <w:pPr>
        <w:pStyle w:val="TEXTBODY"/>
        <w:spacing w:line="276" w:lineRule="auto"/>
        <w:ind w:left="180"/>
        <w:rPr>
          <w:bCs/>
        </w:rPr>
      </w:pPr>
      <w:r w:rsidRPr="005C558F">
        <w:rPr>
          <w:bCs/>
        </w:rPr>
        <w:t xml:space="preserve">Importantly, the </w:t>
      </w:r>
      <w:r w:rsidR="00A87883" w:rsidRPr="005C558F">
        <w:rPr>
          <w:bCs/>
          <w:i/>
          <w:iCs/>
        </w:rPr>
        <w:t>ADM Implementation Guide</w:t>
      </w:r>
      <w:r w:rsidR="00A87883" w:rsidRPr="005C558F">
        <w:rPr>
          <w:bCs/>
        </w:rPr>
        <w:t xml:space="preserve"> </w:t>
      </w:r>
      <w:r w:rsidRPr="005C558F">
        <w:rPr>
          <w:bCs/>
        </w:rPr>
        <w:t>(</w:t>
      </w:r>
      <w:r w:rsidR="00CC4948" w:rsidRPr="005C558F">
        <w:rPr>
          <w:bCs/>
        </w:rPr>
        <w:t>Rhee, 2012</w:t>
      </w:r>
      <w:r w:rsidRPr="005C558F">
        <w:rPr>
          <w:bCs/>
        </w:rPr>
        <w:t xml:space="preserve">) </w:t>
      </w:r>
      <w:r w:rsidR="00A87883" w:rsidRPr="005C558F">
        <w:rPr>
          <w:bCs/>
        </w:rPr>
        <w:t>recommends the use of (</w:t>
      </w:r>
      <w:r w:rsidR="00A87883" w:rsidRPr="005C558F">
        <w:rPr>
          <w:bCs/>
          <w:i/>
          <w:iCs/>
        </w:rPr>
        <w:t>suggests working with</w:t>
      </w:r>
      <w:r w:rsidR="00A87883" w:rsidRPr="005C558F">
        <w:rPr>
          <w:bCs/>
        </w:rPr>
        <w:t xml:space="preserve">) </w:t>
      </w:r>
      <w:r w:rsidR="00A87883" w:rsidRPr="005C558F">
        <w:rPr>
          <w:bCs/>
          <w:i/>
          <w:iCs/>
        </w:rPr>
        <w:t>scenarios</w:t>
      </w:r>
      <w:r w:rsidR="00A87883" w:rsidRPr="005C558F">
        <w:rPr>
          <w:bCs/>
        </w:rPr>
        <w:t xml:space="preserve">, </w:t>
      </w:r>
      <w:r w:rsidR="00A87883" w:rsidRPr="005C558F">
        <w:rPr>
          <w:bCs/>
          <w:i/>
          <w:iCs/>
        </w:rPr>
        <w:t>Tipping-points</w:t>
      </w:r>
      <w:r w:rsidR="00A87883" w:rsidRPr="005C558F">
        <w:rPr>
          <w:bCs/>
        </w:rPr>
        <w:t xml:space="preserve"> and </w:t>
      </w:r>
      <w:r w:rsidR="00A87883" w:rsidRPr="005C558F">
        <w:rPr>
          <w:bCs/>
          <w:i/>
          <w:iCs/>
        </w:rPr>
        <w:t>Adaptation Pathways</w:t>
      </w:r>
      <w:r w:rsidR="00A87883" w:rsidRPr="005C558F">
        <w:rPr>
          <w:bCs/>
        </w:rPr>
        <w:t xml:space="preserve"> </w:t>
      </w:r>
      <w:r w:rsidR="00A87883" w:rsidRPr="005C558F">
        <w:rPr>
          <w:bCs/>
          <w:color w:val="000000"/>
        </w:rPr>
        <w:t>(</w:t>
      </w:r>
      <w:proofErr w:type="spellStart"/>
      <w:r w:rsidR="00A87883" w:rsidRPr="005C558F">
        <w:rPr>
          <w:bCs/>
          <w:color w:val="7F7F7F" w:themeColor="text1" w:themeTint="80"/>
        </w:rPr>
        <w:t>Restemeyer</w:t>
      </w:r>
      <w:proofErr w:type="spellEnd"/>
      <w:r w:rsidR="00A87883" w:rsidRPr="005C558F">
        <w:rPr>
          <w:bCs/>
          <w:color w:val="7F7F7F" w:themeColor="text1" w:themeTint="80"/>
        </w:rPr>
        <w:t xml:space="preserve"> et al. 2017, 930</w:t>
      </w:r>
      <w:r w:rsidR="00A87883" w:rsidRPr="005C558F">
        <w:rPr>
          <w:bCs/>
          <w:color w:val="000000"/>
        </w:rPr>
        <w:t>).</w:t>
      </w:r>
    </w:p>
    <w:p w14:paraId="66E7E435" w14:textId="70D8C920" w:rsidR="00A87883" w:rsidRPr="009B720F" w:rsidRDefault="00A87883" w:rsidP="00E74925">
      <w:pPr>
        <w:pStyle w:val="TEXTBODY"/>
        <w:spacing w:line="276" w:lineRule="auto"/>
        <w:ind w:left="180"/>
        <w:rPr>
          <w:bCs/>
        </w:rPr>
      </w:pPr>
    </w:p>
    <w:p w14:paraId="0E3833AD" w14:textId="1D233689" w:rsidR="005C558F" w:rsidRPr="005C558F" w:rsidRDefault="00995F3E" w:rsidP="00E74925">
      <w:pPr>
        <w:pStyle w:val="Ttulo2"/>
        <w:spacing w:line="276" w:lineRule="auto"/>
        <w:rPr>
          <w:bCs/>
          <w:i/>
          <w:iCs/>
        </w:rPr>
      </w:pPr>
      <w:bookmarkStart w:id="106" w:name="_Toc44341285"/>
      <w:bookmarkEnd w:id="103"/>
      <w:bookmarkEnd w:id="104"/>
      <w:r w:rsidRPr="005C558F">
        <w:rPr>
          <w:bCs/>
        </w:rPr>
        <w:t>4</w:t>
      </w:r>
      <w:r w:rsidR="00354CF8" w:rsidRPr="005C558F">
        <w:rPr>
          <w:bCs/>
        </w:rPr>
        <w:t xml:space="preserve">.1. </w:t>
      </w:r>
      <w:bookmarkEnd w:id="106"/>
      <w:r w:rsidR="005F18F1" w:rsidRPr="005C558F">
        <w:rPr>
          <w:bCs/>
        </w:rPr>
        <w:t xml:space="preserve">Deriving the key-elements of the DP’s ‘ADM’ required to develop </w:t>
      </w:r>
      <w:r w:rsidR="005F18F1" w:rsidRPr="005C558F">
        <w:rPr>
          <w:bCs/>
          <w:i/>
          <w:iCs/>
        </w:rPr>
        <w:t>flexible adaptive strategies</w:t>
      </w:r>
    </w:p>
    <w:p w14:paraId="77DF2310" w14:textId="138BF3F6" w:rsidR="001B608C" w:rsidRPr="005C558F" w:rsidRDefault="00354CF8" w:rsidP="00E74925">
      <w:pPr>
        <w:pStyle w:val="Ttulo4"/>
        <w:spacing w:line="276" w:lineRule="auto"/>
        <w:rPr>
          <w:bCs/>
        </w:rPr>
      </w:pPr>
      <w:r w:rsidRPr="005C558F">
        <w:rPr>
          <w:bCs/>
        </w:rPr>
        <w:t>Key-element 1</w:t>
      </w:r>
    </w:p>
    <w:p w14:paraId="0E2FE5F8" w14:textId="0A609883" w:rsidR="004C4A4E" w:rsidRPr="005C558F" w:rsidRDefault="00381D8D" w:rsidP="00E74925">
      <w:pPr>
        <w:pStyle w:val="TEXTBODY"/>
        <w:spacing w:line="276" w:lineRule="auto"/>
        <w:rPr>
          <w:bCs/>
        </w:rPr>
      </w:pPr>
      <w:r w:rsidRPr="005C558F">
        <w:rPr>
          <w:bCs/>
        </w:rPr>
        <w:t>The</w:t>
      </w:r>
      <w:r w:rsidR="004C4A4E" w:rsidRPr="005C558F">
        <w:rPr>
          <w:bCs/>
        </w:rPr>
        <w:t xml:space="preserve"> ADM approach proposes the use of a spectrum of plausible future scenarios (</w:t>
      </w:r>
      <w:proofErr w:type="spellStart"/>
      <w:r w:rsidR="004C4A4E" w:rsidRPr="005C558F">
        <w:rPr>
          <w:bCs/>
        </w:rPr>
        <w:t>Gersonius</w:t>
      </w:r>
      <w:proofErr w:type="spellEnd"/>
      <w:r w:rsidR="004C4A4E" w:rsidRPr="005C558F">
        <w:rPr>
          <w:bCs/>
        </w:rPr>
        <w:t xml:space="preserve"> et al. 2016, p.4). According to ADM, it</w:t>
      </w:r>
      <w:r w:rsidR="004C4A4E" w:rsidRPr="005C558F">
        <w:rPr>
          <w:bCs/>
          <w:szCs w:val="22"/>
        </w:rPr>
        <w:t xml:space="preserve"> is necessary to </w:t>
      </w:r>
      <w:r w:rsidR="004C4A4E" w:rsidRPr="009B720F">
        <w:rPr>
          <w:bCs/>
          <w:szCs w:val="22"/>
        </w:rPr>
        <w:t>work with</w:t>
      </w:r>
      <w:r w:rsidR="004C4A4E" w:rsidRPr="009B720F">
        <w:rPr>
          <w:bCs/>
          <w:iCs/>
        </w:rPr>
        <w:t xml:space="preserve"> various </w:t>
      </w:r>
      <w:r w:rsidR="004C4A4E" w:rsidRPr="009B720F">
        <w:rPr>
          <w:bCs/>
          <w:i/>
        </w:rPr>
        <w:t>plausible futures</w:t>
      </w:r>
      <w:r w:rsidR="004C4A4E" w:rsidRPr="009B720F">
        <w:rPr>
          <w:bCs/>
          <w:iCs/>
        </w:rPr>
        <w:t xml:space="preserve"> (not predictions</w:t>
      </w:r>
      <w:r w:rsidR="004C4A4E" w:rsidRPr="009B720F">
        <w:rPr>
          <w:bCs/>
        </w:rPr>
        <w:t>) to find</w:t>
      </w:r>
      <w:r w:rsidR="004C4A4E" w:rsidRPr="005C558F">
        <w:rPr>
          <w:bCs/>
        </w:rPr>
        <w:t xml:space="preserve"> out </w:t>
      </w:r>
      <w:r w:rsidR="004C4A4E" w:rsidRPr="009B720F">
        <w:rPr>
          <w:bCs/>
        </w:rPr>
        <w:t xml:space="preserve">and design </w:t>
      </w:r>
      <w:r w:rsidR="004C4A4E" w:rsidRPr="009B720F">
        <w:rPr>
          <w:bCs/>
          <w:i/>
          <w:iCs/>
          <w:szCs w:val="22"/>
        </w:rPr>
        <w:t>robust flexible</w:t>
      </w:r>
      <w:r w:rsidR="004C4A4E" w:rsidRPr="009B720F">
        <w:rPr>
          <w:bCs/>
          <w:szCs w:val="22"/>
        </w:rPr>
        <w:t xml:space="preserve"> </w:t>
      </w:r>
      <w:r w:rsidR="004C4A4E" w:rsidRPr="009B720F">
        <w:rPr>
          <w:bCs/>
          <w:i/>
          <w:iCs/>
          <w:szCs w:val="22"/>
        </w:rPr>
        <w:t>strategies</w:t>
      </w:r>
      <w:r w:rsidR="004C4A4E" w:rsidRPr="009B720F">
        <w:rPr>
          <w:bCs/>
          <w:szCs w:val="22"/>
        </w:rPr>
        <w:t xml:space="preserve"> (</w:t>
      </w:r>
      <w:r w:rsidR="001E1C4D" w:rsidRPr="009B720F">
        <w:rPr>
          <w:bCs/>
          <w:szCs w:val="22"/>
        </w:rPr>
        <w:t>i.e.</w:t>
      </w:r>
      <w:r w:rsidR="004C4A4E" w:rsidRPr="009B720F">
        <w:rPr>
          <w:bCs/>
        </w:rPr>
        <w:t xml:space="preserve"> consider</w:t>
      </w:r>
      <w:r w:rsidR="001E1C4D" w:rsidRPr="009B720F">
        <w:rPr>
          <w:bCs/>
        </w:rPr>
        <w:t xml:space="preserve"> </w:t>
      </w:r>
      <w:r w:rsidR="004C4A4E" w:rsidRPr="009B720F">
        <w:rPr>
          <w:bCs/>
        </w:rPr>
        <w:t>various scenarios when exploring measures and developing strategies) (</w:t>
      </w:r>
      <w:r w:rsidR="004C4A4E" w:rsidRPr="009B720F">
        <w:rPr>
          <w:bCs/>
          <w:color w:val="7F7F7F" w:themeColor="text1" w:themeTint="80"/>
        </w:rPr>
        <w:t>Marchand and Ludwig 2014, p.12</w:t>
      </w:r>
      <w:r w:rsidR="004C4A4E" w:rsidRPr="009B720F">
        <w:rPr>
          <w:bCs/>
        </w:rPr>
        <w:t xml:space="preserve">). </w:t>
      </w:r>
      <w:r w:rsidR="004C4A4E" w:rsidRPr="005C558F">
        <w:rPr>
          <w:bCs/>
        </w:rPr>
        <w:t xml:space="preserve">The </w:t>
      </w:r>
      <w:r w:rsidR="004C4A4E" w:rsidRPr="005C558F">
        <w:rPr>
          <w:bCs/>
          <w:i/>
          <w:iCs/>
        </w:rPr>
        <w:t>ADM Implementation Guide</w:t>
      </w:r>
      <w:r w:rsidR="004C4A4E" w:rsidRPr="005C558F">
        <w:rPr>
          <w:bCs/>
        </w:rPr>
        <w:t xml:space="preserve"> (</w:t>
      </w:r>
      <w:r w:rsidR="004C4A4E" w:rsidRPr="005C558F">
        <w:rPr>
          <w:bCs/>
          <w:color w:val="7F7F7F" w:themeColor="text1" w:themeTint="80"/>
        </w:rPr>
        <w:t>Rhee 2012</w:t>
      </w:r>
      <w:r w:rsidR="004C4A4E" w:rsidRPr="005C558F">
        <w:rPr>
          <w:bCs/>
        </w:rPr>
        <w:t>)</w:t>
      </w:r>
      <w:r w:rsidR="001E1C4D" w:rsidRPr="005C558F">
        <w:rPr>
          <w:bCs/>
        </w:rPr>
        <w:t xml:space="preserve"> itself </w:t>
      </w:r>
      <w:r w:rsidR="004C4A4E" w:rsidRPr="005C558F">
        <w:rPr>
          <w:bCs/>
        </w:rPr>
        <w:t>suggest</w:t>
      </w:r>
      <w:r w:rsidR="001E1C4D" w:rsidRPr="005C558F">
        <w:rPr>
          <w:bCs/>
        </w:rPr>
        <w:t>ed</w:t>
      </w:r>
      <w:r w:rsidR="004C4A4E" w:rsidRPr="005C558F">
        <w:rPr>
          <w:bCs/>
          <w:i/>
          <w:iCs/>
        </w:rPr>
        <w:t xml:space="preserve"> working with</w:t>
      </w:r>
      <w:r w:rsidR="001E1C4D" w:rsidRPr="005C558F">
        <w:rPr>
          <w:bCs/>
        </w:rPr>
        <w:t xml:space="preserve"> </w:t>
      </w:r>
      <w:r w:rsidR="004C4A4E" w:rsidRPr="005C558F">
        <w:rPr>
          <w:bCs/>
          <w:i/>
          <w:iCs/>
        </w:rPr>
        <w:t>scenarios</w:t>
      </w:r>
      <w:r w:rsidR="004C4A4E" w:rsidRPr="005C558F">
        <w:rPr>
          <w:bCs/>
        </w:rPr>
        <w:t xml:space="preserve"> </w:t>
      </w:r>
      <w:r w:rsidR="004C4A4E" w:rsidRPr="005C558F">
        <w:rPr>
          <w:bCs/>
          <w:color w:val="000000"/>
        </w:rPr>
        <w:t>(</w:t>
      </w:r>
      <w:proofErr w:type="spellStart"/>
      <w:r w:rsidR="004C4A4E" w:rsidRPr="005C558F">
        <w:rPr>
          <w:bCs/>
          <w:color w:val="7F7F7F" w:themeColor="text1" w:themeTint="80"/>
        </w:rPr>
        <w:t>Restemeyer</w:t>
      </w:r>
      <w:proofErr w:type="spellEnd"/>
      <w:r w:rsidR="004C4A4E" w:rsidRPr="005C558F">
        <w:rPr>
          <w:bCs/>
          <w:color w:val="7F7F7F" w:themeColor="text1" w:themeTint="80"/>
        </w:rPr>
        <w:t xml:space="preserve"> et al. 2017, 930</w:t>
      </w:r>
      <w:r w:rsidR="004C4A4E" w:rsidRPr="005C558F">
        <w:rPr>
          <w:bCs/>
          <w:color w:val="000000"/>
        </w:rPr>
        <w:t>).</w:t>
      </w:r>
    </w:p>
    <w:p w14:paraId="632A1341" w14:textId="764F3D95" w:rsidR="001B608C" w:rsidRPr="009B720F" w:rsidRDefault="000F7430" w:rsidP="00E74925">
      <w:pPr>
        <w:pStyle w:val="TEXTBODY"/>
        <w:spacing w:line="276" w:lineRule="auto"/>
        <w:rPr>
          <w:bCs/>
          <w:szCs w:val="18"/>
        </w:rPr>
      </w:pPr>
      <w:r w:rsidRPr="005C558F">
        <w:rPr>
          <w:bCs/>
        </w:rPr>
        <w:t>Given the</w:t>
      </w:r>
      <w:r w:rsidR="00F3292A" w:rsidRPr="005C558F">
        <w:rPr>
          <w:bCs/>
        </w:rPr>
        <w:t xml:space="preserve"> uncertainty about the rate of CC, the DP decided to work with several possible future scenarios – denominated </w:t>
      </w:r>
      <w:r w:rsidR="00F3292A" w:rsidRPr="005C558F">
        <w:rPr>
          <w:bCs/>
          <w:i/>
          <w:iCs/>
        </w:rPr>
        <w:t>Delta Scenarios</w:t>
      </w:r>
      <w:r w:rsidR="00F3292A" w:rsidRPr="005C558F">
        <w:rPr>
          <w:bCs/>
        </w:rPr>
        <w:t xml:space="preserve"> – and draw up strategies for them (</w:t>
      </w:r>
      <w:r w:rsidR="00F3292A" w:rsidRPr="005C558F">
        <w:rPr>
          <w:bCs/>
          <w:color w:val="7F7F7F" w:themeColor="text1" w:themeTint="80"/>
        </w:rPr>
        <w:t>DP 2013, p.6</w:t>
      </w:r>
      <w:r w:rsidR="00F3292A" w:rsidRPr="005C558F">
        <w:rPr>
          <w:bCs/>
        </w:rPr>
        <w:t>). As noted in the DP</w:t>
      </w:r>
      <w:r w:rsidR="00381D8D" w:rsidRPr="005C558F">
        <w:rPr>
          <w:bCs/>
        </w:rPr>
        <w:t xml:space="preserve"> (2014</w:t>
      </w:r>
      <w:r w:rsidR="00381D8D" w:rsidRPr="009B720F">
        <w:rPr>
          <w:bCs/>
        </w:rPr>
        <w:t xml:space="preserve">), </w:t>
      </w:r>
      <w:r w:rsidR="00F3292A" w:rsidRPr="009B720F">
        <w:rPr>
          <w:bCs/>
        </w:rPr>
        <w:t>to ensure a</w:t>
      </w:r>
      <w:r w:rsidR="00F3292A" w:rsidRPr="009B720F">
        <w:rPr>
          <w:bCs/>
          <w:i/>
          <w:iCs/>
        </w:rPr>
        <w:t xml:space="preserve"> sustainable and robust FRM </w:t>
      </w:r>
      <w:r w:rsidR="00F3292A" w:rsidRPr="009B720F">
        <w:rPr>
          <w:bCs/>
        </w:rPr>
        <w:t xml:space="preserve">and cope with climatic extremes, the country should be </w:t>
      </w:r>
      <w:r w:rsidR="00F3292A" w:rsidRPr="009B720F">
        <w:rPr>
          <w:bCs/>
          <w:i/>
          <w:iCs/>
        </w:rPr>
        <w:t>prepared for various scenarios</w:t>
      </w:r>
      <w:r w:rsidR="00F3292A" w:rsidRPr="009B720F">
        <w:rPr>
          <w:bCs/>
        </w:rPr>
        <w:t xml:space="preserve"> </w:t>
      </w:r>
      <w:r w:rsidR="00F3292A" w:rsidRPr="009B720F">
        <w:rPr>
          <w:bCs/>
          <w:szCs w:val="18"/>
        </w:rPr>
        <w:t>(</w:t>
      </w:r>
      <w:r w:rsidR="00F3292A" w:rsidRPr="009B720F">
        <w:rPr>
          <w:bCs/>
          <w:color w:val="7F7F7F" w:themeColor="text1" w:themeTint="80"/>
          <w:szCs w:val="18"/>
        </w:rPr>
        <w:t>DP 2014, p.6</w:t>
      </w:r>
      <w:r w:rsidR="00F3292A" w:rsidRPr="009B720F">
        <w:rPr>
          <w:bCs/>
          <w:szCs w:val="18"/>
        </w:rPr>
        <w:t>).</w:t>
      </w:r>
      <w:r w:rsidRPr="009B720F">
        <w:rPr>
          <w:bCs/>
          <w:szCs w:val="18"/>
        </w:rPr>
        <w:t xml:space="preserve"> </w:t>
      </w:r>
    </w:p>
    <w:p w14:paraId="6C6B4662" w14:textId="4849C3EB" w:rsidR="00540E8A" w:rsidRPr="009B720F" w:rsidRDefault="00540E8A" w:rsidP="00E74925">
      <w:pPr>
        <w:pStyle w:val="TEXTBODY"/>
        <w:spacing w:line="276" w:lineRule="auto"/>
        <w:rPr>
          <w:bCs/>
          <w:szCs w:val="18"/>
        </w:rPr>
      </w:pPr>
      <w:r w:rsidRPr="005C558F">
        <w:rPr>
          <w:bCs/>
        </w:rPr>
        <w:t xml:space="preserve">To deal with uncertain future changes and conditions – and </w:t>
      </w:r>
      <w:r w:rsidRPr="005C558F">
        <w:rPr>
          <w:bCs/>
          <w:i/>
          <w:iCs/>
        </w:rPr>
        <w:t>render them manageable</w:t>
      </w:r>
      <w:r w:rsidRPr="005C558F">
        <w:rPr>
          <w:bCs/>
        </w:rPr>
        <w:t xml:space="preserve"> – the DP has worked </w:t>
      </w:r>
      <w:r w:rsidR="00F05B26" w:rsidRPr="005C558F">
        <w:rPr>
          <w:bCs/>
        </w:rPr>
        <w:t xml:space="preserve">with </w:t>
      </w:r>
      <w:r w:rsidRPr="005C558F">
        <w:rPr>
          <w:bCs/>
        </w:rPr>
        <w:t xml:space="preserve">four plausible futures, so-called </w:t>
      </w:r>
      <w:r w:rsidRPr="005C558F">
        <w:rPr>
          <w:bCs/>
          <w:i/>
          <w:iCs/>
        </w:rPr>
        <w:t>Delta Scenarios</w:t>
      </w:r>
      <w:r w:rsidR="005050E8" w:rsidRPr="005C558F">
        <w:rPr>
          <w:bCs/>
        </w:rPr>
        <w:t xml:space="preserve">: </w:t>
      </w:r>
      <w:r w:rsidRPr="005C558F">
        <w:rPr>
          <w:bCs/>
          <w:i/>
          <w:iCs/>
        </w:rPr>
        <w:t>Busy</w:t>
      </w:r>
      <w:r w:rsidRPr="005C558F">
        <w:rPr>
          <w:bCs/>
        </w:rPr>
        <w:t xml:space="preserve">, </w:t>
      </w:r>
      <w:r w:rsidRPr="005C558F">
        <w:rPr>
          <w:bCs/>
          <w:i/>
          <w:iCs/>
        </w:rPr>
        <w:t>Steam</w:t>
      </w:r>
      <w:r w:rsidRPr="005C558F">
        <w:rPr>
          <w:bCs/>
        </w:rPr>
        <w:t xml:space="preserve">, </w:t>
      </w:r>
      <w:r w:rsidRPr="005C558F">
        <w:rPr>
          <w:bCs/>
          <w:i/>
          <w:iCs/>
        </w:rPr>
        <w:t>Rest</w:t>
      </w:r>
      <w:r w:rsidRPr="005C558F">
        <w:rPr>
          <w:bCs/>
        </w:rPr>
        <w:t xml:space="preserve"> and </w:t>
      </w:r>
      <w:r w:rsidRPr="005C558F">
        <w:rPr>
          <w:bCs/>
          <w:i/>
          <w:iCs/>
        </w:rPr>
        <w:t>Warm</w:t>
      </w:r>
      <w:r w:rsidR="005050E8" w:rsidRPr="005C558F">
        <w:rPr>
          <w:bCs/>
        </w:rPr>
        <w:t xml:space="preserve"> (</w:t>
      </w:r>
      <w:r w:rsidR="005050E8" w:rsidRPr="005C558F">
        <w:rPr>
          <w:bCs/>
          <w:color w:val="7F7F7F" w:themeColor="text1" w:themeTint="80"/>
        </w:rPr>
        <w:t>DP 2014, p.135; 2013, p.6</w:t>
      </w:r>
      <w:r w:rsidR="00CA0B4D" w:rsidRPr="005C558F">
        <w:rPr>
          <w:bCs/>
          <w:color w:val="7F7F7F" w:themeColor="text1" w:themeTint="80"/>
        </w:rPr>
        <w:t>, 100</w:t>
      </w:r>
      <w:r w:rsidR="005050E8" w:rsidRPr="005C558F">
        <w:rPr>
          <w:bCs/>
          <w:color w:val="7F7F7F" w:themeColor="text1" w:themeTint="80"/>
        </w:rPr>
        <w:t>; 2012, p.35; 2011, p.14, 46</w:t>
      </w:r>
      <w:r w:rsidR="00BC4437" w:rsidRPr="005C558F">
        <w:rPr>
          <w:bCs/>
          <w:color w:val="7F7F7F" w:themeColor="text1" w:themeTint="80"/>
        </w:rPr>
        <w:t>, 48,71</w:t>
      </w:r>
      <w:r w:rsidR="005050E8" w:rsidRPr="005C558F">
        <w:rPr>
          <w:bCs/>
          <w:color w:val="7F7F7F" w:themeColor="text1" w:themeTint="80"/>
        </w:rPr>
        <w:t>; Marchand and Ludwig 2014</w:t>
      </w:r>
      <w:r w:rsidR="00BC4437" w:rsidRPr="005C558F">
        <w:rPr>
          <w:bCs/>
          <w:color w:val="7F7F7F" w:themeColor="text1" w:themeTint="80"/>
        </w:rPr>
        <w:t>, p.12</w:t>
      </w:r>
      <w:r w:rsidR="005050E8" w:rsidRPr="005C558F">
        <w:rPr>
          <w:bCs/>
          <w:color w:val="7F7F7F" w:themeColor="text1" w:themeTint="80"/>
        </w:rPr>
        <w:t xml:space="preserve">; </w:t>
      </w:r>
      <w:proofErr w:type="spellStart"/>
      <w:r w:rsidR="005C558F">
        <w:rPr>
          <w:bCs/>
          <w:color w:val="7F7F7F" w:themeColor="text1" w:themeTint="80"/>
        </w:rPr>
        <w:t>Deltares</w:t>
      </w:r>
      <w:proofErr w:type="spellEnd"/>
      <w:r w:rsidR="005C558F">
        <w:rPr>
          <w:bCs/>
          <w:color w:val="7F7F7F" w:themeColor="text1" w:themeTint="80"/>
        </w:rPr>
        <w:t xml:space="preserve"> 2018</w:t>
      </w:r>
      <w:r w:rsidR="005050E8" w:rsidRPr="005C558F">
        <w:rPr>
          <w:bCs/>
        </w:rPr>
        <w:t>).</w:t>
      </w:r>
      <w:r w:rsidR="00674B94" w:rsidRPr="005C558F">
        <w:rPr>
          <w:rStyle w:val="Refdenotaderodap"/>
          <w:bCs/>
        </w:rPr>
        <w:footnoteReference w:id="81"/>
      </w:r>
      <w:r w:rsidR="005050E8" w:rsidRPr="009B720F">
        <w:rPr>
          <w:bCs/>
        </w:rPr>
        <w:t xml:space="preserve"> </w:t>
      </w:r>
    </w:p>
    <w:p w14:paraId="3189DE90" w14:textId="31D6FBB7" w:rsidR="00F3292A" w:rsidRPr="009B720F" w:rsidRDefault="000F7430" w:rsidP="00E74925">
      <w:pPr>
        <w:pStyle w:val="TEXTBODY"/>
        <w:spacing w:line="276" w:lineRule="auto"/>
        <w:ind w:left="709"/>
        <w:rPr>
          <w:bCs/>
        </w:rPr>
      </w:pPr>
      <w:r w:rsidRPr="001522F8">
        <w:rPr>
          <w:bCs/>
        </w:rPr>
        <w:t xml:space="preserve">As seen, in </w:t>
      </w:r>
      <w:r w:rsidRPr="009B720F">
        <w:rPr>
          <w:bCs/>
        </w:rPr>
        <w:t>the DP, the ADM process started with the analysis of current and future problems (</w:t>
      </w:r>
      <w:proofErr w:type="spellStart"/>
      <w:r w:rsidRPr="009B720F">
        <w:rPr>
          <w:bCs/>
          <w:color w:val="7F7F7F" w:themeColor="text1" w:themeTint="80"/>
        </w:rPr>
        <w:t>Gersonius</w:t>
      </w:r>
      <w:proofErr w:type="spellEnd"/>
      <w:r w:rsidRPr="009B720F">
        <w:rPr>
          <w:bCs/>
          <w:color w:val="7F7F7F" w:themeColor="text1" w:themeTint="80"/>
        </w:rPr>
        <w:t xml:space="preserve"> et al. 2016, p.205</w:t>
      </w:r>
      <w:r w:rsidRPr="009B720F">
        <w:rPr>
          <w:bCs/>
        </w:rPr>
        <w:t xml:space="preserve">); the DP analysed which developments or changes might influence the current and future tasks on FRM and FS </w:t>
      </w:r>
      <w:r w:rsidRPr="009B720F">
        <w:rPr>
          <w:rFonts w:eastAsia="RijksoverheidSansText-Regular"/>
          <w:bCs/>
          <w:color w:val="000000"/>
        </w:rPr>
        <w:t>(</w:t>
      </w:r>
      <w:r w:rsidRPr="009B720F">
        <w:rPr>
          <w:rFonts w:eastAsia="RijksoverheidSansText-Regular"/>
          <w:bCs/>
          <w:color w:val="7F7F7F" w:themeColor="text1" w:themeTint="80"/>
        </w:rPr>
        <w:t>DP 2012, p.88</w:t>
      </w:r>
      <w:r w:rsidRPr="009B720F">
        <w:rPr>
          <w:rFonts w:eastAsia="RijksoverheidSansText-Regular"/>
          <w:bCs/>
        </w:rPr>
        <w:t xml:space="preserve">), and </w:t>
      </w:r>
      <w:r w:rsidRPr="009B720F">
        <w:rPr>
          <w:bCs/>
        </w:rPr>
        <w:t xml:space="preserve">the analysis of </w:t>
      </w:r>
      <w:r w:rsidRPr="009B720F">
        <w:rPr>
          <w:bCs/>
          <w:i/>
        </w:rPr>
        <w:t>what might happen in the future</w:t>
      </w:r>
      <w:r w:rsidRPr="009B720F">
        <w:rPr>
          <w:bCs/>
        </w:rPr>
        <w:t xml:space="preserve"> required the generation of the four </w:t>
      </w:r>
      <w:r w:rsidRPr="009B720F">
        <w:rPr>
          <w:bCs/>
          <w:i/>
          <w:iCs/>
        </w:rPr>
        <w:t>Delta Scenarios</w:t>
      </w:r>
      <w:r w:rsidRPr="009B720F">
        <w:rPr>
          <w:bCs/>
        </w:rPr>
        <w:t xml:space="preserve"> (</w:t>
      </w:r>
      <w:r w:rsidRPr="009B720F">
        <w:rPr>
          <w:bCs/>
          <w:color w:val="7F7F7F" w:themeColor="text1" w:themeTint="80"/>
        </w:rPr>
        <w:t xml:space="preserve">Klijn et al. </w:t>
      </w:r>
      <w:r w:rsidRPr="005C558F">
        <w:rPr>
          <w:bCs/>
          <w:color w:val="7F7F7F" w:themeColor="text1" w:themeTint="80"/>
        </w:rPr>
        <w:t>2016</w:t>
      </w:r>
      <w:r w:rsidRPr="005C558F">
        <w:rPr>
          <w:bCs/>
        </w:rPr>
        <w:t>).</w:t>
      </w:r>
      <w:r w:rsidR="00C2243E" w:rsidRPr="005C558F">
        <w:rPr>
          <w:rStyle w:val="Refdenotaderodap"/>
          <w:bCs/>
        </w:rPr>
        <w:footnoteReference w:id="82"/>
      </w:r>
      <w:r w:rsidR="005050E8" w:rsidRPr="009B720F">
        <w:rPr>
          <w:bCs/>
        </w:rPr>
        <w:t xml:space="preserve"> </w:t>
      </w:r>
    </w:p>
    <w:p w14:paraId="63554F40" w14:textId="07D7545F" w:rsidR="004C4A4E" w:rsidRPr="009B720F" w:rsidRDefault="00F3292A" w:rsidP="00E74925">
      <w:pPr>
        <w:pStyle w:val="TEXTBODY"/>
        <w:spacing w:line="276" w:lineRule="auto"/>
        <w:rPr>
          <w:bCs/>
        </w:rPr>
      </w:pPr>
      <w:r w:rsidRPr="005C558F">
        <w:rPr>
          <w:bCs/>
        </w:rPr>
        <w:lastRenderedPageBreak/>
        <w:t xml:space="preserve">The DP </w:t>
      </w:r>
      <w:r w:rsidR="000F7430" w:rsidRPr="005C558F">
        <w:rPr>
          <w:bCs/>
        </w:rPr>
        <w:t>Team</w:t>
      </w:r>
      <w:r w:rsidR="005050E8" w:rsidRPr="005C558F">
        <w:rPr>
          <w:bCs/>
        </w:rPr>
        <w:t xml:space="preserve"> considered</w:t>
      </w:r>
      <w:r w:rsidR="009D6E2A" w:rsidRPr="005C558F">
        <w:rPr>
          <w:rStyle w:val="Refdenotaderodap"/>
          <w:bCs/>
        </w:rPr>
        <w:footnoteReference w:id="83"/>
      </w:r>
      <w:r w:rsidRPr="005C558F">
        <w:rPr>
          <w:bCs/>
        </w:rPr>
        <w:t xml:space="preserve"> and worked with a range of four</w:t>
      </w:r>
      <w:r w:rsidR="00381D8D" w:rsidRPr="005C558F">
        <w:rPr>
          <w:bCs/>
        </w:rPr>
        <w:t xml:space="preserve"> </w:t>
      </w:r>
      <w:r w:rsidR="00381D8D" w:rsidRPr="005C558F">
        <w:rPr>
          <w:bCs/>
          <w:i/>
          <w:iCs/>
        </w:rPr>
        <w:t xml:space="preserve">plausible futures – </w:t>
      </w:r>
      <w:r w:rsidR="00381D8D" w:rsidRPr="005C558F">
        <w:rPr>
          <w:bCs/>
        </w:rPr>
        <w:t>the so-called four</w:t>
      </w:r>
      <w:r w:rsidRPr="005C558F">
        <w:rPr>
          <w:bCs/>
        </w:rPr>
        <w:t xml:space="preserve"> </w:t>
      </w:r>
      <w:r w:rsidRPr="005C558F">
        <w:rPr>
          <w:bCs/>
          <w:i/>
          <w:iCs/>
        </w:rPr>
        <w:t>Delta Scenarios</w:t>
      </w:r>
      <w:r w:rsidRPr="005C558F">
        <w:rPr>
          <w:bCs/>
        </w:rPr>
        <w:t xml:space="preserve"> (</w:t>
      </w:r>
      <w:r w:rsidR="005050E8" w:rsidRPr="005C558F">
        <w:rPr>
          <w:bCs/>
          <w:i/>
          <w:iCs/>
        </w:rPr>
        <w:t>Busy</w:t>
      </w:r>
      <w:r w:rsidR="005050E8" w:rsidRPr="005C558F">
        <w:rPr>
          <w:bCs/>
        </w:rPr>
        <w:t xml:space="preserve">, </w:t>
      </w:r>
      <w:r w:rsidR="005050E8" w:rsidRPr="005C558F">
        <w:rPr>
          <w:bCs/>
          <w:i/>
          <w:iCs/>
        </w:rPr>
        <w:t>Steam</w:t>
      </w:r>
      <w:r w:rsidR="005050E8" w:rsidRPr="005C558F">
        <w:rPr>
          <w:bCs/>
        </w:rPr>
        <w:t xml:space="preserve">, </w:t>
      </w:r>
      <w:r w:rsidR="005050E8" w:rsidRPr="005C558F">
        <w:rPr>
          <w:bCs/>
          <w:i/>
          <w:iCs/>
        </w:rPr>
        <w:t>Rest</w:t>
      </w:r>
      <w:r w:rsidR="005050E8" w:rsidRPr="005C558F">
        <w:rPr>
          <w:bCs/>
        </w:rPr>
        <w:t xml:space="preserve"> and </w:t>
      </w:r>
      <w:r w:rsidR="005050E8" w:rsidRPr="005C558F">
        <w:rPr>
          <w:bCs/>
          <w:i/>
          <w:iCs/>
        </w:rPr>
        <w:t>Warm</w:t>
      </w:r>
      <w:r w:rsidRPr="005C558F">
        <w:rPr>
          <w:bCs/>
        </w:rPr>
        <w:t>) (</w:t>
      </w:r>
      <w:r w:rsidRPr="005C558F">
        <w:rPr>
          <w:rFonts w:eastAsia="RijksoverheidSansText-Regular"/>
          <w:bCs/>
          <w:color w:val="7F7F7F" w:themeColor="text1" w:themeTint="80"/>
          <w:szCs w:val="18"/>
        </w:rPr>
        <w:t xml:space="preserve">DP </w:t>
      </w:r>
      <w:r w:rsidR="009D6E2A" w:rsidRPr="005C558F">
        <w:rPr>
          <w:bCs/>
          <w:color w:val="7F7F7F" w:themeColor="text1" w:themeTint="80"/>
        </w:rPr>
        <w:t xml:space="preserve">2012 p.35; </w:t>
      </w:r>
      <w:r w:rsidRPr="005C558F">
        <w:rPr>
          <w:rFonts w:eastAsia="RijksoverheidSansText-Regular"/>
          <w:bCs/>
          <w:color w:val="7F7F7F" w:themeColor="text1" w:themeTint="80"/>
          <w:szCs w:val="18"/>
        </w:rPr>
        <w:t>2011, p.</w:t>
      </w:r>
      <w:r w:rsidR="00BC4437" w:rsidRPr="005C558F">
        <w:rPr>
          <w:rFonts w:eastAsia="RijksoverheidSansText-Regular"/>
          <w:bCs/>
          <w:color w:val="7F7F7F" w:themeColor="text1" w:themeTint="80"/>
          <w:szCs w:val="18"/>
        </w:rPr>
        <w:t xml:space="preserve">14, 46, </w:t>
      </w:r>
      <w:r w:rsidRPr="005C558F">
        <w:rPr>
          <w:rFonts w:eastAsia="RijksoverheidSansText-Regular"/>
          <w:bCs/>
          <w:color w:val="7F7F7F" w:themeColor="text1" w:themeTint="80"/>
          <w:szCs w:val="18"/>
        </w:rPr>
        <w:t xml:space="preserve">48, 71; </w:t>
      </w:r>
      <w:r w:rsidRPr="005C558F">
        <w:rPr>
          <w:bCs/>
          <w:color w:val="7F7F7F" w:themeColor="text1" w:themeTint="80"/>
        </w:rPr>
        <w:t>2013, p.6</w:t>
      </w:r>
      <w:r w:rsidR="00CA0B4D" w:rsidRPr="005C558F">
        <w:rPr>
          <w:bCs/>
          <w:color w:val="7F7F7F" w:themeColor="text1" w:themeTint="80"/>
        </w:rPr>
        <w:t>, 100; 2014, p.135</w:t>
      </w:r>
      <w:r w:rsidRPr="005C558F">
        <w:rPr>
          <w:bCs/>
          <w:color w:val="7F7F7F" w:themeColor="text1" w:themeTint="80"/>
        </w:rPr>
        <w:t>; Marchand and Ludwig 2014, p.12</w:t>
      </w:r>
      <w:r w:rsidR="00BC4437" w:rsidRPr="005C558F">
        <w:rPr>
          <w:bCs/>
          <w:color w:val="7F7F7F" w:themeColor="text1" w:themeTint="80"/>
        </w:rPr>
        <w:t xml:space="preserve">; </w:t>
      </w:r>
      <w:proofErr w:type="spellStart"/>
      <w:r w:rsidR="005C558F">
        <w:rPr>
          <w:bCs/>
          <w:color w:val="7F7F7F" w:themeColor="text1" w:themeTint="80"/>
        </w:rPr>
        <w:t>Deltares</w:t>
      </w:r>
      <w:proofErr w:type="spellEnd"/>
      <w:r w:rsidR="005C558F">
        <w:rPr>
          <w:bCs/>
          <w:color w:val="7F7F7F" w:themeColor="text1" w:themeTint="80"/>
        </w:rPr>
        <w:t xml:space="preserve"> 2018</w:t>
      </w:r>
      <w:r w:rsidRPr="005C558F">
        <w:rPr>
          <w:bCs/>
        </w:rPr>
        <w:t>), and used them</w:t>
      </w:r>
      <w:r w:rsidR="002767A5" w:rsidRPr="005C558F">
        <w:rPr>
          <w:bCs/>
        </w:rPr>
        <w:t xml:space="preserve">, </w:t>
      </w:r>
      <w:r w:rsidRPr="005C558F">
        <w:rPr>
          <w:bCs/>
        </w:rPr>
        <w:t>namely</w:t>
      </w:r>
      <w:r w:rsidR="002767A5" w:rsidRPr="005C558F">
        <w:rPr>
          <w:bCs/>
        </w:rPr>
        <w:t>,</w:t>
      </w:r>
      <w:r w:rsidRPr="005C558F">
        <w:rPr>
          <w:bCs/>
        </w:rPr>
        <w:t xml:space="preserve"> to assess measures and strategies (</w:t>
      </w:r>
      <w:proofErr w:type="spellStart"/>
      <w:r w:rsidRPr="005C558F">
        <w:rPr>
          <w:bCs/>
          <w:color w:val="7F7F7F" w:themeColor="text1" w:themeTint="80"/>
        </w:rPr>
        <w:t>Jeuken</w:t>
      </w:r>
      <w:proofErr w:type="spellEnd"/>
      <w:r w:rsidRPr="005C558F">
        <w:rPr>
          <w:bCs/>
          <w:color w:val="7F7F7F" w:themeColor="text1" w:themeTint="80"/>
        </w:rPr>
        <w:t xml:space="preserve"> et al. 2014, p.1, 3, 10, 14, 23</w:t>
      </w:r>
      <w:r w:rsidRPr="005C558F">
        <w:rPr>
          <w:bCs/>
        </w:rPr>
        <w:t>).</w:t>
      </w:r>
      <w:r w:rsidRPr="005C558F">
        <w:rPr>
          <w:bCs/>
          <w:color w:val="C00000"/>
        </w:rPr>
        <w:t xml:space="preserve"> </w:t>
      </w:r>
      <w:r w:rsidR="00381D8D" w:rsidRPr="005C558F">
        <w:rPr>
          <w:bCs/>
        </w:rPr>
        <w:t xml:space="preserve">All Subprogrammes worked with the same four </w:t>
      </w:r>
      <w:r w:rsidR="00381D8D" w:rsidRPr="005C558F">
        <w:rPr>
          <w:bCs/>
          <w:i/>
          <w:iCs/>
        </w:rPr>
        <w:t>Delta Scenarios</w:t>
      </w:r>
      <w:r w:rsidR="00381D8D" w:rsidRPr="005C558F">
        <w:rPr>
          <w:bCs/>
        </w:rPr>
        <w:t xml:space="preserve"> (</w:t>
      </w:r>
      <w:r w:rsidR="00381D8D" w:rsidRPr="005C558F">
        <w:rPr>
          <w:rFonts w:eastAsia="RijksoverheidSansText-Regular"/>
          <w:bCs/>
          <w:color w:val="7F7F7F" w:themeColor="text1" w:themeTint="80"/>
          <w:szCs w:val="18"/>
        </w:rPr>
        <w:t xml:space="preserve">DP </w:t>
      </w:r>
      <w:r w:rsidR="00273DF0" w:rsidRPr="005C558F">
        <w:rPr>
          <w:bCs/>
          <w:color w:val="7F7F7F" w:themeColor="text1" w:themeTint="80"/>
        </w:rPr>
        <w:t>2012</w:t>
      </w:r>
      <w:r w:rsidR="00BC4437" w:rsidRPr="005C558F">
        <w:rPr>
          <w:bCs/>
          <w:color w:val="7F7F7F" w:themeColor="text1" w:themeTint="80"/>
        </w:rPr>
        <w:t>,</w:t>
      </w:r>
      <w:r w:rsidR="00273DF0" w:rsidRPr="005C558F">
        <w:rPr>
          <w:bCs/>
          <w:color w:val="7F7F7F" w:themeColor="text1" w:themeTint="80"/>
        </w:rPr>
        <w:t xml:space="preserve"> p.35; </w:t>
      </w:r>
      <w:r w:rsidR="00381D8D" w:rsidRPr="005C558F">
        <w:rPr>
          <w:rFonts w:eastAsia="RijksoverheidSansText-Regular"/>
          <w:bCs/>
          <w:color w:val="7F7F7F" w:themeColor="text1" w:themeTint="80"/>
          <w:szCs w:val="18"/>
        </w:rPr>
        <w:t xml:space="preserve">2011, p.48, 71; </w:t>
      </w:r>
      <w:r w:rsidR="00381D8D" w:rsidRPr="005C558F">
        <w:rPr>
          <w:bCs/>
          <w:color w:val="7F7F7F" w:themeColor="text1" w:themeTint="80"/>
        </w:rPr>
        <w:t>2013, p.6; Marchand and</w:t>
      </w:r>
      <w:r w:rsidR="00381D8D" w:rsidRPr="009B720F">
        <w:rPr>
          <w:bCs/>
          <w:color w:val="7F7F7F" w:themeColor="text1" w:themeTint="80"/>
        </w:rPr>
        <w:t xml:space="preserve"> Ludwig 2014, p.12</w:t>
      </w:r>
      <w:r w:rsidR="00623FEC" w:rsidRPr="009B720F">
        <w:rPr>
          <w:bCs/>
          <w:color w:val="7F7F7F" w:themeColor="text1" w:themeTint="80"/>
        </w:rPr>
        <w:t>; Werners et al. 2016</w:t>
      </w:r>
      <w:r w:rsidR="00381D8D" w:rsidRPr="009B720F">
        <w:rPr>
          <w:bCs/>
        </w:rPr>
        <w:t>).</w:t>
      </w:r>
      <w:r w:rsidR="00F93780" w:rsidRPr="009B720F">
        <w:rPr>
          <w:bCs/>
        </w:rPr>
        <w:t xml:space="preserve"> </w:t>
      </w:r>
    </w:p>
    <w:p w14:paraId="6EA7D342" w14:textId="021161B7" w:rsidR="00354CF8" w:rsidRPr="005C558F" w:rsidRDefault="00381D8D" w:rsidP="00E74925">
      <w:pPr>
        <w:pStyle w:val="TEXTBODY"/>
        <w:spacing w:line="276" w:lineRule="auto"/>
        <w:rPr>
          <w:bCs/>
        </w:rPr>
      </w:pPr>
      <w:r w:rsidRPr="005C558F">
        <w:rPr>
          <w:bCs/>
        </w:rPr>
        <w:t xml:space="preserve">The </w:t>
      </w:r>
      <w:r w:rsidRPr="005C558F">
        <w:rPr>
          <w:bCs/>
          <w:i/>
          <w:iCs/>
        </w:rPr>
        <w:t>Delta Scenarios</w:t>
      </w:r>
      <w:r w:rsidRPr="005C558F">
        <w:rPr>
          <w:bCs/>
        </w:rPr>
        <w:t xml:space="preserve"> </w:t>
      </w:r>
      <w:r w:rsidR="00354CF8" w:rsidRPr="005C558F">
        <w:rPr>
          <w:bCs/>
        </w:rPr>
        <w:t>address uncertainties about climate change (</w:t>
      </w:r>
      <w:r w:rsidRPr="005C558F">
        <w:rPr>
          <w:bCs/>
        </w:rPr>
        <w:t xml:space="preserve">CC) </w:t>
      </w:r>
      <w:r w:rsidR="00354CF8" w:rsidRPr="005C558F">
        <w:rPr>
          <w:bCs/>
        </w:rPr>
        <w:t>and its effects</w:t>
      </w:r>
      <w:r w:rsidRPr="005C558F">
        <w:rPr>
          <w:bCs/>
        </w:rPr>
        <w:t>,</w:t>
      </w:r>
      <w:r w:rsidR="00354CF8" w:rsidRPr="005C558F">
        <w:rPr>
          <w:bCs/>
        </w:rPr>
        <w:t xml:space="preserve"> and socioeconomic development (</w:t>
      </w:r>
      <w:r w:rsidR="00354CF8" w:rsidRPr="005C558F">
        <w:rPr>
          <w:bCs/>
          <w:color w:val="7F7F7F" w:themeColor="text1" w:themeTint="80"/>
        </w:rPr>
        <w:t>Bloemen et al. 2018</w:t>
      </w:r>
      <w:r w:rsidR="00354CF8" w:rsidRPr="005C558F">
        <w:rPr>
          <w:bCs/>
        </w:rPr>
        <w:t>)</w:t>
      </w:r>
      <w:r w:rsidR="002767A5" w:rsidRPr="005C558F">
        <w:rPr>
          <w:bCs/>
        </w:rPr>
        <w:t xml:space="preserve">. </w:t>
      </w:r>
      <w:r w:rsidR="007E7117" w:rsidRPr="005C558F">
        <w:rPr>
          <w:bCs/>
        </w:rPr>
        <w:t xml:space="preserve">The </w:t>
      </w:r>
      <w:r w:rsidR="007E7117" w:rsidRPr="005C558F">
        <w:rPr>
          <w:bCs/>
          <w:i/>
          <w:iCs/>
        </w:rPr>
        <w:t>Delta Scenarios</w:t>
      </w:r>
      <w:r w:rsidR="007E7117" w:rsidRPr="005C558F">
        <w:rPr>
          <w:bCs/>
        </w:rPr>
        <w:t xml:space="preserve"> have 2050 and 2100 as time-horizons / reference-years (not fixed endpoints) where CC and socioeconomic developments vary (</w:t>
      </w:r>
      <w:r w:rsidR="007E7117" w:rsidRPr="005C558F">
        <w:rPr>
          <w:bCs/>
          <w:color w:val="7F7F7F" w:themeColor="text1" w:themeTint="80"/>
        </w:rPr>
        <w:t xml:space="preserve">DP 2013, p.100; </w:t>
      </w:r>
      <w:r w:rsidR="007E7117" w:rsidRPr="005C558F">
        <w:rPr>
          <w:rFonts w:eastAsia="RijksoverheidSansText-Regular"/>
          <w:bCs/>
          <w:color w:val="7F7F7F" w:themeColor="text1" w:themeTint="80"/>
          <w:szCs w:val="18"/>
        </w:rPr>
        <w:t>2011, p.48, 70</w:t>
      </w:r>
      <w:r w:rsidR="007E7117" w:rsidRPr="005C558F">
        <w:rPr>
          <w:bCs/>
        </w:rPr>
        <w:t xml:space="preserve">). </w:t>
      </w:r>
      <w:r w:rsidR="002767A5" w:rsidRPr="005C558F">
        <w:rPr>
          <w:bCs/>
        </w:rPr>
        <w:t xml:space="preserve">The four </w:t>
      </w:r>
      <w:r w:rsidR="002767A5" w:rsidRPr="005C558F">
        <w:rPr>
          <w:bCs/>
          <w:i/>
          <w:iCs/>
        </w:rPr>
        <w:t>Delta Scenarios</w:t>
      </w:r>
      <w:r w:rsidR="002767A5" w:rsidRPr="005C558F">
        <w:rPr>
          <w:bCs/>
        </w:rPr>
        <w:t xml:space="preserve"> </w:t>
      </w:r>
      <w:r w:rsidR="00273DF0" w:rsidRPr="005C558F">
        <w:rPr>
          <w:bCs/>
        </w:rPr>
        <w:t>vary</w:t>
      </w:r>
      <w:r w:rsidR="007E7117" w:rsidRPr="005C558F">
        <w:rPr>
          <w:bCs/>
        </w:rPr>
        <w:t xml:space="preserve"> (differ)</w:t>
      </w:r>
      <w:r w:rsidR="00273DF0" w:rsidRPr="005C558F">
        <w:rPr>
          <w:bCs/>
        </w:rPr>
        <w:t xml:space="preserve"> in terms of rapid or moderate</w:t>
      </w:r>
      <w:r w:rsidR="002767A5" w:rsidRPr="005C558F">
        <w:rPr>
          <w:bCs/>
        </w:rPr>
        <w:t xml:space="preserve"> CC and</w:t>
      </w:r>
      <w:r w:rsidR="007E7117" w:rsidRPr="005C558F">
        <w:rPr>
          <w:bCs/>
        </w:rPr>
        <w:t xml:space="preserve"> </w:t>
      </w:r>
      <w:r w:rsidR="00273DF0" w:rsidRPr="005C558F">
        <w:rPr>
          <w:bCs/>
        </w:rPr>
        <w:t xml:space="preserve">socio-economic growth / decline </w:t>
      </w:r>
      <w:r w:rsidR="002767A5" w:rsidRPr="005C558F">
        <w:rPr>
          <w:bCs/>
        </w:rPr>
        <w:t>(</w:t>
      </w:r>
      <w:r w:rsidR="00273DF0" w:rsidRPr="005C558F">
        <w:rPr>
          <w:rFonts w:eastAsia="RijksoverheidSansText-Regular"/>
          <w:bCs/>
          <w:color w:val="7F7F7F" w:themeColor="text1" w:themeTint="80"/>
          <w:szCs w:val="18"/>
        </w:rPr>
        <w:t xml:space="preserve">DP </w:t>
      </w:r>
      <w:r w:rsidR="00273DF0" w:rsidRPr="005C558F">
        <w:rPr>
          <w:bCs/>
          <w:color w:val="7F7F7F" w:themeColor="text1" w:themeTint="80"/>
        </w:rPr>
        <w:t>2012 p.35</w:t>
      </w:r>
      <w:r w:rsidR="007E7117" w:rsidRPr="005C558F">
        <w:rPr>
          <w:bCs/>
          <w:color w:val="7F7F7F" w:themeColor="text1" w:themeTint="80"/>
        </w:rPr>
        <w:t>; 2014, p.168</w:t>
      </w:r>
      <w:r w:rsidR="00273DF0" w:rsidRPr="005C558F">
        <w:rPr>
          <w:bCs/>
          <w:color w:val="7F7F7F" w:themeColor="text1" w:themeTint="80"/>
        </w:rPr>
        <w:t xml:space="preserve">; </w:t>
      </w:r>
      <w:proofErr w:type="spellStart"/>
      <w:r w:rsidR="002767A5" w:rsidRPr="005C558F">
        <w:rPr>
          <w:bCs/>
          <w:color w:val="7F7F7F" w:themeColor="text1" w:themeTint="80"/>
        </w:rPr>
        <w:t>Jeuken</w:t>
      </w:r>
      <w:proofErr w:type="spellEnd"/>
      <w:r w:rsidR="002767A5" w:rsidRPr="005C558F">
        <w:rPr>
          <w:bCs/>
          <w:color w:val="7F7F7F" w:themeColor="text1" w:themeTint="80"/>
        </w:rPr>
        <w:t xml:space="preserve"> et al. 2014, p.1, 3, 10, 14, 23</w:t>
      </w:r>
      <w:r w:rsidR="000A2A11" w:rsidRPr="005C558F">
        <w:rPr>
          <w:bCs/>
          <w:color w:val="7F7F7F" w:themeColor="text1" w:themeTint="80"/>
        </w:rPr>
        <w:t xml:space="preserve">; </w:t>
      </w:r>
      <w:proofErr w:type="spellStart"/>
      <w:r w:rsidR="000A2A11" w:rsidRPr="005C558F">
        <w:rPr>
          <w:bCs/>
          <w:color w:val="7F7F7F" w:themeColor="text1" w:themeTint="80"/>
        </w:rPr>
        <w:t>Gersonius</w:t>
      </w:r>
      <w:proofErr w:type="spellEnd"/>
      <w:r w:rsidR="000A2A11" w:rsidRPr="005C558F">
        <w:rPr>
          <w:bCs/>
          <w:color w:val="7F7F7F" w:themeColor="text1" w:themeTint="80"/>
        </w:rPr>
        <w:t xml:space="preserve"> et al. 2016, p.208</w:t>
      </w:r>
      <w:r w:rsidR="007E7117" w:rsidRPr="005C558F">
        <w:rPr>
          <w:bCs/>
          <w:color w:val="7F7F7F" w:themeColor="text1" w:themeTint="80"/>
        </w:rPr>
        <w:t xml:space="preserve">; Marchand and Ludwig 2014; </w:t>
      </w:r>
      <w:r w:rsidR="007E7117" w:rsidRPr="005C558F">
        <w:rPr>
          <w:rFonts w:cs="Arial"/>
          <w:bCs/>
          <w:color w:val="7F7F7F" w:themeColor="text1" w:themeTint="80"/>
        </w:rPr>
        <w:t xml:space="preserve">Haegen and </w:t>
      </w:r>
      <w:proofErr w:type="spellStart"/>
      <w:r w:rsidR="007E7117" w:rsidRPr="005C558F">
        <w:rPr>
          <w:rFonts w:cs="Arial"/>
          <w:bCs/>
          <w:color w:val="7F7F7F" w:themeColor="text1" w:themeTint="80"/>
        </w:rPr>
        <w:t>Wieriks</w:t>
      </w:r>
      <w:proofErr w:type="spellEnd"/>
      <w:r w:rsidR="007E7117" w:rsidRPr="005C558F">
        <w:rPr>
          <w:rFonts w:cs="Arial"/>
          <w:bCs/>
          <w:color w:val="7F7F7F" w:themeColor="text1" w:themeTint="80"/>
        </w:rPr>
        <w:t xml:space="preserve"> 2015; </w:t>
      </w:r>
      <w:r w:rsidR="007E7117" w:rsidRPr="005C558F">
        <w:rPr>
          <w:bCs/>
          <w:color w:val="7F7F7F" w:themeColor="text1" w:themeTint="80"/>
        </w:rPr>
        <w:t xml:space="preserve">Alphen 2015; </w:t>
      </w:r>
      <w:proofErr w:type="spellStart"/>
      <w:r w:rsidR="007E7117" w:rsidRPr="005C558F">
        <w:rPr>
          <w:bCs/>
          <w:color w:val="7F7F7F" w:themeColor="text1" w:themeTint="80"/>
        </w:rPr>
        <w:t>Restemeyer</w:t>
      </w:r>
      <w:proofErr w:type="spellEnd"/>
      <w:r w:rsidR="007E7117" w:rsidRPr="005C558F">
        <w:rPr>
          <w:bCs/>
          <w:color w:val="7F7F7F" w:themeColor="text1" w:themeTint="80"/>
        </w:rPr>
        <w:t xml:space="preserve"> et al. 2017; Bloemen et al. 2018</w:t>
      </w:r>
      <w:r w:rsidR="002767A5" w:rsidRPr="005C558F">
        <w:rPr>
          <w:bCs/>
        </w:rPr>
        <w:t>):</w:t>
      </w:r>
    </w:p>
    <w:p w14:paraId="2FC1317A" w14:textId="3CB51048" w:rsidR="000A2A11" w:rsidRPr="005C558F" w:rsidRDefault="00354CF8" w:rsidP="00E74925">
      <w:pPr>
        <w:pStyle w:val="TEXTBODY"/>
        <w:numPr>
          <w:ilvl w:val="0"/>
          <w:numId w:val="37"/>
        </w:numPr>
        <w:spacing w:after="0" w:line="276" w:lineRule="auto"/>
        <w:ind w:left="284" w:hanging="284"/>
        <w:rPr>
          <w:bCs/>
        </w:rPr>
      </w:pPr>
      <w:r w:rsidRPr="005C558F">
        <w:rPr>
          <w:bCs/>
        </w:rPr>
        <w:t xml:space="preserve">Regarding </w:t>
      </w:r>
      <w:r w:rsidR="00381D8D" w:rsidRPr="005C558F">
        <w:rPr>
          <w:bCs/>
        </w:rPr>
        <w:t>CC</w:t>
      </w:r>
      <w:r w:rsidRPr="005C558F">
        <w:rPr>
          <w:bCs/>
        </w:rPr>
        <w:t>, the DP decided to use the ‘formal’ Dutch climatic scenarios, which cover a large range of plausible futures but not high-end projections (these scenarios cover extreme flood events up to 1/10 000 years).</w:t>
      </w:r>
      <w:r w:rsidRPr="005C558F">
        <w:rPr>
          <w:rStyle w:val="Refdenotaderodap"/>
          <w:bCs/>
        </w:rPr>
        <w:footnoteReference w:id="84"/>
      </w:r>
      <w:r w:rsidRPr="005C558F">
        <w:rPr>
          <w:bCs/>
        </w:rPr>
        <w:t xml:space="preserve"> </w:t>
      </w:r>
      <w:bookmarkStart w:id="108" w:name="_Hlk41638372"/>
      <w:r w:rsidRPr="005C558F">
        <w:rPr>
          <w:bCs/>
        </w:rPr>
        <w:t xml:space="preserve">The main climatic parameters considered in the </w:t>
      </w:r>
      <w:r w:rsidRPr="005C558F">
        <w:rPr>
          <w:bCs/>
          <w:i/>
          <w:iCs/>
        </w:rPr>
        <w:t>Delta Scenarios</w:t>
      </w:r>
      <w:r w:rsidRPr="005C558F">
        <w:rPr>
          <w:bCs/>
        </w:rPr>
        <w:t xml:space="preserve"> were SLR, storm surges, and river discharges (</w:t>
      </w:r>
      <w:proofErr w:type="spellStart"/>
      <w:r w:rsidRPr="005C558F">
        <w:rPr>
          <w:bCs/>
          <w:color w:val="7F7F7F" w:themeColor="text1" w:themeTint="80"/>
        </w:rPr>
        <w:t>Jeuken</w:t>
      </w:r>
      <w:proofErr w:type="spellEnd"/>
      <w:r w:rsidRPr="005C558F">
        <w:rPr>
          <w:bCs/>
          <w:color w:val="7F7F7F" w:themeColor="text1" w:themeTint="80"/>
        </w:rPr>
        <w:t xml:space="preserve"> et al. 2014, p.10, 11</w:t>
      </w:r>
      <w:bookmarkEnd w:id="108"/>
      <w:r w:rsidR="007E7117" w:rsidRPr="005C558F">
        <w:rPr>
          <w:bCs/>
          <w:color w:val="7F7F7F" w:themeColor="text1" w:themeTint="80"/>
        </w:rPr>
        <w:t xml:space="preserve">; Alphen 2015; </w:t>
      </w:r>
      <w:r w:rsidR="007E7117" w:rsidRPr="005C558F">
        <w:rPr>
          <w:rFonts w:cs="Arial"/>
          <w:bCs/>
          <w:color w:val="7F7F7F" w:themeColor="text1" w:themeTint="80"/>
        </w:rPr>
        <w:t xml:space="preserve">Haegen and </w:t>
      </w:r>
      <w:proofErr w:type="spellStart"/>
      <w:r w:rsidR="007E7117" w:rsidRPr="005C558F">
        <w:rPr>
          <w:rFonts w:cs="Arial"/>
          <w:bCs/>
          <w:color w:val="7F7F7F" w:themeColor="text1" w:themeTint="80"/>
        </w:rPr>
        <w:t>Wieriks</w:t>
      </w:r>
      <w:proofErr w:type="spellEnd"/>
      <w:r w:rsidR="007E7117" w:rsidRPr="005C558F">
        <w:rPr>
          <w:rFonts w:cs="Arial"/>
          <w:bCs/>
          <w:color w:val="7F7F7F" w:themeColor="text1" w:themeTint="80"/>
        </w:rPr>
        <w:t xml:space="preserve"> 2015</w:t>
      </w:r>
      <w:r w:rsidRPr="005C558F">
        <w:rPr>
          <w:bCs/>
        </w:rPr>
        <w:t>).</w:t>
      </w:r>
      <w:r w:rsidR="000A2A11" w:rsidRPr="005C558F">
        <w:rPr>
          <w:bCs/>
        </w:rPr>
        <w:t xml:space="preserve"> </w:t>
      </w:r>
    </w:p>
    <w:p w14:paraId="1E644B96" w14:textId="5E7608C4" w:rsidR="00235BF5" w:rsidRPr="005C558F" w:rsidRDefault="00354CF8" w:rsidP="00E74925">
      <w:pPr>
        <w:pStyle w:val="TEXTBODY"/>
        <w:numPr>
          <w:ilvl w:val="0"/>
          <w:numId w:val="37"/>
        </w:numPr>
        <w:spacing w:after="0" w:line="276" w:lineRule="auto"/>
        <w:ind w:left="284" w:hanging="284"/>
        <w:rPr>
          <w:bCs/>
        </w:rPr>
      </w:pPr>
      <w:r w:rsidRPr="005C558F">
        <w:rPr>
          <w:bCs/>
        </w:rPr>
        <w:t>Regarding socioeconomic development, the Team generated scenarios for economic and population growth until 2100, and for land use until 2050 (</w:t>
      </w:r>
      <w:proofErr w:type="spellStart"/>
      <w:r w:rsidRPr="005C558F">
        <w:rPr>
          <w:bCs/>
          <w:color w:val="7F7F7F" w:themeColor="text1" w:themeTint="80"/>
        </w:rPr>
        <w:t>Jeuken</w:t>
      </w:r>
      <w:proofErr w:type="spellEnd"/>
      <w:r w:rsidRPr="005C558F">
        <w:rPr>
          <w:bCs/>
          <w:color w:val="7F7F7F" w:themeColor="text1" w:themeTint="80"/>
        </w:rPr>
        <w:t xml:space="preserve"> et al. 2014, p.13</w:t>
      </w:r>
      <w:r w:rsidRPr="005C558F">
        <w:rPr>
          <w:bCs/>
        </w:rPr>
        <w:t xml:space="preserve">). </w:t>
      </w:r>
      <w:r w:rsidR="000A2A11" w:rsidRPr="005C558F">
        <w:rPr>
          <w:bCs/>
        </w:rPr>
        <w:t xml:space="preserve">Moreover, maps of the expected expansion of urban, nature and agricultural areas in 2100, were also produced for each </w:t>
      </w:r>
      <w:r w:rsidR="000A2A11" w:rsidRPr="005C558F">
        <w:rPr>
          <w:bCs/>
          <w:i/>
          <w:iCs/>
        </w:rPr>
        <w:t>Delta Scenario</w:t>
      </w:r>
      <w:r w:rsidR="000A2A11" w:rsidRPr="005C558F">
        <w:rPr>
          <w:bCs/>
        </w:rPr>
        <w:t xml:space="preserve"> (</w:t>
      </w:r>
      <w:r w:rsidR="005C558F">
        <w:rPr>
          <w:bCs/>
          <w:color w:val="7F7F7F" w:themeColor="text1" w:themeTint="80"/>
        </w:rPr>
        <w:t>Brugge and Bruggeman 2019</w:t>
      </w:r>
      <w:r w:rsidR="000A2A11" w:rsidRPr="005C558F">
        <w:rPr>
          <w:bCs/>
          <w:color w:val="7F7F7F" w:themeColor="text1" w:themeTint="80"/>
        </w:rPr>
        <w:t xml:space="preserve">, p.3; </w:t>
      </w:r>
      <w:proofErr w:type="spellStart"/>
      <w:r w:rsidR="005C558F">
        <w:rPr>
          <w:bCs/>
          <w:color w:val="7F7F7F" w:themeColor="text1" w:themeTint="80"/>
        </w:rPr>
        <w:t>Deltares</w:t>
      </w:r>
      <w:proofErr w:type="spellEnd"/>
      <w:r w:rsidR="005C558F">
        <w:rPr>
          <w:bCs/>
          <w:color w:val="7F7F7F" w:themeColor="text1" w:themeTint="80"/>
        </w:rPr>
        <w:t xml:space="preserve"> 2018</w:t>
      </w:r>
      <w:r w:rsidR="000A2A11" w:rsidRPr="005C558F">
        <w:rPr>
          <w:bCs/>
        </w:rPr>
        <w:t xml:space="preserve">). </w:t>
      </w:r>
    </w:p>
    <w:p w14:paraId="17DFEDBF" w14:textId="0AF2C3B5" w:rsidR="00042A1F" w:rsidRPr="005C558F" w:rsidRDefault="00354CF8" w:rsidP="00E74925">
      <w:pPr>
        <w:pStyle w:val="TEXTBODY"/>
        <w:spacing w:after="0" w:line="276" w:lineRule="auto"/>
        <w:rPr>
          <w:bCs/>
        </w:rPr>
      </w:pPr>
      <w:r w:rsidRPr="005C558F">
        <w:rPr>
          <w:bCs/>
        </w:rPr>
        <w:t xml:space="preserve">The </w:t>
      </w:r>
      <w:r w:rsidRPr="005C558F">
        <w:rPr>
          <w:bCs/>
          <w:i/>
          <w:iCs/>
        </w:rPr>
        <w:t xml:space="preserve">Delta Scenarios </w:t>
      </w:r>
      <w:r w:rsidRPr="005C558F">
        <w:rPr>
          <w:bCs/>
        </w:rPr>
        <w:t xml:space="preserve">are four different </w:t>
      </w:r>
      <w:r w:rsidRPr="005C558F">
        <w:rPr>
          <w:bCs/>
          <w:i/>
          <w:iCs/>
        </w:rPr>
        <w:t>plausible futures</w:t>
      </w:r>
      <w:r w:rsidR="00F93780" w:rsidRPr="005C558F">
        <w:rPr>
          <w:bCs/>
        </w:rPr>
        <w:t xml:space="preserve">, </w:t>
      </w:r>
      <w:r w:rsidR="005050E8" w:rsidRPr="005C558F">
        <w:rPr>
          <w:bCs/>
        </w:rPr>
        <w:t xml:space="preserve">which show how the climatic and socioeconomic conditions might change until 2050 and 2100, they are </w:t>
      </w:r>
      <w:r w:rsidR="00F93780" w:rsidRPr="005C558F">
        <w:rPr>
          <w:bCs/>
        </w:rPr>
        <w:t xml:space="preserve">not </w:t>
      </w:r>
      <w:r w:rsidR="005050E8" w:rsidRPr="005C558F">
        <w:rPr>
          <w:bCs/>
          <w:i/>
          <w:iCs/>
        </w:rPr>
        <w:t xml:space="preserve">most </w:t>
      </w:r>
      <w:r w:rsidR="00F93780" w:rsidRPr="005C558F">
        <w:rPr>
          <w:bCs/>
          <w:i/>
          <w:iCs/>
        </w:rPr>
        <w:t xml:space="preserve">probable </w:t>
      </w:r>
      <w:r w:rsidR="005050E8" w:rsidRPr="005C558F">
        <w:rPr>
          <w:bCs/>
          <w:i/>
          <w:iCs/>
        </w:rPr>
        <w:t>scenarios</w:t>
      </w:r>
      <w:r w:rsidR="005050E8" w:rsidRPr="005C558F">
        <w:rPr>
          <w:bCs/>
        </w:rPr>
        <w:t xml:space="preserve"> </w:t>
      </w:r>
      <w:r w:rsidR="00F93780" w:rsidRPr="005C558F">
        <w:rPr>
          <w:bCs/>
        </w:rPr>
        <w:t>n</w:t>
      </w:r>
      <w:r w:rsidR="00273DF0" w:rsidRPr="005C558F">
        <w:rPr>
          <w:bCs/>
        </w:rPr>
        <w:t xml:space="preserve">or </w:t>
      </w:r>
      <w:r w:rsidR="00F93780" w:rsidRPr="005C558F">
        <w:rPr>
          <w:bCs/>
        </w:rPr>
        <w:t xml:space="preserve">predictions </w:t>
      </w:r>
      <w:r w:rsidR="005050E8" w:rsidRPr="005C558F">
        <w:rPr>
          <w:bCs/>
        </w:rPr>
        <w:t xml:space="preserve">(the DP did not assign any probability to them) </w:t>
      </w:r>
      <w:r w:rsidR="00F93780" w:rsidRPr="005C558F">
        <w:rPr>
          <w:bCs/>
        </w:rPr>
        <w:t>(</w:t>
      </w:r>
      <w:proofErr w:type="spellStart"/>
      <w:r w:rsidR="00F93780" w:rsidRPr="005C558F">
        <w:rPr>
          <w:bCs/>
          <w:color w:val="7F7F7F" w:themeColor="text1" w:themeTint="80"/>
        </w:rPr>
        <w:t>Jeuken</w:t>
      </w:r>
      <w:proofErr w:type="spellEnd"/>
      <w:r w:rsidR="00F93780" w:rsidRPr="005C558F">
        <w:rPr>
          <w:bCs/>
          <w:color w:val="7F7F7F" w:themeColor="text1" w:themeTint="80"/>
        </w:rPr>
        <w:t xml:space="preserve"> and Reeder 2011, p.7</w:t>
      </w:r>
      <w:r w:rsidR="005050E8" w:rsidRPr="005C558F">
        <w:rPr>
          <w:bCs/>
          <w:color w:val="7F7F7F" w:themeColor="text1" w:themeTint="80"/>
        </w:rPr>
        <w:t xml:space="preserve">; </w:t>
      </w:r>
      <w:r w:rsidR="005C558F">
        <w:rPr>
          <w:bCs/>
          <w:color w:val="7F7F7F" w:themeColor="text1" w:themeTint="80"/>
        </w:rPr>
        <w:t>Brugge and Bruggeman 2019</w:t>
      </w:r>
      <w:r w:rsidR="005050E8" w:rsidRPr="005C558F">
        <w:rPr>
          <w:bCs/>
          <w:color w:val="7F7F7F" w:themeColor="text1" w:themeTint="80"/>
        </w:rPr>
        <w:t xml:space="preserve"> p.3</w:t>
      </w:r>
      <w:r w:rsidR="005050E8" w:rsidRPr="005C558F">
        <w:rPr>
          <w:bCs/>
        </w:rPr>
        <w:t xml:space="preserve">; </w:t>
      </w:r>
      <w:r w:rsidR="00F93780" w:rsidRPr="005C558F">
        <w:rPr>
          <w:bCs/>
          <w:color w:val="7F7F7F" w:themeColor="text1" w:themeTint="80"/>
        </w:rPr>
        <w:t>DP 2014, p.138</w:t>
      </w:r>
      <w:r w:rsidR="00273DF0" w:rsidRPr="005C558F">
        <w:rPr>
          <w:bCs/>
          <w:color w:val="7F7F7F" w:themeColor="text1" w:themeTint="80"/>
        </w:rPr>
        <w:t xml:space="preserve">; </w:t>
      </w:r>
      <w:r w:rsidR="00273DF0" w:rsidRPr="005C558F">
        <w:rPr>
          <w:rFonts w:eastAsia="RijksoverheidSansText-Regular"/>
          <w:bCs/>
          <w:color w:val="7F7F7F" w:themeColor="text1" w:themeTint="80"/>
          <w:szCs w:val="18"/>
        </w:rPr>
        <w:t>2011, p.71</w:t>
      </w:r>
      <w:r w:rsidR="00F93780" w:rsidRPr="005C558F">
        <w:rPr>
          <w:bCs/>
        </w:rPr>
        <w:t xml:space="preserve">). The </w:t>
      </w:r>
      <w:r w:rsidR="00F93780" w:rsidRPr="005C558F">
        <w:rPr>
          <w:bCs/>
          <w:i/>
          <w:iCs/>
        </w:rPr>
        <w:t>Delta Scenarios</w:t>
      </w:r>
      <w:r w:rsidR="00F93780" w:rsidRPr="005C558F">
        <w:rPr>
          <w:bCs/>
        </w:rPr>
        <w:t xml:space="preserve"> present </w:t>
      </w:r>
      <w:r w:rsidR="00F93780" w:rsidRPr="005C558F">
        <w:rPr>
          <w:bCs/>
          <w:i/>
          <w:iCs/>
        </w:rPr>
        <w:t>a moderate range of scenarios</w:t>
      </w:r>
      <w:r w:rsidR="005050E8" w:rsidRPr="005C558F">
        <w:rPr>
          <w:bCs/>
        </w:rPr>
        <w:t>, i.e. a modest bandwidth of possible future developments,</w:t>
      </w:r>
      <w:r w:rsidR="00F93780" w:rsidRPr="005C558F">
        <w:rPr>
          <w:bCs/>
        </w:rPr>
        <w:t xml:space="preserve"> as</w:t>
      </w:r>
      <w:r w:rsidRPr="005C558F">
        <w:rPr>
          <w:bCs/>
        </w:rPr>
        <w:t xml:space="preserve"> some developments may fall outside this bandwidth (</w:t>
      </w:r>
      <w:proofErr w:type="spellStart"/>
      <w:r w:rsidR="00F93780" w:rsidRPr="005C558F">
        <w:rPr>
          <w:bCs/>
          <w:color w:val="7F7F7F" w:themeColor="text1" w:themeTint="80"/>
        </w:rPr>
        <w:t>Jeuken</w:t>
      </w:r>
      <w:proofErr w:type="spellEnd"/>
      <w:r w:rsidR="00F93780" w:rsidRPr="005C558F">
        <w:rPr>
          <w:bCs/>
          <w:color w:val="7F7F7F" w:themeColor="text1" w:themeTint="80"/>
        </w:rPr>
        <w:t xml:space="preserve"> et al. 2014, p.1, 10-11</w:t>
      </w:r>
      <w:r w:rsidR="005050E8" w:rsidRPr="005C558F">
        <w:rPr>
          <w:bCs/>
          <w:color w:val="7F7F7F" w:themeColor="text1" w:themeTint="80"/>
        </w:rPr>
        <w:t xml:space="preserve">; </w:t>
      </w:r>
      <w:r w:rsidR="005C558F">
        <w:rPr>
          <w:bCs/>
          <w:color w:val="7F7F7F" w:themeColor="text1" w:themeTint="80"/>
        </w:rPr>
        <w:t>Brugge and Bruggeman 2019</w:t>
      </w:r>
      <w:r w:rsidRPr="005C558F">
        <w:rPr>
          <w:bCs/>
        </w:rPr>
        <w:t xml:space="preserve">). </w:t>
      </w:r>
    </w:p>
    <w:p w14:paraId="5870BD65" w14:textId="6109917B" w:rsidR="000A2A11" w:rsidRPr="009B720F" w:rsidRDefault="000A2A11" w:rsidP="00E74925">
      <w:pPr>
        <w:pStyle w:val="TEXTBODY"/>
        <w:spacing w:line="276" w:lineRule="auto"/>
        <w:rPr>
          <w:bCs/>
          <w:strike/>
          <w:color w:val="7F7F7F" w:themeColor="text1" w:themeTint="80"/>
        </w:rPr>
      </w:pPr>
      <w:r w:rsidRPr="005C558F">
        <w:rPr>
          <w:bCs/>
        </w:rPr>
        <w:t xml:space="preserve">The </w:t>
      </w:r>
      <w:r w:rsidRPr="005C558F">
        <w:rPr>
          <w:bCs/>
          <w:i/>
          <w:iCs/>
        </w:rPr>
        <w:t>Delta Scenarios</w:t>
      </w:r>
      <w:r w:rsidRPr="005C558F">
        <w:rPr>
          <w:bCs/>
        </w:rPr>
        <w:t xml:space="preserve"> present their respective figures for SLR, river discharges, and soil subsidence (</w:t>
      </w:r>
      <w:r w:rsidRPr="005C558F">
        <w:rPr>
          <w:bCs/>
          <w:color w:val="7F7F7F" w:themeColor="text1" w:themeTint="80"/>
        </w:rPr>
        <w:t xml:space="preserve">DP 2011, p.14, 46; 2012, p.35; 2013, </w:t>
      </w:r>
      <w:r w:rsidR="007E7117" w:rsidRPr="005C558F">
        <w:rPr>
          <w:bCs/>
          <w:color w:val="7F7F7F" w:themeColor="text1" w:themeTint="80"/>
        </w:rPr>
        <w:t>p.</w:t>
      </w:r>
      <w:r w:rsidRPr="005C558F">
        <w:rPr>
          <w:bCs/>
          <w:color w:val="7F7F7F" w:themeColor="text1" w:themeTint="80"/>
        </w:rPr>
        <w:t>100</w:t>
      </w:r>
      <w:r w:rsidR="007E7117" w:rsidRPr="005C558F">
        <w:rPr>
          <w:bCs/>
          <w:color w:val="7F7F7F" w:themeColor="text1" w:themeTint="80"/>
        </w:rPr>
        <w:t xml:space="preserve">; </w:t>
      </w:r>
      <w:r w:rsidR="007E7117" w:rsidRPr="005C558F">
        <w:rPr>
          <w:rFonts w:cs="Arial"/>
          <w:bCs/>
          <w:color w:val="7F7F7F" w:themeColor="text1" w:themeTint="80"/>
        </w:rPr>
        <w:t xml:space="preserve">2016, p.6; </w:t>
      </w:r>
      <w:r w:rsidR="007E7117" w:rsidRPr="005C558F">
        <w:rPr>
          <w:bCs/>
          <w:color w:val="7F7F7F" w:themeColor="text1" w:themeTint="80"/>
        </w:rPr>
        <w:t>2014, p.136</w:t>
      </w:r>
      <w:r w:rsidRPr="005C558F">
        <w:rPr>
          <w:bCs/>
          <w:color w:val="7F7F7F" w:themeColor="text1" w:themeTint="80"/>
        </w:rPr>
        <w:t xml:space="preserve">; Marchand and Ludwig 2014; </w:t>
      </w:r>
      <w:proofErr w:type="spellStart"/>
      <w:r w:rsidR="005C558F">
        <w:rPr>
          <w:bCs/>
          <w:color w:val="7F7F7F" w:themeColor="text1" w:themeTint="80"/>
        </w:rPr>
        <w:t>Deltares</w:t>
      </w:r>
      <w:proofErr w:type="spellEnd"/>
      <w:r w:rsidR="005C558F">
        <w:rPr>
          <w:bCs/>
          <w:color w:val="7F7F7F" w:themeColor="text1" w:themeTint="80"/>
        </w:rPr>
        <w:t xml:space="preserve"> 2018</w:t>
      </w:r>
      <w:r w:rsidRPr="005C558F">
        <w:rPr>
          <w:bCs/>
          <w:color w:val="7F7F7F" w:themeColor="text1" w:themeTint="80"/>
        </w:rPr>
        <w:t xml:space="preserve">; </w:t>
      </w:r>
      <w:r w:rsidR="005C558F">
        <w:rPr>
          <w:bCs/>
          <w:color w:val="7F7F7F" w:themeColor="text1" w:themeTint="80"/>
        </w:rPr>
        <w:t>Brugge and Bruggeman 2019</w:t>
      </w:r>
      <w:r w:rsidRPr="005C558F">
        <w:rPr>
          <w:bCs/>
          <w:color w:val="7F7F7F" w:themeColor="text1" w:themeTint="80"/>
        </w:rPr>
        <w:t xml:space="preserve">; </w:t>
      </w:r>
      <w:proofErr w:type="spellStart"/>
      <w:r w:rsidRPr="005C558F">
        <w:rPr>
          <w:bCs/>
          <w:color w:val="7F7F7F" w:themeColor="text1" w:themeTint="80"/>
        </w:rPr>
        <w:t>Jeuken</w:t>
      </w:r>
      <w:proofErr w:type="spellEnd"/>
      <w:r w:rsidRPr="005C558F">
        <w:rPr>
          <w:bCs/>
          <w:color w:val="7F7F7F" w:themeColor="text1" w:themeTint="80"/>
        </w:rPr>
        <w:t xml:space="preserve"> et al. 2014, p.10, 11</w:t>
      </w:r>
      <w:r w:rsidRPr="005C558F">
        <w:rPr>
          <w:bCs/>
        </w:rPr>
        <w:t>).</w:t>
      </w:r>
    </w:p>
    <w:p w14:paraId="34F2A3FD" w14:textId="77777777" w:rsidR="000A2A11" w:rsidRPr="009B720F" w:rsidRDefault="000A2A11" w:rsidP="00E74925">
      <w:pPr>
        <w:pStyle w:val="TEXTBODY"/>
        <w:spacing w:line="276" w:lineRule="auto"/>
        <w:rPr>
          <w:bCs/>
        </w:rPr>
      </w:pPr>
    </w:p>
    <w:p w14:paraId="0EAEB16B" w14:textId="4F4E96ED" w:rsidR="00F93780" w:rsidRPr="005C558F" w:rsidRDefault="00273DF0" w:rsidP="00E74925">
      <w:pPr>
        <w:pStyle w:val="TEXTBODY"/>
        <w:spacing w:line="276" w:lineRule="auto"/>
        <w:rPr>
          <w:bCs/>
        </w:rPr>
      </w:pPr>
      <w:r w:rsidRPr="00E74925">
        <w:rPr>
          <w:bCs/>
        </w:rPr>
        <w:t xml:space="preserve">Overall, </w:t>
      </w:r>
      <w:r w:rsidR="00BC4437" w:rsidRPr="00E74925">
        <w:rPr>
          <w:bCs/>
        </w:rPr>
        <w:t>for</w:t>
      </w:r>
      <w:r w:rsidR="00042A1F" w:rsidRPr="00E74925">
        <w:rPr>
          <w:bCs/>
        </w:rPr>
        <w:t xml:space="preserve"> the DP, the </w:t>
      </w:r>
      <w:r w:rsidR="00042A1F" w:rsidRPr="005C558F">
        <w:rPr>
          <w:bCs/>
        </w:rPr>
        <w:t xml:space="preserve">four </w:t>
      </w:r>
      <w:r w:rsidR="00042A1F" w:rsidRPr="005C558F">
        <w:rPr>
          <w:bCs/>
          <w:i/>
          <w:iCs/>
        </w:rPr>
        <w:t>Delta Scenarios</w:t>
      </w:r>
      <w:r w:rsidR="00042A1F" w:rsidRPr="005C558F">
        <w:rPr>
          <w:bCs/>
        </w:rPr>
        <w:t xml:space="preserve"> represented the ‘</w:t>
      </w:r>
      <w:r w:rsidR="00042A1F" w:rsidRPr="005C558F">
        <w:rPr>
          <w:bCs/>
          <w:i/>
          <w:iCs/>
        </w:rPr>
        <w:t>corner flags of the playing field of plausible futures</w:t>
      </w:r>
      <w:r w:rsidR="00042A1F" w:rsidRPr="005C558F">
        <w:rPr>
          <w:bCs/>
        </w:rPr>
        <w:t>’ (</w:t>
      </w:r>
      <w:r w:rsidR="00042A1F" w:rsidRPr="005C558F">
        <w:rPr>
          <w:bCs/>
          <w:color w:val="7F7F7F" w:themeColor="text1" w:themeTint="80"/>
        </w:rPr>
        <w:t>Alphen 2015, p.312</w:t>
      </w:r>
      <w:r w:rsidR="00042A1F" w:rsidRPr="005C558F">
        <w:rPr>
          <w:bCs/>
        </w:rPr>
        <w:t>), and translate the most relevant uncertainties about plausible future changes and diverse sociocultural perspectives (</w:t>
      </w:r>
      <w:r w:rsidR="00042A1F" w:rsidRPr="005C558F">
        <w:rPr>
          <w:bCs/>
          <w:color w:val="7F7F7F" w:themeColor="text1" w:themeTint="80"/>
        </w:rPr>
        <w:t>Marchand and Ludwig 2014, p.15</w:t>
      </w:r>
      <w:r w:rsidR="00042A1F" w:rsidRPr="005C558F">
        <w:rPr>
          <w:bCs/>
        </w:rPr>
        <w:t>).</w:t>
      </w:r>
    </w:p>
    <w:p w14:paraId="077628AE" w14:textId="5E3E3465" w:rsidR="000A2A11" w:rsidRPr="009B720F" w:rsidRDefault="007E7117" w:rsidP="00E74925">
      <w:pPr>
        <w:pStyle w:val="TEXTBODY"/>
        <w:spacing w:line="276" w:lineRule="auto"/>
        <w:rPr>
          <w:bCs/>
        </w:rPr>
      </w:pPr>
      <w:r w:rsidRPr="005C558F">
        <w:rPr>
          <w:bCs/>
        </w:rPr>
        <w:t xml:space="preserve">Although </w:t>
      </w:r>
      <w:r w:rsidRPr="005C558F">
        <w:rPr>
          <w:rFonts w:cs="Arial"/>
          <w:bCs/>
        </w:rPr>
        <w:t>e</w:t>
      </w:r>
      <w:r w:rsidRPr="005C558F">
        <w:rPr>
          <w:bCs/>
        </w:rPr>
        <w:t xml:space="preserve">ach </w:t>
      </w:r>
      <w:r w:rsidRPr="005C558F">
        <w:rPr>
          <w:bCs/>
          <w:i/>
          <w:iCs/>
        </w:rPr>
        <w:t>Scenario</w:t>
      </w:r>
      <w:r w:rsidRPr="005C558F">
        <w:rPr>
          <w:bCs/>
        </w:rPr>
        <w:t xml:space="preserve"> has</w:t>
      </w:r>
      <w:r w:rsidRPr="005C558F">
        <w:rPr>
          <w:rFonts w:cs="Arial"/>
          <w:bCs/>
          <w:szCs w:val="18"/>
        </w:rPr>
        <w:t xml:space="preserve"> its corresponding climatological and socioeconomic circumstances</w:t>
      </w:r>
      <w:r w:rsidRPr="005C558F">
        <w:rPr>
          <w:bCs/>
        </w:rPr>
        <w:t xml:space="preserve">, the climatological and socioeconomic circumstances may turn out differently than expected in the </w:t>
      </w:r>
      <w:r w:rsidRPr="005C558F">
        <w:rPr>
          <w:bCs/>
          <w:i/>
          <w:iCs/>
        </w:rPr>
        <w:t>Delta Scenarios</w:t>
      </w:r>
      <w:r w:rsidRPr="005C558F">
        <w:rPr>
          <w:bCs/>
        </w:rPr>
        <w:t xml:space="preserve">, and, in addition, the </w:t>
      </w:r>
      <w:r w:rsidRPr="005C558F">
        <w:rPr>
          <w:bCs/>
          <w:i/>
          <w:iCs/>
        </w:rPr>
        <w:t>Delta Scenarios</w:t>
      </w:r>
      <w:r w:rsidRPr="005C558F">
        <w:rPr>
          <w:bCs/>
        </w:rPr>
        <w:t xml:space="preserve"> may be periodically updated over time, therefore, the </w:t>
      </w:r>
      <w:r w:rsidRPr="005C558F">
        <w:rPr>
          <w:bCs/>
          <w:i/>
          <w:iCs/>
        </w:rPr>
        <w:t>Preferential Strategies</w:t>
      </w:r>
      <w:r w:rsidRPr="005C558F">
        <w:rPr>
          <w:bCs/>
        </w:rPr>
        <w:t xml:space="preserve"> were designed to be </w:t>
      </w:r>
      <w:r w:rsidRPr="005C558F">
        <w:rPr>
          <w:bCs/>
          <w:i/>
          <w:iCs/>
        </w:rPr>
        <w:t xml:space="preserve">adaptive </w:t>
      </w:r>
      <w:r w:rsidRPr="005C558F">
        <w:rPr>
          <w:bCs/>
        </w:rPr>
        <w:t xml:space="preserve">and </w:t>
      </w:r>
      <w:r w:rsidRPr="005C558F">
        <w:rPr>
          <w:bCs/>
          <w:i/>
          <w:iCs/>
        </w:rPr>
        <w:t>resistant to slower and faster CC</w:t>
      </w:r>
      <w:r w:rsidRPr="005C558F">
        <w:rPr>
          <w:bCs/>
        </w:rPr>
        <w:t xml:space="preserve"> than the expected (</w:t>
      </w:r>
      <w:r w:rsidRPr="005C558F">
        <w:rPr>
          <w:bCs/>
          <w:color w:val="7F7F7F" w:themeColor="text1" w:themeTint="80"/>
        </w:rPr>
        <w:t>DP 2014, p.168, 136; 2016, p.6</w:t>
      </w:r>
      <w:r w:rsidRPr="005C558F">
        <w:rPr>
          <w:bCs/>
        </w:rPr>
        <w:t>).</w:t>
      </w:r>
    </w:p>
    <w:p w14:paraId="4AE8E33B" w14:textId="36AB6E1D" w:rsidR="00F93780" w:rsidRPr="005C558F" w:rsidRDefault="00EE6AED" w:rsidP="00E74925">
      <w:pPr>
        <w:pStyle w:val="TEXTBODY"/>
        <w:spacing w:line="276" w:lineRule="auto"/>
        <w:rPr>
          <w:b/>
        </w:rPr>
      </w:pPr>
      <w:r w:rsidRPr="005C558F">
        <w:rPr>
          <w:b/>
        </w:rPr>
        <w:t>Purposes of using a range of future scenarios</w:t>
      </w:r>
    </w:p>
    <w:p w14:paraId="6362336F" w14:textId="11172099" w:rsidR="00F93780" w:rsidRPr="005C558F" w:rsidRDefault="000F7430" w:rsidP="00E74925">
      <w:pPr>
        <w:pStyle w:val="TEXTBODY"/>
        <w:spacing w:line="276" w:lineRule="auto"/>
        <w:rPr>
          <w:bCs/>
        </w:rPr>
      </w:pPr>
      <w:r w:rsidRPr="005C558F">
        <w:rPr>
          <w:bCs/>
        </w:rPr>
        <w:t>T</w:t>
      </w:r>
      <w:r w:rsidR="00F93780" w:rsidRPr="005C558F">
        <w:rPr>
          <w:bCs/>
        </w:rPr>
        <w:t xml:space="preserve">he </w:t>
      </w:r>
      <w:r w:rsidR="00F93780" w:rsidRPr="005C558F">
        <w:rPr>
          <w:bCs/>
          <w:i/>
          <w:iCs/>
        </w:rPr>
        <w:t>Delta Scenarios</w:t>
      </w:r>
      <w:r w:rsidR="00F93780" w:rsidRPr="005C558F">
        <w:rPr>
          <w:bCs/>
        </w:rPr>
        <w:t xml:space="preserve"> served to:</w:t>
      </w:r>
    </w:p>
    <w:p w14:paraId="63A37BB9" w14:textId="65FE6318" w:rsidR="00674B94" w:rsidRPr="005C558F" w:rsidRDefault="00F93780" w:rsidP="00E74925">
      <w:pPr>
        <w:pStyle w:val="TEXTBODY"/>
        <w:numPr>
          <w:ilvl w:val="0"/>
          <w:numId w:val="73"/>
        </w:numPr>
        <w:spacing w:line="276" w:lineRule="auto"/>
        <w:ind w:left="284" w:hanging="284"/>
        <w:rPr>
          <w:bCs/>
        </w:rPr>
      </w:pPr>
      <w:r w:rsidRPr="009B720F">
        <w:rPr>
          <w:bCs/>
        </w:rPr>
        <w:t xml:space="preserve">Investigate future flood- and water-related problems, risks and needs by 2050 and 2100, </w:t>
      </w:r>
      <w:proofErr w:type="spellStart"/>
      <w:r w:rsidRPr="009B720F">
        <w:rPr>
          <w:bCs/>
        </w:rPr>
        <w:t>i.e</w:t>
      </w:r>
      <w:proofErr w:type="spellEnd"/>
      <w:r w:rsidRPr="009B720F">
        <w:rPr>
          <w:bCs/>
        </w:rPr>
        <w:t xml:space="preserve"> assess possible future risks and impacts (</w:t>
      </w:r>
      <w:proofErr w:type="spellStart"/>
      <w:r w:rsidR="00042A1F" w:rsidRPr="009B720F">
        <w:rPr>
          <w:bCs/>
          <w:color w:val="7F7F7F" w:themeColor="text1" w:themeTint="80"/>
        </w:rPr>
        <w:t>Jeuken</w:t>
      </w:r>
      <w:proofErr w:type="spellEnd"/>
      <w:r w:rsidR="00042A1F" w:rsidRPr="009B720F">
        <w:rPr>
          <w:bCs/>
          <w:color w:val="7F7F7F" w:themeColor="text1" w:themeTint="80"/>
        </w:rPr>
        <w:t xml:space="preserve"> et al. 2014, p.10, 11; Alphen 2015, p.312; </w:t>
      </w:r>
      <w:r w:rsidR="005C558F">
        <w:rPr>
          <w:bCs/>
          <w:color w:val="7F7F7F" w:themeColor="text1" w:themeTint="80"/>
        </w:rPr>
        <w:t>Brugge and Bruggeman 2019</w:t>
      </w:r>
      <w:r w:rsidR="00042A1F" w:rsidRPr="009B720F">
        <w:rPr>
          <w:bCs/>
          <w:color w:val="7F7F7F" w:themeColor="text1" w:themeTint="80"/>
        </w:rPr>
        <w:t xml:space="preserve">, p.5; Haegen and </w:t>
      </w:r>
      <w:proofErr w:type="spellStart"/>
      <w:r w:rsidR="00042A1F" w:rsidRPr="009B720F">
        <w:rPr>
          <w:bCs/>
          <w:color w:val="7F7F7F" w:themeColor="text1" w:themeTint="80"/>
        </w:rPr>
        <w:t>Wieriks</w:t>
      </w:r>
      <w:proofErr w:type="spellEnd"/>
      <w:r w:rsidR="00042A1F" w:rsidRPr="009B720F">
        <w:rPr>
          <w:bCs/>
          <w:color w:val="7F7F7F" w:themeColor="text1" w:themeTint="80"/>
        </w:rPr>
        <w:t xml:space="preserve"> </w:t>
      </w:r>
      <w:r w:rsidR="00042A1F" w:rsidRPr="005C558F">
        <w:rPr>
          <w:bCs/>
          <w:color w:val="7F7F7F" w:themeColor="text1" w:themeTint="80"/>
        </w:rPr>
        <w:t>2015</w:t>
      </w:r>
      <w:r w:rsidRPr="005C558F">
        <w:rPr>
          <w:bCs/>
        </w:rPr>
        <w:t xml:space="preserve">). </w:t>
      </w:r>
      <w:r w:rsidR="002767A5" w:rsidRPr="005C558F">
        <w:rPr>
          <w:bCs/>
        </w:rPr>
        <w:t>As seen, in Sub-step 1b of the ADM process (</w:t>
      </w:r>
      <w:r w:rsidR="002767A5" w:rsidRPr="005C558F">
        <w:rPr>
          <w:bCs/>
          <w:i/>
          <w:iCs/>
        </w:rPr>
        <w:t>identifying current and future ‘vulnerabilities’ and ‘opportunities’ under different future scenarios</w:t>
      </w:r>
      <w:r w:rsidR="002767A5" w:rsidRPr="005C558F">
        <w:rPr>
          <w:bCs/>
        </w:rPr>
        <w:t>), it was necessary to generate an ensemble of plausible future scenarios, in which relevant uncertainties should be considered (</w:t>
      </w:r>
      <w:proofErr w:type="spellStart"/>
      <w:r w:rsidR="002767A5" w:rsidRPr="005C558F">
        <w:rPr>
          <w:bCs/>
          <w:color w:val="7F7F7F" w:themeColor="text1" w:themeTint="80"/>
        </w:rPr>
        <w:t>Haasnoot</w:t>
      </w:r>
      <w:proofErr w:type="spellEnd"/>
      <w:r w:rsidR="002767A5" w:rsidRPr="005C558F">
        <w:rPr>
          <w:bCs/>
          <w:color w:val="7F7F7F" w:themeColor="text1" w:themeTint="80"/>
        </w:rPr>
        <w:t xml:space="preserve"> and </w:t>
      </w:r>
      <w:proofErr w:type="spellStart"/>
      <w:r w:rsidR="002767A5" w:rsidRPr="005C558F">
        <w:rPr>
          <w:bCs/>
          <w:color w:val="7F7F7F" w:themeColor="text1" w:themeTint="80"/>
        </w:rPr>
        <w:t>Jeuken</w:t>
      </w:r>
      <w:proofErr w:type="spellEnd"/>
      <w:r w:rsidR="002767A5" w:rsidRPr="005C558F">
        <w:rPr>
          <w:bCs/>
          <w:color w:val="7F7F7F" w:themeColor="text1" w:themeTint="80"/>
        </w:rPr>
        <w:t xml:space="preserve">; </w:t>
      </w:r>
      <w:proofErr w:type="spellStart"/>
      <w:r w:rsidR="002767A5" w:rsidRPr="005C558F">
        <w:rPr>
          <w:bCs/>
          <w:color w:val="7F7F7F" w:themeColor="text1" w:themeTint="80"/>
        </w:rPr>
        <w:t>Gersonius</w:t>
      </w:r>
      <w:proofErr w:type="spellEnd"/>
      <w:r w:rsidR="002767A5" w:rsidRPr="005C558F">
        <w:rPr>
          <w:bCs/>
          <w:color w:val="7F7F7F" w:themeColor="text1" w:themeTint="80"/>
        </w:rPr>
        <w:t xml:space="preserve"> et al. 2016</w:t>
      </w:r>
      <w:r w:rsidR="002767A5" w:rsidRPr="005C558F">
        <w:rPr>
          <w:bCs/>
        </w:rPr>
        <w:t>), then, such scenarios were compared to the objectives to see if problems (vulnerabilities) or opportunities arise; and, subsequently, were used to determine when the first ATP might occur (and a new measure might be needed) (</w:t>
      </w:r>
      <w:proofErr w:type="spellStart"/>
      <w:r w:rsidR="002767A5" w:rsidRPr="005C558F">
        <w:rPr>
          <w:bCs/>
          <w:color w:val="7F7F7F" w:themeColor="text1" w:themeTint="80"/>
        </w:rPr>
        <w:t>Haasnoot</w:t>
      </w:r>
      <w:proofErr w:type="spellEnd"/>
      <w:r w:rsidR="002767A5" w:rsidRPr="005C558F">
        <w:rPr>
          <w:bCs/>
          <w:color w:val="7F7F7F" w:themeColor="text1" w:themeTint="80"/>
        </w:rPr>
        <w:t xml:space="preserve"> and </w:t>
      </w:r>
      <w:proofErr w:type="spellStart"/>
      <w:r w:rsidR="002767A5" w:rsidRPr="005C558F">
        <w:rPr>
          <w:bCs/>
          <w:color w:val="7F7F7F" w:themeColor="text1" w:themeTint="80"/>
        </w:rPr>
        <w:t>Jeuken</w:t>
      </w:r>
      <w:proofErr w:type="spellEnd"/>
      <w:r w:rsidR="002767A5" w:rsidRPr="005C558F">
        <w:rPr>
          <w:bCs/>
        </w:rPr>
        <w:t xml:space="preserve">). </w:t>
      </w:r>
      <w:r w:rsidRPr="005C558F">
        <w:rPr>
          <w:bCs/>
        </w:rPr>
        <w:t xml:space="preserve">In 2012, the </w:t>
      </w:r>
      <w:r w:rsidRPr="005C558F">
        <w:rPr>
          <w:bCs/>
          <w:i/>
          <w:iCs/>
        </w:rPr>
        <w:t xml:space="preserve">Delta Scenarios </w:t>
      </w:r>
      <w:r w:rsidRPr="005C558F">
        <w:rPr>
          <w:bCs/>
        </w:rPr>
        <w:t>were used by the Subprogrammes to explore what problems of flood safety and freshwater supply might occur in the future (</w:t>
      </w:r>
      <w:r w:rsidR="005C558F" w:rsidRPr="005C558F">
        <w:rPr>
          <w:bCs/>
          <w:color w:val="7F7F7F" w:themeColor="text1" w:themeTint="80"/>
        </w:rPr>
        <w:t>Brugge and Bruggeman 2019</w:t>
      </w:r>
      <w:r w:rsidRPr="005C558F">
        <w:rPr>
          <w:bCs/>
          <w:color w:val="7F7F7F" w:themeColor="text1" w:themeTint="80"/>
        </w:rPr>
        <w:t xml:space="preserve">, p.5; Haegen and </w:t>
      </w:r>
      <w:proofErr w:type="spellStart"/>
      <w:r w:rsidRPr="005C558F">
        <w:rPr>
          <w:bCs/>
          <w:color w:val="7F7F7F" w:themeColor="text1" w:themeTint="80"/>
        </w:rPr>
        <w:t>Wieriks</w:t>
      </w:r>
      <w:proofErr w:type="spellEnd"/>
      <w:r w:rsidRPr="005C558F">
        <w:rPr>
          <w:bCs/>
          <w:color w:val="7F7F7F" w:themeColor="text1" w:themeTint="80"/>
        </w:rPr>
        <w:t xml:space="preserve"> 2015</w:t>
      </w:r>
      <w:r w:rsidRPr="005C558F">
        <w:rPr>
          <w:bCs/>
          <w:color w:val="231F20"/>
        </w:rPr>
        <w:t>).</w:t>
      </w:r>
    </w:p>
    <w:p w14:paraId="5852BFB5" w14:textId="6F68DE76" w:rsidR="00674B94" w:rsidRPr="005C558F" w:rsidRDefault="00F93780" w:rsidP="00E74925">
      <w:pPr>
        <w:pStyle w:val="TEXTBODY"/>
        <w:numPr>
          <w:ilvl w:val="0"/>
          <w:numId w:val="73"/>
        </w:numPr>
        <w:spacing w:line="276" w:lineRule="auto"/>
        <w:ind w:left="284" w:hanging="284"/>
        <w:rPr>
          <w:bCs/>
        </w:rPr>
      </w:pPr>
      <w:r w:rsidRPr="005C558F">
        <w:rPr>
          <w:bCs/>
        </w:rPr>
        <w:t xml:space="preserve">Identify future tasks. The </w:t>
      </w:r>
      <w:r w:rsidRPr="005C558F">
        <w:rPr>
          <w:bCs/>
          <w:i/>
          <w:iCs/>
        </w:rPr>
        <w:t>Delta Scenarios</w:t>
      </w:r>
      <w:r w:rsidRPr="005C558F">
        <w:rPr>
          <w:bCs/>
        </w:rPr>
        <w:t xml:space="preserve"> were used as the basis for analysing the future tasks (</w:t>
      </w:r>
      <w:r w:rsidRPr="005C558F">
        <w:rPr>
          <w:bCs/>
          <w:color w:val="7F7F7F" w:themeColor="text1" w:themeTint="80"/>
        </w:rPr>
        <w:t>DP 2011, p.14, 20</w:t>
      </w:r>
      <w:r w:rsidR="00674B94" w:rsidRPr="005C558F">
        <w:rPr>
          <w:bCs/>
        </w:rPr>
        <w:t xml:space="preserve">). </w:t>
      </w:r>
      <w:r w:rsidR="00674B94" w:rsidRPr="005C558F">
        <w:rPr>
          <w:rFonts w:eastAsia="RijksoverheidSansText-Regular"/>
          <w:bCs/>
        </w:rPr>
        <w:t xml:space="preserve">The various </w:t>
      </w:r>
      <w:r w:rsidR="00674B94" w:rsidRPr="005C558F">
        <w:rPr>
          <w:rFonts w:eastAsia="RijksoverheidSansText-Regular"/>
          <w:bCs/>
          <w:i/>
          <w:iCs/>
        </w:rPr>
        <w:t>Delta Scenarios</w:t>
      </w:r>
      <w:r w:rsidR="00674B94" w:rsidRPr="005C558F">
        <w:rPr>
          <w:rFonts w:eastAsia="RijksoverheidSansText-Regular"/>
          <w:bCs/>
        </w:rPr>
        <w:t xml:space="preserve"> were used for identifying </w:t>
      </w:r>
      <w:r w:rsidR="00674B94" w:rsidRPr="005C558F">
        <w:rPr>
          <w:bCs/>
        </w:rPr>
        <w:t xml:space="preserve">the tasks for each of 9 regional Subprogrammes </w:t>
      </w:r>
      <w:r w:rsidR="00674B94" w:rsidRPr="005C558F">
        <w:rPr>
          <w:rFonts w:eastAsia="RijksoverheidSansText-Regular"/>
          <w:bCs/>
          <w:color w:val="000000"/>
        </w:rPr>
        <w:t>(</w:t>
      </w:r>
      <w:r w:rsidR="00674B94" w:rsidRPr="005C558F">
        <w:rPr>
          <w:rFonts w:eastAsia="RijksoverheidSansText-Regular"/>
          <w:bCs/>
          <w:color w:val="7F7F7F" w:themeColor="text1" w:themeTint="80"/>
        </w:rPr>
        <w:t>DP 2011, p.14</w:t>
      </w:r>
      <w:r w:rsidR="00674B94" w:rsidRPr="005C558F">
        <w:rPr>
          <w:rFonts w:eastAsia="RijksoverheidSansText-Regular"/>
          <w:bCs/>
        </w:rPr>
        <w:t xml:space="preserve">). </w:t>
      </w:r>
      <w:r w:rsidR="00674B94" w:rsidRPr="005C558F">
        <w:rPr>
          <w:bCs/>
        </w:rPr>
        <w:t xml:space="preserve">In this year of ‘problem </w:t>
      </w:r>
      <w:r w:rsidR="00674B94" w:rsidRPr="005C558F">
        <w:rPr>
          <w:bCs/>
        </w:rPr>
        <w:lastRenderedPageBreak/>
        <w:t xml:space="preserve">definition’ (2010-2011), the Subprogrammes focused on identifying adaptation needs, e.g. by analysing </w:t>
      </w:r>
      <w:r w:rsidR="00674B94" w:rsidRPr="005C558F">
        <w:rPr>
          <w:bCs/>
          <w:i/>
          <w:iCs/>
        </w:rPr>
        <w:t xml:space="preserve">what are the effects of CC on the region </w:t>
      </w:r>
      <w:r w:rsidR="00674B94" w:rsidRPr="005C558F">
        <w:rPr>
          <w:bCs/>
        </w:rPr>
        <w:t xml:space="preserve">and </w:t>
      </w:r>
      <w:r w:rsidR="00674B94" w:rsidRPr="005C558F">
        <w:rPr>
          <w:bCs/>
          <w:i/>
          <w:iCs/>
        </w:rPr>
        <w:t>how can the long-term safety of the region be safeguarded</w:t>
      </w:r>
      <w:r w:rsidR="00674B94" w:rsidRPr="005C558F">
        <w:rPr>
          <w:bCs/>
        </w:rPr>
        <w:t xml:space="preserve"> (</w:t>
      </w:r>
      <w:r w:rsidR="00674B94" w:rsidRPr="005C558F">
        <w:rPr>
          <w:bCs/>
          <w:color w:val="7F7F7F" w:themeColor="text1" w:themeTint="80"/>
        </w:rPr>
        <w:t>Werners et al. 2016</w:t>
      </w:r>
      <w:r w:rsidR="00674B94" w:rsidRPr="005C558F">
        <w:rPr>
          <w:bCs/>
        </w:rPr>
        <w:t xml:space="preserve">). </w:t>
      </w:r>
    </w:p>
    <w:p w14:paraId="489B5FA9" w14:textId="162F75A0" w:rsidR="00EE2D2B" w:rsidRPr="005C558F" w:rsidRDefault="00F93780" w:rsidP="00E74925">
      <w:pPr>
        <w:pStyle w:val="TEXTBODY"/>
        <w:numPr>
          <w:ilvl w:val="0"/>
          <w:numId w:val="73"/>
        </w:numPr>
        <w:spacing w:line="276" w:lineRule="auto"/>
        <w:ind w:left="284" w:hanging="284"/>
        <w:rPr>
          <w:bCs/>
        </w:rPr>
      </w:pPr>
      <w:r w:rsidRPr="009B720F">
        <w:rPr>
          <w:bCs/>
        </w:rPr>
        <w:t xml:space="preserve">Support the development of the </w:t>
      </w:r>
      <w:r w:rsidRPr="009B720F">
        <w:rPr>
          <w:bCs/>
          <w:i/>
          <w:iCs/>
        </w:rPr>
        <w:t>Delta Decisions</w:t>
      </w:r>
      <w:r w:rsidRPr="009B720F">
        <w:rPr>
          <w:bCs/>
        </w:rPr>
        <w:t xml:space="preserve"> and </w:t>
      </w:r>
      <w:r w:rsidRPr="009B720F">
        <w:rPr>
          <w:bCs/>
          <w:i/>
          <w:iCs/>
        </w:rPr>
        <w:t>Preferential Strategies</w:t>
      </w:r>
      <w:r w:rsidRPr="009B720F">
        <w:rPr>
          <w:bCs/>
        </w:rPr>
        <w:t xml:space="preserve"> (inform strategy development) (</w:t>
      </w:r>
      <w:r w:rsidRPr="009B720F">
        <w:rPr>
          <w:bCs/>
          <w:color w:val="7F7F7F" w:themeColor="text1" w:themeTint="80"/>
        </w:rPr>
        <w:t xml:space="preserve">Bloemen et al. </w:t>
      </w:r>
      <w:r w:rsidRPr="005C558F">
        <w:rPr>
          <w:bCs/>
          <w:color w:val="7F7F7F" w:themeColor="text1" w:themeTint="80"/>
        </w:rPr>
        <w:t>2018; DP 2014, p.136</w:t>
      </w:r>
      <w:r w:rsidRPr="005C558F">
        <w:rPr>
          <w:bCs/>
        </w:rPr>
        <w:t xml:space="preserve">). The </w:t>
      </w:r>
      <w:r w:rsidRPr="005C558F">
        <w:rPr>
          <w:bCs/>
          <w:i/>
          <w:iCs/>
        </w:rPr>
        <w:t>Delta Scenarios</w:t>
      </w:r>
      <w:r w:rsidRPr="005C558F">
        <w:rPr>
          <w:bCs/>
        </w:rPr>
        <w:t xml:space="preserve"> were used as the basis for developing</w:t>
      </w:r>
      <w:r w:rsidR="00042A1F" w:rsidRPr="005C558F">
        <w:rPr>
          <w:bCs/>
        </w:rPr>
        <w:t xml:space="preserve"> the</w:t>
      </w:r>
      <w:r w:rsidRPr="005C558F">
        <w:rPr>
          <w:bCs/>
        </w:rPr>
        <w:t xml:space="preserve"> </w:t>
      </w:r>
      <w:r w:rsidRPr="005C558F">
        <w:rPr>
          <w:bCs/>
          <w:i/>
          <w:iCs/>
        </w:rPr>
        <w:t xml:space="preserve">Strategies </w:t>
      </w:r>
      <w:r w:rsidRPr="005C558F">
        <w:rPr>
          <w:bCs/>
        </w:rPr>
        <w:t>(</w:t>
      </w:r>
      <w:r w:rsidRPr="005C558F">
        <w:rPr>
          <w:bCs/>
          <w:color w:val="7F7F7F" w:themeColor="text1" w:themeTint="80"/>
        </w:rPr>
        <w:t>DP 2011, p.14, 20</w:t>
      </w:r>
      <w:r w:rsidRPr="005C558F">
        <w:rPr>
          <w:bCs/>
        </w:rPr>
        <w:t>), i.e. the Subprogrammes developed their</w:t>
      </w:r>
      <w:r w:rsidRPr="005C558F">
        <w:rPr>
          <w:bCs/>
          <w:i/>
          <w:iCs/>
        </w:rPr>
        <w:t xml:space="preserve"> Strategies</w:t>
      </w:r>
      <w:r w:rsidRPr="005C558F">
        <w:rPr>
          <w:bCs/>
        </w:rPr>
        <w:t xml:space="preserve"> based on the </w:t>
      </w:r>
      <w:r w:rsidRPr="005C558F">
        <w:rPr>
          <w:bCs/>
          <w:i/>
          <w:iCs/>
        </w:rPr>
        <w:t>Delta Scenarios</w:t>
      </w:r>
      <w:r w:rsidRPr="005C558F">
        <w:rPr>
          <w:bCs/>
        </w:rPr>
        <w:t xml:space="preserve"> (</w:t>
      </w:r>
      <w:r w:rsidRPr="005C558F">
        <w:rPr>
          <w:bCs/>
          <w:color w:val="7F7F7F" w:themeColor="text1" w:themeTint="80"/>
        </w:rPr>
        <w:t>DP 2013, p.32</w:t>
      </w:r>
      <w:r w:rsidRPr="005C558F">
        <w:rPr>
          <w:bCs/>
        </w:rPr>
        <w:t>).</w:t>
      </w:r>
      <w:r w:rsidRPr="005C558F">
        <w:rPr>
          <w:rStyle w:val="Refdenotaderodap"/>
          <w:bCs/>
        </w:rPr>
        <w:footnoteReference w:id="85"/>
      </w:r>
      <w:r w:rsidRPr="005C558F">
        <w:rPr>
          <w:bCs/>
        </w:rPr>
        <w:t xml:space="preserve"> The </w:t>
      </w:r>
      <w:r w:rsidRPr="005C558F">
        <w:rPr>
          <w:bCs/>
          <w:i/>
          <w:iCs/>
        </w:rPr>
        <w:t>Delta Scenarios</w:t>
      </w:r>
      <w:r w:rsidRPr="005C558F">
        <w:rPr>
          <w:bCs/>
        </w:rPr>
        <w:t xml:space="preserve"> were used in</w:t>
      </w:r>
      <w:r w:rsidR="00360840" w:rsidRPr="005C558F">
        <w:rPr>
          <w:bCs/>
        </w:rPr>
        <w:t xml:space="preserve"> the development</w:t>
      </w:r>
      <w:r w:rsidRPr="005C558F">
        <w:rPr>
          <w:bCs/>
        </w:rPr>
        <w:t xml:space="preserve"> of </w:t>
      </w:r>
      <w:r w:rsidRPr="005C558F">
        <w:rPr>
          <w:bCs/>
          <w:i/>
          <w:iCs/>
        </w:rPr>
        <w:t>Strategies</w:t>
      </w:r>
      <w:r w:rsidRPr="005C558F">
        <w:rPr>
          <w:bCs/>
        </w:rPr>
        <w:t>, namely to: assess the various measures and determine when these will be needed (</w:t>
      </w:r>
      <w:r w:rsidR="005C558F" w:rsidRPr="005C558F">
        <w:rPr>
          <w:bCs/>
          <w:color w:val="7F7F7F" w:themeColor="text1" w:themeTint="80"/>
        </w:rPr>
        <w:t>Brugge and Bruggeman 2019</w:t>
      </w:r>
      <w:r w:rsidRPr="005C558F">
        <w:rPr>
          <w:bCs/>
        </w:rPr>
        <w:t xml:space="preserve">), </w:t>
      </w:r>
      <w:r w:rsidR="00360840" w:rsidRPr="005C558F">
        <w:rPr>
          <w:bCs/>
        </w:rPr>
        <w:t>and to</w:t>
      </w:r>
      <w:r w:rsidRPr="005C558F">
        <w:rPr>
          <w:bCs/>
        </w:rPr>
        <w:t xml:space="preserve"> determine when the current actions will become ineffective or insufficient (the date of first ATP) (</w:t>
      </w:r>
      <w:r w:rsidRPr="005C558F">
        <w:rPr>
          <w:bCs/>
          <w:color w:val="7F7F7F" w:themeColor="text1" w:themeTint="80"/>
        </w:rPr>
        <w:t>Alphen2015</w:t>
      </w:r>
      <w:r w:rsidRPr="005C558F">
        <w:rPr>
          <w:bCs/>
        </w:rPr>
        <w:t xml:space="preserve">). In this sense, the </w:t>
      </w:r>
      <w:r w:rsidRPr="005C558F">
        <w:rPr>
          <w:bCs/>
          <w:i/>
          <w:iCs/>
        </w:rPr>
        <w:t>Delta Scenarios</w:t>
      </w:r>
      <w:r w:rsidRPr="005C558F">
        <w:rPr>
          <w:bCs/>
        </w:rPr>
        <w:t xml:space="preserve"> supported the design of </w:t>
      </w:r>
      <w:r w:rsidR="00360840" w:rsidRPr="005C558F">
        <w:rPr>
          <w:bCs/>
          <w:i/>
          <w:iCs/>
        </w:rPr>
        <w:t>S</w:t>
      </w:r>
      <w:r w:rsidRPr="005C558F">
        <w:rPr>
          <w:bCs/>
          <w:i/>
          <w:iCs/>
        </w:rPr>
        <w:t>trategies</w:t>
      </w:r>
      <w:r w:rsidRPr="005C558F">
        <w:rPr>
          <w:bCs/>
        </w:rPr>
        <w:t>: they were used for testing measures and strategies (</w:t>
      </w:r>
      <w:r w:rsidRPr="005C558F">
        <w:rPr>
          <w:bCs/>
          <w:i/>
          <w:iCs/>
        </w:rPr>
        <w:t>paths</w:t>
      </w:r>
      <w:r w:rsidRPr="005C558F">
        <w:rPr>
          <w:bCs/>
        </w:rPr>
        <w:t>)</w:t>
      </w:r>
      <w:r w:rsidR="00360840" w:rsidRPr="005C558F">
        <w:rPr>
          <w:bCs/>
        </w:rPr>
        <w:t xml:space="preserve">, on their performance, </w:t>
      </w:r>
      <w:r w:rsidRPr="005C558F">
        <w:rPr>
          <w:bCs/>
        </w:rPr>
        <w:t>under different future conditions (</w:t>
      </w:r>
      <w:r w:rsidRPr="005C558F">
        <w:rPr>
          <w:bCs/>
          <w:color w:val="7F7F7F" w:themeColor="text1" w:themeTint="80"/>
        </w:rPr>
        <w:t>Marchand and Ludwig 2014, p.12; Alphen 2015</w:t>
      </w:r>
      <w:r w:rsidRPr="005C558F">
        <w:rPr>
          <w:bCs/>
        </w:rPr>
        <w:t xml:space="preserve">). </w:t>
      </w:r>
      <w:r w:rsidR="00360840" w:rsidRPr="005C558F">
        <w:rPr>
          <w:bCs/>
        </w:rPr>
        <w:t xml:space="preserve">For example, in </w:t>
      </w:r>
      <w:r w:rsidR="00AA0240" w:rsidRPr="005C558F">
        <w:rPr>
          <w:bCs/>
        </w:rPr>
        <w:t>2009/</w:t>
      </w:r>
      <w:r w:rsidR="00360840" w:rsidRPr="005C558F">
        <w:rPr>
          <w:bCs/>
        </w:rPr>
        <w:t xml:space="preserve">2010, the DP Team and the Subprogrammes, used the </w:t>
      </w:r>
      <w:r w:rsidR="00360840" w:rsidRPr="005C558F">
        <w:rPr>
          <w:bCs/>
          <w:i/>
          <w:iCs/>
        </w:rPr>
        <w:t>Delta Scenarios</w:t>
      </w:r>
      <w:r w:rsidR="00360840" w:rsidRPr="005C558F">
        <w:rPr>
          <w:bCs/>
        </w:rPr>
        <w:t xml:space="preserve"> to assess how much longer the current measures (policy and management actions) will suffice and when adjustments will be required – i.e. when the first tipping-point of the existing system will be reached (</w:t>
      </w:r>
      <w:r w:rsidR="00360840" w:rsidRPr="005C558F">
        <w:rPr>
          <w:bCs/>
          <w:color w:val="595959" w:themeColor="text1" w:themeTint="A6"/>
        </w:rPr>
        <w:t>DP 2010, p.3-4, 32</w:t>
      </w:r>
      <w:r w:rsidR="00360840" w:rsidRPr="005C558F">
        <w:rPr>
          <w:bCs/>
        </w:rPr>
        <w:t xml:space="preserve">). </w:t>
      </w:r>
      <w:r w:rsidR="00674B94" w:rsidRPr="005C558F">
        <w:rPr>
          <w:bCs/>
        </w:rPr>
        <w:t xml:space="preserve"> The various scenarios were used in the assessment of individual measures and strategies (</w:t>
      </w:r>
      <w:proofErr w:type="spellStart"/>
      <w:r w:rsidR="00674B94" w:rsidRPr="005C558F">
        <w:rPr>
          <w:bCs/>
          <w:color w:val="7F7F7F" w:themeColor="text1" w:themeTint="80"/>
        </w:rPr>
        <w:t>Jeuken</w:t>
      </w:r>
      <w:proofErr w:type="spellEnd"/>
      <w:r w:rsidR="00674B94" w:rsidRPr="005C558F">
        <w:rPr>
          <w:bCs/>
          <w:color w:val="7F7F7F" w:themeColor="text1" w:themeTint="80"/>
        </w:rPr>
        <w:t xml:space="preserve"> et al. 2014, p.10, 13</w:t>
      </w:r>
      <w:r w:rsidR="00674B94" w:rsidRPr="005C558F">
        <w:rPr>
          <w:bCs/>
        </w:rPr>
        <w:t>), i.e. to test the performance of measures and strategies (</w:t>
      </w:r>
      <w:r w:rsidR="00674B94" w:rsidRPr="005C558F">
        <w:rPr>
          <w:bCs/>
          <w:i/>
          <w:iCs/>
        </w:rPr>
        <w:t>paths</w:t>
      </w:r>
      <w:r w:rsidR="00674B94" w:rsidRPr="005C558F">
        <w:rPr>
          <w:bCs/>
        </w:rPr>
        <w:t>) (</w:t>
      </w:r>
      <w:r w:rsidR="00674B94" w:rsidRPr="005C558F">
        <w:rPr>
          <w:bCs/>
          <w:color w:val="7F7F7F" w:themeColor="text1" w:themeTint="80"/>
        </w:rPr>
        <w:t>Marchand and Ludwig 2014, p.12; Alphen 2015</w:t>
      </w:r>
      <w:r w:rsidR="00674B94" w:rsidRPr="005C558F">
        <w:rPr>
          <w:bCs/>
        </w:rPr>
        <w:t>).</w:t>
      </w:r>
    </w:p>
    <w:p w14:paraId="381C3CF8" w14:textId="731277FA" w:rsidR="005905DB" w:rsidRPr="005C558F" w:rsidRDefault="00F93780" w:rsidP="00E74925">
      <w:pPr>
        <w:pStyle w:val="TEXTBODY"/>
        <w:numPr>
          <w:ilvl w:val="0"/>
          <w:numId w:val="73"/>
        </w:numPr>
        <w:spacing w:line="276" w:lineRule="auto"/>
        <w:ind w:left="284" w:hanging="284"/>
        <w:rPr>
          <w:bCs/>
        </w:rPr>
      </w:pPr>
      <w:r w:rsidRPr="009B720F">
        <w:rPr>
          <w:bCs/>
        </w:rPr>
        <w:t xml:space="preserve">Moreover, the </w:t>
      </w:r>
      <w:r w:rsidRPr="009B720F">
        <w:rPr>
          <w:bCs/>
          <w:i/>
          <w:iCs/>
        </w:rPr>
        <w:t xml:space="preserve">Delta </w:t>
      </w:r>
      <w:r w:rsidRPr="005C558F">
        <w:rPr>
          <w:bCs/>
          <w:i/>
          <w:iCs/>
        </w:rPr>
        <w:t>Scenarios</w:t>
      </w:r>
      <w:r w:rsidRPr="005C558F">
        <w:rPr>
          <w:bCs/>
        </w:rPr>
        <w:t xml:space="preserve"> were used </w:t>
      </w:r>
      <w:r w:rsidR="00674B94" w:rsidRPr="005C558F">
        <w:rPr>
          <w:bCs/>
        </w:rPr>
        <w:t>in the assessment of</w:t>
      </w:r>
      <w:r w:rsidRPr="005C558F">
        <w:rPr>
          <w:bCs/>
        </w:rPr>
        <w:t xml:space="preserve"> individual measures and strategies</w:t>
      </w:r>
      <w:r w:rsidR="00042A1F" w:rsidRPr="005C558F">
        <w:rPr>
          <w:bCs/>
        </w:rPr>
        <w:t xml:space="preserve"> (</w:t>
      </w:r>
      <w:r w:rsidR="00042A1F" w:rsidRPr="005C558F">
        <w:rPr>
          <w:bCs/>
          <w:i/>
          <w:iCs/>
        </w:rPr>
        <w:t>paths</w:t>
      </w:r>
      <w:r w:rsidR="00042A1F" w:rsidRPr="005C558F">
        <w:rPr>
          <w:bCs/>
        </w:rPr>
        <w:t>)</w:t>
      </w:r>
      <w:r w:rsidRPr="005C558F">
        <w:rPr>
          <w:bCs/>
        </w:rPr>
        <w:t xml:space="preserve"> in cost-benefit and multi-criteria analyses (</w:t>
      </w:r>
      <w:proofErr w:type="spellStart"/>
      <w:r w:rsidRPr="005C558F">
        <w:rPr>
          <w:bCs/>
          <w:color w:val="7F7F7F" w:themeColor="text1" w:themeTint="80"/>
        </w:rPr>
        <w:t>Jeuken</w:t>
      </w:r>
      <w:proofErr w:type="spellEnd"/>
      <w:r w:rsidRPr="005C558F">
        <w:rPr>
          <w:bCs/>
          <w:color w:val="7F7F7F" w:themeColor="text1" w:themeTint="80"/>
        </w:rPr>
        <w:t xml:space="preserve"> et al. 2014, p.10, 13</w:t>
      </w:r>
      <w:r w:rsidRPr="005C558F">
        <w:rPr>
          <w:bCs/>
        </w:rPr>
        <w:t xml:space="preserve">), and </w:t>
      </w:r>
      <w:r w:rsidR="00360840" w:rsidRPr="005C558F">
        <w:rPr>
          <w:bCs/>
        </w:rPr>
        <w:t>for appraising</w:t>
      </w:r>
      <w:r w:rsidRPr="005C558F">
        <w:rPr>
          <w:bCs/>
        </w:rPr>
        <w:t xml:space="preserve"> their robustness (</w:t>
      </w:r>
      <w:proofErr w:type="spellStart"/>
      <w:r w:rsidRPr="005C558F">
        <w:rPr>
          <w:bCs/>
          <w:color w:val="7F7F7F" w:themeColor="text1" w:themeTint="80"/>
        </w:rPr>
        <w:t>Seijger</w:t>
      </w:r>
      <w:proofErr w:type="spellEnd"/>
      <w:r w:rsidRPr="005C558F">
        <w:rPr>
          <w:bCs/>
          <w:color w:val="7F7F7F" w:themeColor="text1" w:themeTint="80"/>
        </w:rPr>
        <w:t xml:space="preserve"> et al. 2017</w:t>
      </w:r>
      <w:r w:rsidRPr="005C558F">
        <w:rPr>
          <w:bCs/>
        </w:rPr>
        <w:t xml:space="preserve">). </w:t>
      </w:r>
      <w:r w:rsidR="00360840" w:rsidRPr="005C558F">
        <w:rPr>
          <w:bCs/>
        </w:rPr>
        <w:t xml:space="preserve">All </w:t>
      </w:r>
      <w:r w:rsidR="00360840" w:rsidRPr="005C558F">
        <w:rPr>
          <w:bCs/>
          <w:i/>
          <w:iCs/>
        </w:rPr>
        <w:t>Preferential Strategies</w:t>
      </w:r>
      <w:r w:rsidR="00360840" w:rsidRPr="005C558F">
        <w:rPr>
          <w:bCs/>
        </w:rPr>
        <w:t xml:space="preserve"> were assessed under the </w:t>
      </w:r>
      <w:r w:rsidR="00360840" w:rsidRPr="005C558F">
        <w:rPr>
          <w:bCs/>
          <w:i/>
          <w:iCs/>
        </w:rPr>
        <w:t>Delta Scenarios</w:t>
      </w:r>
      <w:r w:rsidR="00360840" w:rsidRPr="005C558F">
        <w:rPr>
          <w:bCs/>
        </w:rPr>
        <w:t xml:space="preserve"> (</w:t>
      </w:r>
      <w:r w:rsidR="00360840" w:rsidRPr="005C558F">
        <w:rPr>
          <w:bCs/>
          <w:color w:val="7F7F7F" w:themeColor="text1" w:themeTint="80"/>
        </w:rPr>
        <w:t>DP 2016, p.6</w:t>
      </w:r>
      <w:r w:rsidR="00360840" w:rsidRPr="005C558F">
        <w:rPr>
          <w:bCs/>
        </w:rPr>
        <w:t xml:space="preserve">). </w:t>
      </w:r>
      <w:r w:rsidR="00EE2D2B" w:rsidRPr="005C558F">
        <w:rPr>
          <w:bCs/>
          <w:szCs w:val="22"/>
        </w:rPr>
        <w:t>Step X implied assessing the proposed strategies (</w:t>
      </w:r>
      <w:r w:rsidR="00EE2D2B" w:rsidRPr="005C558F">
        <w:rPr>
          <w:bCs/>
          <w:i/>
          <w:iCs/>
          <w:szCs w:val="22"/>
        </w:rPr>
        <w:t>paths</w:t>
      </w:r>
      <w:r w:rsidR="00EE2D2B" w:rsidRPr="005C558F">
        <w:rPr>
          <w:bCs/>
          <w:szCs w:val="22"/>
        </w:rPr>
        <w:t xml:space="preserve">) on their </w:t>
      </w:r>
      <w:r w:rsidR="00EE2D2B" w:rsidRPr="005C558F">
        <w:rPr>
          <w:bCs/>
          <w:i/>
          <w:szCs w:val="22"/>
        </w:rPr>
        <w:t>robustness</w:t>
      </w:r>
      <w:r w:rsidR="00EE2D2B" w:rsidRPr="005C558F">
        <w:rPr>
          <w:bCs/>
          <w:szCs w:val="22"/>
        </w:rPr>
        <w:t xml:space="preserve"> and </w:t>
      </w:r>
      <w:r w:rsidR="00EE2D2B" w:rsidRPr="005C558F">
        <w:rPr>
          <w:bCs/>
          <w:i/>
          <w:szCs w:val="22"/>
        </w:rPr>
        <w:t>flexibility</w:t>
      </w:r>
      <w:r w:rsidR="00EE2D2B" w:rsidRPr="005C558F">
        <w:rPr>
          <w:bCs/>
          <w:szCs w:val="22"/>
        </w:rPr>
        <w:t>, under different scenarios, which could lead back to Step 2 in an iterative way (</w:t>
      </w:r>
      <w:proofErr w:type="spellStart"/>
      <w:r w:rsidR="00EE2D2B" w:rsidRPr="005C558F">
        <w:rPr>
          <w:bCs/>
          <w:color w:val="7F7F7F" w:themeColor="text1" w:themeTint="80"/>
          <w:szCs w:val="22"/>
        </w:rPr>
        <w:t>Gersonius</w:t>
      </w:r>
      <w:proofErr w:type="spellEnd"/>
      <w:r w:rsidR="00EE2D2B" w:rsidRPr="005C558F">
        <w:rPr>
          <w:bCs/>
          <w:color w:val="7F7F7F" w:themeColor="text1" w:themeTint="80"/>
          <w:szCs w:val="22"/>
        </w:rPr>
        <w:t xml:space="preserve"> et al. 2016, p.204-206</w:t>
      </w:r>
      <w:r w:rsidR="00EE2D2B" w:rsidRPr="005C558F">
        <w:rPr>
          <w:bCs/>
          <w:szCs w:val="22"/>
        </w:rPr>
        <w:t xml:space="preserve">; </w:t>
      </w:r>
      <w:r w:rsidR="00EE2D2B" w:rsidRPr="005C558F">
        <w:rPr>
          <w:bCs/>
          <w:color w:val="7F7F7F" w:themeColor="text1" w:themeTint="80"/>
          <w:szCs w:val="22"/>
        </w:rPr>
        <w:t xml:space="preserve">Zandvoort et al. 2018, p.189; </w:t>
      </w:r>
      <w:r w:rsidR="005C558F" w:rsidRPr="005C558F">
        <w:rPr>
          <w:bCs/>
          <w:color w:val="7F7F7F" w:themeColor="text1" w:themeTint="80"/>
          <w:szCs w:val="22"/>
        </w:rPr>
        <w:t>Brugge and Bruggeman 2019</w:t>
      </w:r>
      <w:r w:rsidR="00EE2D2B" w:rsidRPr="005C558F">
        <w:rPr>
          <w:bCs/>
          <w:color w:val="7F7F7F" w:themeColor="text1" w:themeTint="80"/>
          <w:szCs w:val="22"/>
        </w:rPr>
        <w:t>, p.4-5</w:t>
      </w:r>
      <w:r w:rsidR="00EE2D2B" w:rsidRPr="005C558F">
        <w:rPr>
          <w:bCs/>
          <w:szCs w:val="22"/>
        </w:rPr>
        <w:t xml:space="preserve">; </w:t>
      </w:r>
      <w:proofErr w:type="spellStart"/>
      <w:r w:rsidR="005C558F" w:rsidRPr="005C558F">
        <w:rPr>
          <w:bCs/>
          <w:color w:val="7F7F7F" w:themeColor="text1" w:themeTint="80"/>
          <w:szCs w:val="22"/>
        </w:rPr>
        <w:t>Deltares</w:t>
      </w:r>
      <w:proofErr w:type="spellEnd"/>
      <w:r w:rsidR="005C558F" w:rsidRPr="005C558F">
        <w:rPr>
          <w:bCs/>
          <w:color w:val="7F7F7F" w:themeColor="text1" w:themeTint="80"/>
          <w:szCs w:val="22"/>
        </w:rPr>
        <w:t xml:space="preserve"> 2018</w:t>
      </w:r>
      <w:r w:rsidR="00EE2D2B" w:rsidRPr="005C558F">
        <w:rPr>
          <w:bCs/>
          <w:szCs w:val="22"/>
        </w:rPr>
        <w:t>).</w:t>
      </w:r>
      <w:r w:rsidR="005905DB" w:rsidRPr="005C558F">
        <w:rPr>
          <w:bCs/>
        </w:rPr>
        <w:t xml:space="preserve"> </w:t>
      </w:r>
      <w:r w:rsidR="005905DB" w:rsidRPr="005C558F">
        <w:rPr>
          <w:rFonts w:cs="Arial"/>
          <w:bCs/>
        </w:rPr>
        <w:t xml:space="preserve">Each </w:t>
      </w:r>
      <w:r w:rsidR="005905DB" w:rsidRPr="005C558F">
        <w:rPr>
          <w:rFonts w:cs="Arial"/>
          <w:bCs/>
          <w:i/>
          <w:iCs/>
        </w:rPr>
        <w:t>Preferential Strategy</w:t>
      </w:r>
      <w:r w:rsidR="005905DB" w:rsidRPr="005C558F">
        <w:rPr>
          <w:rFonts w:cs="Arial"/>
          <w:bCs/>
        </w:rPr>
        <w:t xml:space="preserve">, with its measures, was analysed under the </w:t>
      </w:r>
      <w:r w:rsidR="005905DB" w:rsidRPr="005C558F">
        <w:rPr>
          <w:rFonts w:cs="Arial"/>
          <w:bCs/>
          <w:i/>
          <w:iCs/>
        </w:rPr>
        <w:t>Delta Scenarios</w:t>
      </w:r>
      <w:r w:rsidR="005905DB" w:rsidRPr="005C558F">
        <w:rPr>
          <w:rFonts w:cs="Arial"/>
          <w:bCs/>
        </w:rPr>
        <w:t xml:space="preserve"> (</w:t>
      </w:r>
      <w:r w:rsidR="005905DB" w:rsidRPr="005C558F">
        <w:rPr>
          <w:rFonts w:cs="Arial"/>
          <w:bCs/>
          <w:color w:val="7F7F7F" w:themeColor="text1" w:themeTint="80"/>
        </w:rPr>
        <w:t>DP 2016, p.6</w:t>
      </w:r>
      <w:r w:rsidR="005905DB" w:rsidRPr="005C558F">
        <w:rPr>
          <w:rFonts w:cs="Arial"/>
          <w:bCs/>
        </w:rPr>
        <w:t>); t</w:t>
      </w:r>
      <w:r w:rsidR="005905DB" w:rsidRPr="005C558F">
        <w:rPr>
          <w:bCs/>
        </w:rPr>
        <w:t>he diverse strategies (</w:t>
      </w:r>
      <w:r w:rsidR="005905DB" w:rsidRPr="005C558F">
        <w:rPr>
          <w:bCs/>
          <w:i/>
          <w:iCs/>
        </w:rPr>
        <w:t>paths</w:t>
      </w:r>
      <w:r w:rsidR="005905DB" w:rsidRPr="005C558F">
        <w:rPr>
          <w:bCs/>
        </w:rPr>
        <w:t>) devised by each Subprogramme were subjected to a ‘robustness test’ to see which strategies were effective under the different scenarios; the ‘</w:t>
      </w:r>
      <w:r w:rsidR="005905DB" w:rsidRPr="005C558F">
        <w:rPr>
          <w:bCs/>
          <w:i/>
          <w:iCs/>
        </w:rPr>
        <w:t>preferential</w:t>
      </w:r>
      <w:r w:rsidR="005905DB" w:rsidRPr="005C558F">
        <w:rPr>
          <w:bCs/>
        </w:rPr>
        <w:t xml:space="preserve">’ are those that performed well even in more drastic climatic scenarios </w:t>
      </w:r>
      <w:r w:rsidR="005905DB" w:rsidRPr="005C558F">
        <w:rPr>
          <w:rFonts w:cs="Arial"/>
          <w:bCs/>
          <w:szCs w:val="18"/>
        </w:rPr>
        <w:t>(</w:t>
      </w:r>
      <w:r w:rsidR="005905DB" w:rsidRPr="005C558F">
        <w:rPr>
          <w:rFonts w:cs="Arial"/>
          <w:bCs/>
          <w:color w:val="7F7F7F" w:themeColor="text1" w:themeTint="80"/>
          <w:szCs w:val="18"/>
        </w:rPr>
        <w:t>DP 2014, p.8</w:t>
      </w:r>
      <w:r w:rsidR="005905DB" w:rsidRPr="005C558F">
        <w:rPr>
          <w:rFonts w:cs="Arial"/>
          <w:bCs/>
          <w:szCs w:val="18"/>
        </w:rPr>
        <w:t>).</w:t>
      </w:r>
    </w:p>
    <w:p w14:paraId="3DEA76BD" w14:textId="02A34E43" w:rsidR="00F93780" w:rsidRPr="009B720F" w:rsidRDefault="00F93780" w:rsidP="00E74925">
      <w:pPr>
        <w:pStyle w:val="TEXTBODY"/>
        <w:numPr>
          <w:ilvl w:val="0"/>
          <w:numId w:val="73"/>
        </w:numPr>
        <w:spacing w:line="276" w:lineRule="auto"/>
        <w:ind w:left="284" w:hanging="284"/>
        <w:rPr>
          <w:bCs/>
        </w:rPr>
      </w:pPr>
      <w:r w:rsidRPr="009B720F">
        <w:rPr>
          <w:bCs/>
        </w:rPr>
        <w:t>Define the earliest and latest moment to adapt, considering the lead-time necessary for planning and implementing measures (</w:t>
      </w:r>
      <w:proofErr w:type="spellStart"/>
      <w:r w:rsidRPr="009B720F">
        <w:rPr>
          <w:bCs/>
          <w:color w:val="7F7F7F" w:themeColor="text1" w:themeTint="80"/>
        </w:rPr>
        <w:t>Jeuken</w:t>
      </w:r>
      <w:proofErr w:type="spellEnd"/>
      <w:r w:rsidRPr="009B720F">
        <w:rPr>
          <w:bCs/>
          <w:color w:val="7F7F7F" w:themeColor="text1" w:themeTint="80"/>
        </w:rPr>
        <w:t xml:space="preserve"> and Reeder 2011, p.7</w:t>
      </w:r>
      <w:r w:rsidRPr="009B720F">
        <w:rPr>
          <w:bCs/>
        </w:rPr>
        <w:t xml:space="preserve">) (i.e. implementation-moments and decision-moments). </w:t>
      </w:r>
    </w:p>
    <w:p w14:paraId="10EA3160" w14:textId="14564463" w:rsidR="00360840" w:rsidRPr="005C558F" w:rsidRDefault="000F7430" w:rsidP="00E74925">
      <w:pPr>
        <w:pStyle w:val="TEXTBODY"/>
        <w:spacing w:after="0" w:line="276" w:lineRule="auto"/>
        <w:rPr>
          <w:bCs/>
        </w:rPr>
      </w:pPr>
      <w:r w:rsidRPr="005C558F">
        <w:rPr>
          <w:bCs/>
        </w:rPr>
        <w:t>Overall, t</w:t>
      </w:r>
      <w:r w:rsidR="00360840" w:rsidRPr="005C558F">
        <w:rPr>
          <w:bCs/>
        </w:rPr>
        <w:t xml:space="preserve">he use of several scenarios played a key role in the design of </w:t>
      </w:r>
      <w:r w:rsidR="00360840" w:rsidRPr="005C558F">
        <w:rPr>
          <w:bCs/>
          <w:i/>
          <w:iCs/>
        </w:rPr>
        <w:t>robust flexible strategies</w:t>
      </w:r>
      <w:r w:rsidR="00360840" w:rsidRPr="005C558F">
        <w:rPr>
          <w:bCs/>
        </w:rPr>
        <w:t>, as it allowed the anticipation of future changes and the explicit consideration of uncertainties, assisted in identifying which measures must be taken in the short-term and which can be taken later (within a long-term strategy) (</w:t>
      </w:r>
      <w:r w:rsidR="00360840" w:rsidRPr="005C558F">
        <w:rPr>
          <w:bCs/>
          <w:color w:val="7F7F7F" w:themeColor="text1" w:themeTint="80"/>
        </w:rPr>
        <w:t>Marchand &amp; Ludwig 2014</w:t>
      </w:r>
      <w:r w:rsidR="00360840" w:rsidRPr="005C558F">
        <w:rPr>
          <w:bCs/>
        </w:rPr>
        <w:t>).</w:t>
      </w:r>
    </w:p>
    <w:p w14:paraId="72765532" w14:textId="77777777" w:rsidR="006C2FD7" w:rsidRPr="005C558F" w:rsidRDefault="006C2FD7" w:rsidP="00E74925">
      <w:pPr>
        <w:pStyle w:val="TEXTBODY"/>
        <w:spacing w:after="0" w:line="276" w:lineRule="auto"/>
        <w:rPr>
          <w:bCs/>
        </w:rPr>
      </w:pPr>
    </w:p>
    <w:p w14:paraId="744A1BF5" w14:textId="07B868AE" w:rsidR="006C2FD7" w:rsidRPr="009B720F" w:rsidRDefault="006C2FD7" w:rsidP="00E74925">
      <w:pPr>
        <w:pStyle w:val="TEXTBODY"/>
        <w:spacing w:line="276" w:lineRule="auto"/>
        <w:rPr>
          <w:bCs/>
        </w:rPr>
      </w:pPr>
      <w:r w:rsidRPr="005C558F">
        <w:rPr>
          <w:bCs/>
        </w:rPr>
        <w:t xml:space="preserve">Working with (considering and preparing for) a wide range of climatic and socioeconomic scenarios, </w:t>
      </w:r>
      <w:r w:rsidR="003C204E" w:rsidRPr="005C558F">
        <w:rPr>
          <w:bCs/>
        </w:rPr>
        <w:t>namely</w:t>
      </w:r>
      <w:r w:rsidRPr="005C558F">
        <w:rPr>
          <w:bCs/>
        </w:rPr>
        <w:t xml:space="preserve"> to assess measures and strategies</w:t>
      </w:r>
      <w:r w:rsidR="003C204E" w:rsidRPr="005C558F">
        <w:rPr>
          <w:bCs/>
        </w:rPr>
        <w:t xml:space="preserve"> (</w:t>
      </w:r>
      <w:r w:rsidR="003C204E" w:rsidRPr="005C558F">
        <w:rPr>
          <w:bCs/>
          <w:i/>
          <w:iCs/>
        </w:rPr>
        <w:t>paths</w:t>
      </w:r>
      <w:r w:rsidR="003C204E" w:rsidRPr="005C558F">
        <w:rPr>
          <w:bCs/>
        </w:rPr>
        <w:t>)</w:t>
      </w:r>
      <w:r w:rsidRPr="005C558F">
        <w:rPr>
          <w:bCs/>
        </w:rPr>
        <w:t xml:space="preserve">, can, therefore, be deemed a key element of the ADM approach that has been essential to develop and implement </w:t>
      </w:r>
      <w:r w:rsidRPr="005C558F">
        <w:rPr>
          <w:bCs/>
          <w:i/>
          <w:iCs/>
        </w:rPr>
        <w:t>robust adaptive strategies</w:t>
      </w:r>
      <w:r w:rsidRPr="005C558F">
        <w:rPr>
          <w:bCs/>
        </w:rPr>
        <w:t xml:space="preserve"> and to operationalize a real </w:t>
      </w:r>
      <w:r w:rsidRPr="005C558F">
        <w:rPr>
          <w:bCs/>
          <w:i/>
          <w:iCs/>
        </w:rPr>
        <w:t>Adaptive Delta Planning and Management</w:t>
      </w:r>
      <w:r w:rsidRPr="005C558F">
        <w:rPr>
          <w:bCs/>
        </w:rPr>
        <w:t xml:space="preserve"> </w:t>
      </w:r>
      <w:r w:rsidRPr="00E74925">
        <w:rPr>
          <w:bCs/>
        </w:rPr>
        <w:t xml:space="preserve">(as also </w:t>
      </w:r>
      <w:r w:rsidR="003C204E" w:rsidRPr="00E74925">
        <w:rPr>
          <w:bCs/>
        </w:rPr>
        <w:t>highlighted</w:t>
      </w:r>
      <w:r w:rsidRPr="00E74925">
        <w:rPr>
          <w:bCs/>
        </w:rPr>
        <w:t xml:space="preserve"> by </w:t>
      </w:r>
      <w:proofErr w:type="spellStart"/>
      <w:r w:rsidRPr="005C558F">
        <w:rPr>
          <w:bCs/>
          <w:color w:val="7F7F7F" w:themeColor="text1" w:themeTint="80"/>
        </w:rPr>
        <w:t>Jeuken</w:t>
      </w:r>
      <w:proofErr w:type="spellEnd"/>
      <w:r w:rsidRPr="005C558F">
        <w:rPr>
          <w:bCs/>
          <w:color w:val="7F7F7F" w:themeColor="text1" w:themeTint="80"/>
        </w:rPr>
        <w:t xml:space="preserve"> et al. 2014, p.1, 3, 10, 14, 23</w:t>
      </w:r>
      <w:r w:rsidRPr="005C558F">
        <w:rPr>
          <w:bCs/>
        </w:rPr>
        <w:t>).</w:t>
      </w:r>
      <w:r w:rsidRPr="009B720F">
        <w:rPr>
          <w:bCs/>
          <w:color w:val="C00000"/>
        </w:rPr>
        <w:t xml:space="preserve"> </w:t>
      </w:r>
    </w:p>
    <w:p w14:paraId="5A54118C" w14:textId="77777777" w:rsidR="005905DB" w:rsidRPr="009B720F" w:rsidRDefault="005905DB" w:rsidP="00E74925">
      <w:pPr>
        <w:pStyle w:val="TEXTBODY"/>
        <w:spacing w:line="276" w:lineRule="auto"/>
        <w:rPr>
          <w:bCs/>
        </w:rPr>
      </w:pPr>
    </w:p>
    <w:p w14:paraId="099A2CAC" w14:textId="35C0357F" w:rsidR="00354CF8" w:rsidRPr="009B720F" w:rsidRDefault="00354CF8" w:rsidP="00E74925">
      <w:pPr>
        <w:pStyle w:val="Ttulo4"/>
        <w:spacing w:line="276" w:lineRule="auto"/>
        <w:rPr>
          <w:bCs/>
        </w:rPr>
      </w:pPr>
      <w:r w:rsidRPr="009B720F">
        <w:rPr>
          <w:bCs/>
        </w:rPr>
        <w:t>Key-element 2</w:t>
      </w:r>
    </w:p>
    <w:p w14:paraId="5FDDFE4F" w14:textId="29D10FB9" w:rsidR="00D06AB7" w:rsidRPr="009B720F" w:rsidRDefault="00F10520" w:rsidP="00E74925">
      <w:pPr>
        <w:pStyle w:val="TEXTBODY"/>
        <w:spacing w:line="276" w:lineRule="auto"/>
        <w:rPr>
          <w:bCs/>
          <w:szCs w:val="22"/>
        </w:rPr>
      </w:pPr>
      <w:bookmarkStart w:id="109" w:name="_Hlk141357663"/>
      <w:r w:rsidRPr="009B720F">
        <w:rPr>
          <w:bCs/>
        </w:rPr>
        <w:t xml:space="preserve">The </w:t>
      </w:r>
      <w:r w:rsidRPr="009B720F">
        <w:rPr>
          <w:bCs/>
          <w:i/>
          <w:iCs/>
        </w:rPr>
        <w:t>ADM Implementation Guide</w:t>
      </w:r>
      <w:r w:rsidRPr="009B720F">
        <w:rPr>
          <w:bCs/>
        </w:rPr>
        <w:t xml:space="preserve"> recommends using (</w:t>
      </w:r>
      <w:r w:rsidRPr="009B720F">
        <w:rPr>
          <w:bCs/>
          <w:i/>
          <w:iCs/>
        </w:rPr>
        <w:t>suggests working with</w:t>
      </w:r>
      <w:r w:rsidRPr="009B720F">
        <w:rPr>
          <w:bCs/>
        </w:rPr>
        <w:t xml:space="preserve">) </w:t>
      </w:r>
      <w:r w:rsidRPr="009B720F">
        <w:rPr>
          <w:bCs/>
          <w:i/>
          <w:iCs/>
        </w:rPr>
        <w:t>Tipping-points</w:t>
      </w:r>
      <w:r w:rsidRPr="009B720F">
        <w:rPr>
          <w:bCs/>
        </w:rPr>
        <w:t xml:space="preserve"> </w:t>
      </w:r>
      <w:r w:rsidRPr="009B720F">
        <w:rPr>
          <w:bCs/>
          <w:color w:val="000000"/>
        </w:rPr>
        <w:t xml:space="preserve">(as noted by </w:t>
      </w:r>
      <w:proofErr w:type="spellStart"/>
      <w:r w:rsidRPr="009B720F">
        <w:rPr>
          <w:bCs/>
          <w:color w:val="7F7F7F" w:themeColor="text1" w:themeTint="80"/>
        </w:rPr>
        <w:t>Restemeyer</w:t>
      </w:r>
      <w:proofErr w:type="spellEnd"/>
      <w:r w:rsidRPr="009B720F">
        <w:rPr>
          <w:bCs/>
          <w:color w:val="7F7F7F" w:themeColor="text1" w:themeTint="80"/>
        </w:rPr>
        <w:t xml:space="preserve"> et al. 2017, 930</w:t>
      </w:r>
      <w:r w:rsidRPr="009B720F">
        <w:rPr>
          <w:bCs/>
          <w:color w:val="000000"/>
        </w:rPr>
        <w:t xml:space="preserve">). </w:t>
      </w:r>
      <w:r w:rsidR="00354CF8" w:rsidRPr="009B720F">
        <w:rPr>
          <w:bCs/>
        </w:rPr>
        <w:t xml:space="preserve">The ADM approach </w:t>
      </w:r>
      <w:r w:rsidRPr="009B720F">
        <w:rPr>
          <w:bCs/>
        </w:rPr>
        <w:t>itself uses (utilizes/employs)</w:t>
      </w:r>
      <w:r w:rsidR="00354CF8" w:rsidRPr="009B720F">
        <w:rPr>
          <w:bCs/>
        </w:rPr>
        <w:t xml:space="preserve"> the method of </w:t>
      </w:r>
      <w:r w:rsidR="00354CF8" w:rsidRPr="009B720F">
        <w:rPr>
          <w:bCs/>
          <w:i/>
          <w:iCs/>
        </w:rPr>
        <w:t xml:space="preserve">Adaptation Tipping-Points </w:t>
      </w:r>
      <w:r w:rsidR="00354CF8" w:rsidRPr="009B720F">
        <w:rPr>
          <w:bCs/>
          <w:szCs w:val="22"/>
        </w:rPr>
        <w:t>(ATPs) (</w:t>
      </w:r>
      <w:r w:rsidRPr="009B720F">
        <w:rPr>
          <w:bCs/>
          <w:szCs w:val="22"/>
        </w:rPr>
        <w:t xml:space="preserve">of </w:t>
      </w:r>
      <w:proofErr w:type="spellStart"/>
      <w:r w:rsidR="00354CF8" w:rsidRPr="009B720F">
        <w:rPr>
          <w:bCs/>
          <w:color w:val="7F7F7F" w:themeColor="text1" w:themeTint="80"/>
          <w:szCs w:val="22"/>
        </w:rPr>
        <w:t>Kwadjik</w:t>
      </w:r>
      <w:proofErr w:type="spellEnd"/>
      <w:r w:rsidR="00354CF8" w:rsidRPr="009B720F">
        <w:rPr>
          <w:bCs/>
          <w:color w:val="7F7F7F" w:themeColor="text1" w:themeTint="80"/>
          <w:szCs w:val="22"/>
        </w:rPr>
        <w:t xml:space="preserve"> et al. 2010</w:t>
      </w:r>
      <w:r w:rsidR="00354CF8" w:rsidRPr="009B720F">
        <w:rPr>
          <w:bCs/>
          <w:szCs w:val="22"/>
        </w:rPr>
        <w:t>)</w:t>
      </w:r>
      <w:r w:rsidR="0093264C" w:rsidRPr="009B720F">
        <w:rPr>
          <w:bCs/>
          <w:szCs w:val="22"/>
        </w:rPr>
        <w:t xml:space="preserve"> (</w:t>
      </w:r>
      <w:r w:rsidR="0093264C" w:rsidRPr="005C558F">
        <w:rPr>
          <w:bCs/>
          <w:szCs w:val="22"/>
        </w:rPr>
        <w:t xml:space="preserve">as recognized by </w:t>
      </w:r>
      <w:proofErr w:type="spellStart"/>
      <w:r w:rsidR="0093264C" w:rsidRPr="005C558F">
        <w:rPr>
          <w:bCs/>
          <w:color w:val="7F7F7F" w:themeColor="text1" w:themeTint="80"/>
          <w:szCs w:val="22"/>
        </w:rPr>
        <w:t>Gersonius</w:t>
      </w:r>
      <w:proofErr w:type="spellEnd"/>
      <w:r w:rsidR="0093264C" w:rsidRPr="005C558F">
        <w:rPr>
          <w:bCs/>
          <w:color w:val="7F7F7F" w:themeColor="text1" w:themeTint="80"/>
          <w:szCs w:val="22"/>
        </w:rPr>
        <w:t xml:space="preserve"> et al. 2016, p.204, 213</w:t>
      </w:r>
      <w:r w:rsidR="0093264C" w:rsidRPr="005C558F">
        <w:rPr>
          <w:bCs/>
          <w:szCs w:val="22"/>
        </w:rPr>
        <w:t xml:space="preserve">). </w:t>
      </w:r>
      <w:r w:rsidR="00354CF8" w:rsidRPr="005C558F">
        <w:rPr>
          <w:bCs/>
          <w:szCs w:val="22"/>
        </w:rPr>
        <w:t xml:space="preserve">In the </w:t>
      </w:r>
      <w:r w:rsidR="005A1E08" w:rsidRPr="005C558F">
        <w:rPr>
          <w:bCs/>
          <w:szCs w:val="22"/>
        </w:rPr>
        <w:t xml:space="preserve">ADM </w:t>
      </w:r>
      <w:r w:rsidR="003C580F" w:rsidRPr="005C558F">
        <w:rPr>
          <w:bCs/>
          <w:szCs w:val="22"/>
        </w:rPr>
        <w:t>process</w:t>
      </w:r>
      <w:r w:rsidR="00354CF8" w:rsidRPr="005C558F">
        <w:rPr>
          <w:bCs/>
          <w:szCs w:val="22"/>
        </w:rPr>
        <w:t xml:space="preserve">, namely in </w:t>
      </w:r>
      <w:r w:rsidR="00787FB6" w:rsidRPr="005C558F">
        <w:rPr>
          <w:bCs/>
          <w:szCs w:val="22"/>
        </w:rPr>
        <w:t>Step</w:t>
      </w:r>
      <w:r w:rsidR="00354CF8" w:rsidRPr="005C558F">
        <w:rPr>
          <w:bCs/>
          <w:szCs w:val="22"/>
        </w:rPr>
        <w:t xml:space="preserve"> 1, it is necessary to identify external developments to which the </w:t>
      </w:r>
      <w:r w:rsidR="003C580F" w:rsidRPr="005C558F">
        <w:rPr>
          <w:bCs/>
          <w:szCs w:val="22"/>
        </w:rPr>
        <w:t xml:space="preserve">defined </w:t>
      </w:r>
      <w:r w:rsidR="00354CF8" w:rsidRPr="005C558F">
        <w:rPr>
          <w:bCs/>
          <w:szCs w:val="22"/>
        </w:rPr>
        <w:t>objectives are most vulnerable to, by using scenario</w:t>
      </w:r>
      <w:r w:rsidR="003C580F" w:rsidRPr="005C558F">
        <w:rPr>
          <w:bCs/>
          <w:szCs w:val="22"/>
        </w:rPr>
        <w:t>s</w:t>
      </w:r>
      <w:r w:rsidR="00787FB6" w:rsidRPr="005C558F">
        <w:rPr>
          <w:bCs/>
          <w:szCs w:val="22"/>
        </w:rPr>
        <w:t xml:space="preserve">, and in Step 2, it is necessary to </w:t>
      </w:r>
      <w:r w:rsidR="009040BB" w:rsidRPr="005C558F">
        <w:rPr>
          <w:bCs/>
          <w:szCs w:val="22"/>
        </w:rPr>
        <w:t>analyse</w:t>
      </w:r>
      <w:r w:rsidR="00354CF8" w:rsidRPr="005C558F">
        <w:rPr>
          <w:bCs/>
          <w:szCs w:val="22"/>
        </w:rPr>
        <w:t xml:space="preserve"> </w:t>
      </w:r>
      <w:r w:rsidR="00354CF8" w:rsidRPr="005C558F">
        <w:rPr>
          <w:bCs/>
          <w:i/>
          <w:iCs/>
          <w:szCs w:val="22"/>
        </w:rPr>
        <w:t>what amount of change can the system handle</w:t>
      </w:r>
      <w:r w:rsidR="003C580F" w:rsidRPr="005C558F">
        <w:rPr>
          <w:bCs/>
          <w:szCs w:val="22"/>
        </w:rPr>
        <w:t>,</w:t>
      </w:r>
      <w:r w:rsidR="003C580F" w:rsidRPr="005C558F">
        <w:rPr>
          <w:bCs/>
          <w:i/>
          <w:iCs/>
          <w:szCs w:val="22"/>
        </w:rPr>
        <w:t xml:space="preserve"> </w:t>
      </w:r>
      <w:r w:rsidR="003C580F" w:rsidRPr="005C558F">
        <w:rPr>
          <w:bCs/>
          <w:szCs w:val="22"/>
        </w:rPr>
        <w:t>and</w:t>
      </w:r>
      <w:r w:rsidR="009040BB" w:rsidRPr="005C558F">
        <w:rPr>
          <w:bCs/>
          <w:szCs w:val="22"/>
        </w:rPr>
        <w:t xml:space="preserve"> in specific, assess</w:t>
      </w:r>
      <w:r w:rsidR="00354CF8" w:rsidRPr="005C558F">
        <w:rPr>
          <w:bCs/>
          <w:i/>
          <w:iCs/>
          <w:szCs w:val="22"/>
        </w:rPr>
        <w:t xml:space="preserve"> what is the critical level (ATP</w:t>
      </w:r>
      <w:r w:rsidR="00787FB6" w:rsidRPr="005C558F">
        <w:rPr>
          <w:bCs/>
          <w:i/>
          <w:iCs/>
          <w:szCs w:val="22"/>
        </w:rPr>
        <w:t xml:space="preserve">, </w:t>
      </w:r>
      <w:proofErr w:type="spellStart"/>
      <w:r w:rsidR="00787FB6" w:rsidRPr="005C558F">
        <w:rPr>
          <w:bCs/>
          <w:color w:val="7F7F7F" w:themeColor="text1" w:themeTint="80"/>
          <w:szCs w:val="22"/>
        </w:rPr>
        <w:t>Kwadjik</w:t>
      </w:r>
      <w:proofErr w:type="spellEnd"/>
      <w:r w:rsidR="00787FB6" w:rsidRPr="005C558F">
        <w:rPr>
          <w:bCs/>
          <w:color w:val="7F7F7F" w:themeColor="text1" w:themeTint="80"/>
          <w:szCs w:val="22"/>
        </w:rPr>
        <w:t xml:space="preserve"> et al. 2010</w:t>
      </w:r>
      <w:r w:rsidR="00354CF8" w:rsidRPr="005C558F">
        <w:rPr>
          <w:bCs/>
          <w:i/>
          <w:iCs/>
          <w:szCs w:val="22"/>
        </w:rPr>
        <w:t>) before the objectives are not met anymore</w:t>
      </w:r>
      <w:r w:rsidR="00354CF8" w:rsidRPr="005C558F">
        <w:rPr>
          <w:bCs/>
          <w:szCs w:val="22"/>
        </w:rPr>
        <w:t xml:space="preserve">, and </w:t>
      </w:r>
      <w:r w:rsidR="00354CF8" w:rsidRPr="005C558F">
        <w:rPr>
          <w:bCs/>
          <w:i/>
          <w:iCs/>
          <w:szCs w:val="22"/>
        </w:rPr>
        <w:t>when</w:t>
      </w:r>
      <w:r w:rsidR="00354CF8" w:rsidRPr="005C558F">
        <w:rPr>
          <w:bCs/>
          <w:szCs w:val="22"/>
        </w:rPr>
        <w:t xml:space="preserve"> this occur</w:t>
      </w:r>
      <w:r w:rsidR="009040BB" w:rsidRPr="005C558F">
        <w:rPr>
          <w:bCs/>
          <w:szCs w:val="22"/>
        </w:rPr>
        <w:t>s</w:t>
      </w:r>
      <w:r w:rsidR="00354CF8" w:rsidRPr="005C558F">
        <w:rPr>
          <w:bCs/>
          <w:szCs w:val="22"/>
        </w:rPr>
        <w:t xml:space="preserve"> in different future scenarios</w:t>
      </w:r>
      <w:r w:rsidRPr="005C558F">
        <w:rPr>
          <w:bCs/>
          <w:szCs w:val="22"/>
        </w:rPr>
        <w:t xml:space="preserve"> (</w:t>
      </w:r>
      <w:proofErr w:type="spellStart"/>
      <w:r w:rsidRPr="005C558F">
        <w:rPr>
          <w:bCs/>
          <w:color w:val="7F7F7F" w:themeColor="text1" w:themeTint="80"/>
          <w:szCs w:val="22"/>
        </w:rPr>
        <w:t>Jeuken</w:t>
      </w:r>
      <w:proofErr w:type="spellEnd"/>
      <w:r w:rsidRPr="005C558F">
        <w:rPr>
          <w:bCs/>
          <w:color w:val="7F7F7F" w:themeColor="text1" w:themeTint="80"/>
          <w:szCs w:val="22"/>
        </w:rPr>
        <w:t xml:space="preserve"> et al. 2014, p.</w:t>
      </w:r>
      <w:r w:rsidR="009040BB" w:rsidRPr="005C558F">
        <w:rPr>
          <w:bCs/>
          <w:color w:val="7F7F7F" w:themeColor="text1" w:themeTint="80"/>
          <w:szCs w:val="22"/>
        </w:rPr>
        <w:t>4</w:t>
      </w:r>
      <w:r w:rsidRPr="005C558F">
        <w:rPr>
          <w:bCs/>
          <w:szCs w:val="22"/>
        </w:rPr>
        <w:t xml:space="preserve">). </w:t>
      </w:r>
      <w:r w:rsidR="003C580F" w:rsidRPr="005C558F">
        <w:rPr>
          <w:bCs/>
          <w:szCs w:val="22"/>
        </w:rPr>
        <w:t xml:space="preserve">In ADM, </w:t>
      </w:r>
      <w:r w:rsidR="00354CF8" w:rsidRPr="005C558F">
        <w:rPr>
          <w:bCs/>
          <w:szCs w:val="22"/>
        </w:rPr>
        <w:t xml:space="preserve">ATPs </w:t>
      </w:r>
      <w:r w:rsidR="009040BB" w:rsidRPr="005C558F">
        <w:rPr>
          <w:bCs/>
          <w:szCs w:val="22"/>
        </w:rPr>
        <w:t xml:space="preserve">refer to </w:t>
      </w:r>
      <w:r w:rsidR="00354CF8" w:rsidRPr="005C558F">
        <w:rPr>
          <w:bCs/>
          <w:szCs w:val="22"/>
        </w:rPr>
        <w:t>critical levels that represent a threat to the objectives (</w:t>
      </w:r>
      <w:proofErr w:type="spellStart"/>
      <w:r w:rsidR="00354CF8" w:rsidRPr="005C558F">
        <w:rPr>
          <w:bCs/>
          <w:color w:val="7F7F7F" w:themeColor="text1" w:themeTint="80"/>
          <w:szCs w:val="22"/>
        </w:rPr>
        <w:t>Jeuken</w:t>
      </w:r>
      <w:proofErr w:type="spellEnd"/>
      <w:r w:rsidR="00354CF8" w:rsidRPr="005C558F">
        <w:rPr>
          <w:bCs/>
          <w:color w:val="7F7F7F" w:themeColor="text1" w:themeTint="80"/>
          <w:szCs w:val="22"/>
        </w:rPr>
        <w:t xml:space="preserve"> et al. 2014, p.</w:t>
      </w:r>
      <w:r w:rsidR="009040BB" w:rsidRPr="009B720F">
        <w:rPr>
          <w:bCs/>
          <w:color w:val="7F7F7F" w:themeColor="text1" w:themeTint="80"/>
          <w:szCs w:val="22"/>
        </w:rPr>
        <w:t>4</w:t>
      </w:r>
      <w:r w:rsidR="00354CF8" w:rsidRPr="009B720F">
        <w:rPr>
          <w:bCs/>
          <w:szCs w:val="22"/>
        </w:rPr>
        <w:t xml:space="preserve">). </w:t>
      </w:r>
    </w:p>
    <w:p w14:paraId="3E3E8D1D" w14:textId="5454E3BA" w:rsidR="00997D03" w:rsidRPr="009B720F" w:rsidRDefault="009040BB" w:rsidP="00E74925">
      <w:pPr>
        <w:pStyle w:val="TEXTBODY"/>
        <w:spacing w:line="276" w:lineRule="auto"/>
        <w:rPr>
          <w:bCs/>
        </w:rPr>
      </w:pPr>
      <w:r w:rsidRPr="005C558F">
        <w:rPr>
          <w:bCs/>
          <w:noProof/>
        </w:rPr>
        <w:t>In</w:t>
      </w:r>
      <w:r w:rsidRPr="005C558F">
        <w:rPr>
          <w:bCs/>
          <w:color w:val="C00000"/>
          <w:szCs w:val="22"/>
        </w:rPr>
        <w:t xml:space="preserve"> </w:t>
      </w:r>
      <w:r w:rsidRPr="005C558F">
        <w:rPr>
          <w:bCs/>
          <w:szCs w:val="22"/>
        </w:rPr>
        <w:t>ADM</w:t>
      </w:r>
      <w:r w:rsidR="00F67099" w:rsidRPr="005C558F">
        <w:rPr>
          <w:bCs/>
          <w:szCs w:val="22"/>
        </w:rPr>
        <w:t xml:space="preserve">, </w:t>
      </w:r>
      <w:r w:rsidR="00F10520" w:rsidRPr="005C558F">
        <w:rPr>
          <w:bCs/>
        </w:rPr>
        <w:t>ATPs</w:t>
      </w:r>
      <w:r w:rsidR="00F67099" w:rsidRPr="005C558F">
        <w:rPr>
          <w:bCs/>
        </w:rPr>
        <w:t xml:space="preserve"> </w:t>
      </w:r>
      <w:r w:rsidR="00F10520" w:rsidRPr="005C558F">
        <w:rPr>
          <w:bCs/>
        </w:rPr>
        <w:t>are</w:t>
      </w:r>
      <w:r w:rsidR="00F67099" w:rsidRPr="005C558F">
        <w:rPr>
          <w:bCs/>
        </w:rPr>
        <w:t xml:space="preserve"> defined as</w:t>
      </w:r>
      <w:r w:rsidR="00F10520" w:rsidRPr="005C558F">
        <w:rPr>
          <w:bCs/>
        </w:rPr>
        <w:t xml:space="preserve"> </w:t>
      </w:r>
      <w:r w:rsidR="00F67099" w:rsidRPr="005C558F">
        <w:rPr>
          <w:bCs/>
          <w:i/>
          <w:iCs/>
        </w:rPr>
        <w:t xml:space="preserve">points where the magnitude of change due to external pressures such as SLR or peak discharges is such that the current strategy </w:t>
      </w:r>
      <w:r w:rsidR="00F67099" w:rsidRPr="005C558F">
        <w:rPr>
          <w:bCs/>
        </w:rPr>
        <w:t>(measure)</w:t>
      </w:r>
      <w:r w:rsidR="00F67099" w:rsidRPr="005C558F">
        <w:rPr>
          <w:bCs/>
          <w:i/>
          <w:iCs/>
        </w:rPr>
        <w:t xml:space="preserve"> will no longer be able to meet the objectives and thus the measure is no longer adequate</w:t>
      </w:r>
      <w:r w:rsidR="00F67099" w:rsidRPr="005C558F">
        <w:rPr>
          <w:bCs/>
        </w:rPr>
        <w:t xml:space="preserve"> (</w:t>
      </w:r>
      <w:r w:rsidR="00F10520" w:rsidRPr="005C558F">
        <w:rPr>
          <w:bCs/>
          <w:i/>
          <w:iCs/>
        </w:rPr>
        <w:t xml:space="preserve">in </w:t>
      </w:r>
      <w:r w:rsidR="00F10520" w:rsidRPr="005C558F">
        <w:rPr>
          <w:bCs/>
          <w:color w:val="595959" w:themeColor="text1" w:themeTint="A6"/>
        </w:rPr>
        <w:t>Zevenbergen et al. 2018</w:t>
      </w:r>
      <w:r w:rsidRPr="005C558F">
        <w:rPr>
          <w:bCs/>
          <w:color w:val="595959" w:themeColor="text1" w:themeTint="A6"/>
        </w:rPr>
        <w:t>, p.4</w:t>
      </w:r>
      <w:r w:rsidR="00F10520" w:rsidRPr="005C558F">
        <w:rPr>
          <w:bCs/>
          <w:color w:val="595959" w:themeColor="text1" w:themeTint="A6"/>
        </w:rPr>
        <w:t xml:space="preserve">, </w:t>
      </w:r>
      <w:r w:rsidR="00F10520" w:rsidRPr="005C558F">
        <w:rPr>
          <w:bCs/>
        </w:rPr>
        <w:t xml:space="preserve">based on </w:t>
      </w:r>
      <w:proofErr w:type="spellStart"/>
      <w:r w:rsidR="00F10520" w:rsidRPr="005C558F">
        <w:rPr>
          <w:bCs/>
          <w:color w:val="595959" w:themeColor="text1" w:themeTint="A6"/>
        </w:rPr>
        <w:t>Kwadijk</w:t>
      </w:r>
      <w:proofErr w:type="spellEnd"/>
      <w:r w:rsidR="00F10520" w:rsidRPr="005C558F">
        <w:rPr>
          <w:bCs/>
          <w:color w:val="595959" w:themeColor="text1" w:themeTint="A6"/>
        </w:rPr>
        <w:t xml:space="preserve"> et al. 2010</w:t>
      </w:r>
      <w:r w:rsidR="00F10520" w:rsidRPr="005C558F">
        <w:rPr>
          <w:bCs/>
        </w:rPr>
        <w:t>)</w:t>
      </w:r>
      <w:r w:rsidR="00F67099" w:rsidRPr="005C558F">
        <w:rPr>
          <w:bCs/>
        </w:rPr>
        <w:t>.</w:t>
      </w:r>
      <w:r w:rsidRPr="005C558F">
        <w:rPr>
          <w:rStyle w:val="Refdenotaderodap"/>
          <w:bCs/>
        </w:rPr>
        <w:footnoteReference w:id="86"/>
      </w:r>
      <w:r w:rsidR="00F67099" w:rsidRPr="005C558F">
        <w:rPr>
          <w:bCs/>
        </w:rPr>
        <w:t xml:space="preserve"> </w:t>
      </w:r>
      <w:r w:rsidR="00F10520" w:rsidRPr="005C558F">
        <w:rPr>
          <w:bCs/>
        </w:rPr>
        <w:t xml:space="preserve">In </w:t>
      </w:r>
      <w:r w:rsidR="005A1E08" w:rsidRPr="005C558F">
        <w:rPr>
          <w:bCs/>
        </w:rPr>
        <w:t xml:space="preserve">the </w:t>
      </w:r>
      <w:r w:rsidR="00F10520" w:rsidRPr="005C558F">
        <w:rPr>
          <w:bCs/>
        </w:rPr>
        <w:t>ADM approach</w:t>
      </w:r>
      <w:r w:rsidR="00F10520" w:rsidRPr="005C558F">
        <w:rPr>
          <w:bCs/>
          <w:color w:val="231F20"/>
        </w:rPr>
        <w:t>, ATPs are understood as ‘</w:t>
      </w:r>
      <w:r w:rsidR="00F10520" w:rsidRPr="005C558F">
        <w:rPr>
          <w:bCs/>
          <w:i/>
        </w:rPr>
        <w:t xml:space="preserve">points where the magnitude of change due to socioeconomic developments, climate change or sea-level rise is such that the current strategy </w:t>
      </w:r>
      <w:r w:rsidR="00F10520" w:rsidRPr="005C558F">
        <w:rPr>
          <w:bCs/>
          <w:iCs/>
        </w:rPr>
        <w:t>(measure)</w:t>
      </w:r>
      <w:r w:rsidR="00F10520" w:rsidRPr="005C558F">
        <w:rPr>
          <w:bCs/>
          <w:i/>
        </w:rPr>
        <w:t xml:space="preserve"> will no longer be able to meet the objectives</w:t>
      </w:r>
      <w:r w:rsidR="00F10520" w:rsidRPr="005C558F">
        <w:rPr>
          <w:bCs/>
        </w:rPr>
        <w:t xml:space="preserve">’; an ATP indicates conditions under which a given measure fails and other measure is needed (e.g. a level </w:t>
      </w:r>
      <w:r w:rsidR="00F10520" w:rsidRPr="005C558F">
        <w:rPr>
          <w:bCs/>
        </w:rPr>
        <w:lastRenderedPageBreak/>
        <w:t>of SLR at which a storm surge barrier ceases to function)</w:t>
      </w:r>
      <w:r w:rsidR="00F67099" w:rsidRPr="005C558F">
        <w:rPr>
          <w:bCs/>
        </w:rPr>
        <w:t>; i.e. a switch to a new measure is needed once an adaptation tipping-point is in sight</w:t>
      </w:r>
      <w:r w:rsidR="00F10520" w:rsidRPr="005C558F">
        <w:rPr>
          <w:bCs/>
          <w:color w:val="231F20"/>
        </w:rPr>
        <w:t xml:space="preserve"> (</w:t>
      </w:r>
      <w:r w:rsidR="00F10520" w:rsidRPr="005C558F">
        <w:rPr>
          <w:bCs/>
          <w:color w:val="7F7F7F" w:themeColor="text1" w:themeTint="80"/>
        </w:rPr>
        <w:t xml:space="preserve">Haegen and </w:t>
      </w:r>
      <w:proofErr w:type="spellStart"/>
      <w:r w:rsidR="00F10520" w:rsidRPr="005C558F">
        <w:rPr>
          <w:bCs/>
          <w:color w:val="7F7F7F" w:themeColor="text1" w:themeTint="80"/>
        </w:rPr>
        <w:t>Wieriks</w:t>
      </w:r>
      <w:proofErr w:type="spellEnd"/>
      <w:r w:rsidR="00F10520" w:rsidRPr="005C558F">
        <w:rPr>
          <w:bCs/>
          <w:color w:val="7F7F7F" w:themeColor="text1" w:themeTint="80"/>
        </w:rPr>
        <w:t xml:space="preserve"> 2015</w:t>
      </w:r>
      <w:r w:rsidR="00F67099" w:rsidRPr="005C558F">
        <w:rPr>
          <w:bCs/>
          <w:color w:val="7F7F7F" w:themeColor="text1" w:themeTint="80"/>
        </w:rPr>
        <w:t>, p.51</w:t>
      </w:r>
      <w:r w:rsidR="00F10520" w:rsidRPr="005C558F">
        <w:rPr>
          <w:bCs/>
          <w:color w:val="231F20"/>
        </w:rPr>
        <w:t>)</w:t>
      </w:r>
      <w:r w:rsidR="00997D03" w:rsidRPr="005C558F">
        <w:rPr>
          <w:bCs/>
        </w:rPr>
        <w:t>.</w:t>
      </w:r>
      <w:r w:rsidR="00997D03" w:rsidRPr="009B720F">
        <w:rPr>
          <w:bCs/>
        </w:rPr>
        <w:t xml:space="preserve"> </w:t>
      </w:r>
    </w:p>
    <w:p w14:paraId="122F27B1" w14:textId="7BA8599E" w:rsidR="00D07E7F" w:rsidRPr="009B720F" w:rsidRDefault="00D07E7F" w:rsidP="00E74925">
      <w:pPr>
        <w:pStyle w:val="TEXTBODY"/>
        <w:spacing w:line="276" w:lineRule="auto"/>
        <w:rPr>
          <w:bCs/>
        </w:rPr>
      </w:pPr>
      <w:bookmarkStart w:id="110" w:name="_Hlk140510366"/>
      <w:r w:rsidRPr="005C558F">
        <w:rPr>
          <w:bCs/>
        </w:rPr>
        <w:t xml:space="preserve">In ADM, </w:t>
      </w:r>
      <w:r w:rsidRPr="005C558F">
        <w:rPr>
          <w:bCs/>
          <w:i/>
          <w:iCs/>
        </w:rPr>
        <w:t>tipping-points</w:t>
      </w:r>
      <w:r w:rsidRPr="005C558F">
        <w:rPr>
          <w:bCs/>
        </w:rPr>
        <w:t xml:space="preserve"> correspond to points / conditions under which the </w:t>
      </w:r>
      <w:r w:rsidR="00997D03" w:rsidRPr="005C558F">
        <w:rPr>
          <w:bCs/>
        </w:rPr>
        <w:t>existing (current)</w:t>
      </w:r>
      <w:r w:rsidRPr="005C558F">
        <w:rPr>
          <w:bCs/>
        </w:rPr>
        <w:t xml:space="preserve"> management actions / measures or policies become ‘</w:t>
      </w:r>
      <w:r w:rsidRPr="005C558F">
        <w:rPr>
          <w:bCs/>
          <w:i/>
          <w:iCs/>
        </w:rPr>
        <w:t>too expensive, technically impossible or societally unacceptable</w:t>
      </w:r>
      <w:r w:rsidRPr="005C558F">
        <w:rPr>
          <w:bCs/>
        </w:rPr>
        <w:t>’</w:t>
      </w:r>
      <w:r w:rsidR="00997D03" w:rsidRPr="005C558F">
        <w:rPr>
          <w:bCs/>
        </w:rPr>
        <w:t xml:space="preserve">; </w:t>
      </w:r>
      <w:r w:rsidRPr="005C558F">
        <w:rPr>
          <w:bCs/>
        </w:rPr>
        <w:t>the date of an ATP indicates an ‘expiration date’ at which a given measure or policy ceases to be feasible (</w:t>
      </w:r>
      <w:r w:rsidR="00997D03" w:rsidRPr="005C558F">
        <w:rPr>
          <w:bCs/>
          <w:color w:val="7F7F7F" w:themeColor="text1" w:themeTint="80"/>
        </w:rPr>
        <w:t xml:space="preserve">Rhee 2012, p.18, </w:t>
      </w:r>
      <w:r w:rsidR="00997D03" w:rsidRPr="005C558F">
        <w:rPr>
          <w:bCs/>
          <w:i/>
          <w:iCs/>
          <w:color w:val="7F7F7F" w:themeColor="text1" w:themeTint="80"/>
        </w:rPr>
        <w:t xml:space="preserve">in </w:t>
      </w:r>
      <w:r w:rsidR="00997D03" w:rsidRPr="005C558F">
        <w:rPr>
          <w:bCs/>
          <w:color w:val="7F7F7F" w:themeColor="text1" w:themeTint="80"/>
        </w:rPr>
        <w:t>Zandvoort et al. 2018, p.190</w:t>
      </w:r>
      <w:bookmarkEnd w:id="110"/>
      <w:r w:rsidR="005C558F">
        <w:rPr>
          <w:bCs/>
        </w:rPr>
        <w:t>).</w:t>
      </w:r>
    </w:p>
    <w:p w14:paraId="40137609" w14:textId="7478F47C" w:rsidR="00D07E7F" w:rsidRPr="005C558F" w:rsidRDefault="00CB0312" w:rsidP="00E74925">
      <w:pPr>
        <w:pStyle w:val="TEXTBODY"/>
        <w:spacing w:line="276" w:lineRule="auto"/>
        <w:rPr>
          <w:bCs/>
        </w:rPr>
      </w:pPr>
      <w:r w:rsidRPr="005C558F">
        <w:rPr>
          <w:bCs/>
          <w:color w:val="000000"/>
        </w:rPr>
        <w:t xml:space="preserve">To </w:t>
      </w:r>
      <w:r w:rsidR="00F10520" w:rsidRPr="005C558F">
        <w:rPr>
          <w:bCs/>
          <w:color w:val="000000"/>
        </w:rPr>
        <w:t xml:space="preserve">support the application of </w:t>
      </w:r>
      <w:r w:rsidRPr="005C558F">
        <w:rPr>
          <w:bCs/>
          <w:color w:val="000000"/>
        </w:rPr>
        <w:t>ADM and its</w:t>
      </w:r>
      <w:r w:rsidR="00F10520" w:rsidRPr="005C558F">
        <w:rPr>
          <w:bCs/>
          <w:color w:val="000000"/>
        </w:rPr>
        <w:t xml:space="preserve"> four core principles </w:t>
      </w:r>
      <w:r w:rsidR="00F10520" w:rsidRPr="005C558F">
        <w:rPr>
          <w:bCs/>
        </w:rPr>
        <w:t xml:space="preserve">in the DP and its Subprogrammes, two </w:t>
      </w:r>
      <w:r w:rsidRPr="005C558F">
        <w:rPr>
          <w:bCs/>
        </w:rPr>
        <w:t xml:space="preserve">main </w:t>
      </w:r>
      <w:r w:rsidR="00F10520" w:rsidRPr="005C558F">
        <w:rPr>
          <w:bCs/>
        </w:rPr>
        <w:t xml:space="preserve">methods </w:t>
      </w:r>
      <w:r w:rsidR="00F10520" w:rsidRPr="005C558F">
        <w:rPr>
          <w:bCs/>
          <w:color w:val="000000"/>
        </w:rPr>
        <w:t xml:space="preserve">were used: </w:t>
      </w:r>
      <w:r w:rsidR="00F10520" w:rsidRPr="005C558F">
        <w:rPr>
          <w:bCs/>
        </w:rPr>
        <w:t>Adaptation Tipping-Points (ATPs) (</w:t>
      </w:r>
      <w:proofErr w:type="spellStart"/>
      <w:r w:rsidR="00F10520" w:rsidRPr="005C558F">
        <w:rPr>
          <w:bCs/>
          <w:color w:val="7F7F7F" w:themeColor="text1" w:themeTint="80"/>
        </w:rPr>
        <w:t>Kwadijk</w:t>
      </w:r>
      <w:proofErr w:type="spellEnd"/>
      <w:r w:rsidR="00F10520" w:rsidRPr="005C558F">
        <w:rPr>
          <w:bCs/>
          <w:color w:val="7F7F7F" w:themeColor="text1" w:themeTint="80"/>
        </w:rPr>
        <w:t xml:space="preserve"> et al. 2010</w:t>
      </w:r>
      <w:r w:rsidR="00F10520" w:rsidRPr="005C558F">
        <w:rPr>
          <w:bCs/>
        </w:rPr>
        <w:t>) and Adaptation Pathways (APs) (</w:t>
      </w:r>
      <w:proofErr w:type="spellStart"/>
      <w:r w:rsidR="00F10520" w:rsidRPr="005C558F">
        <w:rPr>
          <w:bCs/>
          <w:color w:val="7F7F7F" w:themeColor="text1" w:themeTint="80"/>
        </w:rPr>
        <w:t>Haasnoot</w:t>
      </w:r>
      <w:proofErr w:type="spellEnd"/>
      <w:r w:rsidR="00F10520" w:rsidRPr="005C558F">
        <w:rPr>
          <w:bCs/>
          <w:color w:val="7F7F7F" w:themeColor="text1" w:themeTint="80"/>
        </w:rPr>
        <w:t xml:space="preserve"> et al. 2013; </w:t>
      </w:r>
      <w:proofErr w:type="spellStart"/>
      <w:r w:rsidR="00F10520" w:rsidRPr="005C558F">
        <w:rPr>
          <w:bCs/>
          <w:color w:val="7F7F7F" w:themeColor="text1" w:themeTint="80"/>
        </w:rPr>
        <w:t>Haasnoot</w:t>
      </w:r>
      <w:proofErr w:type="spellEnd"/>
      <w:r w:rsidR="00F10520" w:rsidRPr="005C558F">
        <w:rPr>
          <w:bCs/>
          <w:color w:val="7F7F7F" w:themeColor="text1" w:themeTint="80"/>
        </w:rPr>
        <w:t xml:space="preserve"> 2013</w:t>
      </w:r>
      <w:r w:rsidR="00F10520" w:rsidRPr="005C558F">
        <w:rPr>
          <w:bCs/>
          <w:color w:val="231F20"/>
          <w:szCs w:val="22"/>
        </w:rPr>
        <w:t>)</w:t>
      </w:r>
      <w:r w:rsidR="009700CE" w:rsidRPr="005C558F">
        <w:rPr>
          <w:bCs/>
          <w:color w:val="231F20"/>
          <w:szCs w:val="22"/>
        </w:rPr>
        <w:t xml:space="preserve"> </w:t>
      </w:r>
      <w:r w:rsidR="009700CE" w:rsidRPr="005C558F">
        <w:rPr>
          <w:bCs/>
          <w:szCs w:val="22"/>
        </w:rPr>
        <w:t>(</w:t>
      </w:r>
      <w:r w:rsidR="009700CE" w:rsidRPr="005C558F">
        <w:rPr>
          <w:bCs/>
          <w:i/>
          <w:iCs/>
          <w:color w:val="7F7F7F" w:themeColor="text1" w:themeTint="80"/>
          <w:szCs w:val="22"/>
        </w:rPr>
        <w:t>in</w:t>
      </w:r>
      <w:r w:rsidR="009700CE" w:rsidRPr="005C558F">
        <w:rPr>
          <w:bCs/>
          <w:color w:val="7F7F7F" w:themeColor="text1" w:themeTint="80"/>
          <w:szCs w:val="22"/>
        </w:rPr>
        <w:t xml:space="preserve"> Klijn et al. 2015, p.849; </w:t>
      </w:r>
      <w:proofErr w:type="spellStart"/>
      <w:r w:rsidR="009700CE" w:rsidRPr="005C558F">
        <w:rPr>
          <w:bCs/>
          <w:color w:val="7F7F7F" w:themeColor="text1" w:themeTint="80"/>
          <w:szCs w:val="22"/>
        </w:rPr>
        <w:t>Jeuken</w:t>
      </w:r>
      <w:proofErr w:type="spellEnd"/>
      <w:r w:rsidR="009700CE" w:rsidRPr="005C558F">
        <w:rPr>
          <w:bCs/>
          <w:color w:val="7F7F7F" w:themeColor="text1" w:themeTint="80"/>
          <w:szCs w:val="22"/>
        </w:rPr>
        <w:t xml:space="preserve"> and Reeder 2011, p.5</w:t>
      </w:r>
      <w:r w:rsidR="009700CE" w:rsidRPr="005C558F">
        <w:rPr>
          <w:bCs/>
          <w:szCs w:val="22"/>
        </w:rPr>
        <w:t>;</w:t>
      </w:r>
      <w:r w:rsidR="009700CE" w:rsidRPr="005C558F">
        <w:rPr>
          <w:bCs/>
          <w:szCs w:val="22"/>
          <w:lang w:val="en-US"/>
        </w:rPr>
        <w:t xml:space="preserve"> </w:t>
      </w:r>
      <w:r w:rsidR="009700CE" w:rsidRPr="005C558F">
        <w:rPr>
          <w:bCs/>
          <w:color w:val="7F7F7F" w:themeColor="text1" w:themeTint="80"/>
          <w:szCs w:val="22"/>
          <w:lang w:val="en-US"/>
        </w:rPr>
        <w:t>Marchand and Ludwig 2014, p.27</w:t>
      </w:r>
      <w:r w:rsidR="009700CE" w:rsidRPr="005C558F">
        <w:rPr>
          <w:bCs/>
          <w:color w:val="231F20"/>
          <w:szCs w:val="22"/>
        </w:rPr>
        <w:t>).</w:t>
      </w:r>
    </w:p>
    <w:p w14:paraId="6119F3F9" w14:textId="6BB1DEA1" w:rsidR="00354CF8" w:rsidRPr="005C558F" w:rsidRDefault="00D03C75" w:rsidP="00E74925">
      <w:pPr>
        <w:pStyle w:val="TEXTBODY"/>
        <w:spacing w:line="276" w:lineRule="auto"/>
        <w:rPr>
          <w:bCs/>
          <w:color w:val="C00000"/>
        </w:rPr>
      </w:pPr>
      <w:r w:rsidRPr="005C558F">
        <w:rPr>
          <w:bCs/>
        </w:rPr>
        <w:t xml:space="preserve">The DP staff and the Subprogrammes sought to define and identify </w:t>
      </w:r>
      <w:r w:rsidRPr="005C558F">
        <w:rPr>
          <w:bCs/>
          <w:i/>
          <w:iCs/>
        </w:rPr>
        <w:t>Adaptation Tipping-Points</w:t>
      </w:r>
      <w:r w:rsidRPr="005C558F">
        <w:rPr>
          <w:bCs/>
        </w:rPr>
        <w:t xml:space="preserve"> (ATPs).</w:t>
      </w:r>
      <w:r w:rsidR="003C580F" w:rsidRPr="005C558F">
        <w:rPr>
          <w:bCs/>
        </w:rPr>
        <w:t xml:space="preserve"> </w:t>
      </w:r>
      <w:r w:rsidR="00E46C5F" w:rsidRPr="005C558F">
        <w:rPr>
          <w:bCs/>
          <w:szCs w:val="22"/>
        </w:rPr>
        <w:t xml:space="preserve">As noted by </w:t>
      </w:r>
      <w:proofErr w:type="spellStart"/>
      <w:r w:rsidR="00E46C5F" w:rsidRPr="005C558F">
        <w:rPr>
          <w:bCs/>
          <w:szCs w:val="22"/>
        </w:rPr>
        <w:t>Jeuken</w:t>
      </w:r>
      <w:proofErr w:type="spellEnd"/>
      <w:r w:rsidR="00E46C5F" w:rsidRPr="005C558F">
        <w:rPr>
          <w:bCs/>
          <w:szCs w:val="22"/>
        </w:rPr>
        <w:t xml:space="preserve"> and Reeder, an important aspect of the DP was </w:t>
      </w:r>
      <w:r w:rsidR="00354CF8" w:rsidRPr="005C558F">
        <w:rPr>
          <w:bCs/>
          <w:szCs w:val="22"/>
        </w:rPr>
        <w:t>t</w:t>
      </w:r>
      <w:r w:rsidR="00A4250D" w:rsidRPr="005C558F">
        <w:rPr>
          <w:bCs/>
          <w:szCs w:val="22"/>
        </w:rPr>
        <w:t xml:space="preserve">aking the </w:t>
      </w:r>
      <w:r w:rsidR="00354CF8" w:rsidRPr="005C558F">
        <w:rPr>
          <w:bCs/>
          <w:szCs w:val="22"/>
        </w:rPr>
        <w:t>vulnerability of the</w:t>
      </w:r>
      <w:r w:rsidR="00A4250D" w:rsidRPr="005C558F">
        <w:rPr>
          <w:bCs/>
          <w:szCs w:val="22"/>
        </w:rPr>
        <w:t xml:space="preserve"> existent</w:t>
      </w:r>
      <w:r w:rsidR="00354CF8" w:rsidRPr="005C558F">
        <w:rPr>
          <w:bCs/>
          <w:szCs w:val="22"/>
        </w:rPr>
        <w:t xml:space="preserve"> system </w:t>
      </w:r>
      <w:r w:rsidR="00A4250D" w:rsidRPr="005C558F">
        <w:rPr>
          <w:bCs/>
          <w:szCs w:val="22"/>
        </w:rPr>
        <w:t>as</w:t>
      </w:r>
      <w:r w:rsidR="00354CF8" w:rsidRPr="005C558F">
        <w:rPr>
          <w:bCs/>
          <w:szCs w:val="22"/>
        </w:rPr>
        <w:t xml:space="preserve"> starting point of the analysis</w:t>
      </w:r>
      <w:r w:rsidR="000B132B" w:rsidRPr="005C558F">
        <w:rPr>
          <w:bCs/>
        </w:rPr>
        <w:t xml:space="preserve"> </w:t>
      </w:r>
      <w:r w:rsidR="00A4250D" w:rsidRPr="005C558F">
        <w:rPr>
          <w:bCs/>
        </w:rPr>
        <w:t xml:space="preserve">(i.e. the analysis of the vulnerability of the current system was the starting point for all </w:t>
      </w:r>
      <w:r w:rsidR="000B132B" w:rsidRPr="005C558F">
        <w:rPr>
          <w:bCs/>
        </w:rPr>
        <w:t>planning process</w:t>
      </w:r>
      <w:r w:rsidR="00A4250D" w:rsidRPr="005C558F">
        <w:rPr>
          <w:bCs/>
        </w:rPr>
        <w:t>)</w:t>
      </w:r>
      <w:r w:rsidR="00A9731A" w:rsidRPr="005C558F">
        <w:rPr>
          <w:bCs/>
        </w:rPr>
        <w:t xml:space="preserve">, </w:t>
      </w:r>
      <w:r w:rsidR="00C8744C" w:rsidRPr="005C558F">
        <w:rPr>
          <w:bCs/>
        </w:rPr>
        <w:t xml:space="preserve">by focusing </w:t>
      </w:r>
      <w:r w:rsidR="00A9731A" w:rsidRPr="005C558F">
        <w:rPr>
          <w:bCs/>
        </w:rPr>
        <w:t>on</w:t>
      </w:r>
      <w:r w:rsidR="00C8744C" w:rsidRPr="005C558F">
        <w:rPr>
          <w:bCs/>
        </w:rPr>
        <w:t xml:space="preserve"> the question of</w:t>
      </w:r>
      <w:r w:rsidR="00E46C5F" w:rsidRPr="005C558F">
        <w:rPr>
          <w:bCs/>
        </w:rPr>
        <w:t xml:space="preserve"> </w:t>
      </w:r>
      <w:r w:rsidR="00354CF8" w:rsidRPr="005C558F">
        <w:rPr>
          <w:bCs/>
        </w:rPr>
        <w:t>‘</w:t>
      </w:r>
      <w:r w:rsidR="00354CF8" w:rsidRPr="005C558F">
        <w:rPr>
          <w:bCs/>
          <w:i/>
          <w:iCs/>
        </w:rPr>
        <w:t>what change can the system handle before it runs into trouble</w:t>
      </w:r>
      <w:r w:rsidR="00354CF8" w:rsidRPr="005C558F">
        <w:rPr>
          <w:bCs/>
        </w:rPr>
        <w:t>’</w:t>
      </w:r>
      <w:r w:rsidR="00C8744C" w:rsidRPr="005C558F">
        <w:rPr>
          <w:bCs/>
          <w:sz w:val="23"/>
          <w:szCs w:val="23"/>
        </w:rPr>
        <w:t xml:space="preserve"> </w:t>
      </w:r>
      <w:r w:rsidR="00A9731A" w:rsidRPr="005C558F">
        <w:rPr>
          <w:bCs/>
        </w:rPr>
        <w:t>(</w:t>
      </w:r>
      <w:proofErr w:type="spellStart"/>
      <w:r w:rsidR="00A9731A" w:rsidRPr="005C558F">
        <w:rPr>
          <w:bCs/>
          <w:color w:val="7F7F7F" w:themeColor="text1" w:themeTint="80"/>
        </w:rPr>
        <w:t>Jeuken</w:t>
      </w:r>
      <w:proofErr w:type="spellEnd"/>
      <w:r w:rsidR="00A9731A" w:rsidRPr="005C558F">
        <w:rPr>
          <w:bCs/>
          <w:color w:val="7F7F7F" w:themeColor="text1" w:themeTint="80"/>
        </w:rPr>
        <w:t xml:space="preserve"> and Reeder 2011, p.2, 3</w:t>
      </w:r>
      <w:r w:rsidR="00A9731A" w:rsidRPr="005C558F">
        <w:rPr>
          <w:bCs/>
        </w:rPr>
        <w:t>).</w:t>
      </w:r>
      <w:r w:rsidR="00A9731A" w:rsidRPr="005C558F">
        <w:rPr>
          <w:rStyle w:val="Refdenotaderodap"/>
          <w:bCs/>
        </w:rPr>
        <w:footnoteReference w:id="87"/>
      </w:r>
      <w:r w:rsidR="00A9731A" w:rsidRPr="005C558F">
        <w:rPr>
          <w:bCs/>
        </w:rPr>
        <w:t xml:space="preserve"> In </w:t>
      </w:r>
      <w:r w:rsidR="00F63721" w:rsidRPr="005C558F">
        <w:rPr>
          <w:bCs/>
        </w:rPr>
        <w:t>this way,</w:t>
      </w:r>
      <w:r w:rsidR="00A9731A" w:rsidRPr="005C558F">
        <w:rPr>
          <w:bCs/>
        </w:rPr>
        <w:t xml:space="preserve"> the DP and its Subprogrammes </w:t>
      </w:r>
      <w:r w:rsidR="00F63721" w:rsidRPr="005C558F">
        <w:rPr>
          <w:bCs/>
        </w:rPr>
        <w:t>could identify and specify</w:t>
      </w:r>
      <w:r w:rsidR="00E46C5F" w:rsidRPr="005C558F">
        <w:rPr>
          <w:bCs/>
        </w:rPr>
        <w:t xml:space="preserve"> </w:t>
      </w:r>
      <w:r w:rsidR="00637F24" w:rsidRPr="005C558F">
        <w:rPr>
          <w:bCs/>
          <w:i/>
          <w:iCs/>
        </w:rPr>
        <w:t>adaptation tipping-points</w:t>
      </w:r>
      <w:r w:rsidR="00354CF8" w:rsidRPr="005C558F">
        <w:rPr>
          <w:bCs/>
        </w:rPr>
        <w:t xml:space="preserve"> (i.e. points / conditions </w:t>
      </w:r>
      <w:r w:rsidR="00A9731A" w:rsidRPr="005C558F">
        <w:rPr>
          <w:bCs/>
        </w:rPr>
        <w:t xml:space="preserve">at which the objectives of FRM policy along the coast and rivers are no longer met, or points </w:t>
      </w:r>
      <w:r w:rsidR="00354CF8" w:rsidRPr="005C558F">
        <w:rPr>
          <w:bCs/>
        </w:rPr>
        <w:t xml:space="preserve">under which the existing management </w:t>
      </w:r>
      <w:r w:rsidR="00830E17" w:rsidRPr="005C558F">
        <w:rPr>
          <w:bCs/>
        </w:rPr>
        <w:t>strategies</w:t>
      </w:r>
      <w:r w:rsidR="00354CF8" w:rsidRPr="005C558F">
        <w:rPr>
          <w:bCs/>
        </w:rPr>
        <w:t>, are no longer able to meet the objectives</w:t>
      </w:r>
      <w:r w:rsidR="00830E17" w:rsidRPr="005C558F">
        <w:rPr>
          <w:bCs/>
        </w:rPr>
        <w:t xml:space="preserve"> and alternative strategies are needed</w:t>
      </w:r>
      <w:r w:rsidR="00354CF8" w:rsidRPr="005C558F">
        <w:rPr>
          <w:bCs/>
        </w:rPr>
        <w:t>)</w:t>
      </w:r>
      <w:r w:rsidR="005D5B65" w:rsidRPr="005C558F">
        <w:rPr>
          <w:rStyle w:val="Refdenotaderodap"/>
          <w:bCs/>
          <w:szCs w:val="22"/>
        </w:rPr>
        <w:footnoteReference w:id="88"/>
      </w:r>
      <w:r w:rsidR="00354CF8" w:rsidRPr="005C558F">
        <w:rPr>
          <w:bCs/>
        </w:rPr>
        <w:t xml:space="preserve">, </w:t>
      </w:r>
      <w:r w:rsidR="00A9731A" w:rsidRPr="005C558F">
        <w:rPr>
          <w:bCs/>
        </w:rPr>
        <w:t>and analyse</w:t>
      </w:r>
      <w:r w:rsidR="00354CF8" w:rsidRPr="005C558F">
        <w:rPr>
          <w:bCs/>
        </w:rPr>
        <w:t xml:space="preserve"> when these ATPs might be reached</w:t>
      </w:r>
      <w:r w:rsidR="00354CF8" w:rsidRPr="005C558F">
        <w:rPr>
          <w:bCs/>
          <w:color w:val="C00000"/>
        </w:rPr>
        <w:t xml:space="preserve"> </w:t>
      </w:r>
      <w:r w:rsidR="00354CF8" w:rsidRPr="005C558F">
        <w:rPr>
          <w:bCs/>
        </w:rPr>
        <w:t>(</w:t>
      </w:r>
      <w:proofErr w:type="spellStart"/>
      <w:r w:rsidR="00354CF8" w:rsidRPr="005C558F">
        <w:rPr>
          <w:bCs/>
          <w:color w:val="7F7F7F" w:themeColor="text1" w:themeTint="80"/>
        </w:rPr>
        <w:t>Jeuken</w:t>
      </w:r>
      <w:proofErr w:type="spellEnd"/>
      <w:r w:rsidR="00354CF8" w:rsidRPr="005C558F">
        <w:rPr>
          <w:bCs/>
          <w:color w:val="7F7F7F" w:themeColor="text1" w:themeTint="80"/>
        </w:rPr>
        <w:t xml:space="preserve"> and Reeder 2011, p.3</w:t>
      </w:r>
      <w:r w:rsidR="00A9731A" w:rsidRPr="005C558F">
        <w:rPr>
          <w:bCs/>
          <w:color w:val="7F7F7F" w:themeColor="text1" w:themeTint="80"/>
        </w:rPr>
        <w:t xml:space="preserve">, </w:t>
      </w:r>
      <w:r w:rsidR="00830E17" w:rsidRPr="005C558F">
        <w:rPr>
          <w:bCs/>
          <w:color w:val="7F7F7F" w:themeColor="text1" w:themeTint="80"/>
        </w:rPr>
        <w:t>4</w:t>
      </w:r>
      <w:r w:rsidR="00354CF8" w:rsidRPr="005C558F">
        <w:rPr>
          <w:bCs/>
        </w:rPr>
        <w:t>).</w:t>
      </w:r>
      <w:r w:rsidR="00354CF8" w:rsidRPr="005C558F">
        <w:rPr>
          <w:bCs/>
          <w:szCs w:val="22"/>
        </w:rPr>
        <w:t xml:space="preserve"> </w:t>
      </w:r>
      <w:r w:rsidR="00830E17" w:rsidRPr="005C558F">
        <w:rPr>
          <w:bCs/>
          <w:szCs w:val="22"/>
        </w:rPr>
        <w:t>The</w:t>
      </w:r>
      <w:r w:rsidR="00354CF8" w:rsidRPr="005C558F">
        <w:rPr>
          <w:bCs/>
          <w:szCs w:val="22"/>
        </w:rPr>
        <w:t xml:space="preserve"> ATP</w:t>
      </w:r>
      <w:r w:rsidR="000B132B" w:rsidRPr="005C558F">
        <w:rPr>
          <w:bCs/>
          <w:szCs w:val="22"/>
        </w:rPr>
        <w:t>s’</w:t>
      </w:r>
      <w:r w:rsidR="00354CF8" w:rsidRPr="005C558F">
        <w:rPr>
          <w:bCs/>
          <w:szCs w:val="22"/>
        </w:rPr>
        <w:t xml:space="preserve"> method</w:t>
      </w:r>
      <w:r w:rsidR="00830E17" w:rsidRPr="005C558F">
        <w:rPr>
          <w:bCs/>
          <w:szCs w:val="22"/>
        </w:rPr>
        <w:t xml:space="preserve"> helps to</w:t>
      </w:r>
      <w:r w:rsidR="00354CF8" w:rsidRPr="005C558F">
        <w:rPr>
          <w:bCs/>
          <w:szCs w:val="22"/>
        </w:rPr>
        <w:t xml:space="preserve"> determine at which point in time new management measures </w:t>
      </w:r>
      <w:r w:rsidR="000B132B" w:rsidRPr="005C558F">
        <w:rPr>
          <w:bCs/>
          <w:szCs w:val="22"/>
        </w:rPr>
        <w:t>will be</w:t>
      </w:r>
      <w:r w:rsidR="00354CF8" w:rsidRPr="005C558F">
        <w:rPr>
          <w:bCs/>
          <w:szCs w:val="22"/>
        </w:rPr>
        <w:t xml:space="preserve"> ne</w:t>
      </w:r>
      <w:r w:rsidR="00830E17" w:rsidRPr="005C558F">
        <w:rPr>
          <w:bCs/>
          <w:szCs w:val="22"/>
        </w:rPr>
        <w:t>cessary</w:t>
      </w:r>
      <w:r w:rsidR="00354CF8" w:rsidRPr="005C558F">
        <w:rPr>
          <w:bCs/>
          <w:szCs w:val="22"/>
        </w:rPr>
        <w:t xml:space="preserve"> </w:t>
      </w:r>
      <w:r w:rsidR="00354CF8" w:rsidRPr="005C558F">
        <w:rPr>
          <w:bCs/>
        </w:rPr>
        <w:t>(</w:t>
      </w:r>
      <w:proofErr w:type="spellStart"/>
      <w:r w:rsidR="000B132B" w:rsidRPr="005C558F">
        <w:rPr>
          <w:bCs/>
          <w:color w:val="7F7F7F" w:themeColor="text1" w:themeTint="80"/>
        </w:rPr>
        <w:t>Jeuken</w:t>
      </w:r>
      <w:proofErr w:type="spellEnd"/>
      <w:r w:rsidR="000B132B" w:rsidRPr="005C558F">
        <w:rPr>
          <w:bCs/>
          <w:color w:val="7F7F7F" w:themeColor="text1" w:themeTint="80"/>
        </w:rPr>
        <w:t xml:space="preserve"> and Reeder 2011</w:t>
      </w:r>
      <w:r w:rsidR="00354CF8" w:rsidRPr="005C558F">
        <w:rPr>
          <w:bCs/>
          <w:color w:val="7F7F7F" w:themeColor="text1" w:themeTint="80"/>
        </w:rPr>
        <w:t>, p.4</w:t>
      </w:r>
      <w:r w:rsidR="00354CF8" w:rsidRPr="005C558F">
        <w:rPr>
          <w:bCs/>
        </w:rPr>
        <w:t>).</w:t>
      </w:r>
    </w:p>
    <w:p w14:paraId="55EDCD52" w14:textId="556357B4" w:rsidR="00A437B9" w:rsidRPr="009B720F" w:rsidRDefault="00354CF8" w:rsidP="00E74925">
      <w:pPr>
        <w:pStyle w:val="TEXTBODY"/>
        <w:spacing w:line="276" w:lineRule="auto"/>
        <w:rPr>
          <w:bCs/>
        </w:rPr>
      </w:pPr>
      <w:r w:rsidRPr="005C558F">
        <w:rPr>
          <w:bCs/>
        </w:rPr>
        <w:t>First</w:t>
      </w:r>
      <w:r w:rsidRPr="009B720F">
        <w:rPr>
          <w:bCs/>
        </w:rPr>
        <w:t xml:space="preserve">, </w:t>
      </w:r>
      <w:r w:rsidRPr="005C558F">
        <w:rPr>
          <w:bCs/>
        </w:rPr>
        <w:t xml:space="preserve">the DP </w:t>
      </w:r>
      <w:r w:rsidR="00C86C82" w:rsidRPr="005C558F">
        <w:rPr>
          <w:bCs/>
        </w:rPr>
        <w:t xml:space="preserve">Subprogrammes </w:t>
      </w:r>
      <w:r w:rsidRPr="005C558F">
        <w:rPr>
          <w:bCs/>
        </w:rPr>
        <w:t>sought to identify ATPs in the existing FRM system</w:t>
      </w:r>
      <w:r w:rsidR="00C86C82" w:rsidRPr="005C558F">
        <w:rPr>
          <w:bCs/>
        </w:rPr>
        <w:t>; t</w:t>
      </w:r>
      <w:r w:rsidRPr="005C558F">
        <w:rPr>
          <w:bCs/>
        </w:rPr>
        <w:t xml:space="preserve">o this end, </w:t>
      </w:r>
      <w:r w:rsidR="000B132B" w:rsidRPr="005C558F">
        <w:rPr>
          <w:bCs/>
        </w:rPr>
        <w:t>they</w:t>
      </w:r>
      <w:r w:rsidRPr="005C558F">
        <w:rPr>
          <w:bCs/>
        </w:rPr>
        <w:t xml:space="preserve"> assessed technical and physical limits of the flood defence system, quantified its current overcapacity, and defined new design criteria</w:t>
      </w:r>
      <w:r w:rsidRPr="005C558F">
        <w:rPr>
          <w:bCs/>
          <w:i/>
          <w:iCs/>
        </w:rPr>
        <w:t xml:space="preserve"> </w:t>
      </w:r>
      <w:r w:rsidRPr="005C558F">
        <w:rPr>
          <w:bCs/>
        </w:rPr>
        <w:t>based on this and on climate projections</w:t>
      </w:r>
      <w:r w:rsidR="00830E17" w:rsidRPr="005C558F">
        <w:rPr>
          <w:bCs/>
        </w:rPr>
        <w:t xml:space="preserve"> (</w:t>
      </w:r>
      <w:proofErr w:type="spellStart"/>
      <w:r w:rsidR="00830E17" w:rsidRPr="005C558F">
        <w:rPr>
          <w:bCs/>
          <w:color w:val="7F7F7F" w:themeColor="text1" w:themeTint="80"/>
        </w:rPr>
        <w:t>Jeuken</w:t>
      </w:r>
      <w:proofErr w:type="spellEnd"/>
      <w:r w:rsidR="00830E17" w:rsidRPr="005C558F">
        <w:rPr>
          <w:bCs/>
          <w:color w:val="7F7F7F" w:themeColor="text1" w:themeTint="80"/>
        </w:rPr>
        <w:t xml:space="preserve"> and Reeder 2011, p.6</w:t>
      </w:r>
      <w:r w:rsidR="00830E17" w:rsidRPr="005C558F">
        <w:rPr>
          <w:bCs/>
        </w:rPr>
        <w:t>).</w:t>
      </w:r>
      <w:r w:rsidRPr="005C558F">
        <w:rPr>
          <w:bCs/>
        </w:rPr>
        <w:t xml:space="preserve"> The DP identified limits (thresholds) </w:t>
      </w:r>
      <w:r w:rsidR="00C86C82" w:rsidRPr="005C558F">
        <w:rPr>
          <w:bCs/>
        </w:rPr>
        <w:t>for</w:t>
      </w:r>
      <w:r w:rsidRPr="005C558F">
        <w:rPr>
          <w:bCs/>
        </w:rPr>
        <w:t xml:space="preserve"> the existing flood defence system, but also limits of the existing management measures and policies</w:t>
      </w:r>
      <w:r w:rsidR="00830E17" w:rsidRPr="005C558F">
        <w:rPr>
          <w:bCs/>
        </w:rPr>
        <w:t xml:space="preserve"> (</w:t>
      </w:r>
      <w:proofErr w:type="spellStart"/>
      <w:r w:rsidR="00830E17" w:rsidRPr="005C558F">
        <w:rPr>
          <w:bCs/>
          <w:color w:val="7F7F7F" w:themeColor="text1" w:themeTint="80"/>
        </w:rPr>
        <w:t>Jeuken</w:t>
      </w:r>
      <w:proofErr w:type="spellEnd"/>
      <w:r w:rsidR="00830E17" w:rsidRPr="005C558F">
        <w:rPr>
          <w:bCs/>
          <w:color w:val="7F7F7F" w:themeColor="text1" w:themeTint="80"/>
        </w:rPr>
        <w:t xml:space="preserve"> and Reeder 2011, p.7</w:t>
      </w:r>
      <w:r w:rsidR="00830E17" w:rsidRPr="005C558F">
        <w:rPr>
          <w:bCs/>
        </w:rPr>
        <w:t xml:space="preserve">). </w:t>
      </w:r>
      <w:r w:rsidRPr="005C558F">
        <w:rPr>
          <w:rStyle w:val="Refdenotaderodap"/>
          <w:bCs/>
        </w:rPr>
        <w:footnoteReference w:id="89"/>
      </w:r>
      <w:r w:rsidRPr="005C558F">
        <w:rPr>
          <w:bCs/>
        </w:rPr>
        <w:t xml:space="preserve"> Then, </w:t>
      </w:r>
      <w:r w:rsidR="00C86C82" w:rsidRPr="005C558F">
        <w:rPr>
          <w:bCs/>
        </w:rPr>
        <w:t xml:space="preserve">the Team used </w:t>
      </w:r>
      <w:r w:rsidRPr="005C558F">
        <w:rPr>
          <w:bCs/>
        </w:rPr>
        <w:t>various scenarios to determine the moment of an ATP (at earliest and at latest)</w:t>
      </w:r>
      <w:r w:rsidR="000B132B" w:rsidRPr="005C558F">
        <w:rPr>
          <w:bCs/>
        </w:rPr>
        <w:t xml:space="preserve">, and </w:t>
      </w:r>
      <w:r w:rsidRPr="005C558F">
        <w:rPr>
          <w:bCs/>
        </w:rPr>
        <w:t>the moment to adapt (</w:t>
      </w:r>
      <w:r w:rsidR="00C86C82" w:rsidRPr="005C558F">
        <w:rPr>
          <w:bCs/>
        </w:rPr>
        <w:t xml:space="preserve">i.e. </w:t>
      </w:r>
      <w:r w:rsidRPr="005C558F">
        <w:rPr>
          <w:bCs/>
        </w:rPr>
        <w:t>to take a new measure) (</w:t>
      </w:r>
      <w:proofErr w:type="spellStart"/>
      <w:r w:rsidRPr="005C558F">
        <w:rPr>
          <w:bCs/>
          <w:color w:val="7F7F7F" w:themeColor="text1" w:themeTint="80"/>
        </w:rPr>
        <w:t>Jeuken</w:t>
      </w:r>
      <w:proofErr w:type="spellEnd"/>
      <w:r w:rsidRPr="005C558F">
        <w:rPr>
          <w:bCs/>
          <w:color w:val="7F7F7F" w:themeColor="text1" w:themeTint="80"/>
        </w:rPr>
        <w:t xml:space="preserve"> and Reeder 2011, p.6</w:t>
      </w:r>
      <w:r w:rsidRPr="005C558F">
        <w:rPr>
          <w:bCs/>
        </w:rPr>
        <w:t>).</w:t>
      </w:r>
      <w:r w:rsidR="005D5B65" w:rsidRPr="005C558F">
        <w:rPr>
          <w:bCs/>
        </w:rPr>
        <w:t xml:space="preserve"> Importantly, in the DP, the </w:t>
      </w:r>
      <w:r w:rsidR="005D5B65" w:rsidRPr="005C558F">
        <w:rPr>
          <w:bCs/>
          <w:i/>
          <w:iCs/>
        </w:rPr>
        <w:t>implementation-moments</w:t>
      </w:r>
      <w:r w:rsidR="005D5B65" w:rsidRPr="005C558F">
        <w:rPr>
          <w:bCs/>
        </w:rPr>
        <w:t xml:space="preserve"> </w:t>
      </w:r>
      <w:r w:rsidR="00F63721" w:rsidRPr="005C558F">
        <w:rPr>
          <w:bCs/>
        </w:rPr>
        <w:t xml:space="preserve">and </w:t>
      </w:r>
      <w:r w:rsidR="00F63721" w:rsidRPr="005C558F">
        <w:rPr>
          <w:bCs/>
          <w:i/>
          <w:iCs/>
        </w:rPr>
        <w:t>decision-moments</w:t>
      </w:r>
      <w:r w:rsidR="00F63721" w:rsidRPr="005C558F">
        <w:rPr>
          <w:bCs/>
        </w:rPr>
        <w:t xml:space="preserve"> </w:t>
      </w:r>
      <w:r w:rsidR="005D5B65" w:rsidRPr="005C558F">
        <w:rPr>
          <w:bCs/>
        </w:rPr>
        <w:t>depend on the ATPs of measures, but also on the lead-time required for designing and implementing a measure</w:t>
      </w:r>
      <w:r w:rsidR="00830E17" w:rsidRPr="005C558F">
        <w:rPr>
          <w:bCs/>
        </w:rPr>
        <w:t xml:space="preserve">, </w:t>
      </w:r>
      <w:r w:rsidR="005D5B65" w:rsidRPr="005C558F">
        <w:rPr>
          <w:bCs/>
        </w:rPr>
        <w:t>and on early opportunities to combine measures with other investments (</w:t>
      </w:r>
      <w:proofErr w:type="spellStart"/>
      <w:r w:rsidR="005D5B65" w:rsidRPr="005C558F">
        <w:rPr>
          <w:bCs/>
          <w:color w:val="7F7F7F" w:themeColor="text1" w:themeTint="80"/>
        </w:rPr>
        <w:t>Jeuken</w:t>
      </w:r>
      <w:proofErr w:type="spellEnd"/>
      <w:r w:rsidR="005D5B65" w:rsidRPr="005C558F">
        <w:rPr>
          <w:bCs/>
          <w:color w:val="7F7F7F" w:themeColor="text1" w:themeTint="80"/>
        </w:rPr>
        <w:t xml:space="preserve"> and Reeder 2011, p.5</w:t>
      </w:r>
      <w:r w:rsidR="005D5B65" w:rsidRPr="005C558F">
        <w:rPr>
          <w:bCs/>
        </w:rPr>
        <w:t>).</w:t>
      </w:r>
      <w:r w:rsidR="001E67AD" w:rsidRPr="005C558F">
        <w:rPr>
          <w:rStyle w:val="Refdenotaderodap"/>
          <w:bCs/>
        </w:rPr>
        <w:footnoteReference w:id="90"/>
      </w:r>
    </w:p>
    <w:p w14:paraId="37B45C46" w14:textId="6A36A6CA" w:rsidR="00D07E7F" w:rsidRPr="005C558F" w:rsidRDefault="00A437B9" w:rsidP="00E74925">
      <w:pPr>
        <w:pStyle w:val="TEXTBODY"/>
        <w:spacing w:line="276" w:lineRule="auto"/>
        <w:ind w:left="284"/>
        <w:rPr>
          <w:bCs/>
          <w:szCs w:val="22"/>
        </w:rPr>
      </w:pPr>
      <w:r w:rsidRPr="005C558F">
        <w:rPr>
          <w:bCs/>
          <w:szCs w:val="22"/>
        </w:rPr>
        <w:t>As seen,  Step 1 of ADM process (</w:t>
      </w:r>
      <w:r w:rsidRPr="005C558F">
        <w:rPr>
          <w:bCs/>
          <w:i/>
          <w:iCs/>
          <w:szCs w:val="22"/>
        </w:rPr>
        <w:t>analyse objectives, current and future ‘vulnerabilities’ and ‘opportunities’ under different future scenarios</w:t>
      </w:r>
      <w:r w:rsidRPr="005C558F">
        <w:rPr>
          <w:bCs/>
          <w:szCs w:val="22"/>
        </w:rPr>
        <w:t xml:space="preserve">) required assessing what amount of change can the system handle </w:t>
      </w:r>
      <w:r w:rsidRPr="001522F8">
        <w:rPr>
          <w:bCs/>
          <w:szCs w:val="22"/>
        </w:rPr>
        <w:t xml:space="preserve">and specifying (what are) </w:t>
      </w:r>
      <w:r w:rsidRPr="005C558F">
        <w:rPr>
          <w:bCs/>
          <w:i/>
          <w:iCs/>
          <w:szCs w:val="22"/>
        </w:rPr>
        <w:t>Adaptation Tipping-points</w:t>
      </w:r>
      <w:r w:rsidRPr="005C558F">
        <w:rPr>
          <w:bCs/>
          <w:szCs w:val="22"/>
        </w:rPr>
        <w:t xml:space="preserve"> (i.e. assessing what are the critical levels at which the objectives are not met anymore), and assessing when these ATPs will occur by using various scenarios (</w:t>
      </w:r>
      <w:proofErr w:type="spellStart"/>
      <w:r w:rsidRPr="005C558F">
        <w:rPr>
          <w:bCs/>
          <w:color w:val="7F7F7F" w:themeColor="text1" w:themeTint="80"/>
          <w:szCs w:val="22"/>
        </w:rPr>
        <w:t>Jeuken</w:t>
      </w:r>
      <w:proofErr w:type="spellEnd"/>
      <w:r w:rsidRPr="005C558F">
        <w:rPr>
          <w:bCs/>
          <w:color w:val="7F7F7F" w:themeColor="text1" w:themeTint="80"/>
          <w:szCs w:val="22"/>
        </w:rPr>
        <w:t xml:space="preserve"> et al. 2014, p.4-5</w:t>
      </w:r>
      <w:r w:rsidRPr="005C558F">
        <w:rPr>
          <w:bCs/>
          <w:szCs w:val="22"/>
        </w:rPr>
        <w:t>), by examining ‘</w:t>
      </w:r>
      <w:r w:rsidRPr="005C558F">
        <w:rPr>
          <w:bCs/>
          <w:i/>
          <w:iCs/>
          <w:szCs w:val="22"/>
        </w:rPr>
        <w:t>how long the current management strategies continue to be effective under different CC scenarios</w:t>
      </w:r>
      <w:r w:rsidRPr="005C558F">
        <w:rPr>
          <w:bCs/>
          <w:iCs/>
          <w:szCs w:val="22"/>
        </w:rPr>
        <w:t xml:space="preserve">’ </w:t>
      </w:r>
      <w:r w:rsidRPr="005C558F">
        <w:rPr>
          <w:bCs/>
          <w:szCs w:val="22"/>
        </w:rPr>
        <w:t>(</w:t>
      </w:r>
      <w:proofErr w:type="spellStart"/>
      <w:r w:rsidR="005C558F" w:rsidRPr="005C558F">
        <w:rPr>
          <w:bCs/>
          <w:color w:val="7F7F7F" w:themeColor="text1" w:themeTint="80"/>
          <w:szCs w:val="22"/>
        </w:rPr>
        <w:t>Deltares</w:t>
      </w:r>
      <w:proofErr w:type="spellEnd"/>
      <w:r w:rsidR="005C558F" w:rsidRPr="005C558F">
        <w:rPr>
          <w:bCs/>
          <w:color w:val="7F7F7F" w:themeColor="text1" w:themeTint="80"/>
          <w:szCs w:val="22"/>
        </w:rPr>
        <w:t xml:space="preserve"> 2018</w:t>
      </w:r>
      <w:r w:rsidRPr="005C558F">
        <w:rPr>
          <w:bCs/>
          <w:color w:val="7F7F7F" w:themeColor="text1" w:themeTint="80"/>
          <w:szCs w:val="22"/>
        </w:rPr>
        <w:t>, p.2</w:t>
      </w:r>
      <w:r w:rsidRPr="005C558F">
        <w:rPr>
          <w:bCs/>
          <w:szCs w:val="22"/>
        </w:rPr>
        <w:t>)</w:t>
      </w:r>
      <w:r w:rsidR="005C558F" w:rsidRPr="005C558F">
        <w:rPr>
          <w:bCs/>
          <w:szCs w:val="22"/>
        </w:rPr>
        <w:t>.</w:t>
      </w:r>
      <w:r w:rsidRPr="005C558F">
        <w:rPr>
          <w:bCs/>
          <w:color w:val="C00000"/>
          <w:szCs w:val="22"/>
        </w:rPr>
        <w:t xml:space="preserve"> </w:t>
      </w:r>
      <w:r w:rsidR="00D07E7F" w:rsidRPr="005C558F">
        <w:rPr>
          <w:bCs/>
        </w:rPr>
        <w:t>Thus, in Sub-step 1b, it was necessary to specify (define) what are ‘</w:t>
      </w:r>
      <w:r w:rsidR="00D07E7F" w:rsidRPr="005C558F">
        <w:rPr>
          <w:bCs/>
          <w:i/>
          <w:iCs/>
        </w:rPr>
        <w:t>adaptation tipping-points</w:t>
      </w:r>
      <w:r w:rsidR="00D07E7F" w:rsidRPr="005C558F">
        <w:rPr>
          <w:bCs/>
        </w:rPr>
        <w:t>’, i.e. the ‘boundary conditions’/ points under which the objectives are no longer met (e.g. an unacceptable level of SLR) (</w:t>
      </w:r>
      <w:proofErr w:type="spellStart"/>
      <w:r w:rsidR="00D07E7F" w:rsidRPr="005C558F">
        <w:rPr>
          <w:bCs/>
          <w:color w:val="7F7F7F" w:themeColor="text1" w:themeTint="80"/>
        </w:rPr>
        <w:t>Kwadjik</w:t>
      </w:r>
      <w:proofErr w:type="spellEnd"/>
      <w:r w:rsidR="00D07E7F" w:rsidRPr="005C558F">
        <w:rPr>
          <w:bCs/>
          <w:color w:val="7F7F7F" w:themeColor="text1" w:themeTint="80"/>
        </w:rPr>
        <w:t xml:space="preserve"> et al. 2010</w:t>
      </w:r>
      <w:r w:rsidR="00D07E7F" w:rsidRPr="005C558F">
        <w:rPr>
          <w:bCs/>
        </w:rPr>
        <w:t>), and then, confront such ATPs with a range plausible futures to estimate the moment when such ATPs might occur (</w:t>
      </w:r>
      <w:proofErr w:type="spellStart"/>
      <w:r w:rsidR="00D07E7F" w:rsidRPr="005C558F">
        <w:rPr>
          <w:bCs/>
          <w:color w:val="7F7F7F" w:themeColor="text1" w:themeTint="80"/>
        </w:rPr>
        <w:t>Gersonius</w:t>
      </w:r>
      <w:proofErr w:type="spellEnd"/>
      <w:r w:rsidR="00D07E7F" w:rsidRPr="005C558F">
        <w:rPr>
          <w:bCs/>
          <w:color w:val="7F7F7F" w:themeColor="text1" w:themeTint="80"/>
        </w:rPr>
        <w:t xml:space="preserve"> et al.2016, p.204-206</w:t>
      </w:r>
      <w:r w:rsidR="00D07E7F" w:rsidRPr="005C558F">
        <w:rPr>
          <w:bCs/>
        </w:rPr>
        <w:t>). It was</w:t>
      </w:r>
      <w:r w:rsidR="00D07E7F" w:rsidRPr="005C558F">
        <w:rPr>
          <w:rFonts w:eastAsiaTheme="minorHAnsi"/>
          <w:bCs/>
        </w:rPr>
        <w:t xml:space="preserve"> important to</w:t>
      </w:r>
      <w:r w:rsidR="00D07E7F" w:rsidRPr="005C558F">
        <w:rPr>
          <w:bCs/>
        </w:rPr>
        <w:t xml:space="preserve"> use different futures with changing conditions to gain insight into the possible occurrence of </w:t>
      </w:r>
      <w:proofErr w:type="gramStart"/>
      <w:r w:rsidR="00D07E7F" w:rsidRPr="005C558F">
        <w:rPr>
          <w:bCs/>
        </w:rPr>
        <w:t>ATPs, and</w:t>
      </w:r>
      <w:proofErr w:type="gramEnd"/>
      <w:r w:rsidR="00D07E7F" w:rsidRPr="005C558F">
        <w:rPr>
          <w:bCs/>
        </w:rPr>
        <w:t xml:space="preserve"> estimate when the first ATP might happen (the point at which the current measure will no longer meet the objectives and new measures will be required) (</w:t>
      </w:r>
      <w:proofErr w:type="spellStart"/>
      <w:r w:rsidR="00D07E7F" w:rsidRPr="005C558F">
        <w:rPr>
          <w:bCs/>
          <w:color w:val="7F7F7F" w:themeColor="text1" w:themeTint="80"/>
        </w:rPr>
        <w:t>Gersonius</w:t>
      </w:r>
      <w:proofErr w:type="spellEnd"/>
      <w:r w:rsidR="00D07E7F" w:rsidRPr="005C558F">
        <w:rPr>
          <w:bCs/>
          <w:color w:val="7F7F7F" w:themeColor="text1" w:themeTint="80"/>
        </w:rPr>
        <w:t xml:space="preserve"> et al.2016, p.204-206</w:t>
      </w:r>
      <w:r w:rsidR="00D07E7F" w:rsidRPr="005C558F">
        <w:rPr>
          <w:bCs/>
        </w:rPr>
        <w:t>).</w:t>
      </w:r>
    </w:p>
    <w:p w14:paraId="423E93A2" w14:textId="0482EAC7" w:rsidR="007C4FBF" w:rsidRPr="009B720F" w:rsidRDefault="00D06AB7" w:rsidP="00E74925">
      <w:pPr>
        <w:pStyle w:val="TEXTBODY"/>
        <w:spacing w:line="276" w:lineRule="auto"/>
        <w:ind w:left="284"/>
        <w:rPr>
          <w:rFonts w:eastAsia="RijksoverheidSansText-Regular" w:cs="Arial"/>
          <w:bCs/>
          <w:color w:val="000000"/>
          <w:szCs w:val="18"/>
        </w:rPr>
      </w:pPr>
      <w:r w:rsidRPr="005C558F">
        <w:rPr>
          <w:bCs/>
        </w:rPr>
        <w:t xml:space="preserve">In </w:t>
      </w:r>
      <w:r w:rsidR="00C27972" w:rsidRPr="005C558F">
        <w:rPr>
          <w:bCs/>
        </w:rPr>
        <w:t>2009/</w:t>
      </w:r>
      <w:r w:rsidRPr="005C558F">
        <w:rPr>
          <w:bCs/>
        </w:rPr>
        <w:t xml:space="preserve">2010, the DP Team and the Subprogrammes used the </w:t>
      </w:r>
      <w:r w:rsidRPr="005C558F">
        <w:rPr>
          <w:bCs/>
          <w:i/>
          <w:iCs/>
        </w:rPr>
        <w:t>Delta Scenarios</w:t>
      </w:r>
      <w:r w:rsidRPr="005C558F">
        <w:rPr>
          <w:bCs/>
        </w:rPr>
        <w:t xml:space="preserve"> to assess how much longer the current measures (policy and management actions) will suffice and</w:t>
      </w:r>
      <w:r w:rsidRPr="009B720F">
        <w:rPr>
          <w:bCs/>
        </w:rPr>
        <w:t xml:space="preserve"> when adjustments will be </w:t>
      </w:r>
      <w:r w:rsidRPr="005C558F">
        <w:rPr>
          <w:bCs/>
        </w:rPr>
        <w:t>required – i.e. when the first tipping-point of the existing system will be reached (</w:t>
      </w:r>
      <w:r w:rsidRPr="005C558F">
        <w:rPr>
          <w:bCs/>
          <w:color w:val="595959" w:themeColor="text1" w:themeTint="A6"/>
        </w:rPr>
        <w:t>DP 2010, p.3-4, 32</w:t>
      </w:r>
      <w:r w:rsidRPr="005C558F">
        <w:rPr>
          <w:bCs/>
        </w:rPr>
        <w:t>). The main issue was analysing if and for how</w:t>
      </w:r>
      <w:r w:rsidRPr="009B720F">
        <w:rPr>
          <w:bCs/>
        </w:rPr>
        <w:t xml:space="preserve"> long the current measures will still be satisfactory under a changing climate (more than determining the exact levels of SLR) (</w:t>
      </w:r>
      <w:r w:rsidRPr="009B720F">
        <w:rPr>
          <w:bCs/>
          <w:color w:val="595959" w:themeColor="text1" w:themeTint="A6"/>
        </w:rPr>
        <w:t>DP 2010, p.36</w:t>
      </w:r>
      <w:r w:rsidRPr="009B720F">
        <w:rPr>
          <w:bCs/>
        </w:rPr>
        <w:t xml:space="preserve">). The DP Team </w:t>
      </w:r>
      <w:r w:rsidRPr="00DA1B92">
        <w:rPr>
          <w:bCs/>
        </w:rPr>
        <w:t xml:space="preserve">and Subprogrammes </w:t>
      </w:r>
      <w:r w:rsidRPr="009B720F">
        <w:rPr>
          <w:bCs/>
        </w:rPr>
        <w:t>analysed for how long the current measure will suffice and when the first tipping-point (at which such measure is no longer tenable) will be reached, t</w:t>
      </w:r>
      <w:r w:rsidRPr="009B720F">
        <w:rPr>
          <w:rFonts w:eastAsia="RijksoverheidSansText-Regular" w:cs="Arial"/>
          <w:bCs/>
          <w:color w:val="000000"/>
          <w:szCs w:val="18"/>
        </w:rPr>
        <w:t xml:space="preserve">o answer this, </w:t>
      </w:r>
      <w:r w:rsidRPr="00DA1B92">
        <w:rPr>
          <w:rFonts w:eastAsia="RijksoverheidSansText-Regular" w:cs="Arial"/>
          <w:bCs/>
          <w:szCs w:val="18"/>
        </w:rPr>
        <w:t xml:space="preserve">the </w:t>
      </w:r>
      <w:r w:rsidRPr="00DA1B92">
        <w:rPr>
          <w:rFonts w:eastAsia="RijksoverheidSansText-Regular" w:cs="Arial"/>
          <w:bCs/>
          <w:i/>
          <w:iCs/>
          <w:szCs w:val="18"/>
        </w:rPr>
        <w:t>Delta Scenarios</w:t>
      </w:r>
      <w:r w:rsidRPr="00DA1B92">
        <w:rPr>
          <w:rFonts w:eastAsia="RijksoverheidSansText-Regular" w:cs="Arial"/>
          <w:bCs/>
          <w:szCs w:val="18"/>
        </w:rPr>
        <w:t xml:space="preserve"> </w:t>
      </w:r>
      <w:r w:rsidRPr="009B720F">
        <w:rPr>
          <w:rFonts w:eastAsia="RijksoverheidSansText-Regular" w:cs="Arial"/>
          <w:bCs/>
          <w:color w:val="000000"/>
          <w:szCs w:val="18"/>
        </w:rPr>
        <w:t>were used (it was not known the rate at which the climate will change, an ATP may be reached at any time) (</w:t>
      </w:r>
      <w:r w:rsidRPr="009B720F">
        <w:rPr>
          <w:rFonts w:eastAsia="RijksoverheidSansText-Regular" w:cs="Arial"/>
          <w:bCs/>
          <w:color w:val="7F7F7F" w:themeColor="text1" w:themeTint="80"/>
          <w:szCs w:val="18"/>
        </w:rPr>
        <w:t>DP 2010, p.68</w:t>
      </w:r>
      <w:r w:rsidRPr="009B720F">
        <w:rPr>
          <w:rFonts w:eastAsia="RijksoverheidSansText-Regular" w:cs="Arial"/>
          <w:bCs/>
          <w:color w:val="000000"/>
          <w:szCs w:val="18"/>
        </w:rPr>
        <w:t>).</w:t>
      </w:r>
      <w:r w:rsidR="007C4FBF" w:rsidRPr="009B720F">
        <w:rPr>
          <w:rStyle w:val="Refdenotaderodap"/>
          <w:rFonts w:eastAsia="RijksoverheidSansText-Regular" w:cs="Arial"/>
          <w:bCs/>
          <w:color w:val="000000"/>
          <w:szCs w:val="18"/>
          <w:highlight w:val="darkGray"/>
        </w:rPr>
        <w:footnoteReference w:id="91"/>
      </w:r>
      <w:r w:rsidRPr="009B720F">
        <w:rPr>
          <w:rFonts w:eastAsia="RijksoverheidSansText-Regular" w:cs="Arial"/>
          <w:bCs/>
          <w:color w:val="000000"/>
          <w:szCs w:val="18"/>
        </w:rPr>
        <w:t xml:space="preserve"> </w:t>
      </w:r>
    </w:p>
    <w:p w14:paraId="2F28E588" w14:textId="051E8D7B" w:rsidR="00B455D7" w:rsidRPr="00DA1B92" w:rsidRDefault="00D06AB7" w:rsidP="00E74925">
      <w:pPr>
        <w:pStyle w:val="TEXTBODY"/>
        <w:spacing w:line="276" w:lineRule="auto"/>
        <w:ind w:left="284"/>
        <w:rPr>
          <w:bCs/>
        </w:rPr>
      </w:pPr>
      <w:r w:rsidRPr="00DA1B92">
        <w:rPr>
          <w:rFonts w:eastAsia="RijksoverheidSansText-Regular" w:cs="Arial"/>
          <w:bCs/>
          <w:szCs w:val="18"/>
        </w:rPr>
        <w:lastRenderedPageBreak/>
        <w:t xml:space="preserve">The DP defines </w:t>
      </w:r>
      <w:r w:rsidRPr="00DA1B92">
        <w:rPr>
          <w:rFonts w:eastAsia="RijksoverheidSansText-Regular" w:cs="Arial"/>
          <w:bCs/>
          <w:i/>
          <w:iCs/>
          <w:szCs w:val="18"/>
        </w:rPr>
        <w:t>tipping-points</w:t>
      </w:r>
      <w:r w:rsidRPr="00DA1B92">
        <w:rPr>
          <w:rFonts w:eastAsia="RijksoverheidSansText-Regular" w:cs="Arial"/>
          <w:bCs/>
          <w:szCs w:val="18"/>
        </w:rPr>
        <w:t xml:space="preserve"> as points at which the existing system ceases to meet the requirements </w:t>
      </w:r>
      <w:r w:rsidRPr="00DA1B92">
        <w:rPr>
          <w:rFonts w:eastAsia="RijksoverheidSansText-Regular" w:cs="Arial"/>
          <w:bCs/>
          <w:color w:val="000000"/>
          <w:szCs w:val="18"/>
        </w:rPr>
        <w:t>(</w:t>
      </w:r>
      <w:r w:rsidRPr="00DA1B92">
        <w:rPr>
          <w:rFonts w:eastAsia="RijksoverheidSansText-Regular" w:cs="Arial"/>
          <w:bCs/>
          <w:color w:val="595959" w:themeColor="text1" w:themeTint="A6"/>
          <w:szCs w:val="18"/>
        </w:rPr>
        <w:t>DP 2011, p.8</w:t>
      </w:r>
      <w:r w:rsidRPr="00DA1B92">
        <w:rPr>
          <w:rFonts w:eastAsia="RijksoverheidSansText-Regular" w:cs="Arial"/>
          <w:bCs/>
          <w:color w:val="000000"/>
          <w:szCs w:val="18"/>
        </w:rPr>
        <w:t>)</w:t>
      </w:r>
      <w:r w:rsidR="00D07E7F" w:rsidRPr="00DA1B92">
        <w:rPr>
          <w:rFonts w:eastAsia="RijksoverheidSansText-Regular" w:cs="Arial"/>
          <w:bCs/>
          <w:color w:val="000000"/>
          <w:szCs w:val="18"/>
        </w:rPr>
        <w:t>; a</w:t>
      </w:r>
      <w:r w:rsidRPr="00DA1B92">
        <w:rPr>
          <w:bCs/>
        </w:rPr>
        <w:t xml:space="preserve"> </w:t>
      </w:r>
      <w:r w:rsidRPr="00DA1B92">
        <w:rPr>
          <w:bCs/>
          <w:i/>
          <w:iCs/>
        </w:rPr>
        <w:t>tipping-point</w:t>
      </w:r>
      <w:r w:rsidRPr="00DA1B92">
        <w:rPr>
          <w:bCs/>
        </w:rPr>
        <w:t xml:space="preserve"> occurs when, due to changes in climate or socioeconomic circumstances, the existing measure, policy, or infrastructure, becomes insufficient to comply with the defined criteria (due to physical, technical, or financial constraints or socially unacceptable effects) (</w:t>
      </w:r>
      <w:r w:rsidRPr="00DA1B92">
        <w:rPr>
          <w:bCs/>
          <w:color w:val="595959" w:themeColor="text1" w:themeTint="A6"/>
        </w:rPr>
        <w:t>DP 2011, p.71</w:t>
      </w:r>
      <w:r w:rsidRPr="00DA1B92">
        <w:rPr>
          <w:bCs/>
        </w:rPr>
        <w:t xml:space="preserve">). The analysis of ATPs sets out </w:t>
      </w:r>
      <w:r w:rsidR="00057838" w:rsidRPr="00DA1B92">
        <w:rPr>
          <w:bCs/>
        </w:rPr>
        <w:t xml:space="preserve">which and </w:t>
      </w:r>
      <w:r w:rsidRPr="00DA1B92">
        <w:rPr>
          <w:bCs/>
        </w:rPr>
        <w:t xml:space="preserve">when decisions and new measures </w:t>
      </w:r>
      <w:r w:rsidR="00057838" w:rsidRPr="00DA1B92">
        <w:rPr>
          <w:bCs/>
        </w:rPr>
        <w:t>must</w:t>
      </w:r>
      <w:r w:rsidRPr="00DA1B92">
        <w:rPr>
          <w:bCs/>
        </w:rPr>
        <w:t xml:space="preserve"> be taken (</w:t>
      </w:r>
      <w:r w:rsidRPr="00DA1B92">
        <w:rPr>
          <w:bCs/>
          <w:color w:val="595959" w:themeColor="text1" w:themeTint="A6"/>
        </w:rPr>
        <w:t>DP 2011, p.55</w:t>
      </w:r>
      <w:r w:rsidRPr="00DA1B92">
        <w:rPr>
          <w:bCs/>
        </w:rPr>
        <w:t xml:space="preserve">). </w:t>
      </w:r>
    </w:p>
    <w:p w14:paraId="20B6B5D5" w14:textId="21199C81" w:rsidR="00BE50EB" w:rsidRPr="00DA1B92" w:rsidRDefault="00BE50EB" w:rsidP="00E74925">
      <w:pPr>
        <w:pStyle w:val="TEXTBODY"/>
        <w:numPr>
          <w:ilvl w:val="0"/>
          <w:numId w:val="79"/>
        </w:numPr>
        <w:spacing w:after="0" w:line="276" w:lineRule="auto"/>
        <w:rPr>
          <w:rFonts w:eastAsia="RijksoverheidSansText-Regular" w:cs="Arial"/>
          <w:bCs/>
          <w:color w:val="000000"/>
          <w:szCs w:val="18"/>
        </w:rPr>
      </w:pPr>
      <w:r w:rsidRPr="00DA1B92">
        <w:rPr>
          <w:rFonts w:eastAsia="RijksoverheidSansText-Regular" w:cs="Arial"/>
          <w:bCs/>
          <w:i/>
          <w:iCs/>
          <w:color w:val="000000"/>
          <w:szCs w:val="18"/>
        </w:rPr>
        <w:t>The scenarios are used to map out how much longer current policy and management are</w:t>
      </w:r>
      <w:r w:rsidRPr="00DA1B92">
        <w:rPr>
          <w:rFonts w:ascii="RijksoverheidSansText-Regular" w:eastAsia="RijksoverheidSansText-Regular" w:hAnsiTheme="minorHAnsi" w:cs="RijksoverheidSansText-Regular"/>
          <w:bCs/>
          <w:i/>
          <w:iCs/>
          <w:lang w:eastAsia="en-US"/>
        </w:rPr>
        <w:t xml:space="preserve"> </w:t>
      </w:r>
      <w:r w:rsidRPr="00DA1B92">
        <w:rPr>
          <w:rFonts w:eastAsia="RijksoverheidSansText-Regular" w:cs="Arial"/>
          <w:bCs/>
          <w:i/>
          <w:iCs/>
          <w:color w:val="000000"/>
          <w:szCs w:val="18"/>
        </w:rPr>
        <w:t>expected to suffice and when adjustments will be required. In other words, when will we reach the tipping points for our water system</w:t>
      </w:r>
      <w:r w:rsidRPr="00DA1B92">
        <w:rPr>
          <w:rFonts w:eastAsia="RijksoverheidSansText-Regular" w:cs="Arial"/>
          <w:bCs/>
          <w:color w:val="000000"/>
          <w:szCs w:val="18"/>
        </w:rPr>
        <w:t xml:space="preserve"> (</w:t>
      </w:r>
      <w:r w:rsidRPr="00DA1B92">
        <w:rPr>
          <w:rFonts w:eastAsia="RijksoverheidSansText-Regular" w:cs="Arial"/>
          <w:bCs/>
          <w:color w:val="7F7F7F" w:themeColor="text1" w:themeTint="80"/>
          <w:szCs w:val="18"/>
        </w:rPr>
        <w:t>DP 2010, p.3-4, 32, 36, 68-69</w:t>
      </w:r>
      <w:r w:rsidRPr="00DA1B92">
        <w:rPr>
          <w:rFonts w:eastAsia="RijksoverheidSansText-Regular" w:cs="Arial"/>
          <w:bCs/>
          <w:color w:val="000000"/>
          <w:szCs w:val="18"/>
        </w:rPr>
        <w:t xml:space="preserve">). </w:t>
      </w:r>
    </w:p>
    <w:p w14:paraId="5182F65C" w14:textId="2831FF3D" w:rsidR="003B5456" w:rsidRPr="00DA1B92" w:rsidRDefault="003B5456" w:rsidP="00E74925">
      <w:pPr>
        <w:pStyle w:val="TEXTBODY"/>
        <w:numPr>
          <w:ilvl w:val="0"/>
          <w:numId w:val="79"/>
        </w:numPr>
        <w:spacing w:after="0" w:line="276" w:lineRule="auto"/>
        <w:rPr>
          <w:rFonts w:eastAsia="RijksoverheidSansText-Regular" w:cs="Arial"/>
          <w:bCs/>
          <w:color w:val="000000"/>
          <w:szCs w:val="18"/>
        </w:rPr>
      </w:pPr>
      <w:r w:rsidRPr="00DA1B92">
        <w:rPr>
          <w:bCs/>
        </w:rPr>
        <w:t xml:space="preserve">In 2010/2011, the DP stimulated the Subprogrammes to assess </w:t>
      </w:r>
      <w:r w:rsidRPr="00DA1B92">
        <w:rPr>
          <w:bCs/>
          <w:i/>
        </w:rPr>
        <w:t xml:space="preserve">how much longer current policies and management practices were expected to suffice and when adjustments would be required </w:t>
      </w:r>
      <w:r w:rsidRPr="00DA1B92">
        <w:rPr>
          <w:bCs/>
        </w:rPr>
        <w:t>(</w:t>
      </w:r>
      <w:r w:rsidRPr="00DA1B92">
        <w:rPr>
          <w:bCs/>
          <w:color w:val="7F7F7F" w:themeColor="text1" w:themeTint="80"/>
        </w:rPr>
        <w:t>Werners et al. 2016, p.116</w:t>
      </w:r>
      <w:r w:rsidRPr="00DA1B92">
        <w:rPr>
          <w:bCs/>
        </w:rPr>
        <w:t>) – this is related with the identification of the first ATPs: a failure of the pre-existing policy or management measures.</w:t>
      </w:r>
    </w:p>
    <w:p w14:paraId="47144E03" w14:textId="09B2B43D" w:rsidR="00057838" w:rsidRPr="00DA1B92" w:rsidRDefault="00057838" w:rsidP="00E74925">
      <w:pPr>
        <w:pStyle w:val="TEXTBODY"/>
        <w:numPr>
          <w:ilvl w:val="0"/>
          <w:numId w:val="79"/>
        </w:numPr>
        <w:spacing w:line="276" w:lineRule="auto"/>
        <w:rPr>
          <w:rFonts w:eastAsia="RijksoverheidSansText-Regular" w:cs="Arial"/>
          <w:bCs/>
          <w:color w:val="000000"/>
          <w:szCs w:val="18"/>
        </w:rPr>
      </w:pPr>
      <w:r w:rsidRPr="00DA1B92">
        <w:rPr>
          <w:rFonts w:eastAsia="RijksoverheidSansText-Regular" w:cs="Arial"/>
          <w:bCs/>
          <w:color w:val="000000"/>
          <w:szCs w:val="18"/>
        </w:rPr>
        <w:t xml:space="preserve">The Rhine Estuary-Drechtsteden Subprogramme developed </w:t>
      </w:r>
      <w:r w:rsidRPr="00DA1B92">
        <w:rPr>
          <w:rFonts w:eastAsia="RijksoverheidSansText-Regular" w:cs="Arial"/>
          <w:bCs/>
          <w:i/>
          <w:iCs/>
          <w:color w:val="000000"/>
          <w:szCs w:val="18"/>
        </w:rPr>
        <w:t>adaptation paths</w:t>
      </w:r>
      <w:r w:rsidRPr="00DA1B92">
        <w:rPr>
          <w:rFonts w:eastAsia="RijksoverheidSansText-Regular" w:cs="Arial"/>
          <w:bCs/>
          <w:color w:val="000000"/>
          <w:szCs w:val="18"/>
        </w:rPr>
        <w:t>, which explicitly outline at what times interventions will be required (i.e. tipping-points) (</w:t>
      </w:r>
      <w:r w:rsidRPr="00DA1B92">
        <w:rPr>
          <w:rFonts w:eastAsia="RijksoverheidSansText-Regular" w:cs="Arial"/>
          <w:bCs/>
          <w:color w:val="7F7F7F" w:themeColor="text1" w:themeTint="80"/>
          <w:szCs w:val="18"/>
        </w:rPr>
        <w:t>DP 2012, p.90</w:t>
      </w:r>
      <w:r w:rsidRPr="00DA1B92">
        <w:rPr>
          <w:rFonts w:eastAsia="RijksoverheidSansText-Regular" w:cs="Arial"/>
          <w:bCs/>
          <w:color w:val="000000"/>
          <w:szCs w:val="18"/>
        </w:rPr>
        <w:t>).</w:t>
      </w:r>
    </w:p>
    <w:p w14:paraId="6DCA18C3" w14:textId="2A0C635A" w:rsidR="00B455D7" w:rsidRPr="009B720F" w:rsidRDefault="00D07E7F" w:rsidP="00E74925">
      <w:pPr>
        <w:pStyle w:val="TEXTBODY"/>
        <w:spacing w:line="276" w:lineRule="auto"/>
        <w:rPr>
          <w:rFonts w:eastAsia="RijksoverheidSansText-Regular" w:cs="Arial"/>
          <w:bCs/>
          <w:color w:val="000000"/>
          <w:szCs w:val="18"/>
        </w:rPr>
      </w:pPr>
      <w:r w:rsidRPr="00DA1B92">
        <w:rPr>
          <w:bCs/>
        </w:rPr>
        <w:t>Overall, in the DP, ATPs describe conditions under which the current or alternative management measures or policies might fail</w:t>
      </w:r>
      <w:r w:rsidR="00047586" w:rsidRPr="00DA1B92">
        <w:rPr>
          <w:bCs/>
        </w:rPr>
        <w:t xml:space="preserve"> (</w:t>
      </w:r>
      <w:proofErr w:type="spellStart"/>
      <w:r w:rsidR="00047586" w:rsidRPr="00DA1B92">
        <w:rPr>
          <w:bCs/>
          <w:color w:val="7F7F7F" w:themeColor="text1" w:themeTint="80"/>
          <w:szCs w:val="22"/>
        </w:rPr>
        <w:t>Kwadijk</w:t>
      </w:r>
      <w:proofErr w:type="spellEnd"/>
      <w:r w:rsidR="00047586" w:rsidRPr="00DA1B92">
        <w:rPr>
          <w:bCs/>
          <w:color w:val="7F7F7F" w:themeColor="text1" w:themeTint="80"/>
          <w:szCs w:val="22"/>
        </w:rPr>
        <w:t xml:space="preserve"> et al. 2010</w:t>
      </w:r>
      <w:r w:rsidR="004F08E0" w:rsidRPr="00DA1B92">
        <w:rPr>
          <w:bCs/>
          <w:i/>
          <w:iCs/>
          <w:sz w:val="23"/>
          <w:szCs w:val="23"/>
        </w:rPr>
        <w:t xml:space="preserve"> in</w:t>
      </w:r>
      <w:r w:rsidR="004F08E0" w:rsidRPr="00DA1B92">
        <w:rPr>
          <w:bCs/>
          <w:sz w:val="23"/>
          <w:szCs w:val="23"/>
        </w:rPr>
        <w:t xml:space="preserve"> </w:t>
      </w:r>
      <w:proofErr w:type="spellStart"/>
      <w:r w:rsidR="004F08E0" w:rsidRPr="00DA1B92">
        <w:rPr>
          <w:bCs/>
          <w:color w:val="7F7F7F" w:themeColor="text1" w:themeTint="80"/>
          <w:szCs w:val="22"/>
        </w:rPr>
        <w:t>Jeuken</w:t>
      </w:r>
      <w:proofErr w:type="spellEnd"/>
      <w:r w:rsidR="004F08E0" w:rsidRPr="00DA1B92">
        <w:rPr>
          <w:bCs/>
          <w:color w:val="7F7F7F" w:themeColor="text1" w:themeTint="80"/>
          <w:szCs w:val="22"/>
        </w:rPr>
        <w:t xml:space="preserve"> et al. 2014, p.17</w:t>
      </w:r>
      <w:r w:rsidR="00047586" w:rsidRPr="00DA1B92">
        <w:rPr>
          <w:bCs/>
          <w:szCs w:val="22"/>
        </w:rPr>
        <w:t xml:space="preserve">); in the DP, </w:t>
      </w:r>
      <w:r w:rsidRPr="00DA1B92">
        <w:rPr>
          <w:bCs/>
        </w:rPr>
        <w:t xml:space="preserve">ATPs are </w:t>
      </w:r>
      <w:r w:rsidR="00047586" w:rsidRPr="00DA1B92">
        <w:rPr>
          <w:bCs/>
        </w:rPr>
        <w:t xml:space="preserve">associated to </w:t>
      </w:r>
      <w:r w:rsidRPr="00DA1B92">
        <w:rPr>
          <w:bCs/>
        </w:rPr>
        <w:t xml:space="preserve">acceptable return periods for flood events, which were translated into design criteria for flood defences (in line with the DP’s </w:t>
      </w:r>
      <w:r w:rsidRPr="00DA1B92">
        <w:rPr>
          <w:bCs/>
          <w:i/>
          <w:iCs/>
        </w:rPr>
        <w:t>risk-based approach</w:t>
      </w:r>
      <w:r w:rsidRPr="00DA1B92">
        <w:rPr>
          <w:bCs/>
        </w:rPr>
        <w:t xml:space="preserve">) </w:t>
      </w:r>
      <w:r w:rsidRPr="00DA1B92">
        <w:rPr>
          <w:bCs/>
          <w:sz w:val="23"/>
          <w:szCs w:val="23"/>
        </w:rPr>
        <w:t>(</w:t>
      </w:r>
      <w:r w:rsidR="00047586" w:rsidRPr="00DA1B92">
        <w:rPr>
          <w:bCs/>
          <w:i/>
          <w:iCs/>
          <w:sz w:val="23"/>
          <w:szCs w:val="23"/>
        </w:rPr>
        <w:t>in</w:t>
      </w:r>
      <w:r w:rsidR="00047586" w:rsidRPr="00DA1B92">
        <w:rPr>
          <w:bCs/>
          <w:sz w:val="23"/>
          <w:szCs w:val="23"/>
        </w:rPr>
        <w:t xml:space="preserve"> </w:t>
      </w:r>
      <w:proofErr w:type="spellStart"/>
      <w:r w:rsidRPr="00DA1B92">
        <w:rPr>
          <w:bCs/>
          <w:color w:val="7F7F7F" w:themeColor="text1" w:themeTint="80"/>
          <w:szCs w:val="22"/>
        </w:rPr>
        <w:t>Jeuken</w:t>
      </w:r>
      <w:proofErr w:type="spellEnd"/>
      <w:r w:rsidRPr="00DA1B92">
        <w:rPr>
          <w:bCs/>
          <w:color w:val="7F7F7F" w:themeColor="text1" w:themeTint="80"/>
          <w:szCs w:val="22"/>
        </w:rPr>
        <w:t xml:space="preserve"> et al. 2014, p.17</w:t>
      </w:r>
      <w:r w:rsidRPr="00DA1B92">
        <w:rPr>
          <w:bCs/>
          <w:sz w:val="23"/>
          <w:szCs w:val="23"/>
        </w:rPr>
        <w:t>).</w:t>
      </w:r>
    </w:p>
    <w:p w14:paraId="6E5C661E" w14:textId="69A03D62" w:rsidR="001E67AD" w:rsidRPr="009B720F" w:rsidRDefault="001E67AD" w:rsidP="00E74925">
      <w:pPr>
        <w:pStyle w:val="TEXTBODY"/>
        <w:spacing w:line="276" w:lineRule="auto"/>
        <w:rPr>
          <w:bCs/>
        </w:rPr>
      </w:pPr>
      <w:r w:rsidRPr="00DA1B92">
        <w:rPr>
          <w:bCs/>
        </w:rPr>
        <w:t xml:space="preserve">Besides this, </w:t>
      </w:r>
      <w:r w:rsidR="005D5B65" w:rsidRPr="00DA1B92">
        <w:rPr>
          <w:bCs/>
        </w:rPr>
        <w:t>in the ADM process, Sub-step 2b</w:t>
      </w:r>
      <w:r w:rsidR="00DA1B92" w:rsidRPr="00DA1B92">
        <w:rPr>
          <w:bCs/>
        </w:rPr>
        <w:t xml:space="preserve"> </w:t>
      </w:r>
      <w:r w:rsidR="005D5B65" w:rsidRPr="00DA1B92">
        <w:rPr>
          <w:bCs/>
        </w:rPr>
        <w:t>implie</w:t>
      </w:r>
      <w:r w:rsidR="00B455D7" w:rsidRPr="00DA1B92">
        <w:rPr>
          <w:bCs/>
        </w:rPr>
        <w:t>s/involves</w:t>
      </w:r>
      <w:r w:rsidR="005D5B65" w:rsidRPr="00DA1B92">
        <w:rPr>
          <w:bCs/>
        </w:rPr>
        <w:t xml:space="preserve"> assessing the performance and effectiveness of each measure and determining its tipping-point. </w:t>
      </w:r>
      <w:r w:rsidR="00B455D7" w:rsidRPr="00DA1B92">
        <w:rPr>
          <w:bCs/>
        </w:rPr>
        <w:t>Th</w:t>
      </w:r>
      <w:r w:rsidR="00047586" w:rsidRPr="00DA1B92">
        <w:rPr>
          <w:bCs/>
        </w:rPr>
        <w:t>us, in ADM,</w:t>
      </w:r>
      <w:r w:rsidR="00B455D7" w:rsidRPr="00DA1B92">
        <w:rPr>
          <w:bCs/>
        </w:rPr>
        <w:t xml:space="preserve"> </w:t>
      </w:r>
      <w:r w:rsidR="00047586" w:rsidRPr="00DA1B92">
        <w:rPr>
          <w:bCs/>
        </w:rPr>
        <w:t xml:space="preserve">the </w:t>
      </w:r>
      <w:r w:rsidR="00B455D7" w:rsidRPr="00DA1B92">
        <w:rPr>
          <w:bCs/>
          <w:i/>
          <w:iCs/>
        </w:rPr>
        <w:t>adaptation tipping-points</w:t>
      </w:r>
      <w:r w:rsidR="00B455D7" w:rsidRPr="00DA1B92">
        <w:rPr>
          <w:bCs/>
        </w:rPr>
        <w:t xml:space="preserve"> (ATPs, i.e. points/ conditions under which a measure no longer meets the defined objectives) are crucial to the design of adaptation pathways; when an ATP is reached, other / additional measures are required to achieve the objectives, thus, the APs map shows which measures are available and when these will be needed (</w:t>
      </w:r>
      <w:proofErr w:type="spellStart"/>
      <w:r w:rsidR="005C558F" w:rsidRPr="00DA1B92">
        <w:rPr>
          <w:bCs/>
          <w:color w:val="7F7F7F" w:themeColor="text1" w:themeTint="80"/>
        </w:rPr>
        <w:t>Deltares</w:t>
      </w:r>
      <w:proofErr w:type="spellEnd"/>
      <w:r w:rsidR="005C558F" w:rsidRPr="00DA1B92">
        <w:rPr>
          <w:bCs/>
          <w:color w:val="7F7F7F" w:themeColor="text1" w:themeTint="80"/>
        </w:rPr>
        <w:t xml:space="preserve"> 2018</w:t>
      </w:r>
      <w:r w:rsidR="00B455D7" w:rsidRPr="00DA1B92">
        <w:rPr>
          <w:bCs/>
          <w:color w:val="7F7F7F" w:themeColor="text1" w:themeTint="80"/>
        </w:rPr>
        <w:t>, p.2-4</w:t>
      </w:r>
      <w:r w:rsidR="00B455D7" w:rsidRPr="00DA1B92">
        <w:rPr>
          <w:bCs/>
        </w:rPr>
        <w:t xml:space="preserve">). </w:t>
      </w:r>
      <w:r w:rsidR="00354CF8" w:rsidRPr="00DA1B92">
        <w:rPr>
          <w:bCs/>
        </w:rPr>
        <w:t xml:space="preserve">ATPs played a key role in phasing possible measures within each </w:t>
      </w:r>
      <w:r w:rsidR="00354CF8" w:rsidRPr="00DA1B92">
        <w:rPr>
          <w:bCs/>
          <w:i/>
          <w:iCs/>
        </w:rPr>
        <w:t>Strategy</w:t>
      </w:r>
      <w:r w:rsidR="00354CF8" w:rsidRPr="00DA1B92">
        <w:rPr>
          <w:bCs/>
        </w:rPr>
        <w:t xml:space="preserve"> of the DP </w:t>
      </w:r>
      <w:r w:rsidR="00354CF8" w:rsidRPr="00DA1B92">
        <w:rPr>
          <w:bCs/>
          <w:szCs w:val="22"/>
        </w:rPr>
        <w:t xml:space="preserve">(in the sequencing and assembling of pathways) </w:t>
      </w:r>
      <w:r w:rsidR="00354CF8" w:rsidRPr="00DA1B92">
        <w:rPr>
          <w:bCs/>
        </w:rPr>
        <w:t>(</w:t>
      </w:r>
      <w:proofErr w:type="spellStart"/>
      <w:r w:rsidR="00354CF8" w:rsidRPr="00DA1B92">
        <w:rPr>
          <w:bCs/>
          <w:color w:val="7F7F7F" w:themeColor="text1" w:themeTint="80"/>
          <w:szCs w:val="22"/>
        </w:rPr>
        <w:t>Jeuken</w:t>
      </w:r>
      <w:proofErr w:type="spellEnd"/>
      <w:r w:rsidR="00354CF8" w:rsidRPr="00DA1B92">
        <w:rPr>
          <w:bCs/>
          <w:color w:val="7F7F7F" w:themeColor="text1" w:themeTint="80"/>
          <w:szCs w:val="22"/>
        </w:rPr>
        <w:t xml:space="preserve"> et al. 2014, p.17</w:t>
      </w:r>
      <w:r w:rsidR="00354CF8" w:rsidRPr="00DA1B92">
        <w:rPr>
          <w:bCs/>
          <w:szCs w:val="22"/>
        </w:rPr>
        <w:t>). T</w:t>
      </w:r>
      <w:r w:rsidR="00354CF8" w:rsidRPr="00DA1B92">
        <w:rPr>
          <w:bCs/>
        </w:rPr>
        <w:t>he reaching of an ATP indicate</w:t>
      </w:r>
      <w:r w:rsidR="00D07E7F" w:rsidRPr="00DA1B92">
        <w:rPr>
          <w:bCs/>
        </w:rPr>
        <w:t>d</w:t>
      </w:r>
      <w:r w:rsidR="00354CF8" w:rsidRPr="00DA1B92">
        <w:rPr>
          <w:bCs/>
        </w:rPr>
        <w:t xml:space="preserve"> that a new measure is required.</w:t>
      </w:r>
      <w:r w:rsidRPr="00DA1B92">
        <w:rPr>
          <w:bCs/>
        </w:rPr>
        <w:t xml:space="preserve"> </w:t>
      </w:r>
      <w:r w:rsidR="00354CF8" w:rsidRPr="00DA1B92">
        <w:rPr>
          <w:bCs/>
        </w:rPr>
        <w:t xml:space="preserve">The Subprogrammes sought to identify </w:t>
      </w:r>
      <w:r w:rsidRPr="00DA1B92">
        <w:rPr>
          <w:bCs/>
        </w:rPr>
        <w:t xml:space="preserve">the </w:t>
      </w:r>
      <w:r w:rsidR="00354CF8" w:rsidRPr="00DA1B92">
        <w:rPr>
          <w:bCs/>
        </w:rPr>
        <w:t>ATP</w:t>
      </w:r>
      <w:r w:rsidRPr="00DA1B92">
        <w:rPr>
          <w:bCs/>
        </w:rPr>
        <w:t xml:space="preserve"> for diverse FRM measures</w:t>
      </w:r>
      <w:r w:rsidR="00354CF8" w:rsidRPr="00DA1B92">
        <w:rPr>
          <w:bCs/>
        </w:rPr>
        <w:t xml:space="preserve">, and then analysed when </w:t>
      </w:r>
      <w:r w:rsidRPr="00DA1B92">
        <w:rPr>
          <w:bCs/>
        </w:rPr>
        <w:t xml:space="preserve">this </w:t>
      </w:r>
      <w:r w:rsidR="00354CF8" w:rsidRPr="00DA1B92">
        <w:rPr>
          <w:bCs/>
        </w:rPr>
        <w:t xml:space="preserve">might occur </w:t>
      </w:r>
      <w:r w:rsidRPr="00DA1B92">
        <w:rPr>
          <w:bCs/>
        </w:rPr>
        <w:t>(i.e.</w:t>
      </w:r>
      <w:r w:rsidR="00354CF8" w:rsidRPr="00DA1B92">
        <w:rPr>
          <w:bCs/>
        </w:rPr>
        <w:t xml:space="preserve"> the moment of ATP for different measures).</w:t>
      </w:r>
      <w:r w:rsidR="00354CF8" w:rsidRPr="009B720F">
        <w:rPr>
          <w:bCs/>
        </w:rPr>
        <w:t xml:space="preserve"> </w:t>
      </w:r>
    </w:p>
    <w:p w14:paraId="157678A1" w14:textId="662BEF64" w:rsidR="00D07E7F" w:rsidRPr="00DA1B92" w:rsidRDefault="00FA5C97" w:rsidP="00E74925">
      <w:pPr>
        <w:pStyle w:val="TEXTBODY"/>
        <w:spacing w:line="276" w:lineRule="auto"/>
        <w:ind w:left="142"/>
        <w:rPr>
          <w:bCs/>
        </w:rPr>
      </w:pPr>
      <w:r w:rsidRPr="00DA1B92">
        <w:rPr>
          <w:bCs/>
          <w:sz w:val="20"/>
        </w:rPr>
        <w:t xml:space="preserve">The design of the </w:t>
      </w:r>
      <w:r w:rsidRPr="00DA1B92">
        <w:rPr>
          <w:bCs/>
          <w:i/>
          <w:iCs/>
          <w:sz w:val="20"/>
        </w:rPr>
        <w:t>Strategies</w:t>
      </w:r>
      <w:r w:rsidRPr="00DA1B92">
        <w:rPr>
          <w:bCs/>
          <w:sz w:val="20"/>
        </w:rPr>
        <w:t xml:space="preserve">, namely of their </w:t>
      </w:r>
      <w:r w:rsidRPr="00DA1B92">
        <w:rPr>
          <w:bCs/>
          <w:i/>
          <w:iCs/>
          <w:sz w:val="20"/>
        </w:rPr>
        <w:t>adaptation paths</w:t>
      </w:r>
      <w:r w:rsidRPr="00DA1B92">
        <w:rPr>
          <w:bCs/>
          <w:sz w:val="20"/>
        </w:rPr>
        <w:t>,</w:t>
      </w:r>
      <w:r w:rsidRPr="00DA1B92">
        <w:rPr>
          <w:bCs/>
          <w:i/>
          <w:iCs/>
          <w:sz w:val="20"/>
        </w:rPr>
        <w:t xml:space="preserve"> </w:t>
      </w:r>
      <w:r w:rsidRPr="00DA1B92">
        <w:rPr>
          <w:bCs/>
          <w:sz w:val="20"/>
        </w:rPr>
        <w:t xml:space="preserve">implied the identification of </w:t>
      </w:r>
      <w:r w:rsidRPr="00DA1B92">
        <w:rPr>
          <w:bCs/>
          <w:i/>
          <w:iCs/>
          <w:sz w:val="20"/>
        </w:rPr>
        <w:t>Adaptation Tipping-Points</w:t>
      </w:r>
      <w:r w:rsidRPr="00DA1B92">
        <w:rPr>
          <w:bCs/>
          <w:sz w:val="20"/>
        </w:rPr>
        <w:t xml:space="preserve"> (</w:t>
      </w:r>
      <w:proofErr w:type="spellStart"/>
      <w:r w:rsidRPr="00DA1B92">
        <w:rPr>
          <w:bCs/>
          <w:color w:val="7F7F7F" w:themeColor="text1" w:themeTint="80"/>
          <w:sz w:val="20"/>
        </w:rPr>
        <w:t>Kwadijk</w:t>
      </w:r>
      <w:proofErr w:type="spellEnd"/>
      <w:r w:rsidRPr="00DA1B92">
        <w:rPr>
          <w:bCs/>
          <w:color w:val="7F7F7F" w:themeColor="text1" w:themeTint="80"/>
          <w:sz w:val="20"/>
        </w:rPr>
        <w:t xml:space="preserve"> et al. 2010</w:t>
      </w:r>
      <w:r w:rsidRPr="00DA1B92">
        <w:rPr>
          <w:bCs/>
          <w:sz w:val="20"/>
        </w:rPr>
        <w:t>) (</w:t>
      </w:r>
      <w:r w:rsidRPr="00DA1B92">
        <w:rPr>
          <w:bCs/>
          <w:i/>
          <w:iCs/>
          <w:sz w:val="20"/>
        </w:rPr>
        <w:t>in</w:t>
      </w:r>
      <w:r w:rsidRPr="00DA1B92">
        <w:rPr>
          <w:bCs/>
          <w:sz w:val="20"/>
        </w:rPr>
        <w:t xml:space="preserve"> </w:t>
      </w:r>
      <w:proofErr w:type="spellStart"/>
      <w:r w:rsidRPr="00DA1B92">
        <w:rPr>
          <w:bCs/>
          <w:color w:val="7F7F7F" w:themeColor="text1" w:themeTint="80"/>
          <w:sz w:val="20"/>
        </w:rPr>
        <w:t>Jeuken</w:t>
      </w:r>
      <w:proofErr w:type="spellEnd"/>
      <w:r w:rsidRPr="00DA1B92">
        <w:rPr>
          <w:bCs/>
          <w:color w:val="7F7F7F" w:themeColor="text1" w:themeTint="80"/>
          <w:sz w:val="20"/>
        </w:rPr>
        <w:t xml:space="preserve"> et al. 2014, p.17</w:t>
      </w:r>
      <w:r w:rsidRPr="00DA1B92">
        <w:rPr>
          <w:bCs/>
          <w:sz w:val="20"/>
        </w:rPr>
        <w:t xml:space="preserve">). </w:t>
      </w:r>
      <w:r w:rsidR="007C4FBF" w:rsidRPr="00DA1B92">
        <w:rPr>
          <w:bCs/>
        </w:rPr>
        <w:t>Hence,</w:t>
      </w:r>
      <w:r w:rsidR="00D07E7F" w:rsidRPr="00DA1B92">
        <w:rPr>
          <w:bCs/>
        </w:rPr>
        <w:t xml:space="preserve"> the design of adaptation pathways require</w:t>
      </w:r>
      <w:r w:rsidR="007C4FBF" w:rsidRPr="00DA1B92">
        <w:rPr>
          <w:bCs/>
        </w:rPr>
        <w:t xml:space="preserve">d </w:t>
      </w:r>
      <w:r w:rsidR="00D07E7F" w:rsidRPr="00DA1B92">
        <w:rPr>
          <w:bCs/>
        </w:rPr>
        <w:t>the identification of ATPs.</w:t>
      </w:r>
      <w:r w:rsidR="007C4FBF" w:rsidRPr="00DA1B92">
        <w:rPr>
          <w:rStyle w:val="Refdenotaderodap"/>
          <w:bCs/>
        </w:rPr>
        <w:footnoteReference w:id="92"/>
      </w:r>
      <w:r w:rsidR="00D07E7F" w:rsidRPr="00DA1B92">
        <w:rPr>
          <w:bCs/>
          <w:color w:val="C00000"/>
        </w:rPr>
        <w:t xml:space="preserve"> </w:t>
      </w:r>
      <w:r w:rsidR="00D07E7F" w:rsidRPr="00DA1B92">
        <w:rPr>
          <w:bCs/>
        </w:rPr>
        <w:t xml:space="preserve">More precisely, in ADM, ATPs indicate conditions under which a given measure or action ceases to be effective or acceptable (or no longer suffices), and a new measure is required (source). </w:t>
      </w:r>
    </w:p>
    <w:p w14:paraId="2A1A9B6F" w14:textId="2DE0427D" w:rsidR="00B455D7" w:rsidRPr="009B720F" w:rsidRDefault="00B74F1E" w:rsidP="00E74925">
      <w:pPr>
        <w:pStyle w:val="TEXTBODY"/>
        <w:spacing w:line="276" w:lineRule="auto"/>
        <w:ind w:left="142"/>
        <w:rPr>
          <w:rFonts w:eastAsia="RijksoverheidSansText-Regular"/>
          <w:bCs/>
          <w:color w:val="000000"/>
        </w:rPr>
      </w:pPr>
      <w:bookmarkStart w:id="111" w:name="_Hlk140504094"/>
      <w:r w:rsidRPr="00DA1B92">
        <w:rPr>
          <w:rFonts w:eastAsia="RijksoverheidSansText-Regular"/>
          <w:bCs/>
        </w:rPr>
        <w:t>In 2011/2012, to start</w:t>
      </w:r>
      <w:r w:rsidR="00D06AB7" w:rsidRPr="00DA1B92">
        <w:rPr>
          <w:rFonts w:eastAsia="RijksoverheidSansText-Regular"/>
          <w:bCs/>
        </w:rPr>
        <w:t xml:space="preserve"> develop</w:t>
      </w:r>
      <w:r w:rsidRPr="00DA1B92">
        <w:rPr>
          <w:rFonts w:eastAsia="RijksoverheidSansText-Regular"/>
          <w:bCs/>
        </w:rPr>
        <w:t>ing their</w:t>
      </w:r>
      <w:r w:rsidR="00D06AB7" w:rsidRPr="00DA1B92">
        <w:rPr>
          <w:rFonts w:eastAsia="RijksoverheidSansText-Regular"/>
          <w:bCs/>
        </w:rPr>
        <w:t xml:space="preserve"> </w:t>
      </w:r>
      <w:r w:rsidR="00D06AB7" w:rsidRPr="00DA1B92">
        <w:rPr>
          <w:bCs/>
          <w:i/>
          <w:iCs/>
        </w:rPr>
        <w:t>paths</w:t>
      </w:r>
      <w:r w:rsidR="00D06AB7" w:rsidRPr="00DA1B92">
        <w:rPr>
          <w:bCs/>
        </w:rPr>
        <w:t xml:space="preserve">, </w:t>
      </w:r>
      <w:r w:rsidRPr="00DA1B92">
        <w:rPr>
          <w:bCs/>
        </w:rPr>
        <w:t>some</w:t>
      </w:r>
      <w:r w:rsidR="00D06AB7" w:rsidRPr="00DA1B92">
        <w:rPr>
          <w:bCs/>
        </w:rPr>
        <w:t xml:space="preserve"> Subprogramme analysed at what time</w:t>
      </w:r>
      <w:r w:rsidR="008E3CF1" w:rsidRPr="00DA1B92">
        <w:rPr>
          <w:bCs/>
        </w:rPr>
        <w:t>s</w:t>
      </w:r>
      <w:r w:rsidR="00D06AB7" w:rsidRPr="00DA1B92">
        <w:rPr>
          <w:bCs/>
        </w:rPr>
        <w:t xml:space="preserve"> measures will be required, </w:t>
      </w:r>
      <w:r w:rsidR="008E3CF1" w:rsidRPr="00DA1B92">
        <w:rPr>
          <w:bCs/>
        </w:rPr>
        <w:t xml:space="preserve">which implied examining </w:t>
      </w:r>
      <w:r w:rsidR="00D06AB7" w:rsidRPr="00DA1B92">
        <w:rPr>
          <w:bCs/>
        </w:rPr>
        <w:t xml:space="preserve">the moment of </w:t>
      </w:r>
      <w:r w:rsidR="00D06AB7" w:rsidRPr="00DA1B92">
        <w:rPr>
          <w:bCs/>
          <w:i/>
          <w:iCs/>
        </w:rPr>
        <w:t>tipping-points</w:t>
      </w:r>
      <w:r w:rsidR="00D06AB7" w:rsidRPr="00DA1B92">
        <w:rPr>
          <w:bCs/>
        </w:rPr>
        <w:t xml:space="preserve"> </w:t>
      </w:r>
      <w:r w:rsidR="00D06AB7" w:rsidRPr="00DA1B92">
        <w:rPr>
          <w:rFonts w:eastAsia="RijksoverheidSansText-Regular"/>
          <w:bCs/>
          <w:color w:val="000000"/>
        </w:rPr>
        <w:t>(</w:t>
      </w:r>
      <w:r w:rsidR="00D06AB7" w:rsidRPr="00DA1B92">
        <w:rPr>
          <w:rFonts w:eastAsia="RijksoverheidSansText-Regular"/>
          <w:bCs/>
          <w:color w:val="7F7F7F" w:themeColor="text1" w:themeTint="80"/>
        </w:rPr>
        <w:t>DP 2012, p.9</w:t>
      </w:r>
      <w:r w:rsidR="008E3CF1" w:rsidRPr="00DA1B92">
        <w:rPr>
          <w:rFonts w:eastAsia="RijksoverheidSansText-Regular"/>
          <w:bCs/>
          <w:color w:val="7F7F7F" w:themeColor="text1" w:themeTint="80"/>
        </w:rPr>
        <w:t>0</w:t>
      </w:r>
      <w:r w:rsidR="00D06AB7" w:rsidRPr="00DA1B92">
        <w:rPr>
          <w:rFonts w:eastAsia="RijksoverheidSansText-Regular"/>
          <w:bCs/>
          <w:color w:val="000000"/>
        </w:rPr>
        <w:t>).</w:t>
      </w:r>
    </w:p>
    <w:bookmarkEnd w:id="111"/>
    <w:p w14:paraId="78C87D97" w14:textId="2A02A47D" w:rsidR="00B74F1E" w:rsidRPr="00DA1B92" w:rsidRDefault="00B74F1E" w:rsidP="00E74925">
      <w:pPr>
        <w:pStyle w:val="TEXTBODY"/>
        <w:spacing w:after="60" w:line="276" w:lineRule="auto"/>
        <w:ind w:left="144"/>
        <w:rPr>
          <w:rFonts w:eastAsia="RijksoverheidSansText-Regular" w:cs="Arial"/>
          <w:bCs/>
          <w:color w:val="000000"/>
          <w:szCs w:val="22"/>
        </w:rPr>
      </w:pPr>
      <w:r w:rsidRPr="00DA1B92">
        <w:rPr>
          <w:rFonts w:cs="Arial"/>
          <w:bCs/>
          <w:szCs w:val="22"/>
        </w:rPr>
        <w:t xml:space="preserve">Subsequently, in 2012/2013, each Subprogramme sought to design </w:t>
      </w:r>
      <w:r w:rsidRPr="00DA1B92">
        <w:rPr>
          <w:rFonts w:cs="Arial"/>
          <w:bCs/>
          <w:i/>
          <w:iCs/>
          <w:szCs w:val="22"/>
        </w:rPr>
        <w:t xml:space="preserve">development paths </w:t>
      </w:r>
      <w:r w:rsidRPr="00DA1B92">
        <w:rPr>
          <w:rFonts w:cs="Arial"/>
          <w:bCs/>
          <w:szCs w:val="22"/>
        </w:rPr>
        <w:t xml:space="preserve">or </w:t>
      </w:r>
      <w:r w:rsidRPr="00DA1B92">
        <w:rPr>
          <w:rFonts w:cs="Arial"/>
          <w:bCs/>
          <w:i/>
          <w:iCs/>
          <w:szCs w:val="22"/>
        </w:rPr>
        <w:t>adaptation paths</w:t>
      </w:r>
      <w:r w:rsidRPr="00DA1B92">
        <w:rPr>
          <w:rFonts w:cs="Arial"/>
          <w:bCs/>
          <w:szCs w:val="22"/>
        </w:rPr>
        <w:t xml:space="preserve"> as part of its </w:t>
      </w:r>
      <w:r w:rsidRPr="00DA1B92">
        <w:rPr>
          <w:rFonts w:cs="Arial"/>
          <w:bCs/>
          <w:i/>
          <w:iCs/>
          <w:szCs w:val="22"/>
        </w:rPr>
        <w:t>Promising Strategies</w:t>
      </w:r>
      <w:r w:rsidRPr="00DA1B92">
        <w:rPr>
          <w:rFonts w:cs="Arial"/>
          <w:bCs/>
          <w:szCs w:val="22"/>
        </w:rPr>
        <w:t xml:space="preserve">, and this implied analysing the conditions under which it is logical to move from a measure to another (i.e. ATPs), and what and how options can be kept open to allow such transition </w:t>
      </w:r>
      <w:r w:rsidRPr="00DA1B92">
        <w:rPr>
          <w:rFonts w:eastAsia="RijksoverheidSansText-Regular" w:cs="Arial"/>
          <w:bCs/>
          <w:color w:val="000000"/>
          <w:szCs w:val="22"/>
        </w:rPr>
        <w:t>(</w:t>
      </w:r>
      <w:r w:rsidRPr="00DA1B92">
        <w:rPr>
          <w:rFonts w:eastAsia="RijksoverheidSansText-Regular" w:cs="Arial"/>
          <w:bCs/>
          <w:color w:val="7F7F7F" w:themeColor="text1" w:themeTint="80"/>
          <w:szCs w:val="22"/>
        </w:rPr>
        <w:t>DP 2012, p.81, 80</w:t>
      </w:r>
      <w:r w:rsidRPr="00DA1B92">
        <w:rPr>
          <w:rFonts w:eastAsia="RijksoverheidSansText-Regular" w:cs="Arial"/>
          <w:bCs/>
          <w:color w:val="000000"/>
          <w:szCs w:val="22"/>
        </w:rPr>
        <w:t>).</w:t>
      </w:r>
    </w:p>
    <w:bookmarkEnd w:id="109"/>
    <w:p w14:paraId="1B32AFC2" w14:textId="041D222B" w:rsidR="00047586" w:rsidRPr="009B720F" w:rsidRDefault="00B964B1" w:rsidP="00E74925">
      <w:pPr>
        <w:pStyle w:val="TEXTBODY"/>
        <w:spacing w:line="276" w:lineRule="auto"/>
        <w:rPr>
          <w:bCs/>
        </w:rPr>
      </w:pPr>
      <w:r w:rsidRPr="00DA1B92">
        <w:rPr>
          <w:bCs/>
        </w:rPr>
        <w:t>It can, thus, be</w:t>
      </w:r>
      <w:r w:rsidR="005D5B65" w:rsidRPr="00DA1B92">
        <w:rPr>
          <w:bCs/>
        </w:rPr>
        <w:t xml:space="preserve"> </w:t>
      </w:r>
      <w:r w:rsidR="001E67AD" w:rsidRPr="00DA1B92">
        <w:rPr>
          <w:bCs/>
        </w:rPr>
        <w:t xml:space="preserve">argued that the </w:t>
      </w:r>
      <w:r w:rsidR="00D03C75" w:rsidRPr="00DA1B92">
        <w:rPr>
          <w:bCs/>
        </w:rPr>
        <w:t xml:space="preserve">identification of </w:t>
      </w:r>
      <w:r w:rsidR="00D03C75" w:rsidRPr="00DA1B92">
        <w:rPr>
          <w:bCs/>
          <w:i/>
          <w:iCs/>
        </w:rPr>
        <w:t>Adaptation Tipping-Points</w:t>
      </w:r>
      <w:r w:rsidR="00D03C75" w:rsidRPr="00DA1B92">
        <w:rPr>
          <w:bCs/>
        </w:rPr>
        <w:t xml:space="preserve"> (ATPs</w:t>
      </w:r>
      <w:r w:rsidR="001E67AD" w:rsidRPr="00DA1B92">
        <w:rPr>
          <w:bCs/>
        </w:rPr>
        <w:t xml:space="preserve">) is another key-element of the ADM approach that </w:t>
      </w:r>
      <w:r w:rsidRPr="00DA1B92">
        <w:rPr>
          <w:bCs/>
        </w:rPr>
        <w:t>was essential</w:t>
      </w:r>
      <w:r w:rsidR="001E67AD" w:rsidRPr="00DA1B92">
        <w:rPr>
          <w:bCs/>
        </w:rPr>
        <w:t xml:space="preserve"> to develop and operationalize a </w:t>
      </w:r>
      <w:r w:rsidR="001E67AD" w:rsidRPr="00DA1B92">
        <w:rPr>
          <w:bCs/>
          <w:i/>
          <w:iCs/>
        </w:rPr>
        <w:t>robust flexible strategy/plan</w:t>
      </w:r>
      <w:r w:rsidR="001E67AD" w:rsidRPr="00DA1B92">
        <w:rPr>
          <w:bCs/>
        </w:rPr>
        <w:t xml:space="preserve"> in each </w:t>
      </w:r>
      <w:proofErr w:type="gramStart"/>
      <w:r w:rsidR="001E67AD" w:rsidRPr="00DA1B92">
        <w:rPr>
          <w:bCs/>
        </w:rPr>
        <w:t>Subprogramme</w:t>
      </w:r>
      <w:r w:rsidR="00F10520" w:rsidRPr="00DA1B92">
        <w:rPr>
          <w:bCs/>
        </w:rPr>
        <w:t>, and</w:t>
      </w:r>
      <w:proofErr w:type="gramEnd"/>
      <w:r w:rsidR="00F10520" w:rsidRPr="00DA1B92">
        <w:rPr>
          <w:bCs/>
        </w:rPr>
        <w:t xml:space="preserve"> </w:t>
      </w:r>
      <w:r w:rsidRPr="00DA1B92">
        <w:rPr>
          <w:bCs/>
        </w:rPr>
        <w:t>required to deliver a</w:t>
      </w:r>
      <w:r w:rsidR="00F10520" w:rsidRPr="00DA1B92">
        <w:rPr>
          <w:bCs/>
        </w:rPr>
        <w:t xml:space="preserve"> process of </w:t>
      </w:r>
      <w:r w:rsidR="00F10520" w:rsidRPr="00DA1B92">
        <w:rPr>
          <w:bCs/>
          <w:i/>
          <w:iCs/>
        </w:rPr>
        <w:t>Adaptive Delta Management</w:t>
      </w:r>
      <w:r w:rsidR="00F10520" w:rsidRPr="00DA1B92">
        <w:rPr>
          <w:bCs/>
        </w:rPr>
        <w:t xml:space="preserve">. </w:t>
      </w:r>
      <w:r w:rsidR="001E67AD" w:rsidRPr="00DA1B92">
        <w:rPr>
          <w:bCs/>
        </w:rPr>
        <w:t xml:space="preserve"> </w:t>
      </w:r>
      <w:r w:rsidR="005D5B65" w:rsidRPr="00DA1B92">
        <w:rPr>
          <w:bCs/>
        </w:rPr>
        <w:t>In ADM, ATPs are needed to handle uncertainty about future changes</w:t>
      </w:r>
      <w:r w:rsidR="005D5B65" w:rsidRPr="009B720F">
        <w:rPr>
          <w:bCs/>
        </w:rPr>
        <w:t xml:space="preserve"> </w:t>
      </w:r>
      <w:r w:rsidR="00FA5C97" w:rsidRPr="009B720F">
        <w:rPr>
          <w:bCs/>
        </w:rPr>
        <w:t>and</w:t>
      </w:r>
      <w:r w:rsidR="005D5B65" w:rsidRPr="009B720F">
        <w:rPr>
          <w:bCs/>
        </w:rPr>
        <w:t xml:space="preserve"> ensure</w:t>
      </w:r>
      <w:r w:rsidR="005D5B65" w:rsidRPr="009B720F">
        <w:rPr>
          <w:bCs/>
          <w:i/>
          <w:iCs/>
        </w:rPr>
        <w:t xml:space="preserve"> adaptiveness</w:t>
      </w:r>
      <w:r w:rsidR="005D5B65" w:rsidRPr="009B720F">
        <w:rPr>
          <w:bCs/>
        </w:rPr>
        <w:t xml:space="preserve"> (as noted by </w:t>
      </w:r>
      <w:r w:rsidR="005D5B65" w:rsidRPr="009B720F">
        <w:rPr>
          <w:bCs/>
          <w:color w:val="7F7F7F" w:themeColor="text1" w:themeTint="80"/>
          <w:szCs w:val="22"/>
        </w:rPr>
        <w:t>Zandvoort et al. 2018</w:t>
      </w:r>
      <w:r w:rsidR="005D5B65" w:rsidRPr="009B720F">
        <w:rPr>
          <w:bCs/>
        </w:rPr>
        <w:t>).</w:t>
      </w:r>
    </w:p>
    <w:p w14:paraId="75D2970A" w14:textId="77777777" w:rsidR="00A80022" w:rsidRPr="009B720F" w:rsidRDefault="00A80022" w:rsidP="00E74925">
      <w:pPr>
        <w:pStyle w:val="TEXTBODY"/>
        <w:spacing w:line="276" w:lineRule="auto"/>
        <w:rPr>
          <w:bCs/>
        </w:rPr>
      </w:pPr>
    </w:p>
    <w:p w14:paraId="0E88D8A7" w14:textId="56D6EAFF" w:rsidR="00354CF8" w:rsidRPr="009B720F" w:rsidRDefault="00354CF8" w:rsidP="00E74925">
      <w:pPr>
        <w:pStyle w:val="Ttulo4"/>
        <w:spacing w:line="276" w:lineRule="auto"/>
        <w:rPr>
          <w:bCs/>
        </w:rPr>
      </w:pPr>
      <w:r w:rsidRPr="009B720F">
        <w:rPr>
          <w:bCs/>
        </w:rPr>
        <w:t xml:space="preserve">Key-element 3 </w:t>
      </w:r>
    </w:p>
    <w:p w14:paraId="0C63393F" w14:textId="6A8F27C2" w:rsidR="00A61A74" w:rsidRPr="00DA1B92" w:rsidRDefault="00A61A74" w:rsidP="00E74925">
      <w:pPr>
        <w:pStyle w:val="TEXTBODY"/>
        <w:spacing w:line="276" w:lineRule="auto"/>
        <w:rPr>
          <w:bCs/>
        </w:rPr>
      </w:pPr>
      <w:r w:rsidRPr="00DA1B92">
        <w:rPr>
          <w:bCs/>
        </w:rPr>
        <w:t xml:space="preserve">ADM aims at developing strategies that are </w:t>
      </w:r>
      <w:r w:rsidRPr="00DA1B92">
        <w:rPr>
          <w:bCs/>
          <w:i/>
          <w:iCs/>
        </w:rPr>
        <w:t>robust</w:t>
      </w:r>
      <w:r w:rsidRPr="00DA1B92">
        <w:rPr>
          <w:bCs/>
        </w:rPr>
        <w:t xml:space="preserve"> and </w:t>
      </w:r>
      <w:r w:rsidRPr="00DA1B92">
        <w:rPr>
          <w:bCs/>
          <w:i/>
        </w:rPr>
        <w:t>flexible</w:t>
      </w:r>
      <w:r w:rsidRPr="00DA1B92">
        <w:rPr>
          <w:bCs/>
          <w:iCs/>
        </w:rPr>
        <w:t xml:space="preserve">: </w:t>
      </w:r>
      <w:r w:rsidRPr="00DA1B92">
        <w:rPr>
          <w:bCs/>
        </w:rPr>
        <w:t>robustness involves ‘</w:t>
      </w:r>
      <w:r w:rsidRPr="00DA1B92">
        <w:rPr>
          <w:bCs/>
          <w:i/>
        </w:rPr>
        <w:t>performing satisfactorily under a wide variety of futures</w:t>
      </w:r>
      <w:r w:rsidRPr="00DA1B92">
        <w:rPr>
          <w:bCs/>
        </w:rPr>
        <w:t>’, whereas flexibility is related with being ‘</w:t>
      </w:r>
      <w:r w:rsidRPr="00DA1B92">
        <w:rPr>
          <w:bCs/>
          <w:i/>
          <w:iCs/>
        </w:rPr>
        <w:t>easily adapted to changing or unforeseen future conditions</w:t>
      </w:r>
      <w:r w:rsidRPr="00DA1B92">
        <w:rPr>
          <w:bCs/>
        </w:rPr>
        <w:t>’ (</w:t>
      </w:r>
      <w:proofErr w:type="spellStart"/>
      <w:r w:rsidRPr="00DA1B92">
        <w:rPr>
          <w:bCs/>
          <w:color w:val="7F7F7F" w:themeColor="text1" w:themeTint="80"/>
        </w:rPr>
        <w:t>Haasnoot</w:t>
      </w:r>
      <w:proofErr w:type="spellEnd"/>
      <w:r w:rsidRPr="00DA1B92">
        <w:rPr>
          <w:bCs/>
          <w:color w:val="7F7F7F" w:themeColor="text1" w:themeTint="80"/>
        </w:rPr>
        <w:t xml:space="preserve"> 2013, </w:t>
      </w:r>
      <w:r w:rsidRPr="00DA1B92">
        <w:rPr>
          <w:bCs/>
          <w:i/>
          <w:iCs/>
        </w:rPr>
        <w:t>in</w:t>
      </w:r>
      <w:r w:rsidRPr="00DA1B92">
        <w:rPr>
          <w:bCs/>
        </w:rPr>
        <w:t xml:space="preserve"> </w:t>
      </w:r>
      <w:r w:rsidRPr="00DA1B92">
        <w:rPr>
          <w:bCs/>
          <w:color w:val="7F7F7F" w:themeColor="text1" w:themeTint="80"/>
        </w:rPr>
        <w:t>Marchand and Ludwig 2014, p.8</w:t>
      </w:r>
      <w:r w:rsidR="00FF24A5" w:rsidRPr="00DA1B92">
        <w:rPr>
          <w:bCs/>
          <w:color w:val="7F7F7F" w:themeColor="text1" w:themeTint="80"/>
        </w:rPr>
        <w:t>, 15</w:t>
      </w:r>
      <w:r w:rsidRPr="00DA1B92">
        <w:rPr>
          <w:bCs/>
        </w:rPr>
        <w:t>). Importantly, the 2</w:t>
      </w:r>
      <w:r w:rsidRPr="00DA1B92">
        <w:rPr>
          <w:bCs/>
          <w:vertAlign w:val="superscript"/>
        </w:rPr>
        <w:t>nd</w:t>
      </w:r>
      <w:r w:rsidRPr="00DA1B92">
        <w:rPr>
          <w:bCs/>
        </w:rPr>
        <w:t xml:space="preserve"> and 3</w:t>
      </w:r>
      <w:r w:rsidRPr="00DA1B92">
        <w:rPr>
          <w:bCs/>
          <w:vertAlign w:val="superscript"/>
        </w:rPr>
        <w:t>rd</w:t>
      </w:r>
      <w:r w:rsidRPr="00DA1B92">
        <w:rPr>
          <w:bCs/>
        </w:rPr>
        <w:t xml:space="preserve"> principle of ADM are clearly related to </w:t>
      </w:r>
      <w:r w:rsidRPr="00DA1B92">
        <w:rPr>
          <w:bCs/>
          <w:i/>
          <w:iCs/>
        </w:rPr>
        <w:t xml:space="preserve">robustness </w:t>
      </w:r>
      <w:r w:rsidRPr="00DA1B92">
        <w:rPr>
          <w:bCs/>
        </w:rPr>
        <w:t xml:space="preserve">and </w:t>
      </w:r>
      <w:r w:rsidRPr="00DA1B92">
        <w:rPr>
          <w:bCs/>
          <w:i/>
          <w:iCs/>
        </w:rPr>
        <w:t xml:space="preserve">flexibility </w:t>
      </w:r>
      <w:r w:rsidRPr="00DA1B92">
        <w:rPr>
          <w:bCs/>
        </w:rPr>
        <w:t>(</w:t>
      </w:r>
      <w:r w:rsidRPr="00DA1B92">
        <w:rPr>
          <w:bCs/>
          <w:color w:val="7F7F7F" w:themeColor="text1" w:themeTint="80"/>
        </w:rPr>
        <w:t>DP 2013, p.103</w:t>
      </w:r>
      <w:r w:rsidRPr="00DA1B92">
        <w:rPr>
          <w:bCs/>
        </w:rPr>
        <w:t xml:space="preserve">). </w:t>
      </w:r>
      <w:r w:rsidR="00114C21" w:rsidRPr="00DA1B92">
        <w:rPr>
          <w:bCs/>
        </w:rPr>
        <w:t>The</w:t>
      </w:r>
      <w:r w:rsidRPr="00DA1B92">
        <w:rPr>
          <w:bCs/>
        </w:rPr>
        <w:t xml:space="preserve"> </w:t>
      </w:r>
      <w:r w:rsidRPr="00DA1B92">
        <w:rPr>
          <w:bCs/>
          <w:i/>
          <w:iCs/>
        </w:rPr>
        <w:t>ADM Implementation Guide</w:t>
      </w:r>
      <w:r w:rsidRPr="00DA1B92">
        <w:rPr>
          <w:bCs/>
        </w:rPr>
        <w:t xml:space="preserve"> claims</w:t>
      </w:r>
      <w:r w:rsidRPr="00DA1B92">
        <w:rPr>
          <w:bCs/>
          <w:color w:val="C00000"/>
        </w:rPr>
        <w:t xml:space="preserve"> </w:t>
      </w:r>
      <w:r w:rsidRPr="00DA1B92">
        <w:rPr>
          <w:bCs/>
        </w:rPr>
        <w:t xml:space="preserve">that strategies should be </w:t>
      </w:r>
      <w:r w:rsidR="00AC348F" w:rsidRPr="00DA1B92">
        <w:rPr>
          <w:bCs/>
        </w:rPr>
        <w:t xml:space="preserve">simultaneously </w:t>
      </w:r>
      <w:r w:rsidRPr="00DA1B92">
        <w:rPr>
          <w:bCs/>
          <w:i/>
        </w:rPr>
        <w:t>robust</w:t>
      </w:r>
      <w:r w:rsidRPr="00DA1B92">
        <w:rPr>
          <w:bCs/>
        </w:rPr>
        <w:t xml:space="preserve"> and </w:t>
      </w:r>
      <w:r w:rsidRPr="00DA1B92">
        <w:rPr>
          <w:bCs/>
          <w:i/>
        </w:rPr>
        <w:t>flexible</w:t>
      </w:r>
      <w:r w:rsidRPr="00DA1B92">
        <w:rPr>
          <w:bCs/>
        </w:rPr>
        <w:t xml:space="preserve"> (</w:t>
      </w:r>
      <w:r w:rsidRPr="00E74925">
        <w:rPr>
          <w:bCs/>
          <w:color w:val="7F7F7F" w:themeColor="text1" w:themeTint="80"/>
        </w:rPr>
        <w:t xml:space="preserve">Rhee 2012 </w:t>
      </w:r>
      <w:r w:rsidRPr="00E74925">
        <w:rPr>
          <w:bCs/>
          <w:i/>
          <w:iCs/>
          <w:color w:val="7F7F7F" w:themeColor="text1" w:themeTint="80"/>
        </w:rPr>
        <w:t xml:space="preserve">in </w:t>
      </w:r>
      <w:proofErr w:type="spellStart"/>
      <w:r w:rsidRPr="00DA1B92">
        <w:rPr>
          <w:bCs/>
          <w:color w:val="7F7F7F" w:themeColor="text1" w:themeTint="80"/>
        </w:rPr>
        <w:t>Restemeyer</w:t>
      </w:r>
      <w:proofErr w:type="spellEnd"/>
      <w:r w:rsidRPr="00DA1B92">
        <w:rPr>
          <w:bCs/>
          <w:color w:val="7F7F7F" w:themeColor="text1" w:themeTint="80"/>
        </w:rPr>
        <w:t xml:space="preserve"> et al. 2017, p.930</w:t>
      </w:r>
      <w:r w:rsidRPr="00DA1B92">
        <w:rPr>
          <w:bCs/>
        </w:rPr>
        <w:t xml:space="preserve">): a robust strategy is one that </w:t>
      </w:r>
      <w:r w:rsidRPr="00DA1B92">
        <w:rPr>
          <w:bCs/>
          <w:i/>
        </w:rPr>
        <w:t>works in all plausible futures</w:t>
      </w:r>
      <w:r w:rsidRPr="00DA1B92">
        <w:rPr>
          <w:bCs/>
          <w:iCs/>
        </w:rPr>
        <w:t>, while</w:t>
      </w:r>
      <w:r w:rsidRPr="00DA1B92">
        <w:rPr>
          <w:bCs/>
          <w:i/>
          <w:iCs/>
        </w:rPr>
        <w:t xml:space="preserve"> flexibility</w:t>
      </w:r>
      <w:r w:rsidRPr="00DA1B92">
        <w:rPr>
          <w:bCs/>
        </w:rPr>
        <w:t xml:space="preserve"> means that</w:t>
      </w:r>
      <w:r w:rsidRPr="00DA1B92">
        <w:rPr>
          <w:bCs/>
          <w:i/>
        </w:rPr>
        <w:t xml:space="preserve"> depending on the </w:t>
      </w:r>
      <w:r w:rsidRPr="00DA1B92">
        <w:rPr>
          <w:bCs/>
          <w:i/>
        </w:rPr>
        <w:lastRenderedPageBreak/>
        <w:t>contextual circumstances - you can cut one strategy off and</w:t>
      </w:r>
      <w:r w:rsidRPr="00DA1B92">
        <w:rPr>
          <w:rFonts w:ascii="AdvP7B6C" w:hAnsi="AdvP7B6C" w:cs="AdvP7B6C"/>
          <w:bCs/>
          <w:sz w:val="20"/>
        </w:rPr>
        <w:t xml:space="preserve"> </w:t>
      </w:r>
      <w:r w:rsidRPr="00DA1B92">
        <w:rPr>
          <w:bCs/>
          <w:i/>
        </w:rPr>
        <w:t xml:space="preserve">switch to another one </w:t>
      </w:r>
      <w:r w:rsidRPr="00DA1B92">
        <w:rPr>
          <w:bCs/>
        </w:rPr>
        <w:t>(</w:t>
      </w:r>
      <w:r w:rsidRPr="00DA1B92">
        <w:rPr>
          <w:bCs/>
          <w:color w:val="7F7F7F" w:themeColor="text1" w:themeTint="80"/>
        </w:rPr>
        <w:t xml:space="preserve">DP Staff member, </w:t>
      </w:r>
      <w:r w:rsidRPr="00DA1B92">
        <w:rPr>
          <w:bCs/>
          <w:i/>
          <w:iCs/>
          <w:color w:val="7F7F7F" w:themeColor="text1" w:themeTint="80"/>
        </w:rPr>
        <w:t>in</w:t>
      </w:r>
      <w:r w:rsidRPr="00DA1B92">
        <w:rPr>
          <w:bCs/>
          <w:color w:val="7F7F7F" w:themeColor="text1" w:themeTint="80"/>
        </w:rPr>
        <w:t xml:space="preserve"> </w:t>
      </w:r>
      <w:proofErr w:type="spellStart"/>
      <w:r w:rsidRPr="00DA1B92">
        <w:rPr>
          <w:bCs/>
          <w:color w:val="7F7F7F" w:themeColor="text1" w:themeTint="80"/>
        </w:rPr>
        <w:t>Restemeyer</w:t>
      </w:r>
      <w:proofErr w:type="spellEnd"/>
      <w:r w:rsidRPr="00DA1B92">
        <w:rPr>
          <w:bCs/>
          <w:color w:val="7F7F7F" w:themeColor="text1" w:themeTint="80"/>
        </w:rPr>
        <w:t xml:space="preserve"> et al. 2017, p.930</w:t>
      </w:r>
      <w:r w:rsidRPr="00DA1B92">
        <w:rPr>
          <w:bCs/>
        </w:rPr>
        <w:t>).</w:t>
      </w:r>
      <w:r w:rsidRPr="00DA1B92">
        <w:rPr>
          <w:bCs/>
          <w:color w:val="C00000"/>
        </w:rPr>
        <w:t xml:space="preserve"> </w:t>
      </w:r>
      <w:bookmarkStart w:id="112" w:name="_Hlk141362953"/>
      <w:r w:rsidRPr="00DA1B92">
        <w:rPr>
          <w:bCs/>
        </w:rPr>
        <w:t xml:space="preserve">Moreover, according to this Guide, to find </w:t>
      </w:r>
      <w:r w:rsidR="00D52424" w:rsidRPr="00DA1B92">
        <w:rPr>
          <w:bCs/>
        </w:rPr>
        <w:t>(</w:t>
      </w:r>
      <w:r w:rsidRPr="00DA1B92">
        <w:rPr>
          <w:bCs/>
        </w:rPr>
        <w:t>or develop</w:t>
      </w:r>
      <w:r w:rsidR="00D52424" w:rsidRPr="00DA1B92">
        <w:rPr>
          <w:bCs/>
        </w:rPr>
        <w:t>)</w:t>
      </w:r>
      <w:r w:rsidRPr="00DA1B92">
        <w:rPr>
          <w:bCs/>
        </w:rPr>
        <w:t xml:space="preserve"> </w:t>
      </w:r>
      <w:r w:rsidRPr="00DA1B92">
        <w:rPr>
          <w:bCs/>
          <w:i/>
          <w:iCs/>
        </w:rPr>
        <w:t>robust</w:t>
      </w:r>
      <w:r w:rsidRPr="00DA1B92">
        <w:rPr>
          <w:bCs/>
        </w:rPr>
        <w:t xml:space="preserve"> </w:t>
      </w:r>
      <w:r w:rsidRPr="00DA1B92">
        <w:rPr>
          <w:bCs/>
          <w:i/>
          <w:iCs/>
        </w:rPr>
        <w:t>flexible strategies</w:t>
      </w:r>
      <w:r w:rsidRPr="00DA1B92">
        <w:rPr>
          <w:bCs/>
        </w:rPr>
        <w:t>, it is necessary to identify tipping-points and</w:t>
      </w:r>
      <w:r w:rsidR="0023760E" w:rsidRPr="00DA1B92">
        <w:rPr>
          <w:bCs/>
        </w:rPr>
        <w:t xml:space="preserve"> make</w:t>
      </w:r>
      <w:r w:rsidRPr="00DA1B92">
        <w:rPr>
          <w:bCs/>
        </w:rPr>
        <w:t xml:space="preserve"> adaptation pathways</w:t>
      </w:r>
      <w:r w:rsidR="007418A0" w:rsidRPr="00DA1B92">
        <w:rPr>
          <w:bCs/>
        </w:rPr>
        <w:t xml:space="preserve"> </w:t>
      </w:r>
      <w:bookmarkStart w:id="113" w:name="_Hlk140234385"/>
      <w:r w:rsidR="007418A0" w:rsidRPr="00DA1B92">
        <w:rPr>
          <w:bCs/>
        </w:rPr>
        <w:t>(the Guide suggests working with scenarios, tipping-points and adaptation pathways)</w:t>
      </w:r>
      <w:r w:rsidRPr="00DA1B92">
        <w:rPr>
          <w:bCs/>
        </w:rPr>
        <w:t xml:space="preserve"> </w:t>
      </w:r>
      <w:r w:rsidRPr="00DA1B92">
        <w:rPr>
          <w:rFonts w:cs="Arial"/>
          <w:bCs/>
          <w:szCs w:val="18"/>
        </w:rPr>
        <w:t>(</w:t>
      </w:r>
      <w:r w:rsidR="007418A0" w:rsidRPr="00DA1B92">
        <w:rPr>
          <w:rFonts w:cs="Arial"/>
          <w:bCs/>
          <w:i/>
          <w:iCs/>
          <w:szCs w:val="18"/>
        </w:rPr>
        <w:t>in</w:t>
      </w:r>
      <w:r w:rsidR="007418A0" w:rsidRPr="00DA1B92">
        <w:rPr>
          <w:rFonts w:cs="Arial"/>
          <w:bCs/>
          <w:szCs w:val="18"/>
        </w:rPr>
        <w:t xml:space="preserve"> </w:t>
      </w:r>
      <w:proofErr w:type="spellStart"/>
      <w:r w:rsidRPr="00DA1B92">
        <w:rPr>
          <w:rFonts w:cs="Arial"/>
          <w:bCs/>
          <w:color w:val="7F7F7F" w:themeColor="text1" w:themeTint="80"/>
          <w:szCs w:val="18"/>
        </w:rPr>
        <w:t>Restemeyer</w:t>
      </w:r>
      <w:proofErr w:type="spellEnd"/>
      <w:r w:rsidRPr="00DA1B92">
        <w:rPr>
          <w:rFonts w:cs="Arial"/>
          <w:bCs/>
          <w:color w:val="7F7F7F" w:themeColor="text1" w:themeTint="80"/>
          <w:szCs w:val="18"/>
        </w:rPr>
        <w:t xml:space="preserve"> et al. 2017</w:t>
      </w:r>
      <w:r w:rsidR="007418A0" w:rsidRPr="00DA1B92">
        <w:rPr>
          <w:rFonts w:cs="Arial"/>
          <w:bCs/>
          <w:color w:val="7F7F7F" w:themeColor="text1" w:themeTint="80"/>
          <w:szCs w:val="18"/>
        </w:rPr>
        <w:t>, p.</w:t>
      </w:r>
      <w:r w:rsidR="0023760E" w:rsidRPr="00DA1B92">
        <w:rPr>
          <w:rFonts w:cs="Arial"/>
          <w:bCs/>
          <w:color w:val="7F7F7F" w:themeColor="text1" w:themeTint="80"/>
          <w:szCs w:val="18"/>
        </w:rPr>
        <w:t xml:space="preserve">931, </w:t>
      </w:r>
      <w:r w:rsidR="007418A0" w:rsidRPr="00DA1B92">
        <w:rPr>
          <w:rFonts w:cs="Arial"/>
          <w:bCs/>
          <w:color w:val="7F7F7F" w:themeColor="text1" w:themeTint="80"/>
          <w:szCs w:val="18"/>
        </w:rPr>
        <w:t>930</w:t>
      </w:r>
      <w:r w:rsidRPr="00DA1B92">
        <w:rPr>
          <w:rFonts w:cs="Arial"/>
          <w:bCs/>
          <w:szCs w:val="18"/>
        </w:rPr>
        <w:t>).</w:t>
      </w:r>
      <w:bookmarkEnd w:id="112"/>
      <w:r w:rsidR="00D52424" w:rsidRPr="00DA1B92">
        <w:rPr>
          <w:rStyle w:val="Refdenotaderodap"/>
          <w:rFonts w:cs="Arial"/>
          <w:bCs/>
          <w:szCs w:val="18"/>
        </w:rPr>
        <w:footnoteReference w:id="93"/>
      </w:r>
      <w:r w:rsidRPr="00DA1B92">
        <w:rPr>
          <w:bCs/>
        </w:rPr>
        <w:t xml:space="preserve"> </w:t>
      </w:r>
      <w:bookmarkEnd w:id="113"/>
      <w:r w:rsidRPr="00DA1B92">
        <w:rPr>
          <w:bCs/>
        </w:rPr>
        <w:t xml:space="preserve">The design of </w:t>
      </w:r>
      <w:r w:rsidRPr="00DA1B92">
        <w:rPr>
          <w:bCs/>
          <w:i/>
          <w:iCs/>
        </w:rPr>
        <w:t>robust flexible</w:t>
      </w:r>
      <w:r w:rsidRPr="00DA1B92">
        <w:rPr>
          <w:bCs/>
        </w:rPr>
        <w:t xml:space="preserve"> </w:t>
      </w:r>
      <w:r w:rsidRPr="00DA1B92">
        <w:rPr>
          <w:bCs/>
          <w:i/>
          <w:iCs/>
        </w:rPr>
        <w:t>strategies</w:t>
      </w:r>
      <w:r w:rsidRPr="00DA1B92">
        <w:rPr>
          <w:bCs/>
        </w:rPr>
        <w:t xml:space="preserve"> requires identifying and assessing various possible measures under a range of plausible futures and searching for those that are </w:t>
      </w:r>
      <w:r w:rsidRPr="00DA1B92">
        <w:rPr>
          <w:bCs/>
          <w:i/>
          <w:iCs/>
        </w:rPr>
        <w:t>robust</w:t>
      </w:r>
      <w:r w:rsidRPr="00DA1B92">
        <w:rPr>
          <w:bCs/>
        </w:rPr>
        <w:t xml:space="preserve"> and </w:t>
      </w:r>
      <w:r w:rsidRPr="00DA1B92">
        <w:rPr>
          <w:bCs/>
          <w:i/>
          <w:iCs/>
        </w:rPr>
        <w:t xml:space="preserve">flexible </w:t>
      </w:r>
      <w:r w:rsidRPr="00DA1B92">
        <w:rPr>
          <w:bCs/>
        </w:rPr>
        <w:t>(</w:t>
      </w:r>
      <w:r w:rsidRPr="00DA1B92">
        <w:rPr>
          <w:bCs/>
          <w:color w:val="7F7F7F" w:themeColor="text1" w:themeTint="80"/>
        </w:rPr>
        <w:t>Marchand and Ludwig 2014</w:t>
      </w:r>
      <w:r w:rsidRPr="00DA1B92">
        <w:rPr>
          <w:bCs/>
        </w:rPr>
        <w:t>).</w:t>
      </w:r>
    </w:p>
    <w:p w14:paraId="6498C5F4" w14:textId="774D355A" w:rsidR="007418A0" w:rsidRPr="00DA1B92" w:rsidRDefault="00A61A74" w:rsidP="00E74925">
      <w:pPr>
        <w:pStyle w:val="TEXTBODY"/>
        <w:spacing w:line="276" w:lineRule="auto"/>
        <w:rPr>
          <w:bCs/>
        </w:rPr>
      </w:pPr>
      <w:r w:rsidRPr="00DA1B92">
        <w:rPr>
          <w:bCs/>
        </w:rPr>
        <w:t>The DP assumed that</w:t>
      </w:r>
      <w:r w:rsidRPr="00DA1B92">
        <w:rPr>
          <w:bCs/>
          <w:color w:val="C00000"/>
        </w:rPr>
        <w:t xml:space="preserve"> </w:t>
      </w:r>
      <w:r w:rsidRPr="00E74925">
        <w:rPr>
          <w:bCs/>
        </w:rPr>
        <w:t>its</w:t>
      </w:r>
      <w:r w:rsidRPr="00DA1B92">
        <w:rPr>
          <w:bCs/>
        </w:rPr>
        <w:t xml:space="preserve"> </w:t>
      </w:r>
      <w:r w:rsidRPr="00DA1B92">
        <w:rPr>
          <w:bCs/>
          <w:i/>
          <w:iCs/>
        </w:rPr>
        <w:t>Strategies</w:t>
      </w:r>
      <w:r w:rsidR="0023760E" w:rsidRPr="00DA1B92">
        <w:rPr>
          <w:bCs/>
        </w:rPr>
        <w:t xml:space="preserve"> (the </w:t>
      </w:r>
      <w:r w:rsidR="0023760E" w:rsidRPr="00DA1B92">
        <w:rPr>
          <w:bCs/>
          <w:i/>
          <w:iCs/>
        </w:rPr>
        <w:t>Strategies</w:t>
      </w:r>
      <w:r w:rsidR="0023760E" w:rsidRPr="00DA1B92">
        <w:rPr>
          <w:bCs/>
        </w:rPr>
        <w:t xml:space="preserve"> developed)</w:t>
      </w:r>
      <w:r w:rsidRPr="00DA1B92">
        <w:rPr>
          <w:bCs/>
        </w:rPr>
        <w:t xml:space="preserve"> should be both </w:t>
      </w:r>
      <w:r w:rsidRPr="00DA1B92">
        <w:rPr>
          <w:bCs/>
          <w:i/>
          <w:iCs/>
        </w:rPr>
        <w:t>robust</w:t>
      </w:r>
      <w:r w:rsidRPr="00DA1B92">
        <w:rPr>
          <w:bCs/>
        </w:rPr>
        <w:t xml:space="preserve"> </w:t>
      </w:r>
      <w:r w:rsidRPr="00DA1B92">
        <w:rPr>
          <w:bCs/>
          <w:i/>
          <w:iCs/>
        </w:rPr>
        <w:t>and flexible</w:t>
      </w:r>
      <w:r w:rsidR="0023760E" w:rsidRPr="00DA1B92">
        <w:rPr>
          <w:rStyle w:val="Refdenotaderodap"/>
          <w:bCs/>
        </w:rPr>
        <w:footnoteReference w:id="94"/>
      </w:r>
      <w:r w:rsidRPr="00DA1B92">
        <w:rPr>
          <w:bCs/>
        </w:rPr>
        <w:t>: it defines a</w:t>
      </w:r>
      <w:r w:rsidRPr="00DA1B92">
        <w:rPr>
          <w:rFonts w:eastAsia="RijksoverheidSerif-Regular"/>
          <w:bCs/>
          <w:lang w:eastAsia="en-US"/>
        </w:rPr>
        <w:t xml:space="preserve"> </w:t>
      </w:r>
      <w:r w:rsidRPr="00DA1B92">
        <w:rPr>
          <w:rFonts w:eastAsia="RijksoverheidSerif-Regular"/>
          <w:bCs/>
          <w:i/>
          <w:iCs/>
          <w:lang w:eastAsia="en-US"/>
        </w:rPr>
        <w:t>robust strategy</w:t>
      </w:r>
      <w:r w:rsidRPr="00DA1B92">
        <w:rPr>
          <w:rFonts w:eastAsia="RijksoverheidSerif-Regular"/>
          <w:bCs/>
          <w:lang w:eastAsia="en-US"/>
        </w:rPr>
        <w:t xml:space="preserve"> as one that is </w:t>
      </w:r>
      <w:r w:rsidRPr="00DA1B92">
        <w:rPr>
          <w:rFonts w:eastAsia="RijksoverheidSerif-Regular"/>
          <w:bCs/>
          <w:i/>
          <w:iCs/>
          <w:lang w:eastAsia="en-US"/>
        </w:rPr>
        <w:t>future-proof</w:t>
      </w:r>
      <w:r w:rsidRPr="00DA1B92">
        <w:rPr>
          <w:rFonts w:eastAsia="RijksoverheidSerif-Regular"/>
          <w:bCs/>
          <w:lang w:eastAsia="en-US"/>
        </w:rPr>
        <w:t xml:space="preserve"> and provides a solution for the</w:t>
      </w:r>
      <w:r w:rsidRPr="00DA1B92">
        <w:rPr>
          <w:rFonts w:eastAsia="RijksoverheidSerif-Regular"/>
          <w:bCs/>
          <w:i/>
          <w:iCs/>
          <w:lang w:eastAsia="en-US"/>
        </w:rPr>
        <w:t xml:space="preserve"> </w:t>
      </w:r>
      <w:r w:rsidRPr="00DA1B92">
        <w:rPr>
          <w:rFonts w:eastAsia="RijksoverheidSerif-Regular"/>
          <w:bCs/>
          <w:lang w:eastAsia="en-US"/>
        </w:rPr>
        <w:t xml:space="preserve">tasks arising in all </w:t>
      </w:r>
      <w:r w:rsidRPr="00DA1B92">
        <w:rPr>
          <w:rFonts w:eastAsia="RijksoverheidSerif-Regular"/>
          <w:bCs/>
          <w:i/>
          <w:iCs/>
          <w:lang w:eastAsia="en-US"/>
        </w:rPr>
        <w:t>Delta Scenarios</w:t>
      </w:r>
      <w:r w:rsidRPr="00DA1B92">
        <w:rPr>
          <w:rFonts w:eastAsia="RijksoverheidSerif-Regular"/>
          <w:bCs/>
          <w:lang w:eastAsia="en-US"/>
        </w:rPr>
        <w:t xml:space="preserve"> considered, and a </w:t>
      </w:r>
      <w:r w:rsidRPr="00DA1B92">
        <w:rPr>
          <w:rFonts w:eastAsia="RijksoverheidSerif-Regular"/>
          <w:bCs/>
          <w:i/>
          <w:iCs/>
          <w:lang w:eastAsia="en-US"/>
        </w:rPr>
        <w:t>flexible strategy</w:t>
      </w:r>
      <w:r w:rsidRPr="00DA1B92">
        <w:rPr>
          <w:rFonts w:eastAsia="RijksoverheidSerif-Regular"/>
          <w:bCs/>
          <w:lang w:eastAsia="en-US"/>
        </w:rPr>
        <w:t xml:space="preserve"> as one that can be relatively easy accelerated / delayed, </w:t>
      </w:r>
      <w:r w:rsidR="00DC731B" w:rsidRPr="00DA1B92">
        <w:rPr>
          <w:rFonts w:eastAsia="RijksoverheidSerif-Regular"/>
          <w:bCs/>
          <w:lang w:eastAsia="en-US"/>
        </w:rPr>
        <w:t>and that enables</w:t>
      </w:r>
      <w:r w:rsidRPr="00DA1B92">
        <w:rPr>
          <w:rFonts w:eastAsia="RijksoverheidSerif-Regular"/>
          <w:bCs/>
          <w:lang w:eastAsia="en-US"/>
        </w:rPr>
        <w:t xml:space="preserve"> switching to other strategies (i.e. </w:t>
      </w:r>
      <w:r w:rsidRPr="00DA1B92">
        <w:rPr>
          <w:rFonts w:eastAsia="RijksoverheidSerif-Regular"/>
          <w:bCs/>
          <w:i/>
          <w:iCs/>
          <w:lang w:eastAsia="en-US"/>
        </w:rPr>
        <w:t>switching between strategies</w:t>
      </w:r>
      <w:r w:rsidRPr="00DA1B92">
        <w:rPr>
          <w:rFonts w:eastAsia="RijksoverheidSerif-Regular"/>
          <w:bCs/>
          <w:lang w:eastAsia="en-US"/>
        </w:rPr>
        <w:t xml:space="preserve">, by shifting from a strategy, or from a measure to another one), or </w:t>
      </w:r>
      <w:r w:rsidRPr="00DA1B92">
        <w:rPr>
          <w:rFonts w:eastAsia="RijksoverheidSerif-Regular"/>
          <w:bCs/>
          <w:i/>
          <w:iCs/>
          <w:lang w:eastAsia="en-US"/>
        </w:rPr>
        <w:t>stepping up</w:t>
      </w:r>
      <w:r w:rsidRPr="00DA1B92">
        <w:rPr>
          <w:rFonts w:eastAsia="RijksoverheidSerif-Regular"/>
          <w:bCs/>
          <w:lang w:eastAsia="en-US"/>
        </w:rPr>
        <w:t xml:space="preserve"> measures, or </w:t>
      </w:r>
      <w:r w:rsidRPr="00DA1B92">
        <w:rPr>
          <w:rFonts w:eastAsia="RijksoverheidSerif-Regular"/>
          <w:bCs/>
          <w:i/>
          <w:iCs/>
          <w:lang w:eastAsia="en-US"/>
        </w:rPr>
        <w:t>changing strategies</w:t>
      </w:r>
      <w:r w:rsidRPr="00DA1B92">
        <w:rPr>
          <w:rFonts w:eastAsia="RijksoverheidSerif-Regular"/>
          <w:bCs/>
          <w:lang w:eastAsia="en-US"/>
        </w:rPr>
        <w:t xml:space="preserve"> (</w:t>
      </w:r>
      <w:r w:rsidRPr="00DA1B92">
        <w:rPr>
          <w:rFonts w:eastAsia="RijksoverheidSerif-Regular"/>
          <w:bCs/>
          <w:color w:val="7F7F7F" w:themeColor="text1" w:themeTint="80"/>
          <w:lang w:eastAsia="en-US"/>
        </w:rPr>
        <w:t>DP 2013, p.</w:t>
      </w:r>
      <w:r w:rsidR="00286F53" w:rsidRPr="00DA1B92">
        <w:rPr>
          <w:rFonts w:eastAsia="RijksoverheidSerif-Regular"/>
          <w:bCs/>
          <w:color w:val="7F7F7F" w:themeColor="text1" w:themeTint="80"/>
          <w:lang w:eastAsia="en-US"/>
        </w:rPr>
        <w:t>10</w:t>
      </w:r>
      <w:r w:rsidRPr="00DA1B92">
        <w:rPr>
          <w:rFonts w:eastAsia="RijksoverheidSerif-Regular"/>
          <w:bCs/>
          <w:color w:val="7F7F7F" w:themeColor="text1" w:themeTint="80"/>
          <w:lang w:eastAsia="en-US"/>
        </w:rPr>
        <w:t>3, 94; 2014, p.6</w:t>
      </w:r>
      <w:r w:rsidRPr="00DA1B92">
        <w:rPr>
          <w:rFonts w:eastAsia="RijksoverheidSerif-Regular"/>
          <w:bCs/>
          <w:lang w:eastAsia="en-US"/>
        </w:rPr>
        <w:t>)</w:t>
      </w:r>
      <w:r w:rsidRPr="00DA1B92">
        <w:rPr>
          <w:rFonts w:cs="Arial"/>
          <w:bCs/>
          <w:szCs w:val="18"/>
        </w:rPr>
        <w:t>.</w:t>
      </w:r>
      <w:r w:rsidRPr="00DA1B92">
        <w:rPr>
          <w:rFonts w:eastAsia="RijksoverheidSansText-Regular"/>
          <w:bCs/>
        </w:rPr>
        <w:t xml:space="preserve"> </w:t>
      </w:r>
      <w:r w:rsidRPr="00DA1B92">
        <w:rPr>
          <w:bCs/>
        </w:rPr>
        <w:t xml:space="preserve">The </w:t>
      </w:r>
      <w:proofErr w:type="gramStart"/>
      <w:r w:rsidRPr="00DA1B92">
        <w:rPr>
          <w:bCs/>
        </w:rPr>
        <w:t>ultimate goal</w:t>
      </w:r>
      <w:proofErr w:type="gramEnd"/>
      <w:r w:rsidRPr="00DA1B92">
        <w:rPr>
          <w:bCs/>
        </w:rPr>
        <w:t xml:space="preserve"> is that the FRM system meets the requirements </w:t>
      </w:r>
      <w:r w:rsidRPr="00DA1B92">
        <w:rPr>
          <w:bCs/>
          <w:i/>
          <w:iCs/>
        </w:rPr>
        <w:t>at all times</w:t>
      </w:r>
      <w:r w:rsidRPr="00DA1B92">
        <w:rPr>
          <w:bCs/>
        </w:rPr>
        <w:t xml:space="preserve"> (in all scenarios), which required a strategy that was </w:t>
      </w:r>
      <w:r w:rsidRPr="00DA1B92">
        <w:rPr>
          <w:bCs/>
          <w:i/>
          <w:iCs/>
        </w:rPr>
        <w:t>able to adapt to new insights and circumstances</w:t>
      </w:r>
      <w:r w:rsidRPr="00DA1B92">
        <w:rPr>
          <w:bCs/>
        </w:rPr>
        <w:t xml:space="preserve"> and that contains </w:t>
      </w:r>
      <w:r w:rsidRPr="00DA1B92">
        <w:rPr>
          <w:bCs/>
          <w:i/>
          <w:iCs/>
        </w:rPr>
        <w:t>sufficient options to remain open in the future to take the required measures</w:t>
      </w:r>
      <w:r w:rsidRPr="00DA1B92">
        <w:rPr>
          <w:bCs/>
        </w:rPr>
        <w:t xml:space="preserve"> (</w:t>
      </w:r>
      <w:r w:rsidRPr="00DA1B92">
        <w:rPr>
          <w:bCs/>
          <w:color w:val="7F7F7F" w:themeColor="text1" w:themeTint="80"/>
        </w:rPr>
        <w:t>DP 2013, p.102</w:t>
      </w:r>
      <w:r w:rsidRPr="00DA1B92">
        <w:rPr>
          <w:bCs/>
        </w:rPr>
        <w:t xml:space="preserve">). </w:t>
      </w:r>
      <w:bookmarkStart w:id="114" w:name="_Hlk140170314"/>
      <w:r w:rsidRPr="00DA1B92">
        <w:rPr>
          <w:rFonts w:cs="Arial"/>
          <w:bCs/>
          <w:szCs w:val="18"/>
        </w:rPr>
        <w:t xml:space="preserve">More specifically, each DP’s </w:t>
      </w:r>
      <w:r w:rsidRPr="00DA1B92">
        <w:rPr>
          <w:rFonts w:cs="Arial"/>
          <w:bCs/>
          <w:i/>
          <w:iCs/>
          <w:szCs w:val="18"/>
        </w:rPr>
        <w:t>Preferential Strategy</w:t>
      </w:r>
      <w:r w:rsidRPr="00DA1B92">
        <w:rPr>
          <w:rFonts w:cs="Arial"/>
          <w:bCs/>
          <w:szCs w:val="18"/>
        </w:rPr>
        <w:t xml:space="preserve"> should be: </w:t>
      </w:r>
      <w:r w:rsidRPr="00DA1B92">
        <w:rPr>
          <w:rFonts w:cs="Arial"/>
          <w:bCs/>
          <w:i/>
          <w:iCs/>
          <w:szCs w:val="18"/>
        </w:rPr>
        <w:t>robust</w:t>
      </w:r>
      <w:r w:rsidRPr="00DA1B92">
        <w:rPr>
          <w:rFonts w:cs="Arial"/>
          <w:bCs/>
          <w:szCs w:val="18"/>
        </w:rPr>
        <w:t xml:space="preserve"> (i.e. with such </w:t>
      </w:r>
      <w:r w:rsidRPr="00DA1B92">
        <w:rPr>
          <w:rFonts w:cs="Arial"/>
          <w:bCs/>
          <w:i/>
          <w:iCs/>
          <w:szCs w:val="18"/>
        </w:rPr>
        <w:t>Strategy</w:t>
      </w:r>
      <w:r w:rsidRPr="00DA1B92">
        <w:rPr>
          <w:rFonts w:cs="Arial"/>
          <w:bCs/>
          <w:szCs w:val="18"/>
        </w:rPr>
        <w:t>, the objectives can be achieved in</w:t>
      </w:r>
      <w:r w:rsidRPr="009B720F">
        <w:rPr>
          <w:rFonts w:cs="Arial"/>
          <w:bCs/>
          <w:szCs w:val="18"/>
        </w:rPr>
        <w:t xml:space="preserve"> all scenarios of CC and socioeconomic development considered, i.e. under all </w:t>
      </w:r>
      <w:r w:rsidRPr="009B720F">
        <w:rPr>
          <w:rFonts w:cs="Arial"/>
          <w:bCs/>
          <w:i/>
          <w:iCs/>
          <w:szCs w:val="18"/>
        </w:rPr>
        <w:t>Delta Scenarios</w:t>
      </w:r>
      <w:r w:rsidRPr="009B720F">
        <w:rPr>
          <w:rFonts w:cs="Arial"/>
          <w:bCs/>
          <w:szCs w:val="18"/>
        </w:rPr>
        <w:t xml:space="preserve">) and </w:t>
      </w:r>
      <w:r w:rsidRPr="009B720F">
        <w:rPr>
          <w:rFonts w:cs="Arial"/>
          <w:bCs/>
          <w:i/>
          <w:iCs/>
          <w:szCs w:val="18"/>
        </w:rPr>
        <w:t>flexible</w:t>
      </w:r>
      <w:r w:rsidRPr="009B720F">
        <w:rPr>
          <w:rFonts w:cs="Arial"/>
          <w:bCs/>
          <w:szCs w:val="18"/>
        </w:rPr>
        <w:t xml:space="preserve"> (i.e. the implementation of the strategy(</w:t>
      </w:r>
      <w:proofErr w:type="spellStart"/>
      <w:r w:rsidRPr="009B720F">
        <w:rPr>
          <w:rFonts w:cs="Arial"/>
          <w:bCs/>
          <w:szCs w:val="18"/>
        </w:rPr>
        <w:t>ies</w:t>
      </w:r>
      <w:proofErr w:type="spellEnd"/>
      <w:r w:rsidRPr="009B720F">
        <w:rPr>
          <w:rFonts w:cs="Arial"/>
          <w:bCs/>
          <w:szCs w:val="18"/>
        </w:rPr>
        <w:t>), or their measures, can be sped up or slowed down and it should be possible to change to a different measure or a different strategy (</w:t>
      </w:r>
      <w:r w:rsidRPr="009B720F">
        <w:rPr>
          <w:rFonts w:cs="Arial"/>
          <w:bCs/>
          <w:i/>
          <w:iCs/>
          <w:szCs w:val="18"/>
        </w:rPr>
        <w:t>path</w:t>
      </w:r>
      <w:r w:rsidRPr="009B720F">
        <w:rPr>
          <w:rFonts w:cs="Arial"/>
          <w:bCs/>
          <w:szCs w:val="18"/>
        </w:rPr>
        <w:t>), if necessary) (</w:t>
      </w:r>
      <w:r w:rsidRPr="009B720F">
        <w:rPr>
          <w:rFonts w:cs="Arial"/>
          <w:bCs/>
          <w:color w:val="7F7F7F" w:themeColor="text1" w:themeTint="80"/>
          <w:szCs w:val="18"/>
        </w:rPr>
        <w:t xml:space="preserve">DP </w:t>
      </w:r>
      <w:r w:rsidRPr="00DA1B92">
        <w:rPr>
          <w:rFonts w:cs="Arial"/>
          <w:bCs/>
          <w:color w:val="7F7F7F" w:themeColor="text1" w:themeTint="80"/>
          <w:szCs w:val="18"/>
        </w:rPr>
        <w:t>2013, p.94</w:t>
      </w:r>
      <w:r w:rsidRPr="00DA1B92">
        <w:rPr>
          <w:rFonts w:cs="Arial"/>
          <w:bCs/>
          <w:szCs w:val="18"/>
        </w:rPr>
        <w:t xml:space="preserve">). </w:t>
      </w:r>
      <w:bookmarkEnd w:id="114"/>
      <w:r w:rsidRPr="00DA1B92">
        <w:rPr>
          <w:bCs/>
        </w:rPr>
        <w:t>‘</w:t>
      </w:r>
      <w:r w:rsidRPr="00DA1B92">
        <w:rPr>
          <w:bCs/>
          <w:i/>
          <w:iCs/>
        </w:rPr>
        <w:t>Flexibility</w:t>
      </w:r>
      <w:r w:rsidRPr="00DA1B92">
        <w:rPr>
          <w:bCs/>
        </w:rPr>
        <w:t>’ is related with the capacity to respond to changes, new developments, and knowledge (</w:t>
      </w:r>
      <w:r w:rsidRPr="00DA1B92">
        <w:rPr>
          <w:bCs/>
          <w:color w:val="7F7F7F" w:themeColor="text1" w:themeTint="80"/>
        </w:rPr>
        <w:t>DP 2013, p.94-95</w:t>
      </w:r>
      <w:r w:rsidRPr="00DA1B92">
        <w:rPr>
          <w:bCs/>
        </w:rPr>
        <w:t>). Flexibility was provided, among other ways,</w:t>
      </w:r>
      <w:r w:rsidRPr="00DA1B92">
        <w:rPr>
          <w:bCs/>
          <w:i/>
          <w:iCs/>
        </w:rPr>
        <w:t xml:space="preserve"> ‘through the types of measures selected, by leaving options for adjustment or switching to other measures open for the future, in this way, measures can be adjusted to new insights and circumstances</w:t>
      </w:r>
      <w:r w:rsidRPr="00DA1B92">
        <w:rPr>
          <w:bCs/>
        </w:rPr>
        <w:t>’ (</w:t>
      </w:r>
      <w:r w:rsidRPr="00DA1B92">
        <w:rPr>
          <w:bCs/>
          <w:color w:val="7F7F7F" w:themeColor="text1" w:themeTint="80"/>
        </w:rPr>
        <w:t>DP 2014, p.169</w:t>
      </w:r>
      <w:r w:rsidRPr="00DA1B92">
        <w:rPr>
          <w:bCs/>
        </w:rPr>
        <w:t>).</w:t>
      </w:r>
    </w:p>
    <w:p w14:paraId="3F634079" w14:textId="6804B9D9" w:rsidR="00A61A74" w:rsidRPr="00DA1B92" w:rsidRDefault="00245B8A" w:rsidP="00E74925">
      <w:pPr>
        <w:pStyle w:val="TEXTBODY"/>
        <w:spacing w:line="276" w:lineRule="auto"/>
        <w:rPr>
          <w:rFonts w:eastAsia="RijksoverheidSerif-Regular"/>
          <w:bCs/>
          <w:color w:val="7030A0"/>
          <w:szCs w:val="22"/>
          <w:lang w:eastAsia="en-US"/>
        </w:rPr>
      </w:pPr>
      <w:r w:rsidRPr="00DA1B92">
        <w:rPr>
          <w:rFonts w:eastAsia="RijksoverheidSerif-Regular"/>
          <w:bCs/>
          <w:szCs w:val="22"/>
          <w:lang w:eastAsia="en-US"/>
        </w:rPr>
        <w:t xml:space="preserve">The </w:t>
      </w:r>
      <w:r w:rsidRPr="00DA1B92">
        <w:rPr>
          <w:rFonts w:eastAsia="RijksoverheidSerif-Regular"/>
          <w:bCs/>
          <w:i/>
          <w:iCs/>
          <w:szCs w:val="22"/>
          <w:lang w:eastAsia="en-US"/>
        </w:rPr>
        <w:t>Strategies</w:t>
      </w:r>
      <w:r w:rsidRPr="00DA1B92">
        <w:rPr>
          <w:rFonts w:eastAsia="RijksoverheidSerif-Regular"/>
          <w:bCs/>
          <w:szCs w:val="22"/>
          <w:lang w:eastAsia="en-US"/>
        </w:rPr>
        <w:t xml:space="preserve"> developed in the DP should be </w:t>
      </w:r>
      <w:r w:rsidRPr="00DA1B92">
        <w:rPr>
          <w:rFonts w:eastAsia="RijksoverheidSerif-Regular"/>
          <w:bCs/>
          <w:i/>
          <w:iCs/>
          <w:szCs w:val="22"/>
          <w:lang w:eastAsia="en-US"/>
        </w:rPr>
        <w:t xml:space="preserve">robust </w:t>
      </w:r>
      <w:r w:rsidRPr="00DA1B92">
        <w:rPr>
          <w:rFonts w:eastAsia="RijksoverheidSerif-Regular"/>
          <w:bCs/>
          <w:szCs w:val="22"/>
          <w:lang w:eastAsia="en-US"/>
        </w:rPr>
        <w:t xml:space="preserve">and </w:t>
      </w:r>
      <w:r w:rsidRPr="00DA1B92">
        <w:rPr>
          <w:rFonts w:eastAsia="RijksoverheidSerif-Regular"/>
          <w:bCs/>
          <w:i/>
          <w:iCs/>
          <w:szCs w:val="22"/>
          <w:lang w:eastAsia="en-US"/>
        </w:rPr>
        <w:t>flexible</w:t>
      </w:r>
      <w:r w:rsidRPr="00DA1B92">
        <w:rPr>
          <w:rFonts w:eastAsia="RijksoverheidSerif-Regular"/>
          <w:bCs/>
          <w:szCs w:val="22"/>
          <w:lang w:eastAsia="en-US"/>
        </w:rPr>
        <w:t xml:space="preserve">, and when developing its </w:t>
      </w:r>
      <w:r w:rsidRPr="00DA1B92">
        <w:rPr>
          <w:rFonts w:eastAsia="RijksoverheidSerif-Regular"/>
          <w:bCs/>
          <w:i/>
          <w:iCs/>
          <w:szCs w:val="22"/>
          <w:lang w:eastAsia="en-US"/>
        </w:rPr>
        <w:t>Strategies</w:t>
      </w:r>
      <w:r w:rsidRPr="00DA1B92">
        <w:rPr>
          <w:rFonts w:eastAsia="RijksoverheidSerif-Regular"/>
          <w:bCs/>
          <w:szCs w:val="22"/>
          <w:lang w:eastAsia="en-US"/>
        </w:rPr>
        <w:t xml:space="preserve">, each Subprogramme elaborated on the four basic principles of ADM </w:t>
      </w:r>
      <w:r w:rsidRPr="00DA1B92">
        <w:rPr>
          <w:bCs/>
          <w:szCs w:val="22"/>
        </w:rPr>
        <w:t>(</w:t>
      </w:r>
      <w:r w:rsidRPr="00DA1B92">
        <w:rPr>
          <w:bCs/>
          <w:color w:val="7F7F7F" w:themeColor="text1" w:themeTint="80"/>
          <w:szCs w:val="22"/>
        </w:rPr>
        <w:t>DP 2013, p.103, 102, 95; 2012, p.88; 2011, p.48; Werners et al. 2016</w:t>
      </w:r>
      <w:r w:rsidRPr="00DA1B92">
        <w:rPr>
          <w:bCs/>
          <w:szCs w:val="22"/>
        </w:rPr>
        <w:t>).</w:t>
      </w:r>
      <w:r w:rsidRPr="009B720F">
        <w:rPr>
          <w:rStyle w:val="Refdenotaderodap"/>
          <w:bCs/>
          <w:szCs w:val="22"/>
        </w:rPr>
        <w:t xml:space="preserve"> </w:t>
      </w:r>
      <w:r w:rsidR="00A61A74" w:rsidRPr="009B720F">
        <w:rPr>
          <w:bCs/>
        </w:rPr>
        <w:t xml:space="preserve">ADM was adopted by the DP as a new planning </w:t>
      </w:r>
      <w:r w:rsidR="00A61A74" w:rsidRPr="00DA1B92">
        <w:rPr>
          <w:bCs/>
        </w:rPr>
        <w:t xml:space="preserve">approach to achieve </w:t>
      </w:r>
      <w:r w:rsidR="00A61A74" w:rsidRPr="00DA1B92">
        <w:rPr>
          <w:bCs/>
          <w:i/>
          <w:iCs/>
        </w:rPr>
        <w:t>robust flexible pathways</w:t>
      </w:r>
      <w:r w:rsidR="00A61A74" w:rsidRPr="00DA1B92">
        <w:rPr>
          <w:bCs/>
        </w:rPr>
        <w:t xml:space="preserve"> to manage flood risk and ensure freshwater supply (</w:t>
      </w:r>
      <w:r w:rsidR="00A61A74" w:rsidRPr="00DA1B92">
        <w:rPr>
          <w:bCs/>
          <w:color w:val="7F7F7F" w:themeColor="text1" w:themeTint="80"/>
        </w:rPr>
        <w:t>Werners et al. 2016</w:t>
      </w:r>
      <w:r w:rsidR="00A61A74" w:rsidRPr="00DA1B92">
        <w:rPr>
          <w:bCs/>
        </w:rPr>
        <w:t xml:space="preserve">), and the ADM itself employed an adaptive (methodological) approach for designing strategies under different future scenarios and changes – the APs approach </w:t>
      </w:r>
      <w:r w:rsidR="00A61A74" w:rsidRPr="00DA1B92">
        <w:rPr>
          <w:bCs/>
          <w:color w:val="231F20"/>
        </w:rPr>
        <w:t>(</w:t>
      </w:r>
      <w:proofErr w:type="spellStart"/>
      <w:r w:rsidR="00AC348F" w:rsidRPr="00DA1B92">
        <w:rPr>
          <w:bCs/>
          <w:color w:val="7F7F7F" w:themeColor="text1" w:themeTint="80"/>
        </w:rPr>
        <w:t>Jeuken</w:t>
      </w:r>
      <w:proofErr w:type="spellEnd"/>
      <w:r w:rsidR="00AC348F" w:rsidRPr="00DA1B92">
        <w:rPr>
          <w:bCs/>
          <w:color w:val="7F7F7F" w:themeColor="text1" w:themeTint="80"/>
        </w:rPr>
        <w:t xml:space="preserve"> and Reeder 2011, p.5; </w:t>
      </w:r>
      <w:r w:rsidR="00A61A74" w:rsidRPr="00DA1B92">
        <w:rPr>
          <w:bCs/>
          <w:color w:val="7F7F7F" w:themeColor="text1" w:themeTint="80"/>
        </w:rPr>
        <w:t xml:space="preserve">Haegen and </w:t>
      </w:r>
      <w:proofErr w:type="spellStart"/>
      <w:r w:rsidR="00A61A74" w:rsidRPr="00DA1B92">
        <w:rPr>
          <w:bCs/>
          <w:color w:val="7F7F7F" w:themeColor="text1" w:themeTint="80"/>
        </w:rPr>
        <w:t>Wieriks</w:t>
      </w:r>
      <w:proofErr w:type="spellEnd"/>
      <w:r w:rsidR="00A61A74" w:rsidRPr="00DA1B92">
        <w:rPr>
          <w:bCs/>
          <w:color w:val="7F7F7F" w:themeColor="text1" w:themeTint="80"/>
        </w:rPr>
        <w:t xml:space="preserve"> 2015, p.56, 54-55, 48</w:t>
      </w:r>
      <w:r w:rsidR="0083225D" w:rsidRPr="00DA1B92">
        <w:rPr>
          <w:bCs/>
        </w:rPr>
        <w:t xml:space="preserve">; </w:t>
      </w:r>
      <w:proofErr w:type="spellStart"/>
      <w:r w:rsidR="0083225D" w:rsidRPr="00DA1B92">
        <w:rPr>
          <w:bCs/>
          <w:color w:val="7F7F7F" w:themeColor="text1" w:themeTint="80"/>
        </w:rPr>
        <w:t>Restemeyer</w:t>
      </w:r>
      <w:proofErr w:type="spellEnd"/>
      <w:r w:rsidR="0083225D" w:rsidRPr="00DA1B92">
        <w:rPr>
          <w:bCs/>
          <w:color w:val="7F7F7F" w:themeColor="text1" w:themeTint="80"/>
        </w:rPr>
        <w:t xml:space="preserve"> et al. 2017, p.935, 930</w:t>
      </w:r>
      <w:r w:rsidR="001C67C9" w:rsidRPr="00DA1B92">
        <w:rPr>
          <w:bCs/>
          <w:color w:val="7F7F7F" w:themeColor="text1" w:themeTint="80"/>
        </w:rPr>
        <w:t>; Marchand and Ludwig 2014, p.2</w:t>
      </w:r>
      <w:r w:rsidR="00422EFA" w:rsidRPr="00DA1B92">
        <w:rPr>
          <w:bCs/>
          <w:color w:val="7F7F7F" w:themeColor="text1" w:themeTint="80"/>
        </w:rPr>
        <w:t xml:space="preserve">; </w:t>
      </w:r>
      <w:r w:rsidR="005C558F" w:rsidRPr="00DA1B92">
        <w:rPr>
          <w:bCs/>
          <w:color w:val="7F7F7F" w:themeColor="text1" w:themeTint="80"/>
        </w:rPr>
        <w:t>Brugge and Bruggeman 2019</w:t>
      </w:r>
      <w:r w:rsidR="00422EFA" w:rsidRPr="00DA1B92">
        <w:rPr>
          <w:bCs/>
          <w:color w:val="7F7F7F" w:themeColor="text1" w:themeTint="80"/>
        </w:rPr>
        <w:t>, p.2</w:t>
      </w:r>
      <w:r w:rsidR="00A44BCA" w:rsidRPr="00DA1B92">
        <w:rPr>
          <w:bCs/>
          <w:color w:val="7F7F7F" w:themeColor="text1" w:themeTint="80"/>
        </w:rPr>
        <w:t>; Zandvoort et al. 2018, p.189</w:t>
      </w:r>
      <w:r w:rsidR="000E7DFB" w:rsidRPr="00DA1B92">
        <w:rPr>
          <w:bCs/>
          <w:color w:val="7F7F7F" w:themeColor="text1" w:themeTint="80"/>
        </w:rPr>
        <w:t xml:space="preserve">; </w:t>
      </w:r>
      <w:r w:rsidR="000E7DFB" w:rsidRPr="00DA1B92">
        <w:rPr>
          <w:bCs/>
          <w:color w:val="7F7F7F" w:themeColor="text1" w:themeTint="80"/>
          <w:szCs w:val="18"/>
        </w:rPr>
        <w:t>Klijn et al. 2015, p.849</w:t>
      </w:r>
      <w:r w:rsidR="00B06BBF" w:rsidRPr="00DA1B92">
        <w:rPr>
          <w:bCs/>
          <w:color w:val="7F7F7F" w:themeColor="text1" w:themeTint="80"/>
          <w:szCs w:val="18"/>
        </w:rPr>
        <w:t xml:space="preserve">; </w:t>
      </w:r>
      <w:r w:rsidR="00B06BBF" w:rsidRPr="00DA1B92">
        <w:rPr>
          <w:bCs/>
          <w:color w:val="7F7F7F" w:themeColor="text1" w:themeTint="80"/>
        </w:rPr>
        <w:t>Bloemen et al. 2018, p.5</w:t>
      </w:r>
      <w:r w:rsidR="0083225D" w:rsidRPr="00DA1B92">
        <w:rPr>
          <w:bCs/>
        </w:rPr>
        <w:t xml:space="preserve">).  </w:t>
      </w:r>
    </w:p>
    <w:p w14:paraId="5DAD314E" w14:textId="1B602009" w:rsidR="00A61A74" w:rsidRPr="009B720F" w:rsidRDefault="00A61A74" w:rsidP="00E74925">
      <w:pPr>
        <w:pStyle w:val="TEXTBODY"/>
        <w:spacing w:line="276" w:lineRule="auto"/>
        <w:ind w:left="709"/>
        <w:rPr>
          <w:rFonts w:eastAsia="RijksoverheidSerif-Regular"/>
          <w:bCs/>
          <w:lang w:eastAsia="en-US"/>
        </w:rPr>
      </w:pPr>
      <w:r w:rsidRPr="00DA1B92">
        <w:rPr>
          <w:rFonts w:eastAsia="RijksoverheidSerif-Regular"/>
          <w:bCs/>
          <w:lang w:eastAsia="en-US"/>
        </w:rPr>
        <w:t xml:space="preserve">Flexibility could </w:t>
      </w:r>
      <w:r w:rsidR="00DA1B92">
        <w:rPr>
          <w:rFonts w:eastAsia="RijksoverheidSerif-Regular"/>
          <w:bCs/>
          <w:lang w:eastAsia="en-US"/>
        </w:rPr>
        <w:t>be</w:t>
      </w:r>
      <w:r w:rsidRPr="00DA1B92">
        <w:rPr>
          <w:rFonts w:eastAsia="RijksoverheidSerif-Regular"/>
          <w:bCs/>
          <w:color w:val="C00000"/>
          <w:lang w:eastAsia="en-US"/>
        </w:rPr>
        <w:t xml:space="preserve"> </w:t>
      </w:r>
      <w:r w:rsidRPr="00DA1B92">
        <w:rPr>
          <w:rFonts w:eastAsia="RijksoverheidSerif-Regular"/>
          <w:bCs/>
          <w:lang w:eastAsia="en-US"/>
        </w:rPr>
        <w:t xml:space="preserve">delivered in several ways, for example: by designing each strategy as an </w:t>
      </w:r>
      <w:r w:rsidRPr="00DA1B92">
        <w:rPr>
          <w:rFonts w:eastAsia="RijksoverheidSerif-Regular"/>
          <w:bCs/>
          <w:i/>
          <w:iCs/>
          <w:lang w:eastAsia="en-US"/>
        </w:rPr>
        <w:t>adaptation path</w:t>
      </w:r>
      <w:r w:rsidRPr="00DA1B92">
        <w:rPr>
          <w:rFonts w:eastAsia="RijksoverheidSerif-Regular"/>
          <w:bCs/>
          <w:lang w:eastAsia="en-US"/>
        </w:rPr>
        <w:t xml:space="preserve"> (pathway), by using various pathways (i.e. working with various potential strategies, i.e. various </w:t>
      </w:r>
      <w:r w:rsidRPr="00DA1B92">
        <w:rPr>
          <w:rFonts w:eastAsia="RijksoverheidSerif-Regular"/>
          <w:bCs/>
          <w:i/>
          <w:iCs/>
          <w:lang w:eastAsia="en-US"/>
        </w:rPr>
        <w:t>adaptation paths</w:t>
      </w:r>
      <w:r w:rsidRPr="00DA1B92">
        <w:rPr>
          <w:rFonts w:eastAsia="RijksoverheidSerif-Regular"/>
          <w:bCs/>
          <w:lang w:eastAsia="en-US"/>
        </w:rPr>
        <w:t xml:space="preserve">, between which it is possible to alternate), by using solutions that are flexible </w:t>
      </w:r>
      <w:r w:rsidRPr="00DA1B92">
        <w:rPr>
          <w:rFonts w:eastAsia="RijksoverheidSerif-Regular"/>
          <w:bCs/>
          <w:i/>
          <w:iCs/>
          <w:lang w:eastAsia="en-US"/>
        </w:rPr>
        <w:t>per se</w:t>
      </w:r>
      <w:r w:rsidRPr="00DA1B92">
        <w:rPr>
          <w:rFonts w:eastAsia="RijksoverheidSerif-Regular"/>
          <w:bCs/>
          <w:lang w:eastAsia="en-US"/>
        </w:rPr>
        <w:t>,</w:t>
      </w:r>
      <w:r w:rsidR="00D27703" w:rsidRPr="00DA1B92">
        <w:rPr>
          <w:rFonts w:eastAsia="RijksoverheidSerif-Regular"/>
          <w:bCs/>
          <w:lang w:eastAsia="en-US"/>
        </w:rPr>
        <w:t xml:space="preserve"> by leaving options for adjustment,</w:t>
      </w:r>
      <w:r w:rsidRPr="00DA1B92">
        <w:rPr>
          <w:rFonts w:eastAsia="RijksoverheidSerif-Regular"/>
          <w:bCs/>
          <w:lang w:eastAsia="en-US"/>
        </w:rPr>
        <w:t xml:space="preserve"> by linking agendas, etc. </w:t>
      </w:r>
      <w:r w:rsidRPr="00DA1B92">
        <w:rPr>
          <w:bCs/>
        </w:rPr>
        <w:t>(</w:t>
      </w:r>
      <w:r w:rsidRPr="00DA1B92">
        <w:rPr>
          <w:bCs/>
          <w:color w:val="7F7F7F" w:themeColor="text1" w:themeTint="80"/>
        </w:rPr>
        <w:t>DP 2014, p.169; 2013, p.103, 102, 95;2012, p.88; 2011, p.48</w:t>
      </w:r>
      <w:r w:rsidRPr="00DA1B92">
        <w:rPr>
          <w:bCs/>
        </w:rPr>
        <w:t>).</w:t>
      </w:r>
      <w:r w:rsidRPr="00DA1B92">
        <w:rPr>
          <w:rFonts w:cs="Arial"/>
          <w:bCs/>
          <w:szCs w:val="18"/>
        </w:rPr>
        <w:t xml:space="preserve"> </w:t>
      </w:r>
      <w:r w:rsidRPr="00DA1B92">
        <w:rPr>
          <w:rFonts w:eastAsia="RijksoverheidSerif-Regular"/>
          <w:bCs/>
          <w:lang w:eastAsia="en-US"/>
        </w:rPr>
        <w:t>Th</w:t>
      </w:r>
      <w:r w:rsidRPr="00DA1B92">
        <w:rPr>
          <w:bCs/>
        </w:rPr>
        <w:t>ese types of flexibility create added value in terms of cost reduction, feasibility, and benefits (</w:t>
      </w:r>
      <w:r w:rsidRPr="00DA1B92">
        <w:rPr>
          <w:bCs/>
          <w:color w:val="7F7F7F" w:themeColor="text1" w:themeTint="80"/>
        </w:rPr>
        <w:t>DP 2014, p.169</w:t>
      </w:r>
      <w:r w:rsidRPr="00DA1B92">
        <w:rPr>
          <w:bCs/>
        </w:rPr>
        <w:t>).</w:t>
      </w:r>
      <w:r w:rsidRPr="009B720F">
        <w:rPr>
          <w:rFonts w:cs="Arial"/>
          <w:bCs/>
          <w:szCs w:val="18"/>
        </w:rPr>
        <w:t xml:space="preserve"> </w:t>
      </w:r>
    </w:p>
    <w:p w14:paraId="584964E3" w14:textId="51B9C3D3" w:rsidR="00A61A74" w:rsidRPr="009B720F" w:rsidRDefault="00A61A74" w:rsidP="00E74925">
      <w:pPr>
        <w:pStyle w:val="TEXTBODY"/>
        <w:spacing w:after="0" w:line="276" w:lineRule="auto"/>
        <w:rPr>
          <w:bCs/>
        </w:rPr>
      </w:pPr>
      <w:r w:rsidRPr="009B720F">
        <w:rPr>
          <w:bCs/>
        </w:rPr>
        <w:t xml:space="preserve">The four basic principles of ADM have substantiated the </w:t>
      </w:r>
      <w:r w:rsidRPr="009B720F">
        <w:rPr>
          <w:bCs/>
          <w:i/>
          <w:iCs/>
        </w:rPr>
        <w:t xml:space="preserve">Preferential </w:t>
      </w:r>
      <w:r w:rsidRPr="00DA1B92">
        <w:rPr>
          <w:bCs/>
          <w:i/>
          <w:iCs/>
        </w:rPr>
        <w:t>Strategies</w:t>
      </w:r>
      <w:r w:rsidRPr="00DA1B92">
        <w:rPr>
          <w:bCs/>
        </w:rPr>
        <w:t xml:space="preserve"> (</w:t>
      </w:r>
      <w:r w:rsidRPr="00DA1B92">
        <w:rPr>
          <w:bCs/>
          <w:color w:val="7F7F7F" w:themeColor="text1" w:themeTint="80"/>
        </w:rPr>
        <w:t>DP 2016, p.7</w:t>
      </w:r>
      <w:r w:rsidRPr="00DA1B92">
        <w:rPr>
          <w:bCs/>
        </w:rPr>
        <w:t xml:space="preserve">). More precisely, the </w:t>
      </w:r>
      <w:r w:rsidRPr="00DA1B92">
        <w:rPr>
          <w:bCs/>
          <w:i/>
          <w:iCs/>
        </w:rPr>
        <w:t>Preferential Strategies</w:t>
      </w:r>
      <w:r w:rsidRPr="00DA1B92">
        <w:rPr>
          <w:bCs/>
        </w:rPr>
        <w:t xml:space="preserve"> were developed based on </w:t>
      </w:r>
      <w:r w:rsidR="00AE4690" w:rsidRPr="00DA1B92">
        <w:rPr>
          <w:bCs/>
        </w:rPr>
        <w:t>the four basic</w:t>
      </w:r>
      <w:r w:rsidRPr="00DA1B92">
        <w:rPr>
          <w:bCs/>
        </w:rPr>
        <w:t xml:space="preserve"> principles</w:t>
      </w:r>
      <w:r w:rsidR="00AE4690" w:rsidRPr="00DA1B92">
        <w:rPr>
          <w:bCs/>
        </w:rPr>
        <w:t xml:space="preserve"> of ADM</w:t>
      </w:r>
      <w:r w:rsidRPr="00DA1B92">
        <w:rPr>
          <w:bCs/>
        </w:rPr>
        <w:t xml:space="preserve"> (</w:t>
      </w:r>
      <w:r w:rsidR="002E51FA" w:rsidRPr="00DA1B92">
        <w:rPr>
          <w:bCs/>
          <w:color w:val="7F7F7F" w:themeColor="text1" w:themeTint="80"/>
        </w:rPr>
        <w:t xml:space="preserve">DP 2014, p.47; 2013, p.102; 2012, p.88; </w:t>
      </w:r>
      <w:r w:rsidR="002E51FA" w:rsidRPr="00DA1B92">
        <w:rPr>
          <w:rFonts w:eastAsia="RijksoverheidSansText-Regular"/>
          <w:bCs/>
          <w:color w:val="7F7F7F" w:themeColor="text1" w:themeTint="80"/>
          <w:szCs w:val="18"/>
        </w:rPr>
        <w:t xml:space="preserve">2011, p.48-49; </w:t>
      </w:r>
      <w:r w:rsidR="002E51FA" w:rsidRPr="00DA1B92">
        <w:rPr>
          <w:bCs/>
          <w:color w:val="7F7F7F" w:themeColor="text1" w:themeTint="80"/>
        </w:rPr>
        <w:t>2016, p.7; 2017, p.7</w:t>
      </w:r>
      <w:r w:rsidRPr="00DA1B92">
        <w:rPr>
          <w:bCs/>
        </w:rPr>
        <w:t xml:space="preserve">). </w:t>
      </w:r>
      <w:r w:rsidRPr="00E74925">
        <w:rPr>
          <w:rFonts w:eastAsia="RijksoverheidSerif-Regular"/>
          <w:bCs/>
        </w:rPr>
        <w:t>While</w:t>
      </w:r>
      <w:r w:rsidRPr="00DA1B92">
        <w:rPr>
          <w:rFonts w:eastAsia="RijksoverheidSerif-Regular"/>
          <w:bCs/>
          <w:color w:val="C00000"/>
        </w:rPr>
        <w:t xml:space="preserve"> </w:t>
      </w:r>
      <w:r w:rsidRPr="00DA1B92">
        <w:rPr>
          <w:rFonts w:eastAsia="RijksoverheidSerif-Regular"/>
          <w:bCs/>
        </w:rPr>
        <w:t>developing their (</w:t>
      </w:r>
      <w:r w:rsidRPr="00DA1B92">
        <w:rPr>
          <w:rFonts w:eastAsia="RijksoverheidSerif-Regular"/>
          <w:bCs/>
          <w:i/>
          <w:iCs/>
        </w:rPr>
        <w:t>Promising</w:t>
      </w:r>
      <w:r w:rsidRPr="00DA1B92">
        <w:rPr>
          <w:rFonts w:eastAsia="RijksoverheidSerif-Regular"/>
          <w:bCs/>
        </w:rPr>
        <w:t>)</w:t>
      </w:r>
      <w:r w:rsidRPr="00DA1B92">
        <w:rPr>
          <w:rFonts w:eastAsia="RijksoverheidSerif-Regular"/>
          <w:bCs/>
          <w:i/>
          <w:iCs/>
        </w:rPr>
        <w:t xml:space="preserve"> Strategies</w:t>
      </w:r>
      <w:r w:rsidRPr="00DA1B92">
        <w:rPr>
          <w:rFonts w:eastAsia="RijksoverheidSerif-Regular"/>
          <w:bCs/>
        </w:rPr>
        <w:t xml:space="preserve">, the Subprogrammes sought to meet / ensure the four essential principles of ADM (DP 2013, p.102). </w:t>
      </w:r>
      <w:bookmarkStart w:id="115" w:name="_Hlk141363091"/>
      <w:r w:rsidRPr="00DA1B92">
        <w:rPr>
          <w:bCs/>
        </w:rPr>
        <w:t xml:space="preserve">To support the application of the four basic principles of </w:t>
      </w:r>
      <w:r w:rsidRPr="00505570">
        <w:rPr>
          <w:bCs/>
        </w:rPr>
        <w:t xml:space="preserve">ADM in the DP, two </w:t>
      </w:r>
      <w:r w:rsidRPr="00DA1B92">
        <w:rPr>
          <w:bCs/>
        </w:rPr>
        <w:t>main methods were used: Adaptation Tipping-Points (ATPs) (</w:t>
      </w:r>
      <w:proofErr w:type="spellStart"/>
      <w:r w:rsidRPr="00DA1B92">
        <w:rPr>
          <w:bCs/>
          <w:color w:val="7F7F7F" w:themeColor="text1" w:themeTint="80"/>
        </w:rPr>
        <w:t>Kwadijk</w:t>
      </w:r>
      <w:proofErr w:type="spellEnd"/>
      <w:r w:rsidRPr="00DA1B92">
        <w:rPr>
          <w:bCs/>
          <w:color w:val="7F7F7F" w:themeColor="text1" w:themeTint="80"/>
        </w:rPr>
        <w:t xml:space="preserve"> et al. 2010</w:t>
      </w:r>
      <w:r w:rsidRPr="00DA1B92">
        <w:rPr>
          <w:bCs/>
        </w:rPr>
        <w:t>) and Adaptation Pathways (APs) (</w:t>
      </w:r>
      <w:proofErr w:type="spellStart"/>
      <w:r w:rsidRPr="00DA1B92">
        <w:rPr>
          <w:bCs/>
          <w:color w:val="7F7F7F" w:themeColor="text1" w:themeTint="80"/>
        </w:rPr>
        <w:t>Haasnoot</w:t>
      </w:r>
      <w:proofErr w:type="spellEnd"/>
      <w:r w:rsidRPr="00DA1B92">
        <w:rPr>
          <w:bCs/>
          <w:color w:val="7F7F7F" w:themeColor="text1" w:themeTint="80"/>
        </w:rPr>
        <w:t xml:space="preserve"> et al. 2013; </w:t>
      </w:r>
      <w:proofErr w:type="spellStart"/>
      <w:r w:rsidRPr="00DA1B92">
        <w:rPr>
          <w:bCs/>
          <w:color w:val="7F7F7F" w:themeColor="text1" w:themeTint="80"/>
        </w:rPr>
        <w:t>Haasnoot</w:t>
      </w:r>
      <w:proofErr w:type="spellEnd"/>
      <w:r w:rsidRPr="00DA1B92">
        <w:rPr>
          <w:bCs/>
          <w:color w:val="7F7F7F" w:themeColor="text1" w:themeTint="80"/>
        </w:rPr>
        <w:t xml:space="preserve"> 2013</w:t>
      </w:r>
      <w:r w:rsidRPr="00DA1B92">
        <w:rPr>
          <w:bCs/>
          <w:color w:val="231F20"/>
          <w:szCs w:val="18"/>
        </w:rPr>
        <w:t>)</w:t>
      </w:r>
      <w:r w:rsidR="000E7DFB" w:rsidRPr="00DA1B92">
        <w:rPr>
          <w:bCs/>
          <w:color w:val="231F20"/>
          <w:szCs w:val="18"/>
        </w:rPr>
        <w:t xml:space="preserve"> (as noted by </w:t>
      </w:r>
      <w:r w:rsidR="000E7DFB" w:rsidRPr="00DA1B92">
        <w:rPr>
          <w:bCs/>
          <w:color w:val="7F7F7F" w:themeColor="text1" w:themeTint="80"/>
          <w:szCs w:val="18"/>
        </w:rPr>
        <w:t>Klijn et al. 2015, p.849</w:t>
      </w:r>
      <w:r w:rsidR="000E7DFB" w:rsidRPr="00DA1B92">
        <w:rPr>
          <w:bCs/>
          <w:color w:val="231F20"/>
          <w:szCs w:val="18"/>
        </w:rPr>
        <w:t>).</w:t>
      </w:r>
      <w:r w:rsidRPr="00DA1B92">
        <w:rPr>
          <w:bCs/>
        </w:rPr>
        <w:t xml:space="preserve"> </w:t>
      </w:r>
      <w:bookmarkEnd w:id="115"/>
      <w:r w:rsidRPr="00DA1B92">
        <w:rPr>
          <w:bCs/>
        </w:rPr>
        <w:t>The ATPs and APs were applied for FRM and FS</w:t>
      </w:r>
      <w:r w:rsidR="000E7DFB" w:rsidRPr="00DA1B92">
        <w:rPr>
          <w:bCs/>
        </w:rPr>
        <w:t xml:space="preserve"> </w:t>
      </w:r>
      <w:r w:rsidR="000E7DFB" w:rsidRPr="00DA1B92">
        <w:rPr>
          <w:bCs/>
          <w:color w:val="231F20"/>
          <w:szCs w:val="18"/>
        </w:rPr>
        <w:t>(</w:t>
      </w:r>
      <w:r w:rsidR="000E7DFB" w:rsidRPr="00DA1B92">
        <w:rPr>
          <w:bCs/>
          <w:color w:val="7F7F7F" w:themeColor="text1" w:themeTint="80"/>
          <w:szCs w:val="18"/>
        </w:rPr>
        <w:t>Klijn et al. 2015, p.849</w:t>
      </w:r>
      <w:r w:rsidR="000E7DFB" w:rsidRPr="00DA1B92">
        <w:rPr>
          <w:bCs/>
          <w:color w:val="231F20"/>
          <w:szCs w:val="18"/>
        </w:rPr>
        <w:t>).</w:t>
      </w:r>
    </w:p>
    <w:p w14:paraId="12B0335B" w14:textId="4B0051C8" w:rsidR="00A61A74" w:rsidRPr="009B720F" w:rsidRDefault="00A61A74" w:rsidP="00E74925">
      <w:pPr>
        <w:pStyle w:val="TEXTBODY"/>
        <w:spacing w:after="0" w:line="276" w:lineRule="auto"/>
        <w:rPr>
          <w:bCs/>
        </w:rPr>
      </w:pPr>
    </w:p>
    <w:p w14:paraId="0CAEEA33" w14:textId="664E4D48" w:rsidR="00A61A74" w:rsidRPr="009B720F" w:rsidRDefault="00A61A74" w:rsidP="00E74925">
      <w:pPr>
        <w:pStyle w:val="TEXTBODY"/>
        <w:spacing w:line="276" w:lineRule="auto"/>
        <w:rPr>
          <w:bCs/>
        </w:rPr>
      </w:pPr>
      <w:bookmarkStart w:id="116" w:name="_Hlk141363236"/>
      <w:r w:rsidRPr="00DA1B92">
        <w:rPr>
          <w:bCs/>
        </w:rPr>
        <w:t>The ADM approach</w:t>
      </w:r>
      <w:r w:rsidR="00AC348F" w:rsidRPr="00DA1B92">
        <w:rPr>
          <w:bCs/>
        </w:rPr>
        <w:t xml:space="preserve"> (namely </w:t>
      </w:r>
      <w:r w:rsidRPr="00DA1B92">
        <w:rPr>
          <w:bCs/>
        </w:rPr>
        <w:t>its 3</w:t>
      </w:r>
      <w:r w:rsidRPr="00DA1B92">
        <w:rPr>
          <w:bCs/>
          <w:vertAlign w:val="superscript"/>
        </w:rPr>
        <w:t>rd</w:t>
      </w:r>
      <w:r w:rsidRPr="00DA1B92">
        <w:rPr>
          <w:bCs/>
        </w:rPr>
        <w:t xml:space="preserve"> </w:t>
      </w:r>
      <w:r w:rsidR="00AC348F" w:rsidRPr="00DA1B92">
        <w:rPr>
          <w:bCs/>
        </w:rPr>
        <w:t xml:space="preserve">basic </w:t>
      </w:r>
      <w:r w:rsidRPr="00DA1B92">
        <w:rPr>
          <w:bCs/>
        </w:rPr>
        <w:t>principle</w:t>
      </w:r>
      <w:r w:rsidR="00AC348F" w:rsidRPr="00DA1B92">
        <w:rPr>
          <w:bCs/>
        </w:rPr>
        <w:t>)</w:t>
      </w:r>
      <w:r w:rsidRPr="00DA1B92">
        <w:rPr>
          <w:bCs/>
        </w:rPr>
        <w:t xml:space="preserve"> implied the development of adaptation pathways. The design of pathways is, indeed, one of the main steps of the ADM process (illustrated in its diagram).  </w:t>
      </w:r>
      <w:r w:rsidRPr="00DA1B92">
        <w:rPr>
          <w:bCs/>
          <w:color w:val="231F20"/>
        </w:rPr>
        <w:t>ADM itself</w:t>
      </w:r>
      <w:r w:rsidRPr="00DA1B92">
        <w:rPr>
          <w:bCs/>
        </w:rPr>
        <w:t xml:space="preserve"> uses the method of </w:t>
      </w:r>
      <w:r w:rsidRPr="00DA1B92">
        <w:rPr>
          <w:bCs/>
          <w:i/>
          <w:iCs/>
        </w:rPr>
        <w:t>Adaptation Pathways</w:t>
      </w:r>
      <w:r w:rsidRPr="00DA1B92">
        <w:rPr>
          <w:bCs/>
        </w:rPr>
        <w:t xml:space="preserve"> (APs)</w:t>
      </w:r>
      <w:r w:rsidR="0083225D" w:rsidRPr="00DA1B92">
        <w:rPr>
          <w:bCs/>
          <w:color w:val="C00000"/>
        </w:rPr>
        <w:t xml:space="preserve"> </w:t>
      </w:r>
      <w:r w:rsidR="0083225D" w:rsidRPr="00DA1B92">
        <w:rPr>
          <w:bCs/>
        </w:rPr>
        <w:t>(</w:t>
      </w:r>
      <w:proofErr w:type="spellStart"/>
      <w:r w:rsidR="00D146D7" w:rsidRPr="00DA1B92">
        <w:rPr>
          <w:bCs/>
          <w:color w:val="7F7F7F" w:themeColor="text1" w:themeTint="80"/>
        </w:rPr>
        <w:t>Jeuken</w:t>
      </w:r>
      <w:proofErr w:type="spellEnd"/>
      <w:r w:rsidR="00D146D7" w:rsidRPr="00DA1B92">
        <w:rPr>
          <w:bCs/>
          <w:color w:val="7F7F7F" w:themeColor="text1" w:themeTint="80"/>
        </w:rPr>
        <w:t xml:space="preserve"> and Reeder 2011, p.5; </w:t>
      </w:r>
      <w:r w:rsidR="0083225D" w:rsidRPr="00DA1B92">
        <w:rPr>
          <w:bCs/>
          <w:color w:val="7F7F7F" w:themeColor="text1" w:themeTint="80"/>
        </w:rPr>
        <w:t xml:space="preserve">Haegen and </w:t>
      </w:r>
      <w:proofErr w:type="spellStart"/>
      <w:r w:rsidR="0083225D" w:rsidRPr="00DA1B92">
        <w:rPr>
          <w:bCs/>
          <w:color w:val="7F7F7F" w:themeColor="text1" w:themeTint="80"/>
        </w:rPr>
        <w:t>Wieriks</w:t>
      </w:r>
      <w:proofErr w:type="spellEnd"/>
      <w:r w:rsidR="0083225D" w:rsidRPr="00DA1B92">
        <w:rPr>
          <w:bCs/>
          <w:color w:val="7F7F7F" w:themeColor="text1" w:themeTint="80"/>
        </w:rPr>
        <w:t xml:space="preserve"> 2015, p.56, 54-55, 48</w:t>
      </w:r>
      <w:r w:rsidR="0083225D" w:rsidRPr="00DA1B92">
        <w:rPr>
          <w:bCs/>
        </w:rPr>
        <w:t xml:space="preserve">; </w:t>
      </w:r>
      <w:proofErr w:type="spellStart"/>
      <w:r w:rsidR="0083225D" w:rsidRPr="00DA1B92">
        <w:rPr>
          <w:bCs/>
          <w:color w:val="7F7F7F" w:themeColor="text1" w:themeTint="80"/>
        </w:rPr>
        <w:t>Restemeyer</w:t>
      </w:r>
      <w:proofErr w:type="spellEnd"/>
      <w:r w:rsidR="0083225D" w:rsidRPr="00DA1B92">
        <w:rPr>
          <w:bCs/>
          <w:color w:val="7F7F7F" w:themeColor="text1" w:themeTint="80"/>
        </w:rPr>
        <w:t xml:space="preserve"> et al. 2017, p.935, 930</w:t>
      </w:r>
      <w:r w:rsidR="001C67C9" w:rsidRPr="00DA1B92">
        <w:rPr>
          <w:bCs/>
          <w:color w:val="7F7F7F" w:themeColor="text1" w:themeTint="80"/>
        </w:rPr>
        <w:t>; Marchand and Ludwig 2014, p.2</w:t>
      </w:r>
      <w:r w:rsidR="00422EFA" w:rsidRPr="00DA1B92">
        <w:rPr>
          <w:bCs/>
          <w:color w:val="7F7F7F" w:themeColor="text1" w:themeTint="80"/>
        </w:rPr>
        <w:t xml:space="preserve">; </w:t>
      </w:r>
      <w:r w:rsidR="005C558F" w:rsidRPr="00DA1B92">
        <w:rPr>
          <w:bCs/>
          <w:color w:val="7F7F7F" w:themeColor="text1" w:themeTint="80"/>
        </w:rPr>
        <w:t>Brugge and Bruggeman 2019</w:t>
      </w:r>
      <w:r w:rsidR="00422EFA" w:rsidRPr="00DA1B92">
        <w:rPr>
          <w:bCs/>
          <w:color w:val="7F7F7F" w:themeColor="text1" w:themeTint="80"/>
        </w:rPr>
        <w:t>, p.2</w:t>
      </w:r>
      <w:r w:rsidR="000E7DFB" w:rsidRPr="00DA1B92">
        <w:rPr>
          <w:bCs/>
          <w:color w:val="7F7F7F" w:themeColor="text1" w:themeTint="80"/>
        </w:rPr>
        <w:t xml:space="preserve">; Zandvoort et al. 2018, p.189; </w:t>
      </w:r>
      <w:r w:rsidR="000E7DFB" w:rsidRPr="00DA1B92">
        <w:rPr>
          <w:bCs/>
          <w:color w:val="7F7F7F" w:themeColor="text1" w:themeTint="80"/>
          <w:szCs w:val="18"/>
        </w:rPr>
        <w:t>Klijn et al. 2015, p.849</w:t>
      </w:r>
      <w:r w:rsidR="00B06BBF" w:rsidRPr="00DA1B92">
        <w:rPr>
          <w:bCs/>
          <w:color w:val="7F7F7F" w:themeColor="text1" w:themeTint="80"/>
          <w:szCs w:val="18"/>
        </w:rPr>
        <w:t xml:space="preserve">; </w:t>
      </w:r>
      <w:r w:rsidR="00B06BBF" w:rsidRPr="00DA1B92">
        <w:rPr>
          <w:bCs/>
          <w:color w:val="7F7F7F" w:themeColor="text1" w:themeTint="80"/>
        </w:rPr>
        <w:t>Bloemen et al. 2018, p.5</w:t>
      </w:r>
      <w:r w:rsidR="0083225D" w:rsidRPr="00DA1B92">
        <w:rPr>
          <w:bCs/>
        </w:rPr>
        <w:t>)</w:t>
      </w:r>
      <w:r w:rsidR="00051082" w:rsidRPr="00DA1B92">
        <w:rPr>
          <w:bCs/>
        </w:rPr>
        <w:t xml:space="preserve">. The APs approach, as employed in ADM, is an adaptive approach to design </w:t>
      </w:r>
      <w:r w:rsidR="008B28C9" w:rsidRPr="00DA1B92">
        <w:rPr>
          <w:bCs/>
        </w:rPr>
        <w:t>‘</w:t>
      </w:r>
      <w:r w:rsidR="00051082" w:rsidRPr="00DA1B92">
        <w:rPr>
          <w:bCs/>
        </w:rPr>
        <w:t>strategies</w:t>
      </w:r>
      <w:r w:rsidR="008B28C9" w:rsidRPr="00DA1B92">
        <w:rPr>
          <w:bCs/>
        </w:rPr>
        <w:t>’</w:t>
      </w:r>
      <w:r w:rsidR="00051082" w:rsidRPr="00DA1B92">
        <w:rPr>
          <w:bCs/>
        </w:rPr>
        <w:t xml:space="preserve"> as adaptation pathways – </w:t>
      </w:r>
      <w:r w:rsidR="00051082" w:rsidRPr="00DA1B92">
        <w:rPr>
          <w:bCs/>
          <w:i/>
          <w:iCs/>
        </w:rPr>
        <w:t>to develop a set of measures along adaptive pathways</w:t>
      </w:r>
      <w:r w:rsidR="00051082" w:rsidRPr="00DA1B92">
        <w:rPr>
          <w:bCs/>
        </w:rPr>
        <w:t xml:space="preserve"> – which incorporates flexibility to switch to other measures and strategies when needed, in view uncertain future socio-economic developments and climate change (</w:t>
      </w:r>
      <w:r w:rsidR="00051082" w:rsidRPr="00DA1B92">
        <w:rPr>
          <w:rFonts w:eastAsiaTheme="minorHAnsi"/>
          <w:bCs/>
          <w:i/>
          <w:iCs/>
          <w:szCs w:val="22"/>
          <w:lang w:eastAsia="en-US"/>
        </w:rPr>
        <w:t xml:space="preserve">an </w:t>
      </w:r>
      <w:r w:rsidR="00051082" w:rsidRPr="00DA1B92">
        <w:rPr>
          <w:rFonts w:eastAsiaTheme="minorHAnsi"/>
          <w:bCs/>
          <w:i/>
          <w:iCs/>
          <w:color w:val="231F20"/>
          <w:szCs w:val="22"/>
          <w:lang w:eastAsia="en-US"/>
        </w:rPr>
        <w:t>adaptive approach that allows for switching between strategies along adaptation pathways when needed in view of socio-economic developments or climate change</w:t>
      </w:r>
      <w:r w:rsidR="00051082" w:rsidRPr="00DA1B92">
        <w:rPr>
          <w:rFonts w:eastAsiaTheme="minorHAnsi"/>
          <w:bCs/>
          <w:color w:val="231F20"/>
          <w:szCs w:val="22"/>
          <w:lang w:eastAsia="en-US"/>
        </w:rPr>
        <w:t xml:space="preserve">) </w:t>
      </w:r>
      <w:r w:rsidR="00051082" w:rsidRPr="00DA1B92">
        <w:rPr>
          <w:bCs/>
          <w:color w:val="C00000"/>
        </w:rPr>
        <w:t>(</w:t>
      </w:r>
      <w:r w:rsidR="00051082" w:rsidRPr="00DA1B92">
        <w:rPr>
          <w:bCs/>
          <w:color w:val="7F7F7F" w:themeColor="text1" w:themeTint="80"/>
        </w:rPr>
        <w:t xml:space="preserve">Haegen and </w:t>
      </w:r>
      <w:proofErr w:type="spellStart"/>
      <w:r w:rsidR="00051082" w:rsidRPr="00DA1B92">
        <w:rPr>
          <w:bCs/>
          <w:color w:val="7F7F7F" w:themeColor="text1" w:themeTint="80"/>
        </w:rPr>
        <w:t>Wieriks</w:t>
      </w:r>
      <w:proofErr w:type="spellEnd"/>
      <w:r w:rsidR="00051082" w:rsidRPr="00DA1B92">
        <w:rPr>
          <w:bCs/>
          <w:color w:val="7F7F7F" w:themeColor="text1" w:themeTint="80"/>
        </w:rPr>
        <w:t xml:space="preserve"> 2015, p.55, 54, 56</w:t>
      </w:r>
      <w:r w:rsidR="00051082" w:rsidRPr="00DA1B92">
        <w:rPr>
          <w:bCs/>
          <w:color w:val="C00000"/>
        </w:rPr>
        <w:t>)</w:t>
      </w:r>
      <w:r w:rsidRPr="00DA1B92">
        <w:rPr>
          <w:bCs/>
        </w:rPr>
        <w:t>.</w:t>
      </w:r>
      <w:r w:rsidRPr="00DA1B92">
        <w:rPr>
          <w:rStyle w:val="Refdenotaderodap"/>
          <w:bCs/>
        </w:rPr>
        <w:footnoteReference w:id="95"/>
      </w:r>
      <w:r w:rsidRPr="009B720F">
        <w:rPr>
          <w:bCs/>
        </w:rPr>
        <w:t xml:space="preserve"> </w:t>
      </w:r>
    </w:p>
    <w:p w14:paraId="58CB8551" w14:textId="5F9A4CC1" w:rsidR="00737447" w:rsidRPr="00DA1B92" w:rsidRDefault="00D146D7" w:rsidP="00E74925">
      <w:pPr>
        <w:pStyle w:val="TEXTBODY"/>
        <w:spacing w:line="276" w:lineRule="auto"/>
        <w:ind w:left="284"/>
        <w:rPr>
          <w:bCs/>
        </w:rPr>
      </w:pPr>
      <w:r w:rsidRPr="00DA1B92">
        <w:rPr>
          <w:bCs/>
        </w:rPr>
        <w:lastRenderedPageBreak/>
        <w:t xml:space="preserve">To develop their </w:t>
      </w:r>
      <w:r w:rsidRPr="00DA1B92">
        <w:rPr>
          <w:bCs/>
          <w:i/>
          <w:iCs/>
        </w:rPr>
        <w:t>Preferential Strategies</w:t>
      </w:r>
      <w:r w:rsidRPr="00DA1B92">
        <w:rPr>
          <w:bCs/>
        </w:rPr>
        <w:t>, the Subprogrammes applied the ADM approach, and ADM itself employs the method of Adaptation Pathways (APs approach) (</w:t>
      </w:r>
      <w:r w:rsidRPr="00DA1B92">
        <w:rPr>
          <w:bCs/>
          <w:i/>
          <w:iCs/>
        </w:rPr>
        <w:t>in</w:t>
      </w:r>
      <w:r w:rsidRPr="00DA1B92">
        <w:rPr>
          <w:bCs/>
        </w:rPr>
        <w:t xml:space="preserve"> </w:t>
      </w:r>
      <w:proofErr w:type="spellStart"/>
      <w:r w:rsidRPr="00DA1B92">
        <w:rPr>
          <w:bCs/>
          <w:color w:val="7F7F7F" w:themeColor="text1" w:themeTint="80"/>
        </w:rPr>
        <w:t>Jeuken</w:t>
      </w:r>
      <w:proofErr w:type="spellEnd"/>
      <w:r w:rsidRPr="00DA1B92">
        <w:rPr>
          <w:bCs/>
          <w:color w:val="7F7F7F" w:themeColor="text1" w:themeTint="80"/>
        </w:rPr>
        <w:t xml:space="preserve"> and Reeder 2011, p.5; </w:t>
      </w:r>
      <w:proofErr w:type="spellStart"/>
      <w:r w:rsidRPr="00DA1B92">
        <w:rPr>
          <w:bCs/>
          <w:color w:val="7F7F7F" w:themeColor="text1" w:themeTint="80"/>
        </w:rPr>
        <w:t>Restemeyer</w:t>
      </w:r>
      <w:proofErr w:type="spellEnd"/>
      <w:r w:rsidRPr="00DA1B92">
        <w:rPr>
          <w:bCs/>
          <w:color w:val="7F7F7F" w:themeColor="text1" w:themeTint="80"/>
        </w:rPr>
        <w:t xml:space="preserve"> et al. 2017, p.935, 930</w:t>
      </w:r>
      <w:r w:rsidR="004268DD" w:rsidRPr="00DA1B92">
        <w:rPr>
          <w:bCs/>
          <w:color w:val="7F7F7F" w:themeColor="text1" w:themeTint="80"/>
        </w:rPr>
        <w:t xml:space="preserve">; Haegen and </w:t>
      </w:r>
      <w:proofErr w:type="spellStart"/>
      <w:r w:rsidR="004268DD" w:rsidRPr="00DA1B92">
        <w:rPr>
          <w:bCs/>
          <w:color w:val="7F7F7F" w:themeColor="text1" w:themeTint="80"/>
        </w:rPr>
        <w:t>Wieriks</w:t>
      </w:r>
      <w:proofErr w:type="spellEnd"/>
      <w:r w:rsidR="004268DD" w:rsidRPr="00DA1B92">
        <w:rPr>
          <w:bCs/>
          <w:color w:val="7F7F7F" w:themeColor="text1" w:themeTint="80"/>
        </w:rPr>
        <w:t xml:space="preserve"> 2015, p.56, 54-55, 48</w:t>
      </w:r>
      <w:r w:rsidR="001C67C9" w:rsidRPr="00DA1B92">
        <w:rPr>
          <w:bCs/>
          <w:color w:val="7F7F7F" w:themeColor="text1" w:themeTint="80"/>
        </w:rPr>
        <w:t>; Marchand and Ludwig 2014, p.2</w:t>
      </w:r>
      <w:r w:rsidR="00422EFA" w:rsidRPr="00DA1B92">
        <w:rPr>
          <w:bCs/>
          <w:color w:val="7F7F7F" w:themeColor="text1" w:themeTint="80"/>
        </w:rPr>
        <w:t xml:space="preserve">; </w:t>
      </w:r>
      <w:r w:rsidR="005C558F" w:rsidRPr="00DA1B92">
        <w:rPr>
          <w:bCs/>
          <w:color w:val="7F7F7F" w:themeColor="text1" w:themeTint="80"/>
        </w:rPr>
        <w:t>Brugge and Bruggeman 2019</w:t>
      </w:r>
      <w:r w:rsidR="00422EFA" w:rsidRPr="00DA1B92">
        <w:rPr>
          <w:bCs/>
          <w:color w:val="7F7F7F" w:themeColor="text1" w:themeTint="80"/>
        </w:rPr>
        <w:t>, p.2</w:t>
      </w:r>
      <w:r w:rsidR="000E7DFB" w:rsidRPr="00DA1B92">
        <w:rPr>
          <w:bCs/>
          <w:color w:val="7F7F7F" w:themeColor="text1" w:themeTint="80"/>
        </w:rPr>
        <w:t xml:space="preserve">; Zandvoort et al. 2018, p.189; </w:t>
      </w:r>
      <w:r w:rsidR="000E7DFB" w:rsidRPr="00DA1B92">
        <w:rPr>
          <w:bCs/>
          <w:color w:val="7F7F7F" w:themeColor="text1" w:themeTint="80"/>
          <w:szCs w:val="18"/>
        </w:rPr>
        <w:t>Klijn et al. 2015, p.849</w:t>
      </w:r>
      <w:r w:rsidR="00B06BBF" w:rsidRPr="00DA1B92">
        <w:rPr>
          <w:bCs/>
          <w:color w:val="7F7F7F" w:themeColor="text1" w:themeTint="80"/>
          <w:szCs w:val="18"/>
        </w:rPr>
        <w:t xml:space="preserve">; </w:t>
      </w:r>
      <w:r w:rsidR="00B06BBF" w:rsidRPr="00DA1B92">
        <w:rPr>
          <w:bCs/>
          <w:color w:val="7F7F7F" w:themeColor="text1" w:themeTint="80"/>
        </w:rPr>
        <w:t>Bloemen et al. 2018, p.5</w:t>
      </w:r>
      <w:r w:rsidRPr="00DA1B92">
        <w:rPr>
          <w:bCs/>
        </w:rPr>
        <w:t>).</w:t>
      </w:r>
      <w:r w:rsidRPr="00DA1B92">
        <w:rPr>
          <w:bCs/>
          <w:color w:val="C00000"/>
        </w:rPr>
        <w:t xml:space="preserve"> </w:t>
      </w:r>
      <w:r w:rsidR="00FF24A5" w:rsidRPr="00DA1B92">
        <w:rPr>
          <w:bCs/>
          <w:szCs w:val="22"/>
          <w:lang w:val="en-US"/>
        </w:rPr>
        <w:t xml:space="preserve">One of the </w:t>
      </w:r>
      <w:r w:rsidR="00FF24A5" w:rsidRPr="00DA1B92">
        <w:rPr>
          <w:bCs/>
          <w:i/>
          <w:iCs/>
          <w:szCs w:val="22"/>
          <w:lang w:val="en-US"/>
        </w:rPr>
        <w:t>building blocks</w:t>
      </w:r>
      <w:r w:rsidR="00FF24A5" w:rsidRPr="00DA1B92">
        <w:rPr>
          <w:bCs/>
          <w:szCs w:val="22"/>
          <w:lang w:val="en-US"/>
        </w:rPr>
        <w:t xml:space="preserve"> for ADM is </w:t>
      </w:r>
      <w:r w:rsidR="00FF24A5" w:rsidRPr="00DA1B92">
        <w:rPr>
          <w:bCs/>
          <w:i/>
          <w:iCs/>
          <w:szCs w:val="22"/>
          <w:lang w:val="en-US"/>
        </w:rPr>
        <w:t>the development of adaptive pathways</w:t>
      </w:r>
      <w:r w:rsidR="00FF24A5" w:rsidRPr="00DA1B92">
        <w:rPr>
          <w:bCs/>
          <w:szCs w:val="22"/>
          <w:lang w:val="en-US"/>
        </w:rPr>
        <w:t xml:space="preserve"> (</w:t>
      </w:r>
      <w:r w:rsidR="00FF24A5" w:rsidRPr="00DA1B92">
        <w:rPr>
          <w:bCs/>
          <w:color w:val="7F7F7F" w:themeColor="text1" w:themeTint="80"/>
          <w:szCs w:val="22"/>
          <w:lang w:val="en-US"/>
        </w:rPr>
        <w:t>Marchand and Ludwig 2014, p.17</w:t>
      </w:r>
      <w:r w:rsidR="00FF24A5" w:rsidRPr="00DA1B92">
        <w:rPr>
          <w:bCs/>
          <w:szCs w:val="22"/>
          <w:lang w:val="en-US"/>
        </w:rPr>
        <w:t>).</w:t>
      </w:r>
      <w:r w:rsidR="00FF24A5" w:rsidRPr="00DA1B92">
        <w:rPr>
          <w:bCs/>
          <w:sz w:val="14"/>
          <w:szCs w:val="14"/>
          <w:lang w:val="en-US"/>
        </w:rPr>
        <w:t xml:space="preserve">  </w:t>
      </w:r>
      <w:r w:rsidRPr="00DA1B92">
        <w:rPr>
          <w:bCs/>
        </w:rPr>
        <w:t xml:space="preserve">In its process, ADM includes the APs method (of </w:t>
      </w:r>
      <w:proofErr w:type="spellStart"/>
      <w:r w:rsidRPr="00DA1B92">
        <w:rPr>
          <w:bCs/>
          <w:color w:val="7F7F7F" w:themeColor="text1" w:themeTint="80"/>
        </w:rPr>
        <w:t>Haasnoot</w:t>
      </w:r>
      <w:proofErr w:type="spellEnd"/>
      <w:r w:rsidRPr="00DA1B92">
        <w:rPr>
          <w:bCs/>
          <w:color w:val="7F7F7F" w:themeColor="text1" w:themeTint="80"/>
        </w:rPr>
        <w:t xml:space="preserve"> et al. 2012, 2013</w:t>
      </w:r>
      <w:r w:rsidRPr="00DA1B92">
        <w:rPr>
          <w:bCs/>
        </w:rPr>
        <w:t>), indeed, the 3</w:t>
      </w:r>
      <w:r w:rsidRPr="00DA1B92">
        <w:rPr>
          <w:bCs/>
          <w:vertAlign w:val="superscript"/>
        </w:rPr>
        <w:t>rd</w:t>
      </w:r>
      <w:r w:rsidRPr="00DA1B92">
        <w:rPr>
          <w:bCs/>
        </w:rPr>
        <w:t xml:space="preserve"> step of the ADM process is the development of adaptation pathways and APs’ map. The APs consists of a methodological ‘</w:t>
      </w:r>
      <w:r w:rsidRPr="00DA1B92">
        <w:rPr>
          <w:bCs/>
          <w:i/>
          <w:iCs/>
        </w:rPr>
        <w:t>approach for</w:t>
      </w:r>
      <w:r w:rsidRPr="00DA1B92">
        <w:rPr>
          <w:bCs/>
        </w:rPr>
        <w:t xml:space="preserve"> </w:t>
      </w:r>
      <w:r w:rsidRPr="00DA1B92">
        <w:rPr>
          <w:bCs/>
          <w:i/>
        </w:rPr>
        <w:t xml:space="preserve">exploring and sequencing a set of possible actions </w:t>
      </w:r>
      <w:r w:rsidRPr="00DA1B92">
        <w:rPr>
          <w:bCs/>
        </w:rPr>
        <w:t>(i.e. a set of possible measures)</w:t>
      </w:r>
      <w:r w:rsidRPr="00DA1B92">
        <w:rPr>
          <w:bCs/>
          <w:i/>
          <w:iCs/>
        </w:rPr>
        <w:t xml:space="preserve"> </w:t>
      </w:r>
      <w:r w:rsidRPr="00DA1B92">
        <w:rPr>
          <w:bCs/>
          <w:i/>
        </w:rPr>
        <w:t>based on alternative external developments over time</w:t>
      </w:r>
      <w:r w:rsidRPr="00DA1B92">
        <w:rPr>
          <w:bCs/>
        </w:rPr>
        <w:t>’</w:t>
      </w:r>
      <w:r w:rsidRPr="00DA1B92">
        <w:rPr>
          <w:bCs/>
          <w:i/>
        </w:rPr>
        <w:t xml:space="preserve"> </w:t>
      </w:r>
      <w:r w:rsidRPr="00DA1B92">
        <w:rPr>
          <w:bCs/>
        </w:rPr>
        <w:t>(</w:t>
      </w:r>
      <w:proofErr w:type="spellStart"/>
      <w:r w:rsidRPr="00DA1B92">
        <w:rPr>
          <w:bCs/>
          <w:color w:val="7F7F7F" w:themeColor="text1" w:themeTint="80"/>
        </w:rPr>
        <w:t>Haasnoot</w:t>
      </w:r>
      <w:proofErr w:type="spellEnd"/>
      <w:r w:rsidRPr="00DA1B92">
        <w:rPr>
          <w:bCs/>
          <w:color w:val="7F7F7F" w:themeColor="text1" w:themeTint="80"/>
        </w:rPr>
        <w:t xml:space="preserve"> et al. 2012, p.485</w:t>
      </w:r>
      <w:r w:rsidRPr="00DA1B92">
        <w:rPr>
          <w:bCs/>
        </w:rPr>
        <w:t>); it is one of the Adaptive Planning approaches (</w:t>
      </w:r>
      <w:proofErr w:type="spellStart"/>
      <w:r w:rsidRPr="00DA1B92">
        <w:rPr>
          <w:bCs/>
          <w:color w:val="7F7F7F" w:themeColor="text1" w:themeTint="80"/>
        </w:rPr>
        <w:t>Haasnoot</w:t>
      </w:r>
      <w:proofErr w:type="spellEnd"/>
      <w:r w:rsidRPr="00DA1B92">
        <w:rPr>
          <w:bCs/>
          <w:color w:val="7F7F7F" w:themeColor="text1" w:themeTint="80"/>
        </w:rPr>
        <w:t xml:space="preserve"> et al. 2012, 2013; Walker et al. 2013</w:t>
      </w:r>
      <w:r w:rsidRPr="00DA1B92">
        <w:rPr>
          <w:bCs/>
        </w:rPr>
        <w:t xml:space="preserve">). The ‘APs approach’ that was applied in the DP (as part of the ADM approach) was inspired by the ‘Route-map / APs approach’ created by the TE2100 Project (as part of its </w:t>
      </w:r>
      <w:r w:rsidRPr="00DA1B92">
        <w:rPr>
          <w:bCs/>
          <w:i/>
          <w:iCs/>
        </w:rPr>
        <w:t>Dynamic Adaptive Planning approach</w:t>
      </w:r>
      <w:r w:rsidRPr="00DA1B92">
        <w:rPr>
          <w:bCs/>
        </w:rPr>
        <w:t>) (</w:t>
      </w:r>
      <w:proofErr w:type="spellStart"/>
      <w:r w:rsidRPr="00DA1B92">
        <w:rPr>
          <w:bCs/>
          <w:color w:val="7F7F7F" w:themeColor="text1" w:themeTint="80"/>
        </w:rPr>
        <w:t>Jeuken</w:t>
      </w:r>
      <w:proofErr w:type="spellEnd"/>
      <w:r w:rsidRPr="00DA1B92">
        <w:rPr>
          <w:bCs/>
          <w:color w:val="7F7F7F" w:themeColor="text1" w:themeTint="80"/>
        </w:rPr>
        <w:t xml:space="preserve"> and Reeder 2011, p.</w:t>
      </w:r>
      <w:r w:rsidR="00737447" w:rsidRPr="00DA1B92">
        <w:rPr>
          <w:bCs/>
          <w:color w:val="7F7F7F" w:themeColor="text1" w:themeTint="80"/>
        </w:rPr>
        <w:t>5</w:t>
      </w:r>
      <w:r w:rsidR="00D90671" w:rsidRPr="00DA1B92">
        <w:rPr>
          <w:bCs/>
          <w:color w:val="7F7F7F" w:themeColor="text1" w:themeTint="80"/>
        </w:rPr>
        <w:t>; DP 2011, p.48</w:t>
      </w:r>
      <w:r w:rsidR="00D90671" w:rsidRPr="00DA1B92">
        <w:rPr>
          <w:rStyle w:val="Refdenotaderodap"/>
          <w:bCs/>
          <w:color w:val="7F7F7F" w:themeColor="text1" w:themeTint="80"/>
        </w:rPr>
        <w:footnoteReference w:id="96"/>
      </w:r>
      <w:r w:rsidRPr="00DA1B92">
        <w:rPr>
          <w:bCs/>
        </w:rPr>
        <w:t xml:space="preserve">). </w:t>
      </w:r>
    </w:p>
    <w:p w14:paraId="0813E05E" w14:textId="0B824679" w:rsidR="00AC348F" w:rsidRPr="009B720F" w:rsidRDefault="00737447" w:rsidP="00E74925">
      <w:pPr>
        <w:pStyle w:val="TEXTBODY"/>
        <w:spacing w:line="276" w:lineRule="auto"/>
        <w:ind w:left="284"/>
        <w:rPr>
          <w:bCs/>
        </w:rPr>
      </w:pPr>
      <w:r w:rsidRPr="00DA1B92">
        <w:rPr>
          <w:bCs/>
        </w:rPr>
        <w:t xml:space="preserve">To develop </w:t>
      </w:r>
      <w:r w:rsidRPr="00DA1B92">
        <w:rPr>
          <w:bCs/>
          <w:i/>
          <w:iCs/>
        </w:rPr>
        <w:t>flexible</w:t>
      </w:r>
      <w:r w:rsidRPr="00DA1B92">
        <w:rPr>
          <w:bCs/>
        </w:rPr>
        <w:t xml:space="preserve"> </w:t>
      </w:r>
      <w:r w:rsidRPr="00DA1B92">
        <w:rPr>
          <w:bCs/>
          <w:i/>
          <w:iCs/>
        </w:rPr>
        <w:t>strategies</w:t>
      </w:r>
      <w:r w:rsidRPr="00DA1B92">
        <w:rPr>
          <w:bCs/>
        </w:rPr>
        <w:t>, the DP used the methods of ATPs and APs (the APs served to develop</w:t>
      </w:r>
      <w:r w:rsidRPr="00DA1B92">
        <w:rPr>
          <w:bCs/>
          <w:i/>
          <w:iCs/>
        </w:rPr>
        <w:t xml:space="preserve"> strategies</w:t>
      </w:r>
      <w:r w:rsidRPr="00DA1B92">
        <w:rPr>
          <w:bCs/>
        </w:rPr>
        <w:t>) (</w:t>
      </w:r>
      <w:proofErr w:type="spellStart"/>
      <w:r w:rsidRPr="00DA1B92">
        <w:rPr>
          <w:bCs/>
          <w:color w:val="7F7F7F" w:themeColor="text1" w:themeTint="80"/>
        </w:rPr>
        <w:t>Jeuken</w:t>
      </w:r>
      <w:proofErr w:type="spellEnd"/>
      <w:r w:rsidRPr="00DA1B92">
        <w:rPr>
          <w:bCs/>
          <w:color w:val="7F7F7F" w:themeColor="text1" w:themeTint="80"/>
        </w:rPr>
        <w:t xml:space="preserve"> and Reeder 2011, p.5</w:t>
      </w:r>
      <w:r w:rsidRPr="00DA1B92">
        <w:rPr>
          <w:bCs/>
        </w:rPr>
        <w:t xml:space="preserve">). </w:t>
      </w:r>
      <w:r w:rsidR="001C67C9" w:rsidRPr="00DA1B92">
        <w:rPr>
          <w:bCs/>
          <w:szCs w:val="22"/>
        </w:rPr>
        <w:t xml:space="preserve">The </w:t>
      </w:r>
      <w:r w:rsidR="001C67C9" w:rsidRPr="00DA1B92">
        <w:rPr>
          <w:bCs/>
          <w:szCs w:val="22"/>
          <w:lang w:val="en-US"/>
        </w:rPr>
        <w:t xml:space="preserve">methods of tipping points and adaptation pathways have already been applied in all </w:t>
      </w:r>
      <w:proofErr w:type="spellStart"/>
      <w:r w:rsidR="001C67C9" w:rsidRPr="00DA1B92">
        <w:rPr>
          <w:bCs/>
          <w:szCs w:val="22"/>
          <w:lang w:val="en-US"/>
        </w:rPr>
        <w:t>Subprogrammes</w:t>
      </w:r>
      <w:proofErr w:type="spellEnd"/>
      <w:r w:rsidR="001C67C9" w:rsidRPr="00DA1B92">
        <w:rPr>
          <w:bCs/>
          <w:szCs w:val="22"/>
          <w:lang w:val="en-US"/>
        </w:rPr>
        <w:t xml:space="preserve"> (working with adaptation pathways) (</w:t>
      </w:r>
      <w:r w:rsidR="001C67C9" w:rsidRPr="00DA1B92">
        <w:rPr>
          <w:bCs/>
          <w:color w:val="7F7F7F" w:themeColor="text1" w:themeTint="80"/>
          <w:szCs w:val="22"/>
          <w:lang w:val="en-US"/>
        </w:rPr>
        <w:t>Marchand and Ludwig 2014, p.27</w:t>
      </w:r>
      <w:r w:rsidR="001C67C9" w:rsidRPr="00DA1B92">
        <w:rPr>
          <w:bCs/>
          <w:szCs w:val="22"/>
          <w:lang w:val="en-US"/>
        </w:rPr>
        <w:t>).</w:t>
      </w:r>
      <w:r w:rsidR="001C67C9" w:rsidRPr="009B720F">
        <w:rPr>
          <w:bCs/>
          <w:szCs w:val="22"/>
          <w:lang w:val="en-US"/>
        </w:rPr>
        <w:t xml:space="preserve">  </w:t>
      </w:r>
    </w:p>
    <w:bookmarkEnd w:id="116"/>
    <w:p w14:paraId="2589573E" w14:textId="77777777" w:rsidR="00F36279" w:rsidRPr="009B720F" w:rsidRDefault="00F36279" w:rsidP="00E74925">
      <w:pPr>
        <w:pStyle w:val="TEXTBODY"/>
        <w:spacing w:line="276" w:lineRule="auto"/>
        <w:ind w:left="284"/>
        <w:rPr>
          <w:bCs/>
        </w:rPr>
      </w:pPr>
    </w:p>
    <w:p w14:paraId="276189F7" w14:textId="6731FE7B" w:rsidR="00A61A74" w:rsidRPr="009B720F" w:rsidRDefault="00DA1B92" w:rsidP="00E74925">
      <w:pPr>
        <w:pStyle w:val="TEXTBODY"/>
        <w:spacing w:line="276" w:lineRule="auto"/>
        <w:rPr>
          <w:bCs/>
        </w:rPr>
      </w:pPr>
      <w:r>
        <w:rPr>
          <w:bCs/>
        </w:rPr>
        <w:t>To address</w:t>
      </w:r>
      <w:r w:rsidR="00A61A74" w:rsidRPr="00DA1B92">
        <w:rPr>
          <w:bCs/>
        </w:rPr>
        <w:t xml:space="preserve"> Principle 1 of ADM (</w:t>
      </w:r>
      <w:r w:rsidR="00A61A74" w:rsidRPr="00DA1B92">
        <w:rPr>
          <w:bCs/>
          <w:i/>
          <w:iCs/>
        </w:rPr>
        <w:t>linking short-term decisions with long-term tasks</w:t>
      </w:r>
      <w:r w:rsidR="00A61A74" w:rsidRPr="00DA1B92">
        <w:rPr>
          <w:bCs/>
        </w:rPr>
        <w:t xml:space="preserve">) </w:t>
      </w:r>
      <w:r w:rsidR="00A61A74" w:rsidRPr="00DA1B92">
        <w:rPr>
          <w:rFonts w:eastAsia="RijksoverheidSansText-Regular"/>
          <w:bCs/>
          <w:color w:val="000000"/>
        </w:rPr>
        <w:t>(</w:t>
      </w:r>
      <w:r w:rsidR="00A61A74" w:rsidRPr="00DA1B92">
        <w:rPr>
          <w:rFonts w:eastAsia="RijksoverheidSansText-Regular"/>
          <w:bCs/>
          <w:color w:val="7F7F7F" w:themeColor="text1" w:themeTint="80"/>
        </w:rPr>
        <w:t>DP 2012, p.88, 83; 2013, p.102; 2011, p.49; 2014, p.95, 169; 2016, p.5</w:t>
      </w:r>
      <w:r w:rsidR="00A61A74" w:rsidRPr="00DA1B92">
        <w:rPr>
          <w:rFonts w:eastAsia="RijksoverheidSansText-Regular"/>
          <w:bCs/>
          <w:color w:val="000000"/>
        </w:rPr>
        <w:t xml:space="preserve">; </w:t>
      </w:r>
      <w:r w:rsidR="00A61A74" w:rsidRPr="00DA1B92">
        <w:rPr>
          <w:bCs/>
          <w:color w:val="7F7F7F" w:themeColor="text1" w:themeTint="80"/>
        </w:rPr>
        <w:t>Bloemen et al. 2018, p.12</w:t>
      </w:r>
      <w:r w:rsidR="00A61A74" w:rsidRPr="00DA1B92">
        <w:rPr>
          <w:bCs/>
        </w:rPr>
        <w:t xml:space="preserve">, and </w:t>
      </w:r>
      <w:r w:rsidR="00A61A74" w:rsidRPr="00DA1B92">
        <w:rPr>
          <w:bCs/>
          <w:color w:val="7F7F7F" w:themeColor="text1" w:themeTint="80"/>
        </w:rPr>
        <w:t>Klijn et al. 2016, 2015</w:t>
      </w:r>
      <w:r w:rsidR="00A61A74" w:rsidRPr="00DA1B92">
        <w:rPr>
          <w:bCs/>
        </w:rPr>
        <w:t xml:space="preserve">, and </w:t>
      </w:r>
      <w:r w:rsidR="00A61A74" w:rsidRPr="00DA1B92">
        <w:rPr>
          <w:bCs/>
          <w:color w:val="7F7F7F" w:themeColor="text1" w:themeTint="80"/>
        </w:rPr>
        <w:t>Werners et al. 2016</w:t>
      </w:r>
      <w:r w:rsidR="00A61A74" w:rsidRPr="00DA1B92">
        <w:rPr>
          <w:bCs/>
        </w:rPr>
        <w:t xml:space="preserve">, based on </w:t>
      </w:r>
      <w:r w:rsidR="00A61A74" w:rsidRPr="00DA1B92">
        <w:rPr>
          <w:bCs/>
          <w:color w:val="7F7F7F" w:themeColor="text1" w:themeTint="80"/>
        </w:rPr>
        <w:t>Rhee 2012</w:t>
      </w:r>
      <w:r w:rsidR="00A61A74" w:rsidRPr="00DA1B92">
        <w:rPr>
          <w:bCs/>
        </w:rPr>
        <w:t xml:space="preserve">; </w:t>
      </w:r>
      <w:r w:rsidR="00A61A74" w:rsidRPr="00DA1B92">
        <w:rPr>
          <w:bCs/>
          <w:color w:val="7F7F7F" w:themeColor="text1" w:themeTint="80"/>
        </w:rPr>
        <w:t>Marchand and Ludwig 2014, p.8</w:t>
      </w:r>
      <w:r w:rsidR="00A61A74" w:rsidRPr="00DA1B92">
        <w:rPr>
          <w:bCs/>
        </w:rPr>
        <w:t>), the Subprogrammes looked ahead into the future and sought to connect/link short-term decisions to long-term tasks, factoring in possible</w:t>
      </w:r>
      <w:r w:rsidR="00A61A74" w:rsidRPr="009B720F">
        <w:rPr>
          <w:bCs/>
        </w:rPr>
        <w:t xml:space="preserve"> future developments in the choice of measures, and also searching for measures for the short-term that </w:t>
      </w:r>
      <w:r w:rsidR="00A61A74" w:rsidRPr="009B720F">
        <w:rPr>
          <w:bCs/>
          <w:i/>
          <w:iCs/>
        </w:rPr>
        <w:t>agree with</w:t>
      </w:r>
      <w:r w:rsidR="00A61A74" w:rsidRPr="009B720F">
        <w:rPr>
          <w:bCs/>
        </w:rPr>
        <w:t xml:space="preserve"> the tasks for the long-term (</w:t>
      </w:r>
      <w:r w:rsidR="00A61A74" w:rsidRPr="009B720F">
        <w:rPr>
          <w:bCs/>
          <w:color w:val="7F7F7F" w:themeColor="text1" w:themeTint="80"/>
        </w:rPr>
        <w:t xml:space="preserve">DP 2017, p.22; 2016, p.5; </w:t>
      </w:r>
      <w:r w:rsidR="00A61A74" w:rsidRPr="009B720F">
        <w:rPr>
          <w:rFonts w:eastAsia="RijksoverheidSansText-Regular"/>
          <w:bCs/>
          <w:color w:val="7F7F7F" w:themeColor="text1" w:themeTint="80"/>
        </w:rPr>
        <w:t>2011, p.49; 2012, p.83;</w:t>
      </w:r>
      <w:r w:rsidR="00A61A74" w:rsidRPr="009B720F">
        <w:rPr>
          <w:bCs/>
          <w:color w:val="7F7F7F" w:themeColor="text1" w:themeTint="80"/>
        </w:rPr>
        <w:t xml:space="preserve"> 2013, p.102</w:t>
      </w:r>
      <w:r w:rsidR="00A61A74" w:rsidRPr="009B720F">
        <w:rPr>
          <w:bCs/>
        </w:rPr>
        <w:t xml:space="preserve">). This principle also implied </w:t>
      </w:r>
      <w:r w:rsidR="00A61A74" w:rsidRPr="009B720F">
        <w:rPr>
          <w:rFonts w:eastAsia="RijksoverheidSansText-Regular"/>
          <w:bCs/>
          <w:lang w:eastAsia="en-US"/>
        </w:rPr>
        <w:t xml:space="preserve">looking at future tasks and using that insight to take </w:t>
      </w:r>
      <w:r w:rsidR="00A61A74" w:rsidRPr="009B720F">
        <w:rPr>
          <w:rFonts w:eastAsia="RijksoverheidSansText-Regular"/>
          <w:bCs/>
          <w:i/>
          <w:iCs/>
          <w:lang w:eastAsia="en-US"/>
        </w:rPr>
        <w:t>(cost)-effective measures in good time</w:t>
      </w:r>
      <w:r w:rsidR="00A61A74" w:rsidRPr="009B720F">
        <w:rPr>
          <w:bCs/>
        </w:rPr>
        <w:t xml:space="preserve"> (</w:t>
      </w:r>
      <w:r w:rsidR="00A61A74" w:rsidRPr="009B720F">
        <w:rPr>
          <w:bCs/>
          <w:color w:val="7F7F7F" w:themeColor="text1" w:themeTint="80"/>
        </w:rPr>
        <w:t>DP 2014, p.7, 95</w:t>
      </w:r>
      <w:r w:rsidR="00A61A74" w:rsidRPr="009B720F">
        <w:rPr>
          <w:bCs/>
        </w:rPr>
        <w:t xml:space="preserve">), i.e. </w:t>
      </w:r>
      <w:r w:rsidR="00A61A74" w:rsidRPr="009B720F">
        <w:rPr>
          <w:bCs/>
          <w:i/>
          <w:iCs/>
        </w:rPr>
        <w:t>the right steps at the right time</w:t>
      </w:r>
      <w:r w:rsidR="00A61A74" w:rsidRPr="009B720F">
        <w:rPr>
          <w:bCs/>
        </w:rPr>
        <w:t xml:space="preserve"> (</w:t>
      </w:r>
      <w:r w:rsidR="00A61A74" w:rsidRPr="009B720F">
        <w:rPr>
          <w:bCs/>
          <w:color w:val="7F7F7F" w:themeColor="text1" w:themeTint="80"/>
        </w:rPr>
        <w:t>DP 2013, p.102; 2012, p.88</w:t>
      </w:r>
      <w:r w:rsidR="00A61A74" w:rsidRPr="009B720F">
        <w:rPr>
          <w:bCs/>
        </w:rPr>
        <w:t>), that is adequate measures when they are actually needed to achieve the objectives (</w:t>
      </w:r>
      <w:r w:rsidR="00A61A74" w:rsidRPr="009B720F">
        <w:rPr>
          <w:bCs/>
          <w:color w:val="7F7F7F" w:themeColor="text1" w:themeTint="80"/>
        </w:rPr>
        <w:t xml:space="preserve">Zandvoort et al. 2018; </w:t>
      </w:r>
      <w:proofErr w:type="spellStart"/>
      <w:r w:rsidR="00A61A74" w:rsidRPr="009B720F">
        <w:rPr>
          <w:bCs/>
          <w:color w:val="7F7F7F" w:themeColor="text1" w:themeTint="80"/>
        </w:rPr>
        <w:t>Gersonius</w:t>
      </w:r>
      <w:proofErr w:type="spellEnd"/>
      <w:r w:rsidR="00A61A74" w:rsidRPr="009B720F">
        <w:rPr>
          <w:bCs/>
          <w:color w:val="7F7F7F" w:themeColor="text1" w:themeTint="80"/>
        </w:rPr>
        <w:t xml:space="preserve"> et al.2016, p.1</w:t>
      </w:r>
      <w:r w:rsidR="00A61A74" w:rsidRPr="009B720F">
        <w:rPr>
          <w:rFonts w:eastAsia="RijksoverheidSansText-Regular"/>
          <w:bCs/>
          <w:lang w:eastAsia="en-US"/>
        </w:rPr>
        <w:t>), and ensuring that</w:t>
      </w:r>
      <w:r w:rsidR="00A61A74" w:rsidRPr="009B720F">
        <w:rPr>
          <w:bCs/>
        </w:rPr>
        <w:t xml:space="preserve"> actions taken now are ‘</w:t>
      </w:r>
      <w:r w:rsidR="00A61A74" w:rsidRPr="009B720F">
        <w:rPr>
          <w:bCs/>
          <w:i/>
        </w:rPr>
        <w:t>robust under a changing and uncertain future</w:t>
      </w:r>
      <w:r w:rsidR="00A61A74" w:rsidRPr="009B720F">
        <w:rPr>
          <w:bCs/>
          <w:iCs/>
        </w:rPr>
        <w:t>’</w:t>
      </w:r>
      <w:r w:rsidR="00A61A74" w:rsidRPr="009B720F">
        <w:rPr>
          <w:bCs/>
        </w:rPr>
        <w:t xml:space="preserve"> (</w:t>
      </w:r>
      <w:proofErr w:type="spellStart"/>
      <w:r w:rsidR="00A61A74" w:rsidRPr="009B720F">
        <w:rPr>
          <w:bCs/>
          <w:color w:val="7F7F7F" w:themeColor="text1" w:themeTint="80"/>
        </w:rPr>
        <w:t>Gersonius</w:t>
      </w:r>
      <w:proofErr w:type="spellEnd"/>
      <w:r w:rsidR="00A61A74" w:rsidRPr="009B720F">
        <w:rPr>
          <w:bCs/>
          <w:color w:val="7F7F7F" w:themeColor="text1" w:themeTint="80"/>
        </w:rPr>
        <w:t xml:space="preserve"> et al.2016, p.14</w:t>
      </w:r>
      <w:r w:rsidR="00A61A74" w:rsidRPr="009B720F">
        <w:rPr>
          <w:bCs/>
        </w:rPr>
        <w:t xml:space="preserve">). </w:t>
      </w:r>
    </w:p>
    <w:p w14:paraId="63F6898B" w14:textId="4F0BB8F9" w:rsidR="00A61A74" w:rsidRPr="00DA1B92" w:rsidRDefault="00A61A74" w:rsidP="00E74925">
      <w:pPr>
        <w:pStyle w:val="TEXTBODY"/>
        <w:spacing w:line="276" w:lineRule="auto"/>
        <w:ind w:left="284"/>
        <w:rPr>
          <w:rFonts w:eastAsia="RijksoverheidSansText-Regular"/>
          <w:bCs/>
          <w:color w:val="000000"/>
          <w:szCs w:val="16"/>
        </w:rPr>
      </w:pPr>
      <w:r w:rsidRPr="00DA1B92">
        <w:rPr>
          <w:rFonts w:eastAsia="RijksoverheidSansText-Regular"/>
          <w:bCs/>
          <w:szCs w:val="16"/>
        </w:rPr>
        <w:t xml:space="preserve">In line with ADM (and its principles), in 2011/2012, some Subprogrammes started to devise </w:t>
      </w:r>
      <w:r w:rsidRPr="00DA1B92">
        <w:rPr>
          <w:rFonts w:eastAsia="RijksoverheidSansText-Regular"/>
          <w:bCs/>
          <w:i/>
          <w:iCs/>
          <w:szCs w:val="16"/>
        </w:rPr>
        <w:t>development paths</w:t>
      </w:r>
      <w:r w:rsidRPr="00DA1B92">
        <w:rPr>
          <w:rFonts w:cs="Arial"/>
          <w:bCs/>
          <w:szCs w:val="14"/>
        </w:rPr>
        <w:t>, by ‘</w:t>
      </w:r>
      <w:r w:rsidRPr="00DA1B92">
        <w:rPr>
          <w:rFonts w:cs="Arial"/>
          <w:bCs/>
          <w:i/>
          <w:iCs/>
          <w:szCs w:val="14"/>
        </w:rPr>
        <w:t>putting the first steps and the long-term possibilities in a logical chronological order</w:t>
      </w:r>
      <w:r w:rsidRPr="00DA1B92">
        <w:rPr>
          <w:rFonts w:eastAsia="RijksoverheidSansText-Regular" w:cs="Arial"/>
          <w:bCs/>
          <w:color w:val="000000"/>
          <w:szCs w:val="14"/>
        </w:rPr>
        <w:t>’</w:t>
      </w:r>
      <w:r w:rsidR="00D50CEB" w:rsidRPr="00DA1B92">
        <w:rPr>
          <w:rStyle w:val="Refdenotaderodap"/>
          <w:rFonts w:eastAsia="RijksoverheidSansText-Regular" w:cs="Arial"/>
          <w:bCs/>
          <w:color w:val="000000"/>
          <w:szCs w:val="14"/>
        </w:rPr>
        <w:footnoteReference w:id="97"/>
      </w:r>
      <w:r w:rsidRPr="00DA1B92">
        <w:rPr>
          <w:rFonts w:eastAsia="RijksoverheidSansText-Regular" w:cs="Arial"/>
          <w:bCs/>
          <w:color w:val="000000"/>
          <w:szCs w:val="14"/>
        </w:rPr>
        <w:t>, and, in</w:t>
      </w:r>
      <w:r w:rsidRPr="00DA1B92">
        <w:rPr>
          <w:rFonts w:cs="Arial"/>
          <w:bCs/>
          <w:szCs w:val="14"/>
        </w:rPr>
        <w:t xml:space="preserve"> this </w:t>
      </w:r>
      <w:r w:rsidRPr="00DA1B92">
        <w:rPr>
          <w:rFonts w:cs="Arial"/>
          <w:bCs/>
          <w:i/>
          <w:iCs/>
          <w:szCs w:val="14"/>
        </w:rPr>
        <w:t>adaptive strategy</w:t>
      </w:r>
      <w:r w:rsidRPr="00DA1B92">
        <w:rPr>
          <w:rFonts w:cs="Arial"/>
          <w:bCs/>
          <w:szCs w:val="14"/>
        </w:rPr>
        <w:t xml:space="preserve">, the measures envisioned for the short-term should leave sufficient scope for different follow-up measures </w:t>
      </w:r>
      <w:r w:rsidRPr="00DA1B92">
        <w:rPr>
          <w:rFonts w:eastAsia="RijksoverheidSansText-Regular" w:cs="Arial"/>
          <w:bCs/>
          <w:color w:val="000000"/>
          <w:szCs w:val="14"/>
        </w:rPr>
        <w:t>(</w:t>
      </w:r>
      <w:r w:rsidRPr="00DA1B92">
        <w:rPr>
          <w:rFonts w:eastAsia="RijksoverheidSansText-Regular" w:cs="Arial"/>
          <w:bCs/>
          <w:color w:val="7F7F7F" w:themeColor="text1" w:themeTint="80"/>
          <w:szCs w:val="14"/>
        </w:rPr>
        <w:t>DP 2012, p.61, 69</w:t>
      </w:r>
      <w:r w:rsidRPr="00DA1B92">
        <w:rPr>
          <w:rFonts w:eastAsia="RijksoverheidSansText-Regular" w:cs="Arial"/>
          <w:bCs/>
          <w:color w:val="000000"/>
          <w:szCs w:val="14"/>
        </w:rPr>
        <w:t xml:space="preserve">). </w:t>
      </w:r>
      <w:r w:rsidRPr="00DA1B92">
        <w:rPr>
          <w:rFonts w:eastAsia="RijksoverheidSansText-Regular" w:cs="Arial"/>
          <w:bCs/>
          <w:szCs w:val="14"/>
        </w:rPr>
        <w:t xml:space="preserve">The </w:t>
      </w:r>
      <w:r w:rsidRPr="00DA1B92">
        <w:rPr>
          <w:rFonts w:eastAsia="RijksoverheidSansText-Regular" w:cs="Arial"/>
          <w:bCs/>
          <w:i/>
          <w:iCs/>
          <w:szCs w:val="14"/>
        </w:rPr>
        <w:t>adaptation paths</w:t>
      </w:r>
      <w:r w:rsidRPr="00DA1B92">
        <w:rPr>
          <w:bCs/>
          <w:szCs w:val="16"/>
        </w:rPr>
        <w:t xml:space="preserve"> provided a powerful way of understanding what measures can be taken and when, and how tasks and options for the long-term affect short-term decisions and measures </w:t>
      </w:r>
      <w:r w:rsidRPr="00DA1B92">
        <w:rPr>
          <w:rFonts w:eastAsia="RijksoverheidSansText-Regular"/>
          <w:bCs/>
          <w:color w:val="000000"/>
          <w:szCs w:val="16"/>
        </w:rPr>
        <w:t>(</w:t>
      </w:r>
      <w:r w:rsidRPr="00DA1B92">
        <w:rPr>
          <w:rFonts w:eastAsia="RijksoverheidSansText-Regular"/>
          <w:bCs/>
          <w:color w:val="7F7F7F" w:themeColor="text1" w:themeTint="80"/>
          <w:szCs w:val="16"/>
        </w:rPr>
        <w:t>DP 2012, p.8</w:t>
      </w:r>
      <w:r w:rsidR="001306A7" w:rsidRPr="00DA1B92">
        <w:rPr>
          <w:rFonts w:eastAsia="RijksoverheidSansText-Regular"/>
          <w:bCs/>
          <w:color w:val="7F7F7F" w:themeColor="text1" w:themeTint="80"/>
          <w:szCs w:val="16"/>
        </w:rPr>
        <w:t>2</w:t>
      </w:r>
      <w:r w:rsidRPr="00DA1B92">
        <w:rPr>
          <w:rFonts w:eastAsia="RijksoverheidSansText-Regular"/>
          <w:bCs/>
          <w:color w:val="000000"/>
          <w:szCs w:val="16"/>
        </w:rPr>
        <w:t>).</w:t>
      </w:r>
      <w:r w:rsidR="00D50CEB" w:rsidRPr="00DA1B92">
        <w:rPr>
          <w:rFonts w:eastAsia="RijksoverheidSansText-Regular"/>
          <w:bCs/>
          <w:color w:val="000000"/>
          <w:szCs w:val="16"/>
        </w:rPr>
        <w:t xml:space="preserve"> </w:t>
      </w:r>
    </w:p>
    <w:p w14:paraId="2D8FD407" w14:textId="01B3DC06" w:rsidR="00A61A74" w:rsidRPr="009B720F" w:rsidRDefault="00A61A74" w:rsidP="00E74925">
      <w:pPr>
        <w:pStyle w:val="TEXTBODY"/>
        <w:spacing w:line="276" w:lineRule="auto"/>
        <w:ind w:left="284"/>
        <w:rPr>
          <w:bCs/>
        </w:rPr>
      </w:pPr>
      <w:r w:rsidRPr="00DA1B92">
        <w:rPr>
          <w:bCs/>
        </w:rPr>
        <w:t>In line with the 1</w:t>
      </w:r>
      <w:r w:rsidRPr="00DA1B92">
        <w:rPr>
          <w:bCs/>
          <w:vertAlign w:val="superscript"/>
        </w:rPr>
        <w:t>st</w:t>
      </w:r>
      <w:r w:rsidRPr="00DA1B92">
        <w:rPr>
          <w:bCs/>
        </w:rPr>
        <w:t xml:space="preserve"> principle of ADM, the DP sought to identify measures for the short- and mid-term that </w:t>
      </w:r>
      <w:r w:rsidRPr="00DA1B92">
        <w:rPr>
          <w:bCs/>
          <w:i/>
          <w:iCs/>
        </w:rPr>
        <w:t>agree with</w:t>
      </w:r>
      <w:r w:rsidRPr="00DA1B92">
        <w:rPr>
          <w:bCs/>
        </w:rPr>
        <w:t xml:space="preserve"> the long-term tasks (</w:t>
      </w:r>
      <w:r w:rsidRPr="00DA1B92">
        <w:rPr>
          <w:bCs/>
          <w:color w:val="7F7F7F" w:themeColor="text1" w:themeTint="80"/>
        </w:rPr>
        <w:t>DP 2013, p.102</w:t>
      </w:r>
      <w:r w:rsidRPr="00DA1B92">
        <w:rPr>
          <w:bCs/>
        </w:rPr>
        <w:t>), i.e. decisions to be taken in the short-term were coherently linked to long-term tasks and goals (</w:t>
      </w:r>
      <w:r w:rsidRPr="00DA1B92">
        <w:rPr>
          <w:bCs/>
          <w:color w:val="7F7F7F" w:themeColor="text1" w:themeTint="80"/>
        </w:rPr>
        <w:t>DP 2017, p.22</w:t>
      </w:r>
      <w:r w:rsidRPr="00DA1B92">
        <w:rPr>
          <w:bCs/>
        </w:rPr>
        <w:t xml:space="preserve">), short-term measures </w:t>
      </w:r>
      <w:r w:rsidRPr="00DA1B92">
        <w:rPr>
          <w:bCs/>
          <w:iCs/>
        </w:rPr>
        <w:t>should be</w:t>
      </w:r>
      <w:r w:rsidRPr="00DA1B92">
        <w:rPr>
          <w:bCs/>
          <w:i/>
        </w:rPr>
        <w:t xml:space="preserve"> logical in the long-term</w:t>
      </w:r>
      <w:r w:rsidRPr="00DA1B92">
        <w:rPr>
          <w:bCs/>
        </w:rPr>
        <w:t xml:space="preserve"> and do not hinder long-term options (</w:t>
      </w:r>
      <w:r w:rsidRPr="00DA1B92">
        <w:rPr>
          <w:bCs/>
          <w:color w:val="7F7F7F" w:themeColor="text1" w:themeTint="80"/>
        </w:rPr>
        <w:t xml:space="preserve">Haegen and </w:t>
      </w:r>
      <w:proofErr w:type="spellStart"/>
      <w:r w:rsidRPr="00DA1B92">
        <w:rPr>
          <w:bCs/>
          <w:color w:val="7F7F7F" w:themeColor="text1" w:themeTint="80"/>
        </w:rPr>
        <w:t>Wieriks</w:t>
      </w:r>
      <w:proofErr w:type="spellEnd"/>
      <w:r w:rsidRPr="00DA1B92">
        <w:rPr>
          <w:bCs/>
          <w:color w:val="7F7F7F" w:themeColor="text1" w:themeTint="80"/>
        </w:rPr>
        <w:t xml:space="preserve"> 2015</w:t>
      </w:r>
      <w:r w:rsidRPr="00DA1B92">
        <w:rPr>
          <w:bCs/>
        </w:rPr>
        <w:t xml:space="preserve">). Thus, each </w:t>
      </w:r>
      <w:r w:rsidRPr="00DA1B92">
        <w:rPr>
          <w:bCs/>
          <w:i/>
          <w:iCs/>
        </w:rPr>
        <w:t>Preferential Strategy</w:t>
      </w:r>
      <w:r w:rsidRPr="00DA1B92">
        <w:rPr>
          <w:bCs/>
        </w:rPr>
        <w:t xml:space="preserve"> shows short-term measures linked to options for the mid- (2050) and long-term (2100).</w:t>
      </w:r>
      <w:r w:rsidRPr="009B720F">
        <w:rPr>
          <w:bCs/>
        </w:rPr>
        <w:t xml:space="preserve"> </w:t>
      </w:r>
    </w:p>
    <w:p w14:paraId="398CB765" w14:textId="77777777" w:rsidR="00217FAB" w:rsidRPr="009B720F" w:rsidRDefault="00217FAB" w:rsidP="00E74925">
      <w:pPr>
        <w:pStyle w:val="TEXTBODY"/>
        <w:spacing w:line="276" w:lineRule="auto"/>
        <w:ind w:left="284"/>
        <w:rPr>
          <w:bCs/>
        </w:rPr>
      </w:pPr>
    </w:p>
    <w:p w14:paraId="01C5D4BB" w14:textId="25FEFA4B" w:rsidR="00A61A74" w:rsidRPr="00DA1B92" w:rsidRDefault="00A61A74" w:rsidP="00E74925">
      <w:pPr>
        <w:pStyle w:val="TEXTBODY"/>
        <w:spacing w:after="100" w:line="276" w:lineRule="auto"/>
        <w:rPr>
          <w:bCs/>
        </w:rPr>
      </w:pPr>
      <w:r w:rsidRPr="00DA1B92">
        <w:rPr>
          <w:rFonts w:eastAsiaTheme="minorHAnsi"/>
          <w:bCs/>
          <w:lang w:eastAsia="en-US"/>
        </w:rPr>
        <w:t>In line with Principle 2</w:t>
      </w:r>
      <w:r w:rsidRPr="00DA1B92">
        <w:rPr>
          <w:bCs/>
        </w:rPr>
        <w:t xml:space="preserve"> (incorporating </w:t>
      </w:r>
      <w:r w:rsidRPr="00DA1B92">
        <w:rPr>
          <w:bCs/>
          <w:i/>
          <w:iCs/>
        </w:rPr>
        <w:t>flexibility</w:t>
      </w:r>
      <w:r w:rsidRPr="00DA1B92">
        <w:rPr>
          <w:bCs/>
        </w:rPr>
        <w:t xml:space="preserve"> into possible strategies, to deal with change and new insights over time (</w:t>
      </w:r>
      <w:r w:rsidRPr="00DA1B92">
        <w:rPr>
          <w:rFonts w:eastAsia="RijksoverheidSansText-Regular"/>
          <w:bCs/>
          <w:color w:val="7F7F7F" w:themeColor="text1" w:themeTint="80"/>
        </w:rPr>
        <w:t>DP 2012, p.88</w:t>
      </w:r>
      <w:r w:rsidRPr="00DA1B92">
        <w:rPr>
          <w:rFonts w:eastAsia="RijksoverheidSansText-Regular"/>
          <w:bCs/>
        </w:rPr>
        <w:t>;</w:t>
      </w:r>
      <w:r w:rsidRPr="00DA1B92">
        <w:rPr>
          <w:rFonts w:eastAsia="RijksoverheidSansText-Regular"/>
          <w:bCs/>
          <w:color w:val="7F7F7F" w:themeColor="text1" w:themeTint="80"/>
        </w:rPr>
        <w:t xml:space="preserve"> 2013, p.102; </w:t>
      </w:r>
      <w:r w:rsidRPr="00DA1B92">
        <w:rPr>
          <w:bCs/>
          <w:color w:val="7F7F7F" w:themeColor="text1" w:themeTint="80"/>
          <w:szCs w:val="22"/>
        </w:rPr>
        <w:t xml:space="preserve">Marchand and Ludwig 2014; </w:t>
      </w:r>
      <w:r w:rsidR="005C558F" w:rsidRPr="00DA1B92">
        <w:rPr>
          <w:bCs/>
          <w:color w:val="7F7F7F" w:themeColor="text1" w:themeTint="80"/>
        </w:rPr>
        <w:t>Brugge and Bruggeman 2019</w:t>
      </w:r>
      <w:r w:rsidRPr="00DA1B92">
        <w:rPr>
          <w:bCs/>
          <w:color w:val="7F7F7F" w:themeColor="text1" w:themeTint="80"/>
        </w:rPr>
        <w:t>, p.2</w:t>
      </w:r>
      <w:r w:rsidRPr="00DA1B92">
        <w:rPr>
          <w:bCs/>
        </w:rPr>
        <w:t xml:space="preserve">), the Subprogrammes sought to build-in </w:t>
      </w:r>
      <w:r w:rsidRPr="00DA1B92">
        <w:rPr>
          <w:bCs/>
          <w:i/>
          <w:iCs/>
        </w:rPr>
        <w:t>flexibility</w:t>
      </w:r>
      <w:r w:rsidRPr="00DA1B92">
        <w:rPr>
          <w:bCs/>
        </w:rPr>
        <w:t xml:space="preserve"> in their Strategy in several ways, for example: </w:t>
      </w:r>
    </w:p>
    <w:p w14:paraId="1D7EC8A7" w14:textId="07DE4CFA" w:rsidR="00A61A74" w:rsidRPr="00DA1B92" w:rsidRDefault="00A61A74" w:rsidP="00E74925">
      <w:pPr>
        <w:pStyle w:val="TEXTBODY"/>
        <w:numPr>
          <w:ilvl w:val="0"/>
          <w:numId w:val="27"/>
        </w:numPr>
        <w:spacing w:after="0" w:line="276" w:lineRule="auto"/>
        <w:ind w:left="284" w:hanging="284"/>
        <w:rPr>
          <w:bCs/>
          <w:szCs w:val="22"/>
        </w:rPr>
      </w:pPr>
      <w:r w:rsidRPr="009B720F">
        <w:rPr>
          <w:rFonts w:eastAsia="RijksoverheidSerif-Regular"/>
          <w:bCs/>
          <w:lang w:eastAsia="en-US"/>
        </w:rPr>
        <w:t>By ensuring (incorporating) flexibility in the</w:t>
      </w:r>
      <w:r w:rsidRPr="009B720F">
        <w:rPr>
          <w:rFonts w:eastAsia="RijksoverheidSerif-Regular"/>
          <w:bCs/>
          <w:i/>
          <w:iCs/>
          <w:lang w:eastAsia="en-US"/>
        </w:rPr>
        <w:t xml:space="preserve"> strategy</w:t>
      </w:r>
      <w:r w:rsidRPr="009B720F">
        <w:rPr>
          <w:rFonts w:eastAsia="RijksoverheidSerif-Regular"/>
          <w:bCs/>
          <w:lang w:eastAsia="en-US"/>
        </w:rPr>
        <w:t xml:space="preserve"> itself, and / or in the individual measures that compound it. The first involved ensuring the </w:t>
      </w:r>
      <w:r w:rsidRPr="009B720F">
        <w:rPr>
          <w:rFonts w:eastAsia="RijksoverheidSerif-Regular"/>
          <w:bCs/>
          <w:i/>
          <w:iCs/>
          <w:lang w:eastAsia="en-US"/>
        </w:rPr>
        <w:t>flexibility</w:t>
      </w:r>
      <w:r w:rsidRPr="009B720F">
        <w:rPr>
          <w:rFonts w:eastAsia="RijksoverheidSerif-Regular"/>
          <w:bCs/>
          <w:lang w:eastAsia="en-US"/>
        </w:rPr>
        <w:t xml:space="preserve"> of an own </w:t>
      </w:r>
      <w:r w:rsidRPr="00DA1B92">
        <w:rPr>
          <w:rFonts w:eastAsia="RijksoverheidSerif-Regular"/>
          <w:bCs/>
          <w:lang w:eastAsia="en-US"/>
        </w:rPr>
        <w:t xml:space="preserve">strategy (designed) as a </w:t>
      </w:r>
      <w:r w:rsidRPr="00DA1B92">
        <w:rPr>
          <w:rFonts w:eastAsia="RijksoverheidSerif-Regular"/>
          <w:bCs/>
          <w:i/>
          <w:iCs/>
          <w:lang w:eastAsia="en-US"/>
        </w:rPr>
        <w:t>pathway</w:t>
      </w:r>
      <w:r w:rsidRPr="00DA1B92">
        <w:rPr>
          <w:rFonts w:eastAsia="RijksoverheidSerif-Regular"/>
          <w:bCs/>
          <w:lang w:eastAsia="en-US"/>
        </w:rPr>
        <w:t xml:space="preserve"> made up of sequenced measures; t</w:t>
      </w:r>
      <w:r w:rsidRPr="00DA1B92">
        <w:rPr>
          <w:bCs/>
        </w:rPr>
        <w:t xml:space="preserve">he second involved incorporating </w:t>
      </w:r>
      <w:r w:rsidRPr="00DA1B92">
        <w:rPr>
          <w:rFonts w:eastAsia="RijksoverheidSerif-Regular"/>
          <w:bCs/>
          <w:i/>
          <w:iCs/>
          <w:lang w:eastAsia="en-US"/>
        </w:rPr>
        <w:t>flexibility</w:t>
      </w:r>
      <w:r w:rsidRPr="00DA1B92">
        <w:rPr>
          <w:rFonts w:eastAsia="RijksoverheidSerif-Regular"/>
          <w:bCs/>
          <w:lang w:eastAsia="en-US"/>
        </w:rPr>
        <w:t xml:space="preserve"> into measures themselves (e.g. measures that allow their future adjustment) or using inherently </w:t>
      </w:r>
      <w:r w:rsidRPr="00DA1B92">
        <w:rPr>
          <w:rFonts w:eastAsia="RijksoverheidSerif-Regular"/>
          <w:bCs/>
          <w:i/>
          <w:iCs/>
          <w:lang w:eastAsia="en-US"/>
        </w:rPr>
        <w:t>flexible</w:t>
      </w:r>
      <w:r w:rsidRPr="00DA1B92">
        <w:rPr>
          <w:rFonts w:eastAsia="RijksoverheidSerif-Regular"/>
          <w:bCs/>
          <w:lang w:eastAsia="en-US"/>
        </w:rPr>
        <w:t xml:space="preserve"> measures like sand replenishments </w:t>
      </w:r>
      <w:r w:rsidRPr="00DA1B92">
        <w:rPr>
          <w:rFonts w:eastAsia="RijksoverheidSerif-Regular"/>
          <w:bCs/>
          <w:szCs w:val="22"/>
          <w:lang w:eastAsia="en-US"/>
        </w:rPr>
        <w:t>(</w:t>
      </w:r>
      <w:r w:rsidRPr="00DA1B92">
        <w:rPr>
          <w:rFonts w:eastAsia="RijksoverheidSansText-Regular"/>
          <w:bCs/>
          <w:color w:val="7F7F7F" w:themeColor="text1" w:themeTint="80"/>
          <w:szCs w:val="22"/>
        </w:rPr>
        <w:t xml:space="preserve">DP 2013, p.102, 103; </w:t>
      </w:r>
      <w:r w:rsidRPr="00DA1B92">
        <w:rPr>
          <w:rFonts w:eastAsia="RijksoverheidSansText-Regular" w:cs="Arial"/>
          <w:bCs/>
          <w:color w:val="7F7F7F" w:themeColor="text1" w:themeTint="80"/>
          <w:szCs w:val="22"/>
        </w:rPr>
        <w:t>2010, p.69; 2014, p.169</w:t>
      </w:r>
      <w:r w:rsidRPr="00DA1B92">
        <w:rPr>
          <w:bCs/>
          <w:szCs w:val="22"/>
        </w:rPr>
        <w:t>).</w:t>
      </w:r>
    </w:p>
    <w:p w14:paraId="0E81DBBA" w14:textId="41D4D1B5" w:rsidR="00A15E26" w:rsidRPr="00DA1B92" w:rsidRDefault="00A61A74" w:rsidP="00E74925">
      <w:pPr>
        <w:pStyle w:val="TEXTBODY"/>
        <w:numPr>
          <w:ilvl w:val="0"/>
          <w:numId w:val="27"/>
        </w:numPr>
        <w:spacing w:after="0" w:line="276" w:lineRule="auto"/>
        <w:ind w:left="284" w:hanging="284"/>
        <w:rPr>
          <w:bCs/>
        </w:rPr>
      </w:pPr>
      <w:r w:rsidRPr="00DA1B92">
        <w:rPr>
          <w:rFonts w:eastAsia="RijksoverheidSerif-Regular"/>
          <w:bCs/>
          <w:szCs w:val="22"/>
          <w:lang w:eastAsia="en-US"/>
        </w:rPr>
        <w:t xml:space="preserve">By working with (designing) multiple potential </w:t>
      </w:r>
      <w:r w:rsidRPr="00DA1B92">
        <w:rPr>
          <w:rFonts w:eastAsia="RijksoverheidSerif-Regular"/>
          <w:bCs/>
          <w:lang w:eastAsia="en-US"/>
        </w:rPr>
        <w:t xml:space="preserve">strategies, i.e. several </w:t>
      </w:r>
      <w:r w:rsidRPr="00DA1B92">
        <w:rPr>
          <w:rFonts w:eastAsia="RijksoverheidSerif-Regular"/>
          <w:bCs/>
          <w:i/>
          <w:iCs/>
          <w:lang w:eastAsia="en-US"/>
        </w:rPr>
        <w:t>adaptation paths</w:t>
      </w:r>
      <w:r w:rsidRPr="00DA1B92">
        <w:rPr>
          <w:rFonts w:eastAsia="RijksoverheidSerif-Regular"/>
          <w:bCs/>
          <w:lang w:eastAsia="en-US"/>
        </w:rPr>
        <w:t xml:space="preserve"> (</w:t>
      </w:r>
      <w:r w:rsidRPr="00DA1B92">
        <w:rPr>
          <w:rFonts w:eastAsia="RijksoverheidSansText-Regular"/>
          <w:bCs/>
          <w:color w:val="7F7F7F" w:themeColor="text1" w:themeTint="80"/>
        </w:rPr>
        <w:t xml:space="preserve">DP 2013, p.102; 2012, p.81; </w:t>
      </w:r>
      <w:r w:rsidRPr="00DA1B92">
        <w:rPr>
          <w:rFonts w:eastAsia="RijksoverheidSansText-Regular" w:cs="Arial"/>
          <w:bCs/>
          <w:color w:val="7F7F7F" w:themeColor="text1" w:themeTint="80"/>
          <w:szCs w:val="18"/>
        </w:rPr>
        <w:t>2011, p.48</w:t>
      </w:r>
      <w:r w:rsidRPr="00DA1B92">
        <w:rPr>
          <w:bCs/>
        </w:rPr>
        <w:t>).</w:t>
      </w:r>
    </w:p>
    <w:p w14:paraId="68EE171C" w14:textId="1C7DEB04" w:rsidR="00A15E26" w:rsidRPr="00DA1B92" w:rsidRDefault="00A61A74" w:rsidP="00E74925">
      <w:pPr>
        <w:pStyle w:val="TEXTBODY"/>
        <w:numPr>
          <w:ilvl w:val="0"/>
          <w:numId w:val="27"/>
        </w:numPr>
        <w:spacing w:after="0" w:line="276" w:lineRule="auto"/>
        <w:ind w:left="284" w:hanging="284"/>
        <w:rPr>
          <w:bCs/>
        </w:rPr>
      </w:pPr>
      <w:r w:rsidRPr="00DA1B92">
        <w:rPr>
          <w:bCs/>
          <w:color w:val="231F20"/>
        </w:rPr>
        <w:t xml:space="preserve">Through </w:t>
      </w:r>
      <w:r w:rsidRPr="00DA1B92">
        <w:rPr>
          <w:bCs/>
        </w:rPr>
        <w:t>a stepwise implementation of several measures over time, as changes or new knowledge arise (</w:t>
      </w:r>
      <w:r w:rsidRPr="00DA1B92">
        <w:rPr>
          <w:bCs/>
          <w:color w:val="7F7F7F" w:themeColor="text1" w:themeTint="80"/>
        </w:rPr>
        <w:t xml:space="preserve">Werners et al. 2016, </w:t>
      </w:r>
      <w:r w:rsidR="007A71B6" w:rsidRPr="00DA1B92">
        <w:rPr>
          <w:bCs/>
          <w:color w:val="7F7F7F" w:themeColor="text1" w:themeTint="80"/>
        </w:rPr>
        <w:t>p.118</w:t>
      </w:r>
      <w:r w:rsidR="007A71B6" w:rsidRPr="00DA1B92">
        <w:rPr>
          <w:bCs/>
        </w:rPr>
        <w:t xml:space="preserve">, </w:t>
      </w:r>
      <w:r w:rsidRPr="00DA1B92">
        <w:rPr>
          <w:bCs/>
        </w:rPr>
        <w:t xml:space="preserve">based on </w:t>
      </w:r>
      <w:r w:rsidRPr="00DA1B92">
        <w:rPr>
          <w:bCs/>
          <w:color w:val="7F7F7F" w:themeColor="text1" w:themeTint="80"/>
        </w:rPr>
        <w:t>Rhee 2012</w:t>
      </w:r>
      <w:r w:rsidRPr="00DA1B92">
        <w:rPr>
          <w:bCs/>
        </w:rPr>
        <w:t xml:space="preserve">), i.e. </w:t>
      </w:r>
      <w:r w:rsidRPr="00DA1B92">
        <w:rPr>
          <w:bCs/>
          <w:i/>
          <w:iCs/>
        </w:rPr>
        <w:t>taking measures step-by-step</w:t>
      </w:r>
      <w:r w:rsidRPr="00DA1B92">
        <w:rPr>
          <w:bCs/>
        </w:rPr>
        <w:t xml:space="preserve"> (</w:t>
      </w:r>
      <w:r w:rsidRPr="00DA1B92">
        <w:rPr>
          <w:bCs/>
          <w:color w:val="7F7F7F" w:themeColor="text1" w:themeTint="80"/>
        </w:rPr>
        <w:t xml:space="preserve">DP 2014, p.12, </w:t>
      </w:r>
      <w:r w:rsidR="00F13B04" w:rsidRPr="00DA1B92">
        <w:rPr>
          <w:bCs/>
          <w:color w:val="7F7F7F" w:themeColor="text1" w:themeTint="80"/>
        </w:rPr>
        <w:t xml:space="preserve">35, </w:t>
      </w:r>
      <w:r w:rsidRPr="00DA1B92">
        <w:rPr>
          <w:bCs/>
          <w:color w:val="7F7F7F" w:themeColor="text1" w:themeTint="80"/>
        </w:rPr>
        <w:t>47</w:t>
      </w:r>
      <w:r w:rsidRPr="00DA1B92">
        <w:rPr>
          <w:bCs/>
        </w:rPr>
        <w:t xml:space="preserve">). </w:t>
      </w:r>
    </w:p>
    <w:p w14:paraId="39E9C5C0" w14:textId="6A4FCBDB" w:rsidR="00A15E26" w:rsidRPr="00DA1B92" w:rsidRDefault="00A15E26" w:rsidP="00E74925">
      <w:pPr>
        <w:pStyle w:val="TEXTBODY"/>
        <w:numPr>
          <w:ilvl w:val="0"/>
          <w:numId w:val="36"/>
        </w:numPr>
        <w:spacing w:line="276" w:lineRule="auto"/>
        <w:ind w:left="993" w:hanging="284"/>
        <w:rPr>
          <w:bCs/>
          <w:szCs w:val="22"/>
        </w:rPr>
      </w:pPr>
      <w:r w:rsidRPr="00DA1B92">
        <w:rPr>
          <w:bCs/>
        </w:rPr>
        <w:t>The flexibility of a</w:t>
      </w:r>
      <w:r w:rsidRPr="00DA1B92">
        <w:rPr>
          <w:bCs/>
          <w:i/>
          <w:iCs/>
        </w:rPr>
        <w:t xml:space="preserve"> strategy </w:t>
      </w:r>
      <w:r w:rsidRPr="00DA1B92">
        <w:rPr>
          <w:bCs/>
        </w:rPr>
        <w:t>can be increased</w:t>
      </w:r>
      <w:r w:rsidRPr="00DA1B92">
        <w:rPr>
          <w:bCs/>
          <w:i/>
          <w:iCs/>
        </w:rPr>
        <w:t xml:space="preserve"> if measures can be implemented stepwise or if there is the possibility of switching to other measures </w:t>
      </w:r>
      <w:r w:rsidRPr="00DA1B92">
        <w:rPr>
          <w:bCs/>
        </w:rPr>
        <w:t>(</w:t>
      </w:r>
      <w:proofErr w:type="spellStart"/>
      <w:r w:rsidRPr="00DA1B92">
        <w:rPr>
          <w:bCs/>
          <w:color w:val="7F7F7F" w:themeColor="text1" w:themeTint="80"/>
        </w:rPr>
        <w:t>Jeuken</w:t>
      </w:r>
      <w:proofErr w:type="spellEnd"/>
      <w:r w:rsidRPr="00DA1B92">
        <w:rPr>
          <w:bCs/>
          <w:color w:val="7F7F7F" w:themeColor="text1" w:themeTint="80"/>
        </w:rPr>
        <w:t xml:space="preserve"> et al. 2014, p.18)</w:t>
      </w:r>
      <w:r w:rsidRPr="00DA1B92">
        <w:rPr>
          <w:bCs/>
        </w:rPr>
        <w:t xml:space="preserve">; </w:t>
      </w:r>
      <w:r w:rsidRPr="00DA1B92">
        <w:rPr>
          <w:rFonts w:eastAsiaTheme="minorHAnsi"/>
          <w:bCs/>
          <w:lang w:eastAsia="en-US"/>
        </w:rPr>
        <w:t xml:space="preserve">a phased implementation of various smaller projects is one way of increasing </w:t>
      </w:r>
      <w:r w:rsidRPr="00DA1B92">
        <w:rPr>
          <w:rFonts w:eastAsiaTheme="minorHAnsi"/>
          <w:bCs/>
          <w:i/>
          <w:iCs/>
          <w:lang w:eastAsia="en-US"/>
        </w:rPr>
        <w:t>robustness</w:t>
      </w:r>
      <w:r w:rsidRPr="00DA1B92">
        <w:rPr>
          <w:rFonts w:eastAsiaTheme="minorHAnsi"/>
          <w:bCs/>
          <w:lang w:eastAsia="en-US"/>
        </w:rPr>
        <w:t xml:space="preserve"> (</w:t>
      </w:r>
      <w:proofErr w:type="spellStart"/>
      <w:r w:rsidRPr="00DA1B92">
        <w:rPr>
          <w:rFonts w:eastAsiaTheme="minorHAnsi"/>
          <w:bCs/>
          <w:color w:val="7F7F7F" w:themeColor="text1" w:themeTint="80"/>
          <w:lang w:eastAsia="en-US"/>
        </w:rPr>
        <w:t>Jeuken</w:t>
      </w:r>
      <w:proofErr w:type="spellEnd"/>
      <w:r w:rsidRPr="00DA1B92">
        <w:rPr>
          <w:rFonts w:eastAsiaTheme="minorHAnsi"/>
          <w:bCs/>
          <w:color w:val="7F7F7F" w:themeColor="text1" w:themeTint="80"/>
          <w:lang w:eastAsia="en-US"/>
        </w:rPr>
        <w:t xml:space="preserve"> et al. 2014, p.15</w:t>
      </w:r>
      <w:r w:rsidRPr="00DA1B92">
        <w:rPr>
          <w:rFonts w:eastAsiaTheme="minorHAnsi"/>
          <w:bCs/>
          <w:lang w:eastAsia="en-US"/>
        </w:rPr>
        <w:t>)</w:t>
      </w:r>
      <w:r w:rsidRPr="00DA1B92">
        <w:rPr>
          <w:bCs/>
        </w:rPr>
        <w:t xml:space="preserve">. </w:t>
      </w:r>
      <w:r w:rsidRPr="00DA1B92">
        <w:rPr>
          <w:rFonts w:eastAsiaTheme="minorHAnsi"/>
          <w:bCs/>
          <w:lang w:eastAsia="en-US"/>
        </w:rPr>
        <w:t xml:space="preserve"> Importantly, </w:t>
      </w:r>
      <w:r w:rsidRPr="00DA1B92">
        <w:rPr>
          <w:bCs/>
        </w:rPr>
        <w:t xml:space="preserve">the APs method </w:t>
      </w:r>
      <w:r w:rsidRPr="00DA1B92">
        <w:rPr>
          <w:bCs/>
          <w:i/>
          <w:iCs/>
        </w:rPr>
        <w:t>per se</w:t>
      </w:r>
      <w:r w:rsidRPr="00DA1B92">
        <w:rPr>
          <w:bCs/>
        </w:rPr>
        <w:t xml:space="preserve"> involves a stepwise implementation of various FRM / adaptation measures (within each pathway), and it helps to maintain possibilities to switch to other </w:t>
      </w:r>
      <w:r w:rsidRPr="00DA1B92">
        <w:rPr>
          <w:bCs/>
        </w:rPr>
        <w:lastRenderedPageBreak/>
        <w:t xml:space="preserve">measures over time. </w:t>
      </w:r>
      <w:r w:rsidRPr="00DA1B92">
        <w:rPr>
          <w:bCs/>
          <w:szCs w:val="22"/>
        </w:rPr>
        <w:t xml:space="preserve">Adaptation pathways are successions of measures into the future </w:t>
      </w:r>
      <w:r w:rsidRPr="00DA1B92">
        <w:rPr>
          <w:bCs/>
          <w:color w:val="231F20"/>
          <w:szCs w:val="22"/>
        </w:rPr>
        <w:t>(</w:t>
      </w:r>
      <w:r w:rsidRPr="00DA1B92">
        <w:rPr>
          <w:bCs/>
          <w:color w:val="7F7F7F" w:themeColor="text1" w:themeTint="80"/>
          <w:szCs w:val="22"/>
        </w:rPr>
        <w:t xml:space="preserve">Haegen and </w:t>
      </w:r>
      <w:proofErr w:type="spellStart"/>
      <w:r w:rsidRPr="00DA1B92">
        <w:rPr>
          <w:bCs/>
          <w:color w:val="7F7F7F" w:themeColor="text1" w:themeTint="80"/>
          <w:szCs w:val="22"/>
        </w:rPr>
        <w:t>Wieriks</w:t>
      </w:r>
      <w:proofErr w:type="spellEnd"/>
      <w:r w:rsidRPr="00DA1B92">
        <w:rPr>
          <w:bCs/>
          <w:color w:val="7F7F7F" w:themeColor="text1" w:themeTint="80"/>
          <w:szCs w:val="22"/>
        </w:rPr>
        <w:t xml:space="preserve"> 2015, p.50</w:t>
      </w:r>
      <w:r w:rsidRPr="00DA1B92">
        <w:rPr>
          <w:bCs/>
          <w:color w:val="231F20"/>
          <w:szCs w:val="22"/>
        </w:rPr>
        <w:t xml:space="preserve">). </w:t>
      </w:r>
      <w:r w:rsidRPr="00DA1B92">
        <w:rPr>
          <w:bCs/>
        </w:rPr>
        <w:t xml:space="preserve">However, in the DP, the </w:t>
      </w:r>
      <w:r w:rsidRPr="00DA1B92">
        <w:rPr>
          <w:bCs/>
          <w:i/>
          <w:iCs/>
        </w:rPr>
        <w:t>flexibility</w:t>
      </w:r>
      <w:r w:rsidRPr="00DA1B92">
        <w:rPr>
          <w:bCs/>
        </w:rPr>
        <w:t xml:space="preserve"> of some Strategies was, in part, limited by the lifetime and nature of prior measures implemented in the past, namely hard protection measures like flood defence structures that are implemented for many decades (e.g. barriers); in addition, measures appropriate to be implemented in small steps – e.g. ‘river widening’, soft protection measures (like coastal sand nourishments), flood-proofing measures – only contributed partially to some </w:t>
      </w:r>
      <w:r w:rsidRPr="00DA1B92">
        <w:rPr>
          <w:bCs/>
          <w:i/>
          <w:iCs/>
        </w:rPr>
        <w:t>Strategies</w:t>
      </w:r>
      <w:r w:rsidRPr="00DA1B92">
        <w:rPr>
          <w:bCs/>
        </w:rPr>
        <w:t xml:space="preserve"> like the </w:t>
      </w:r>
      <w:r w:rsidRPr="00DA1B92">
        <w:rPr>
          <w:bCs/>
          <w:i/>
          <w:iCs/>
        </w:rPr>
        <w:t>Preferential Strategy for the Rhine Estuary-</w:t>
      </w:r>
      <w:proofErr w:type="spellStart"/>
      <w:r w:rsidRPr="00DA1B92">
        <w:rPr>
          <w:bCs/>
          <w:i/>
          <w:iCs/>
        </w:rPr>
        <w:t>Drechsteden</w:t>
      </w:r>
      <w:proofErr w:type="spellEnd"/>
      <w:r w:rsidRPr="00DA1B92">
        <w:rPr>
          <w:bCs/>
        </w:rPr>
        <w:t xml:space="preserve"> (this </w:t>
      </w:r>
      <w:r w:rsidRPr="00DA1B92">
        <w:rPr>
          <w:bCs/>
          <w:i/>
          <w:iCs/>
        </w:rPr>
        <w:t xml:space="preserve">Strategy </w:t>
      </w:r>
      <w:r w:rsidRPr="00DA1B92">
        <w:rPr>
          <w:bCs/>
        </w:rPr>
        <w:t xml:space="preserve">consists mainly of measures to improve the existing defences (barriers, dykes), however, its  </w:t>
      </w:r>
      <w:r w:rsidRPr="00DA1B92">
        <w:rPr>
          <w:bCs/>
          <w:i/>
          <w:iCs/>
        </w:rPr>
        <w:t>adaptation path</w:t>
      </w:r>
      <w:r w:rsidRPr="00DA1B92">
        <w:rPr>
          <w:bCs/>
        </w:rPr>
        <w:t xml:space="preserve"> seems flexible in the future because new large-scale structural measures could be postponed (</w:t>
      </w:r>
      <w:proofErr w:type="spellStart"/>
      <w:r w:rsidRPr="00DA1B92">
        <w:rPr>
          <w:bCs/>
          <w:color w:val="7F7F7F" w:themeColor="text1" w:themeTint="80"/>
        </w:rPr>
        <w:t>Jeuken</w:t>
      </w:r>
      <w:proofErr w:type="spellEnd"/>
      <w:r w:rsidRPr="00DA1B92">
        <w:rPr>
          <w:bCs/>
          <w:color w:val="7F7F7F" w:themeColor="text1" w:themeTint="80"/>
        </w:rPr>
        <w:t xml:space="preserve"> et al. 2014, p.18</w:t>
      </w:r>
      <w:r w:rsidRPr="00DA1B92">
        <w:rPr>
          <w:bCs/>
        </w:rPr>
        <w:t>).</w:t>
      </w:r>
    </w:p>
    <w:p w14:paraId="333E1EA2" w14:textId="591EFD23" w:rsidR="00E42887" w:rsidRPr="00DA1B92" w:rsidRDefault="00E42887" w:rsidP="00E74925">
      <w:pPr>
        <w:pStyle w:val="TEXTBODY"/>
        <w:numPr>
          <w:ilvl w:val="0"/>
          <w:numId w:val="36"/>
        </w:numPr>
        <w:spacing w:line="276" w:lineRule="auto"/>
        <w:ind w:left="709" w:hanging="284"/>
        <w:rPr>
          <w:bCs/>
          <w:szCs w:val="22"/>
        </w:rPr>
      </w:pPr>
      <w:r w:rsidRPr="00DA1B92">
        <w:rPr>
          <w:bCs/>
          <w:szCs w:val="22"/>
        </w:rPr>
        <w:t xml:space="preserve">Linking decisions </w:t>
      </w:r>
      <w:r w:rsidR="00BA2E52" w:rsidRPr="00DA1B92">
        <w:rPr>
          <w:bCs/>
          <w:szCs w:val="22"/>
        </w:rPr>
        <w:t xml:space="preserve">/ </w:t>
      </w:r>
      <w:r w:rsidRPr="00DA1B92">
        <w:rPr>
          <w:bCs/>
          <w:szCs w:val="22"/>
        </w:rPr>
        <w:t xml:space="preserve">actions for the short-term to long-term options. </w:t>
      </w:r>
      <w:r w:rsidR="00BA2E52" w:rsidRPr="00DA1B92">
        <w:rPr>
          <w:bCs/>
          <w:szCs w:val="22"/>
        </w:rPr>
        <w:t xml:space="preserve"> </w:t>
      </w:r>
      <w:r w:rsidR="00BA2E52" w:rsidRPr="00DA1B92">
        <w:rPr>
          <w:bCs/>
        </w:rPr>
        <w:t xml:space="preserve">In the DP’s </w:t>
      </w:r>
      <w:r w:rsidR="00BA2E52" w:rsidRPr="00DA1B92">
        <w:rPr>
          <w:bCs/>
          <w:i/>
          <w:iCs/>
        </w:rPr>
        <w:t>Strategies</w:t>
      </w:r>
      <w:r w:rsidR="00BA2E52" w:rsidRPr="00DA1B92">
        <w:rPr>
          <w:bCs/>
        </w:rPr>
        <w:t>, short-term measures are chained with (</w:t>
      </w:r>
      <w:r w:rsidR="00BA2E52" w:rsidRPr="00DA1B92">
        <w:rPr>
          <w:bCs/>
          <w:i/>
          <w:iCs/>
        </w:rPr>
        <w:t>coupled with</w:t>
      </w:r>
      <w:r w:rsidR="00BA2E52" w:rsidRPr="00DA1B92">
        <w:rPr>
          <w:bCs/>
        </w:rPr>
        <w:t>) long-term possible options (alternatives), and this required envisioning options and possibilities for switching between them through adaptation pathways (</w:t>
      </w:r>
      <w:proofErr w:type="spellStart"/>
      <w:r w:rsidR="00BA2E52" w:rsidRPr="00DA1B92">
        <w:rPr>
          <w:bCs/>
          <w:color w:val="7F7F7F" w:themeColor="text1" w:themeTint="80"/>
        </w:rPr>
        <w:t>Jeuken</w:t>
      </w:r>
      <w:proofErr w:type="spellEnd"/>
      <w:r w:rsidR="00BA2E52" w:rsidRPr="00DA1B92">
        <w:rPr>
          <w:bCs/>
          <w:color w:val="7F7F7F" w:themeColor="text1" w:themeTint="80"/>
        </w:rPr>
        <w:t xml:space="preserve"> et al. 2014, p.1</w:t>
      </w:r>
      <w:r w:rsidR="00BA2E52" w:rsidRPr="00DA1B92">
        <w:rPr>
          <w:bCs/>
        </w:rPr>
        <w:t>).</w:t>
      </w:r>
      <w:r w:rsidR="00BA2E52" w:rsidRPr="00DA1B92">
        <w:rPr>
          <w:bCs/>
          <w:szCs w:val="22"/>
        </w:rPr>
        <w:t xml:space="preserve"> </w:t>
      </w:r>
      <w:r w:rsidRPr="00DA1B92">
        <w:rPr>
          <w:bCs/>
          <w:szCs w:val="22"/>
        </w:rPr>
        <w:t xml:space="preserve">In </w:t>
      </w:r>
      <w:r w:rsidR="00BA2E52" w:rsidRPr="00DA1B92">
        <w:rPr>
          <w:bCs/>
          <w:szCs w:val="22"/>
        </w:rPr>
        <w:t>each</w:t>
      </w:r>
      <w:r w:rsidRPr="00DA1B92">
        <w:rPr>
          <w:bCs/>
          <w:szCs w:val="22"/>
        </w:rPr>
        <w:t xml:space="preserve"> </w:t>
      </w:r>
      <w:r w:rsidRPr="00DA1B92">
        <w:rPr>
          <w:bCs/>
          <w:i/>
          <w:iCs/>
          <w:szCs w:val="22"/>
        </w:rPr>
        <w:t>Strate</w:t>
      </w:r>
      <w:r w:rsidRPr="00DA1B92">
        <w:rPr>
          <w:bCs/>
          <w:i/>
          <w:iCs/>
          <w:color w:val="7F7F7F" w:themeColor="text1" w:themeTint="80"/>
          <w:szCs w:val="22"/>
        </w:rPr>
        <w:t>g</w:t>
      </w:r>
      <w:r w:rsidR="00BA2E52" w:rsidRPr="00DA1B92">
        <w:rPr>
          <w:bCs/>
          <w:i/>
          <w:iCs/>
          <w:color w:val="7F7F7F" w:themeColor="text1" w:themeTint="80"/>
          <w:szCs w:val="22"/>
        </w:rPr>
        <w:t>y</w:t>
      </w:r>
      <w:r w:rsidRPr="00DA1B92">
        <w:rPr>
          <w:bCs/>
          <w:color w:val="7F7F7F" w:themeColor="text1" w:themeTint="80"/>
          <w:szCs w:val="22"/>
        </w:rPr>
        <w:t>,</w:t>
      </w:r>
      <w:r w:rsidRPr="00DA1B92">
        <w:rPr>
          <w:bCs/>
          <w:szCs w:val="22"/>
        </w:rPr>
        <w:t xml:space="preserve"> short-term measures are linked to (</w:t>
      </w:r>
      <w:r w:rsidRPr="00DA1B92">
        <w:rPr>
          <w:bCs/>
          <w:i/>
          <w:iCs/>
          <w:szCs w:val="22"/>
        </w:rPr>
        <w:t>coupled with</w:t>
      </w:r>
      <w:r w:rsidRPr="00DA1B92">
        <w:rPr>
          <w:bCs/>
          <w:szCs w:val="22"/>
        </w:rPr>
        <w:t xml:space="preserve">) long-term options, through adaptation pathways, which explicitly indicate tipping-points/thresholds and when it is necessary </w:t>
      </w:r>
      <w:r w:rsidRPr="000A40A4">
        <w:rPr>
          <w:bCs/>
          <w:szCs w:val="22"/>
        </w:rPr>
        <w:t xml:space="preserve">to decide to </w:t>
      </w:r>
      <w:r w:rsidRPr="00DA1B92">
        <w:rPr>
          <w:bCs/>
          <w:szCs w:val="22"/>
        </w:rPr>
        <w:t>switch from a measure to another (</w:t>
      </w:r>
      <w:proofErr w:type="spellStart"/>
      <w:r w:rsidRPr="00DA1B92">
        <w:rPr>
          <w:bCs/>
          <w:color w:val="7F7F7F" w:themeColor="text1" w:themeTint="80"/>
          <w:szCs w:val="22"/>
        </w:rPr>
        <w:t>Jeuken</w:t>
      </w:r>
      <w:proofErr w:type="spellEnd"/>
      <w:r w:rsidRPr="00DA1B92">
        <w:rPr>
          <w:bCs/>
          <w:color w:val="7F7F7F" w:themeColor="text1" w:themeTint="80"/>
          <w:szCs w:val="22"/>
        </w:rPr>
        <w:t xml:space="preserve"> et al. 2014, p.24</w:t>
      </w:r>
      <w:r w:rsidRPr="00DA1B92">
        <w:rPr>
          <w:bCs/>
          <w:szCs w:val="22"/>
        </w:rPr>
        <w:t xml:space="preserve">). </w:t>
      </w:r>
      <w:r w:rsidR="00DA1B92" w:rsidRPr="00DA1B92">
        <w:rPr>
          <w:bCs/>
          <w:szCs w:val="22"/>
        </w:rPr>
        <w:t xml:space="preserve">To </w:t>
      </w:r>
      <w:r w:rsidRPr="00DA1B92">
        <w:rPr>
          <w:bCs/>
        </w:rPr>
        <w:t xml:space="preserve">devise </w:t>
      </w:r>
      <w:r w:rsidRPr="00DA1B92">
        <w:rPr>
          <w:bCs/>
          <w:i/>
          <w:iCs/>
        </w:rPr>
        <w:t>flexible strategies</w:t>
      </w:r>
      <w:r w:rsidRPr="00DA1B92">
        <w:rPr>
          <w:bCs/>
        </w:rPr>
        <w:t xml:space="preserve"> (and cope with uncertainty and complexity), it is necessary to ‘</w:t>
      </w:r>
      <w:r w:rsidRPr="00DA1B92">
        <w:rPr>
          <w:bCs/>
          <w:i/>
          <w:iCs/>
        </w:rPr>
        <w:t xml:space="preserve">envision and link </w:t>
      </w:r>
      <w:r w:rsidRPr="00DA1B92">
        <w:rPr>
          <w:bCs/>
          <w:i/>
          <w:iCs/>
          <w:szCs w:val="22"/>
        </w:rPr>
        <w:t>possible short-term decisions and long-term options for adaptation and their timing across relevant interfering policy-domains</w:t>
      </w:r>
      <w:r w:rsidRPr="00DA1B92">
        <w:rPr>
          <w:bCs/>
          <w:szCs w:val="22"/>
        </w:rPr>
        <w:t>’</w:t>
      </w:r>
      <w:r w:rsidRPr="00DA1B92">
        <w:rPr>
          <w:bCs/>
          <w:color w:val="00B050"/>
          <w:szCs w:val="22"/>
        </w:rPr>
        <w:t xml:space="preserve"> </w:t>
      </w:r>
      <w:r w:rsidRPr="00DA1B92">
        <w:rPr>
          <w:bCs/>
          <w:szCs w:val="22"/>
        </w:rPr>
        <w:t>(</w:t>
      </w:r>
      <w:proofErr w:type="spellStart"/>
      <w:r w:rsidRPr="00DA1B92">
        <w:rPr>
          <w:bCs/>
          <w:color w:val="7F7F7F" w:themeColor="text1" w:themeTint="80"/>
          <w:szCs w:val="22"/>
        </w:rPr>
        <w:t>Jeuken</w:t>
      </w:r>
      <w:proofErr w:type="spellEnd"/>
      <w:r w:rsidRPr="00DA1B92">
        <w:rPr>
          <w:bCs/>
          <w:color w:val="7F7F7F" w:themeColor="text1" w:themeTint="80"/>
          <w:szCs w:val="22"/>
        </w:rPr>
        <w:t xml:space="preserve"> et al. 2014, p.17</w:t>
      </w:r>
      <w:r w:rsidRPr="00DA1B92">
        <w:rPr>
          <w:bCs/>
          <w:szCs w:val="22"/>
        </w:rPr>
        <w:t>).</w:t>
      </w:r>
    </w:p>
    <w:p w14:paraId="69556D5C" w14:textId="0E2DA092" w:rsidR="00A61A74" w:rsidRPr="00DA1B92" w:rsidRDefault="00A61A74" w:rsidP="00E74925">
      <w:pPr>
        <w:pStyle w:val="TEXTBODY"/>
        <w:numPr>
          <w:ilvl w:val="0"/>
          <w:numId w:val="27"/>
        </w:numPr>
        <w:spacing w:after="0" w:line="276" w:lineRule="auto"/>
        <w:ind w:left="284" w:hanging="284"/>
        <w:rPr>
          <w:bCs/>
        </w:rPr>
      </w:pPr>
      <w:r w:rsidRPr="009B720F">
        <w:rPr>
          <w:rFonts w:eastAsia="RijksoverheidSerif-Regular"/>
          <w:bCs/>
          <w:lang w:eastAsia="en-US"/>
        </w:rPr>
        <w:t>By keeping options open for the future (</w:t>
      </w:r>
      <w:r w:rsidRPr="009B720F">
        <w:rPr>
          <w:rFonts w:eastAsia="RijksoverheidSansText-Regular"/>
          <w:bCs/>
          <w:color w:val="7F7F7F" w:themeColor="text1" w:themeTint="80"/>
        </w:rPr>
        <w:t>DP 2013, p.102, 95</w:t>
      </w:r>
      <w:r w:rsidRPr="009B720F">
        <w:rPr>
          <w:rFonts w:eastAsia="RijksoverheidSansText-Regular"/>
          <w:bCs/>
        </w:rPr>
        <w:t>;</w:t>
      </w:r>
      <w:r w:rsidRPr="009B720F">
        <w:rPr>
          <w:rFonts w:eastAsia="RijksoverheidSansText-Regular"/>
          <w:bCs/>
          <w:color w:val="7F7F7F" w:themeColor="text1" w:themeTint="80"/>
        </w:rPr>
        <w:t xml:space="preserve"> </w:t>
      </w:r>
      <w:r w:rsidRPr="00DA1B92">
        <w:rPr>
          <w:bCs/>
          <w:color w:val="7F7F7F" w:themeColor="text1" w:themeTint="80"/>
        </w:rPr>
        <w:t>2014, p.12, 47, 169</w:t>
      </w:r>
      <w:r w:rsidRPr="00DA1B92">
        <w:rPr>
          <w:bCs/>
        </w:rPr>
        <w:t>)</w:t>
      </w:r>
      <w:r w:rsidR="001C2189" w:rsidRPr="00DA1B92">
        <w:rPr>
          <w:bCs/>
        </w:rPr>
        <w:t xml:space="preserve">, </w:t>
      </w:r>
      <w:r w:rsidR="001C2189" w:rsidRPr="00DA1B92">
        <w:rPr>
          <w:bCs/>
          <w:szCs w:val="22"/>
        </w:rPr>
        <w:t>not foreclosing future options, avoiding lock-ins</w:t>
      </w:r>
      <w:r w:rsidRPr="00DA1B92">
        <w:rPr>
          <w:bCs/>
        </w:rPr>
        <w:t xml:space="preserve">. ADM </w:t>
      </w:r>
      <w:r w:rsidR="00233B58" w:rsidRPr="00DA1B92">
        <w:rPr>
          <w:bCs/>
        </w:rPr>
        <w:t xml:space="preserve">implies keeping options open, </w:t>
      </w:r>
      <w:r w:rsidR="0045393B" w:rsidRPr="00DA1B92">
        <w:rPr>
          <w:bCs/>
        </w:rPr>
        <w:t>this means</w:t>
      </w:r>
      <w:r w:rsidR="0045393B" w:rsidRPr="00DA1B92">
        <w:rPr>
          <w:bCs/>
          <w:i/>
          <w:iCs/>
        </w:rPr>
        <w:t xml:space="preserve"> leaving options open to be able to respond in a flexible manner to new insights and developments</w:t>
      </w:r>
      <w:r w:rsidR="0045393B" w:rsidRPr="00DA1B92">
        <w:rPr>
          <w:rFonts w:eastAsia="RijksoverheidSansText-Regular"/>
          <w:bCs/>
          <w:lang w:eastAsia="en-US"/>
        </w:rPr>
        <w:t xml:space="preserve"> (</w:t>
      </w:r>
      <w:r w:rsidR="0045393B" w:rsidRPr="00DA1B92">
        <w:rPr>
          <w:rFonts w:eastAsia="RijksoverheidSansText-Regular"/>
          <w:bCs/>
          <w:color w:val="7F7F7F" w:themeColor="text1" w:themeTint="80"/>
          <w:lang w:eastAsia="en-US"/>
        </w:rPr>
        <w:t>DP 2014, p.47</w:t>
      </w:r>
      <w:r w:rsidR="0045393B" w:rsidRPr="00DA1B92">
        <w:rPr>
          <w:rFonts w:eastAsia="RijksoverheidSansText-Regular"/>
          <w:bCs/>
          <w:lang w:eastAsia="en-US"/>
        </w:rPr>
        <w:t>), which implies</w:t>
      </w:r>
      <w:r w:rsidR="00233B58" w:rsidRPr="00DA1B92">
        <w:rPr>
          <w:bCs/>
        </w:rPr>
        <w:t xml:space="preserve"> </w:t>
      </w:r>
      <w:r w:rsidRPr="00DA1B92">
        <w:rPr>
          <w:bCs/>
        </w:rPr>
        <w:t>ensur</w:t>
      </w:r>
      <w:r w:rsidR="00233B58" w:rsidRPr="00DA1B92">
        <w:rPr>
          <w:bCs/>
        </w:rPr>
        <w:t>ing</w:t>
      </w:r>
      <w:r w:rsidRPr="00DA1B92">
        <w:rPr>
          <w:bCs/>
        </w:rPr>
        <w:t xml:space="preserve"> that </w:t>
      </w:r>
      <w:r w:rsidRPr="00DA1B92">
        <w:rPr>
          <w:bCs/>
          <w:i/>
          <w:iCs/>
        </w:rPr>
        <w:t>alternative measures are available should they be necessary in the future</w:t>
      </w:r>
      <w:r w:rsidR="00233B58" w:rsidRPr="00DA1B92">
        <w:rPr>
          <w:bCs/>
        </w:rPr>
        <w:t>,</w:t>
      </w:r>
      <w:r w:rsidRPr="00DA1B92">
        <w:rPr>
          <w:bCs/>
        </w:rPr>
        <w:t xml:space="preserve"> without </w:t>
      </w:r>
      <w:r w:rsidRPr="00DA1B92">
        <w:rPr>
          <w:bCs/>
          <w:i/>
          <w:iCs/>
        </w:rPr>
        <w:t>ruling out future options</w:t>
      </w:r>
      <w:r w:rsidRPr="00DA1B92">
        <w:rPr>
          <w:bCs/>
        </w:rPr>
        <w:t xml:space="preserve"> </w:t>
      </w:r>
      <w:r w:rsidRPr="00DA1B92">
        <w:rPr>
          <w:rFonts w:eastAsia="RijksoverheidSansText-Regular" w:cs="Arial"/>
          <w:bCs/>
          <w:color w:val="000000"/>
          <w:szCs w:val="18"/>
        </w:rPr>
        <w:t>(</w:t>
      </w:r>
      <w:r w:rsidRPr="00DA1B92">
        <w:rPr>
          <w:rFonts w:eastAsia="RijksoverheidSansText-Regular" w:cs="Arial"/>
          <w:bCs/>
          <w:color w:val="7F7F7F" w:themeColor="text1" w:themeTint="80"/>
          <w:szCs w:val="18"/>
        </w:rPr>
        <w:t xml:space="preserve">DP </w:t>
      </w:r>
      <w:r w:rsidRPr="00DA1B92">
        <w:rPr>
          <w:rFonts w:eastAsia="RijksoverheidSansText-Regular"/>
          <w:bCs/>
          <w:color w:val="7F7F7F" w:themeColor="text1" w:themeTint="80"/>
          <w:lang w:eastAsia="en-US"/>
        </w:rPr>
        <w:t>2014, p.7, 150</w:t>
      </w:r>
      <w:r w:rsidR="00233B58" w:rsidRPr="00DA1B92">
        <w:rPr>
          <w:rFonts w:eastAsia="RijksoverheidSansText-Regular"/>
          <w:bCs/>
          <w:color w:val="7F7F7F" w:themeColor="text1" w:themeTint="80"/>
          <w:lang w:eastAsia="en-US"/>
        </w:rPr>
        <w:t xml:space="preserve">; </w:t>
      </w:r>
      <w:r w:rsidR="00233B58" w:rsidRPr="00DA1B92">
        <w:rPr>
          <w:rFonts w:eastAsia="RijksoverheidSansText-Regular" w:cs="Arial"/>
          <w:bCs/>
          <w:color w:val="7F7F7F" w:themeColor="text1" w:themeTint="80"/>
          <w:szCs w:val="18"/>
        </w:rPr>
        <w:t>2011, p.8; 45</w:t>
      </w:r>
      <w:r w:rsidRPr="00DA1B92">
        <w:rPr>
          <w:rFonts w:eastAsia="RijksoverheidSansText-Regular" w:cs="Arial"/>
          <w:bCs/>
          <w:color w:val="000000"/>
          <w:szCs w:val="18"/>
        </w:rPr>
        <w:t>)</w:t>
      </w:r>
      <w:r w:rsidR="0045393B" w:rsidRPr="00DA1B92">
        <w:rPr>
          <w:rFonts w:eastAsia="RijksoverheidSansText-Regular" w:cs="Arial"/>
          <w:bCs/>
          <w:color w:val="000000"/>
          <w:szCs w:val="18"/>
        </w:rPr>
        <w:t xml:space="preserve">. </w:t>
      </w:r>
      <w:r w:rsidRPr="00DA1B92">
        <w:rPr>
          <w:bCs/>
        </w:rPr>
        <w:t xml:space="preserve">According to ADM, it is advisable to keep options open for the future, i.e. </w:t>
      </w:r>
      <w:r w:rsidRPr="00DA1B92">
        <w:rPr>
          <w:rFonts w:cs="Arial"/>
          <w:bCs/>
          <w:szCs w:val="18"/>
        </w:rPr>
        <w:t>have</w:t>
      </w:r>
      <w:r w:rsidRPr="00DA1B92">
        <w:rPr>
          <w:bCs/>
        </w:rPr>
        <w:t xml:space="preserve"> </w:t>
      </w:r>
      <w:r w:rsidRPr="00DA1B92">
        <w:rPr>
          <w:bCs/>
          <w:i/>
          <w:iCs/>
        </w:rPr>
        <w:t>‘alternative measures</w:t>
      </w:r>
      <w:r w:rsidRPr="00DA1B92">
        <w:rPr>
          <w:bCs/>
        </w:rPr>
        <w:t xml:space="preserve">’ available for the case they are necessary in the future, namely measures not needed now </w:t>
      </w:r>
      <w:r w:rsidRPr="00DA1B92">
        <w:rPr>
          <w:rFonts w:eastAsia="RijksoverheidSansText-Regular"/>
          <w:bCs/>
          <w:color w:val="000000"/>
          <w:szCs w:val="18"/>
        </w:rPr>
        <w:t>(</w:t>
      </w:r>
      <w:r w:rsidRPr="00DA1B92">
        <w:rPr>
          <w:rFonts w:eastAsia="RijksoverheidSansText-Regular"/>
          <w:bCs/>
          <w:color w:val="7F7F7F" w:themeColor="text1" w:themeTint="80"/>
          <w:szCs w:val="18"/>
        </w:rPr>
        <w:t xml:space="preserve">DP </w:t>
      </w:r>
      <w:r w:rsidRPr="00DA1B92">
        <w:rPr>
          <w:bCs/>
          <w:color w:val="7F7F7F" w:themeColor="text1" w:themeTint="80"/>
        </w:rPr>
        <w:t xml:space="preserve">2014, p.7, 49; </w:t>
      </w:r>
      <w:r w:rsidRPr="00DA1B92">
        <w:rPr>
          <w:rFonts w:eastAsia="RijksoverheidSansText-Regular"/>
          <w:bCs/>
          <w:color w:val="7F7F7F" w:themeColor="text1" w:themeTint="80"/>
          <w:szCs w:val="18"/>
        </w:rPr>
        <w:t xml:space="preserve">2011, p.8; </w:t>
      </w:r>
      <w:r w:rsidRPr="00DA1B92">
        <w:rPr>
          <w:bCs/>
          <w:color w:val="7F7F7F" w:themeColor="text1" w:themeTint="80"/>
        </w:rPr>
        <w:t>2018, p.13</w:t>
      </w:r>
      <w:r w:rsidRPr="00DA1B92">
        <w:rPr>
          <w:bCs/>
        </w:rPr>
        <w:t>).</w:t>
      </w:r>
      <w:r w:rsidRPr="00DA1B92">
        <w:rPr>
          <w:rFonts w:cs="Arial"/>
          <w:bCs/>
          <w:szCs w:val="18"/>
        </w:rPr>
        <w:t xml:space="preserve"> </w:t>
      </w:r>
      <w:r w:rsidRPr="00DA1B92">
        <w:rPr>
          <w:bCs/>
        </w:rPr>
        <w:t>This</w:t>
      </w:r>
      <w:r w:rsidRPr="00DA1B92">
        <w:rPr>
          <w:bCs/>
          <w:color w:val="C00000"/>
        </w:rPr>
        <w:t xml:space="preserve"> </w:t>
      </w:r>
      <w:r w:rsidRPr="00DA1B92">
        <w:rPr>
          <w:bCs/>
        </w:rPr>
        <w:t xml:space="preserve">required the proactive planning (identification and announcement) of possible measures </w:t>
      </w:r>
      <w:r w:rsidRPr="00DA1B92">
        <w:rPr>
          <w:rFonts w:eastAsia="RijksoverheidSansText-Regular" w:cs="Arial"/>
          <w:bCs/>
          <w:szCs w:val="18"/>
        </w:rPr>
        <w:t>that may be needed in the future</w:t>
      </w:r>
      <w:r w:rsidRPr="00DA1B92">
        <w:rPr>
          <w:rFonts w:eastAsia="RijksoverheidSansText-Regular"/>
          <w:bCs/>
          <w:color w:val="000000"/>
          <w:szCs w:val="18"/>
        </w:rPr>
        <w:t xml:space="preserve"> </w:t>
      </w:r>
      <w:r w:rsidRPr="00DA1B92">
        <w:rPr>
          <w:bCs/>
        </w:rPr>
        <w:t xml:space="preserve">(in the long-term), i.e. options that must be left open for a future decision, </w:t>
      </w:r>
      <w:r w:rsidRPr="00DA1B92">
        <w:rPr>
          <w:rFonts w:cs="Arial"/>
          <w:bCs/>
        </w:rPr>
        <w:t xml:space="preserve">namely </w:t>
      </w:r>
      <w:r w:rsidRPr="00DA1B92">
        <w:rPr>
          <w:bCs/>
        </w:rPr>
        <w:t>more drastic measures</w:t>
      </w:r>
      <w:r w:rsidRPr="00DA1B92">
        <w:rPr>
          <w:rFonts w:eastAsia="RijksoverheidSansText-Regular" w:cs="Arial"/>
          <w:bCs/>
          <w:szCs w:val="18"/>
        </w:rPr>
        <w:t xml:space="preserve"> </w:t>
      </w:r>
      <w:r w:rsidRPr="00DA1B92">
        <w:rPr>
          <w:rFonts w:eastAsia="RijksoverheidSansText-Regular" w:cs="Arial"/>
          <w:bCs/>
          <w:color w:val="000000"/>
          <w:szCs w:val="18"/>
        </w:rPr>
        <w:t>(</w:t>
      </w:r>
      <w:r w:rsidRPr="00DA1B92">
        <w:rPr>
          <w:bCs/>
          <w:color w:val="7F7F7F" w:themeColor="text1" w:themeTint="80"/>
        </w:rPr>
        <w:t>DP 2014, p.49</w:t>
      </w:r>
      <w:r w:rsidRPr="00DA1B92">
        <w:rPr>
          <w:bCs/>
        </w:rPr>
        <w:t>;</w:t>
      </w:r>
      <w:r w:rsidRPr="00DA1B92">
        <w:rPr>
          <w:rFonts w:eastAsia="RijksoverheidSansText-Regular" w:cs="Arial"/>
          <w:bCs/>
          <w:color w:val="7F7F7F" w:themeColor="text1" w:themeTint="80"/>
          <w:szCs w:val="18"/>
        </w:rPr>
        <w:t xml:space="preserve"> 2011, p.8</w:t>
      </w:r>
      <w:r w:rsidR="00A76D11" w:rsidRPr="00DA1B92">
        <w:rPr>
          <w:rFonts w:eastAsia="RijksoverheidSansText-Regular" w:cs="Arial"/>
          <w:bCs/>
          <w:szCs w:val="18"/>
        </w:rPr>
        <w:t>;</w:t>
      </w:r>
      <w:r w:rsidR="00A76D11" w:rsidRPr="00DA1B92">
        <w:rPr>
          <w:rFonts w:eastAsia="RijksoverheidSansText-Regular" w:cs="Arial"/>
          <w:bCs/>
          <w:color w:val="7F7F7F" w:themeColor="text1" w:themeTint="80"/>
          <w:szCs w:val="18"/>
        </w:rPr>
        <w:t xml:space="preserve"> </w:t>
      </w:r>
      <w:r w:rsidRPr="00DA1B92">
        <w:rPr>
          <w:rFonts w:eastAsia="RijksoverheidSansText-Regular"/>
          <w:bCs/>
          <w:color w:val="7F7F7F" w:themeColor="text1" w:themeTint="80"/>
        </w:rPr>
        <w:t>2012, p.81</w:t>
      </w:r>
      <w:r w:rsidRPr="00DA1B92">
        <w:rPr>
          <w:rFonts w:eastAsia="RijksoverheidSansText-Regular"/>
          <w:bCs/>
          <w:color w:val="000000"/>
          <w:szCs w:val="18"/>
        </w:rPr>
        <w:t>).</w:t>
      </w:r>
      <w:r w:rsidRPr="00DA1B92">
        <w:rPr>
          <w:bCs/>
        </w:rPr>
        <w:t xml:space="preserve"> </w:t>
      </w:r>
      <w:r w:rsidR="00D27703" w:rsidRPr="00DA1B92">
        <w:rPr>
          <w:bCs/>
        </w:rPr>
        <w:t xml:space="preserve">Flexibility is provided, among other ways, </w:t>
      </w:r>
      <w:r w:rsidR="00D27703" w:rsidRPr="00DA1B92">
        <w:rPr>
          <w:bCs/>
          <w:i/>
          <w:iCs/>
        </w:rPr>
        <w:t>by leaving options for adjustment</w:t>
      </w:r>
      <w:r w:rsidR="00D27703" w:rsidRPr="00DA1B92">
        <w:rPr>
          <w:bCs/>
        </w:rPr>
        <w:t xml:space="preserve"> (</w:t>
      </w:r>
      <w:r w:rsidR="00D27703" w:rsidRPr="00DA1B92">
        <w:rPr>
          <w:bCs/>
          <w:color w:val="7F7F7F" w:themeColor="text1" w:themeTint="80"/>
        </w:rPr>
        <w:t>DP 2014, p.169</w:t>
      </w:r>
      <w:r w:rsidR="00D27703" w:rsidRPr="00DA1B92">
        <w:rPr>
          <w:bCs/>
        </w:rPr>
        <w:t xml:space="preserve">). </w:t>
      </w:r>
      <w:r w:rsidR="0045393B" w:rsidRPr="00DA1B92">
        <w:rPr>
          <w:bCs/>
        </w:rPr>
        <w:t xml:space="preserve">ADM </w:t>
      </w:r>
      <w:r w:rsidR="0045393B" w:rsidRPr="00DA1B92">
        <w:rPr>
          <w:bCs/>
          <w:iCs/>
        </w:rPr>
        <w:t xml:space="preserve">aims at </w:t>
      </w:r>
      <w:r w:rsidR="0045393B" w:rsidRPr="00DA1B92">
        <w:rPr>
          <w:bCs/>
          <w:i/>
        </w:rPr>
        <w:t>keeping options open and avoiding lock-ins</w:t>
      </w:r>
      <w:r w:rsidR="0045393B" w:rsidRPr="00DA1B92">
        <w:rPr>
          <w:bCs/>
        </w:rPr>
        <w:t xml:space="preserve"> (</w:t>
      </w:r>
      <w:r w:rsidR="0045393B" w:rsidRPr="00DA1B92">
        <w:rPr>
          <w:bCs/>
          <w:color w:val="7F7F7F" w:themeColor="text1" w:themeTint="80"/>
        </w:rPr>
        <w:t xml:space="preserve">Alphen 2015; Zandvoort et al. 2018, </w:t>
      </w:r>
      <w:r w:rsidR="00217FAB" w:rsidRPr="00DA1B92">
        <w:rPr>
          <w:bCs/>
          <w:color w:val="7F7F7F" w:themeColor="text1" w:themeTint="80"/>
        </w:rPr>
        <w:t>p.</w:t>
      </w:r>
      <w:r w:rsidR="0045393B" w:rsidRPr="00DA1B92">
        <w:rPr>
          <w:bCs/>
          <w:color w:val="7F7F7F" w:themeColor="text1" w:themeTint="80"/>
        </w:rPr>
        <w:t>191</w:t>
      </w:r>
      <w:r w:rsidR="0045393B" w:rsidRPr="00DA1B92">
        <w:rPr>
          <w:bCs/>
        </w:rPr>
        <w:t>); indeed, k</w:t>
      </w:r>
      <w:r w:rsidRPr="00DA1B92">
        <w:rPr>
          <w:bCs/>
        </w:rPr>
        <w:t>eeping options open is a basic tenet of ADM (</w:t>
      </w:r>
      <w:r w:rsidRPr="00DA1B92">
        <w:rPr>
          <w:bCs/>
          <w:color w:val="7F7F7F" w:themeColor="text1" w:themeTint="80"/>
        </w:rPr>
        <w:t>Klijn et al. 2016; Rhee 2012, Zandvoort et al. 2018, p.191</w:t>
      </w:r>
      <w:r w:rsidRPr="00DA1B92">
        <w:rPr>
          <w:bCs/>
        </w:rPr>
        <w:t xml:space="preserve">). As explained in the </w:t>
      </w:r>
      <w:r w:rsidRPr="00DA1B92">
        <w:rPr>
          <w:bCs/>
          <w:i/>
          <w:iCs/>
        </w:rPr>
        <w:t>ADM Implementation Guide</w:t>
      </w:r>
      <w:r w:rsidRPr="00DA1B92">
        <w:rPr>
          <w:bCs/>
        </w:rPr>
        <w:t xml:space="preserve">, </w:t>
      </w:r>
      <w:r w:rsidRPr="00DA1B92">
        <w:rPr>
          <w:bCs/>
          <w:iCs/>
        </w:rPr>
        <w:t>‘</w:t>
      </w:r>
      <w:r w:rsidRPr="00DA1B92">
        <w:rPr>
          <w:bCs/>
          <w:i/>
        </w:rPr>
        <w:t>thinking about the first decision, and potential follow-up decisions in the long-run, is important to be prepared on time for the long-term challenges</w:t>
      </w:r>
      <w:r w:rsidRPr="00DA1B92">
        <w:rPr>
          <w:bCs/>
          <w:iCs/>
        </w:rPr>
        <w:t>’, in addition, ‘</w:t>
      </w:r>
      <w:r w:rsidRPr="00DA1B92">
        <w:rPr>
          <w:bCs/>
          <w:i/>
        </w:rPr>
        <w:t>being able to adjust flexibly to changing social and climate conditions is necessary to prevent (…) lock-in and lock-out situations</w:t>
      </w:r>
      <w:r w:rsidRPr="00DA1B92">
        <w:rPr>
          <w:bCs/>
          <w:iCs/>
        </w:rPr>
        <w:t>’</w:t>
      </w:r>
      <w:r w:rsidRPr="00DA1B92">
        <w:rPr>
          <w:bCs/>
        </w:rPr>
        <w:t xml:space="preserve"> (</w:t>
      </w:r>
      <w:r w:rsidRPr="00DA1B92">
        <w:rPr>
          <w:bCs/>
          <w:color w:val="7F7F7F" w:themeColor="text1" w:themeTint="80"/>
        </w:rPr>
        <w:t xml:space="preserve">Rhee 2012, </w:t>
      </w:r>
      <w:r w:rsidRPr="00DA1B92">
        <w:rPr>
          <w:bCs/>
          <w:i/>
          <w:iCs/>
          <w:color w:val="7F7F7F" w:themeColor="text1" w:themeTint="80"/>
        </w:rPr>
        <w:t>in</w:t>
      </w:r>
      <w:r w:rsidRPr="00DA1B92">
        <w:rPr>
          <w:bCs/>
          <w:color w:val="7F7F7F" w:themeColor="text1" w:themeTint="80"/>
        </w:rPr>
        <w:t xml:space="preserve"> </w:t>
      </w:r>
      <w:proofErr w:type="spellStart"/>
      <w:r w:rsidRPr="00DA1B92">
        <w:rPr>
          <w:bCs/>
          <w:color w:val="7F7F7F" w:themeColor="text1" w:themeTint="80"/>
        </w:rPr>
        <w:t>Restemeyer</w:t>
      </w:r>
      <w:proofErr w:type="spellEnd"/>
      <w:r w:rsidRPr="00DA1B92">
        <w:rPr>
          <w:bCs/>
          <w:color w:val="7F7F7F" w:themeColor="text1" w:themeTint="80"/>
        </w:rPr>
        <w:t xml:space="preserve"> et al. 2017, p. 933</w:t>
      </w:r>
      <w:r w:rsidRPr="00DA1B92">
        <w:rPr>
          <w:bCs/>
        </w:rPr>
        <w:t xml:space="preserve">). In the development of the DP’s Strategies, and their </w:t>
      </w:r>
      <w:r w:rsidRPr="00DA1B92">
        <w:rPr>
          <w:bCs/>
          <w:i/>
          <w:iCs/>
        </w:rPr>
        <w:t>adaptation paths</w:t>
      </w:r>
      <w:r w:rsidRPr="00DA1B92">
        <w:rPr>
          <w:bCs/>
        </w:rPr>
        <w:t>, it was important to keep open options for long-term, i.e. have possibilities to switch to other measures if future climatic or socioeconomic changes, or new knowledge, require so (</w:t>
      </w:r>
      <w:r w:rsidRPr="00DA1B92">
        <w:rPr>
          <w:bCs/>
          <w:color w:val="7F7F7F" w:themeColor="text1" w:themeTint="80"/>
        </w:rPr>
        <w:t>DP 2013, p.95</w:t>
      </w:r>
      <w:r w:rsidRPr="00DA1B92">
        <w:rPr>
          <w:bCs/>
        </w:rPr>
        <w:t xml:space="preserve">). </w:t>
      </w:r>
    </w:p>
    <w:p w14:paraId="0D515E35" w14:textId="77777777" w:rsidR="00A61A74" w:rsidRPr="00DA1B92" w:rsidRDefault="00A61A74" w:rsidP="00E74925">
      <w:pPr>
        <w:pStyle w:val="TEXTBODY"/>
        <w:numPr>
          <w:ilvl w:val="0"/>
          <w:numId w:val="74"/>
        </w:numPr>
        <w:spacing w:after="0" w:line="276" w:lineRule="auto"/>
        <w:ind w:left="851"/>
        <w:rPr>
          <w:bCs/>
        </w:rPr>
      </w:pPr>
      <w:r w:rsidRPr="00DA1B92">
        <w:rPr>
          <w:bCs/>
        </w:rPr>
        <w:t xml:space="preserve">A key feature of the </w:t>
      </w:r>
      <w:r w:rsidRPr="00DA1B92">
        <w:rPr>
          <w:bCs/>
          <w:i/>
          <w:iCs/>
        </w:rPr>
        <w:t>Preferential Strategies</w:t>
      </w:r>
      <w:r w:rsidRPr="00DA1B92">
        <w:rPr>
          <w:bCs/>
        </w:rPr>
        <w:t xml:space="preserve"> is that </w:t>
      </w:r>
      <w:r w:rsidRPr="00DA1B92">
        <w:rPr>
          <w:rFonts w:cs="Arial"/>
          <w:bCs/>
          <w:i/>
          <w:iCs/>
          <w:szCs w:val="18"/>
        </w:rPr>
        <w:t>it should be possible to take additional measures in the long-term (after 2050) to address the challenges following from climatological and socioeconomic developments</w:t>
      </w:r>
      <w:r w:rsidRPr="00DA1B92">
        <w:rPr>
          <w:rFonts w:cs="Arial"/>
          <w:bCs/>
          <w:szCs w:val="18"/>
        </w:rPr>
        <w:t xml:space="preserve">, and </w:t>
      </w:r>
      <w:r w:rsidRPr="00DA1B92">
        <w:rPr>
          <w:bCs/>
          <w:i/>
          <w:iCs/>
        </w:rPr>
        <w:t xml:space="preserve">the options for these </w:t>
      </w:r>
      <w:r w:rsidRPr="00DA1B92">
        <w:rPr>
          <w:bCs/>
        </w:rPr>
        <w:t xml:space="preserve">should be </w:t>
      </w:r>
      <w:r w:rsidRPr="00DA1B92">
        <w:rPr>
          <w:bCs/>
          <w:i/>
          <w:iCs/>
        </w:rPr>
        <w:t xml:space="preserve">ready </w:t>
      </w:r>
      <w:r w:rsidRPr="00DA1B92">
        <w:rPr>
          <w:bCs/>
        </w:rPr>
        <w:t>and</w:t>
      </w:r>
      <w:r w:rsidRPr="00DA1B92">
        <w:rPr>
          <w:bCs/>
          <w:i/>
          <w:iCs/>
        </w:rPr>
        <w:t xml:space="preserve"> included in the adaptation paths of the Preferential Strategies</w:t>
      </w:r>
      <w:r w:rsidRPr="00DA1B92">
        <w:rPr>
          <w:bCs/>
        </w:rPr>
        <w:t xml:space="preserve"> (</w:t>
      </w:r>
      <w:r w:rsidRPr="00DA1B92">
        <w:rPr>
          <w:bCs/>
          <w:color w:val="7F7F7F" w:themeColor="text1" w:themeTint="80"/>
        </w:rPr>
        <w:t>DP 2014, p.148</w:t>
      </w:r>
      <w:r w:rsidRPr="00DA1B92">
        <w:rPr>
          <w:bCs/>
        </w:rPr>
        <w:t>).</w:t>
      </w:r>
    </w:p>
    <w:p w14:paraId="0597CD6E" w14:textId="77777777" w:rsidR="00A61A74" w:rsidRPr="00DA1B92" w:rsidRDefault="00A61A74" w:rsidP="00E74925">
      <w:pPr>
        <w:pStyle w:val="TEXTBODY"/>
        <w:numPr>
          <w:ilvl w:val="0"/>
          <w:numId w:val="74"/>
        </w:numPr>
        <w:spacing w:line="276" w:lineRule="auto"/>
        <w:ind w:left="851"/>
        <w:rPr>
          <w:bCs/>
        </w:rPr>
      </w:pPr>
      <w:r w:rsidRPr="00DA1B92">
        <w:rPr>
          <w:bCs/>
        </w:rPr>
        <w:t xml:space="preserve">The Subprogrammes sought to safeguard possibility of taking new measures in the long-term, including them into the </w:t>
      </w:r>
      <w:r w:rsidRPr="00DA1B92">
        <w:rPr>
          <w:bCs/>
          <w:i/>
          <w:iCs/>
        </w:rPr>
        <w:t xml:space="preserve">adaptation path(s) </w:t>
      </w:r>
      <w:r w:rsidRPr="00DA1B92">
        <w:rPr>
          <w:bCs/>
        </w:rPr>
        <w:t xml:space="preserve">of each </w:t>
      </w:r>
      <w:r w:rsidRPr="00DA1B92">
        <w:rPr>
          <w:bCs/>
          <w:i/>
          <w:iCs/>
        </w:rPr>
        <w:t>Preferential Strategy</w:t>
      </w:r>
      <w:r w:rsidRPr="00DA1B92">
        <w:rPr>
          <w:bCs/>
        </w:rPr>
        <w:t xml:space="preserve">. Each </w:t>
      </w:r>
      <w:r w:rsidRPr="00DA1B92">
        <w:rPr>
          <w:bCs/>
          <w:i/>
          <w:iCs/>
        </w:rPr>
        <w:t>path</w:t>
      </w:r>
      <w:r w:rsidRPr="00DA1B92">
        <w:rPr>
          <w:bCs/>
        </w:rPr>
        <w:t xml:space="preserve"> contains options for the long-term that are intentionally kept open due to uncertain future climatic and socioeconomic conditions (</w:t>
      </w:r>
      <w:r w:rsidRPr="00DA1B92">
        <w:rPr>
          <w:bCs/>
          <w:color w:val="7F7F7F" w:themeColor="text1" w:themeTint="80"/>
        </w:rPr>
        <w:t>Petersen and Bloemen 2015</w:t>
      </w:r>
      <w:r w:rsidRPr="00DA1B92">
        <w:rPr>
          <w:bCs/>
        </w:rPr>
        <w:t>).</w:t>
      </w:r>
    </w:p>
    <w:p w14:paraId="6F0A8210" w14:textId="290E5470" w:rsidR="001C2189" w:rsidRPr="009B720F" w:rsidRDefault="001C2189" w:rsidP="00E74925">
      <w:pPr>
        <w:pStyle w:val="TEXTBODY"/>
        <w:numPr>
          <w:ilvl w:val="0"/>
          <w:numId w:val="76"/>
        </w:numPr>
        <w:spacing w:line="276" w:lineRule="auto"/>
        <w:ind w:left="1134"/>
        <w:rPr>
          <w:bCs/>
          <w:color w:val="C00000"/>
          <w:szCs w:val="22"/>
        </w:rPr>
      </w:pPr>
      <w:r w:rsidRPr="00DA1B92">
        <w:rPr>
          <w:bCs/>
        </w:rPr>
        <w:t xml:space="preserve">In the DP, uncertainties about future changes were expected to be tackled through an </w:t>
      </w:r>
      <w:r w:rsidRPr="00DA1B92">
        <w:rPr>
          <w:bCs/>
          <w:i/>
          <w:iCs/>
        </w:rPr>
        <w:t>adaptive way of planning</w:t>
      </w:r>
      <w:r w:rsidRPr="00DA1B92">
        <w:rPr>
          <w:bCs/>
        </w:rPr>
        <w:t xml:space="preserve"> which should </w:t>
      </w:r>
      <w:r w:rsidRPr="00DA1B92">
        <w:rPr>
          <w:bCs/>
          <w:i/>
          <w:iCs/>
        </w:rPr>
        <w:t xml:space="preserve">maximize flexibility </w:t>
      </w:r>
      <w:r w:rsidRPr="00DA1B92">
        <w:rPr>
          <w:bCs/>
        </w:rPr>
        <w:t xml:space="preserve">by </w:t>
      </w:r>
      <w:r w:rsidRPr="00DA1B92">
        <w:rPr>
          <w:bCs/>
          <w:i/>
          <w:iCs/>
        </w:rPr>
        <w:t>keeping options open and avoiding lock-ins</w:t>
      </w:r>
      <w:r w:rsidRPr="00DA1B92">
        <w:rPr>
          <w:bCs/>
        </w:rPr>
        <w:t xml:space="preserve"> (</w:t>
      </w:r>
      <w:r w:rsidRPr="00DA1B92">
        <w:rPr>
          <w:bCs/>
          <w:color w:val="7F7F7F" w:themeColor="text1" w:themeTint="80"/>
        </w:rPr>
        <w:t>Alphen 2015, p.310</w:t>
      </w:r>
      <w:r w:rsidRPr="00DA1B92">
        <w:rPr>
          <w:bCs/>
        </w:rPr>
        <w:t>).</w:t>
      </w:r>
      <w:r w:rsidRPr="00DA1B92">
        <w:rPr>
          <w:rStyle w:val="Refdenotaderodap"/>
          <w:bCs/>
        </w:rPr>
        <w:footnoteReference w:id="98"/>
      </w:r>
      <w:r w:rsidRPr="00DA1B92">
        <w:rPr>
          <w:bCs/>
        </w:rPr>
        <w:t xml:space="preserve"> </w:t>
      </w:r>
      <w:r w:rsidRPr="00DA1B92">
        <w:rPr>
          <w:bCs/>
          <w:szCs w:val="22"/>
        </w:rPr>
        <w:t>T</w:t>
      </w:r>
      <w:r w:rsidRPr="00DA1B92">
        <w:rPr>
          <w:bCs/>
        </w:rPr>
        <w:t xml:space="preserve">he development of </w:t>
      </w:r>
      <w:r w:rsidRPr="00DA1B92">
        <w:rPr>
          <w:bCs/>
          <w:i/>
          <w:iCs/>
        </w:rPr>
        <w:t>flexible strategies</w:t>
      </w:r>
      <w:r w:rsidRPr="00DA1B92">
        <w:rPr>
          <w:bCs/>
        </w:rPr>
        <w:t xml:space="preserve"> implied finding (</w:t>
      </w:r>
      <w:r w:rsidRPr="00DA1B92">
        <w:rPr>
          <w:bCs/>
          <w:i/>
          <w:iCs/>
        </w:rPr>
        <w:t>flexible</w:t>
      </w:r>
      <w:r w:rsidRPr="00DA1B92">
        <w:rPr>
          <w:bCs/>
        </w:rPr>
        <w:t>) measures that do not block future strategies (or further measures that might be necessary) and avoiding irreversible measures (namely over- and under-investments) as far as possible (</w:t>
      </w:r>
      <w:proofErr w:type="spellStart"/>
      <w:r w:rsidRPr="00DA1B92">
        <w:rPr>
          <w:bCs/>
          <w:color w:val="7F7F7F" w:themeColor="text1" w:themeTint="80"/>
        </w:rPr>
        <w:t>Jeuken</w:t>
      </w:r>
      <w:proofErr w:type="spellEnd"/>
      <w:r w:rsidRPr="00DA1B92">
        <w:rPr>
          <w:bCs/>
          <w:color w:val="7F7F7F" w:themeColor="text1" w:themeTint="80"/>
        </w:rPr>
        <w:t xml:space="preserve"> and Reeder 2011, p.2, 1</w:t>
      </w:r>
      <w:r w:rsidRPr="00DA1B92">
        <w:rPr>
          <w:bCs/>
        </w:rPr>
        <w:t xml:space="preserve">). </w:t>
      </w:r>
      <w:r w:rsidR="004E78FB" w:rsidRPr="00DA1B92">
        <w:rPr>
          <w:bCs/>
        </w:rPr>
        <w:t>The APs’ method helped to identify ‘lock-ins’ and how these can be avoided (</w:t>
      </w:r>
      <w:r w:rsidR="004E78FB" w:rsidRPr="00DA1B92">
        <w:rPr>
          <w:bCs/>
          <w:color w:val="7F7F7F" w:themeColor="text1" w:themeTint="80"/>
        </w:rPr>
        <w:t>Alphen 2015, p.313</w:t>
      </w:r>
      <w:r w:rsidR="004E78FB" w:rsidRPr="00DA1B92">
        <w:rPr>
          <w:bCs/>
        </w:rPr>
        <w:t xml:space="preserve">).  </w:t>
      </w:r>
      <w:r w:rsidRPr="00DA1B92">
        <w:rPr>
          <w:bCs/>
          <w:szCs w:val="22"/>
        </w:rPr>
        <w:t>Flexibility means that decisions and measures planned for the near future should not foreclose future options (to act differently, switch of measure, or add measures) if climatic or societal changes require so; and, it is also important to ensure that external developments in the short-term do not foreclose future adaptation options (</w:t>
      </w:r>
      <w:proofErr w:type="spellStart"/>
      <w:r w:rsidRPr="00DA1B92">
        <w:rPr>
          <w:bCs/>
          <w:color w:val="7F7F7F" w:themeColor="text1" w:themeTint="80"/>
          <w:szCs w:val="22"/>
        </w:rPr>
        <w:t>Jeuken</w:t>
      </w:r>
      <w:proofErr w:type="spellEnd"/>
      <w:r w:rsidRPr="00DA1B92">
        <w:rPr>
          <w:bCs/>
          <w:color w:val="7F7F7F" w:themeColor="text1" w:themeTint="80"/>
          <w:szCs w:val="22"/>
        </w:rPr>
        <w:t xml:space="preserve"> et</w:t>
      </w:r>
      <w:r w:rsidRPr="009B720F">
        <w:rPr>
          <w:bCs/>
          <w:color w:val="7F7F7F" w:themeColor="text1" w:themeTint="80"/>
          <w:szCs w:val="22"/>
        </w:rPr>
        <w:t xml:space="preserve"> al. 2014, p.16</w:t>
      </w:r>
      <w:r w:rsidRPr="009B720F">
        <w:rPr>
          <w:bCs/>
          <w:szCs w:val="22"/>
        </w:rPr>
        <w:t xml:space="preserve">). </w:t>
      </w:r>
      <w:proofErr w:type="spellStart"/>
      <w:r w:rsidR="007A1EFC" w:rsidRPr="00DA1B92">
        <w:rPr>
          <w:bCs/>
          <w:color w:val="7F7F7F" w:themeColor="text1" w:themeTint="80"/>
        </w:rPr>
        <w:t>Restemeyer</w:t>
      </w:r>
      <w:proofErr w:type="spellEnd"/>
      <w:r w:rsidR="007A1EFC" w:rsidRPr="00DA1B92">
        <w:rPr>
          <w:bCs/>
          <w:color w:val="7F7F7F" w:themeColor="text1" w:themeTint="80"/>
        </w:rPr>
        <w:t xml:space="preserve"> et al. </w:t>
      </w:r>
      <w:r w:rsidR="007A1EFC" w:rsidRPr="00DA1B92">
        <w:rPr>
          <w:bCs/>
        </w:rPr>
        <w:t>argue that p</w:t>
      </w:r>
      <w:r w:rsidR="007A1EFC" w:rsidRPr="00DA1B92">
        <w:rPr>
          <w:bCs/>
          <w:iCs/>
        </w:rPr>
        <w:t>rioritizing measures that prevent lock-</w:t>
      </w:r>
      <w:proofErr w:type="gramStart"/>
      <w:r w:rsidR="007A1EFC" w:rsidRPr="00DA1B92">
        <w:rPr>
          <w:bCs/>
          <w:iCs/>
        </w:rPr>
        <w:t>ins  a</w:t>
      </w:r>
      <w:proofErr w:type="gramEnd"/>
      <w:r w:rsidR="007A1EFC" w:rsidRPr="00DA1B92">
        <w:rPr>
          <w:bCs/>
          <w:iCs/>
        </w:rPr>
        <w:t xml:space="preserve"> condition for making a strategy more ‘adaptive’ </w:t>
      </w:r>
      <w:r w:rsidR="007A1EFC" w:rsidRPr="00DA1B92">
        <w:rPr>
          <w:bCs/>
        </w:rPr>
        <w:t>(</w:t>
      </w:r>
      <w:proofErr w:type="spellStart"/>
      <w:r w:rsidR="007A1EFC" w:rsidRPr="00DA1B92">
        <w:rPr>
          <w:rFonts w:cs="Arial"/>
          <w:bCs/>
          <w:color w:val="7F7F7F" w:themeColor="text1" w:themeTint="80"/>
          <w:szCs w:val="18"/>
        </w:rPr>
        <w:t>Restemeyer</w:t>
      </w:r>
      <w:proofErr w:type="spellEnd"/>
      <w:r w:rsidR="007A1EFC" w:rsidRPr="00DA1B92">
        <w:rPr>
          <w:rFonts w:cs="Arial"/>
          <w:bCs/>
          <w:color w:val="7F7F7F" w:themeColor="text1" w:themeTint="80"/>
          <w:szCs w:val="18"/>
        </w:rPr>
        <w:t xml:space="preserve"> et al. 2017</w:t>
      </w:r>
      <w:r w:rsidR="007A1EFC" w:rsidRPr="00DA1B92">
        <w:rPr>
          <w:rFonts w:cs="Arial"/>
          <w:bCs/>
          <w:szCs w:val="18"/>
        </w:rPr>
        <w:t>).</w:t>
      </w:r>
    </w:p>
    <w:p w14:paraId="712EED0B" w14:textId="6AE48BF7" w:rsidR="00AE72D9" w:rsidRPr="00DA1B92" w:rsidRDefault="00A61A74" w:rsidP="00E74925">
      <w:pPr>
        <w:pStyle w:val="TEXTBODY"/>
        <w:numPr>
          <w:ilvl w:val="0"/>
          <w:numId w:val="27"/>
        </w:numPr>
        <w:spacing w:after="0" w:line="276" w:lineRule="auto"/>
        <w:ind w:left="284" w:hanging="284"/>
        <w:rPr>
          <w:bCs/>
        </w:rPr>
      </w:pPr>
      <w:r w:rsidRPr="009B720F">
        <w:rPr>
          <w:bCs/>
        </w:rPr>
        <w:t xml:space="preserve">By allowing for switching to other </w:t>
      </w:r>
      <w:proofErr w:type="gramStart"/>
      <w:r w:rsidRPr="009B720F">
        <w:rPr>
          <w:bCs/>
        </w:rPr>
        <w:t>measures, or</w:t>
      </w:r>
      <w:proofErr w:type="gramEnd"/>
      <w:r w:rsidRPr="009B720F">
        <w:rPr>
          <w:bCs/>
        </w:rPr>
        <w:t xml:space="preserve"> modifying measures (i.e. ensuring the possibility of shifting to other </w:t>
      </w:r>
      <w:r w:rsidRPr="00DA1B92">
        <w:rPr>
          <w:bCs/>
        </w:rPr>
        <w:t>measures, or adjusting measures) (</w:t>
      </w:r>
      <w:r w:rsidRPr="00DA1B92">
        <w:rPr>
          <w:bCs/>
          <w:color w:val="7F7F7F" w:themeColor="text1" w:themeTint="80"/>
        </w:rPr>
        <w:t xml:space="preserve">Vink et al. 2013, p.96-97; </w:t>
      </w:r>
      <w:r w:rsidR="005C558F" w:rsidRPr="00DA1B92">
        <w:rPr>
          <w:bCs/>
          <w:color w:val="7F7F7F" w:themeColor="text1" w:themeTint="80"/>
        </w:rPr>
        <w:t>Brugge and Bruggeman 2019</w:t>
      </w:r>
      <w:r w:rsidRPr="00DA1B92">
        <w:rPr>
          <w:bCs/>
          <w:color w:val="7F7F7F" w:themeColor="text1" w:themeTint="80"/>
        </w:rPr>
        <w:t>; DP 2014, p.169</w:t>
      </w:r>
      <w:r w:rsidRPr="00DA1B92">
        <w:rPr>
          <w:bCs/>
        </w:rPr>
        <w:t>); or</w:t>
      </w:r>
      <w:r w:rsidRPr="00DA1B92">
        <w:rPr>
          <w:rFonts w:eastAsia="RijksoverheidSerif-Regular"/>
          <w:bCs/>
          <w:lang w:eastAsia="en-US"/>
        </w:rPr>
        <w:t xml:space="preserve"> switching to other strateg</w:t>
      </w:r>
      <w:r w:rsidR="00DD1F96" w:rsidRPr="00DA1B92">
        <w:rPr>
          <w:rFonts w:eastAsia="RijksoverheidSerif-Regular"/>
          <w:bCs/>
          <w:lang w:eastAsia="en-US"/>
        </w:rPr>
        <w:t xml:space="preserve">y </w:t>
      </w:r>
      <w:r w:rsidRPr="00DA1B92">
        <w:rPr>
          <w:rFonts w:eastAsia="RijksoverheidSerif-Regular"/>
          <w:bCs/>
          <w:lang w:eastAsia="en-US"/>
        </w:rPr>
        <w:t>(</w:t>
      </w:r>
      <w:r w:rsidRPr="00DA1B92">
        <w:rPr>
          <w:bCs/>
          <w:color w:val="7F7F7F" w:themeColor="text1" w:themeTint="80"/>
        </w:rPr>
        <w:t xml:space="preserve">DP </w:t>
      </w:r>
      <w:r w:rsidRPr="00DA1B92">
        <w:rPr>
          <w:bCs/>
          <w:color w:val="7F7F7F" w:themeColor="text1" w:themeTint="80"/>
        </w:rPr>
        <w:lastRenderedPageBreak/>
        <w:t>2013, p.77, 95; 2014, p.6</w:t>
      </w:r>
      <w:r w:rsidR="00DD1F96" w:rsidRPr="00DA1B92">
        <w:rPr>
          <w:bCs/>
          <w:color w:val="7F7F7F" w:themeColor="text1" w:themeTint="80"/>
        </w:rPr>
        <w:t>; 2012, p.81</w:t>
      </w:r>
      <w:r w:rsidRPr="00DA1B92">
        <w:rPr>
          <w:bCs/>
        </w:rPr>
        <w:t>)</w:t>
      </w:r>
      <w:r w:rsidRPr="00DA1B92">
        <w:rPr>
          <w:rFonts w:eastAsia="RijksoverheidSerif-Regular"/>
          <w:bCs/>
          <w:lang w:eastAsia="en-US"/>
        </w:rPr>
        <w:t>.</w:t>
      </w:r>
      <w:r w:rsidRPr="00DA1B92">
        <w:rPr>
          <w:rFonts w:eastAsia="RijksoverheidSerif-Regular"/>
          <w:bCs/>
          <w:color w:val="C00000"/>
          <w:lang w:eastAsia="en-US"/>
        </w:rPr>
        <w:t xml:space="preserve"> </w:t>
      </w:r>
      <w:r w:rsidRPr="00DA1B92">
        <w:rPr>
          <w:bCs/>
        </w:rPr>
        <w:t>A key aspect of ADM is having possibilities (</w:t>
      </w:r>
      <w:r w:rsidRPr="00DA1B92">
        <w:rPr>
          <w:bCs/>
          <w:i/>
          <w:iCs/>
        </w:rPr>
        <w:t>options</w:t>
      </w:r>
      <w:r w:rsidRPr="00DA1B92">
        <w:rPr>
          <w:bCs/>
        </w:rPr>
        <w:t xml:space="preserve">) </w:t>
      </w:r>
      <w:r w:rsidRPr="00DA1B92">
        <w:rPr>
          <w:bCs/>
          <w:i/>
          <w:iCs/>
        </w:rPr>
        <w:t>for switching between strategies</w:t>
      </w:r>
      <w:r w:rsidRPr="00DA1B92">
        <w:rPr>
          <w:bCs/>
        </w:rPr>
        <w:t xml:space="preserve"> (</w:t>
      </w:r>
      <w:r w:rsidRPr="00DA1B92">
        <w:rPr>
          <w:bCs/>
          <w:color w:val="7F7F7F" w:themeColor="text1" w:themeTint="80"/>
        </w:rPr>
        <w:t>DP 2013, p.77</w:t>
      </w:r>
      <w:r w:rsidRPr="00DA1B92">
        <w:rPr>
          <w:bCs/>
        </w:rPr>
        <w:t>). It was necessary</w:t>
      </w:r>
      <w:r w:rsidRPr="00DA1B92">
        <w:rPr>
          <w:bCs/>
          <w:i/>
          <w:iCs/>
        </w:rPr>
        <w:t xml:space="preserve"> to keep options open for the long-term, so that it is possible to switch to another strategy if future socioeconomic developments or CC should give rise to that</w:t>
      </w:r>
      <w:r w:rsidRPr="00DA1B92">
        <w:rPr>
          <w:bCs/>
        </w:rPr>
        <w:t xml:space="preserve"> (</w:t>
      </w:r>
      <w:r w:rsidRPr="00DA1B92">
        <w:rPr>
          <w:bCs/>
          <w:color w:val="7F7F7F" w:themeColor="text1" w:themeTint="80"/>
        </w:rPr>
        <w:t>DP 2013, p.95</w:t>
      </w:r>
      <w:r w:rsidRPr="00DA1B92">
        <w:rPr>
          <w:bCs/>
        </w:rPr>
        <w:t xml:space="preserve">). ADM allows shifting to other strategies (changing of strategy), but also for </w:t>
      </w:r>
      <w:r w:rsidRPr="00DA1B92">
        <w:rPr>
          <w:bCs/>
          <w:i/>
          <w:iCs/>
        </w:rPr>
        <w:t xml:space="preserve">changing strategy </w:t>
      </w:r>
      <w:r w:rsidRPr="00DA1B92">
        <w:rPr>
          <w:bCs/>
        </w:rPr>
        <w:t>or</w:t>
      </w:r>
      <w:r w:rsidRPr="00DA1B92">
        <w:rPr>
          <w:bCs/>
          <w:i/>
          <w:iCs/>
        </w:rPr>
        <w:t xml:space="preserve"> stepping up </w:t>
      </w:r>
      <w:r w:rsidRPr="00DA1B92">
        <w:rPr>
          <w:bCs/>
        </w:rPr>
        <w:t>measures</w:t>
      </w:r>
      <w:r w:rsidRPr="00DA1B92">
        <w:rPr>
          <w:bCs/>
          <w:i/>
          <w:iCs/>
        </w:rPr>
        <w:t xml:space="preserve"> </w:t>
      </w:r>
      <w:r w:rsidRPr="00DA1B92">
        <w:rPr>
          <w:bCs/>
        </w:rPr>
        <w:t>(</w:t>
      </w:r>
      <w:r w:rsidRPr="00DA1B92">
        <w:rPr>
          <w:bCs/>
          <w:color w:val="7F7F7F" w:themeColor="text1" w:themeTint="80"/>
        </w:rPr>
        <w:t>DP 2014, p.6</w:t>
      </w:r>
      <w:r w:rsidRPr="00DA1B92">
        <w:rPr>
          <w:bCs/>
        </w:rPr>
        <w:t xml:space="preserve">). </w:t>
      </w:r>
      <w:bookmarkStart w:id="117" w:name="_Hlk140143134"/>
      <w:r w:rsidRPr="00DA1B92">
        <w:rPr>
          <w:bCs/>
        </w:rPr>
        <w:t>To ensure a</w:t>
      </w:r>
      <w:r w:rsidRPr="00DA1B92">
        <w:rPr>
          <w:bCs/>
          <w:i/>
          <w:iCs/>
        </w:rPr>
        <w:t xml:space="preserve"> sustainable and robust FRM</w:t>
      </w:r>
      <w:r w:rsidRPr="00DA1B92">
        <w:rPr>
          <w:bCs/>
        </w:rPr>
        <w:t>,</w:t>
      </w:r>
      <w:r w:rsidRPr="00DA1B92">
        <w:rPr>
          <w:bCs/>
          <w:i/>
          <w:iCs/>
        </w:rPr>
        <w:t xml:space="preserve"> </w:t>
      </w:r>
      <w:r w:rsidRPr="00DA1B92">
        <w:rPr>
          <w:bCs/>
        </w:rPr>
        <w:t xml:space="preserve">the DP sought to choose strategies and measures that gave </w:t>
      </w:r>
      <w:r w:rsidRPr="00DA1B92">
        <w:rPr>
          <w:bCs/>
          <w:i/>
          <w:iCs/>
        </w:rPr>
        <w:t>flexibility</w:t>
      </w:r>
      <w:r w:rsidRPr="00DA1B92">
        <w:rPr>
          <w:bCs/>
        </w:rPr>
        <w:t xml:space="preserve"> to respond to new insights and changes, for example, by </w:t>
      </w:r>
      <w:r w:rsidRPr="00DA1B92">
        <w:rPr>
          <w:bCs/>
          <w:i/>
          <w:iCs/>
        </w:rPr>
        <w:t>stepping up measure</w:t>
      </w:r>
      <w:r w:rsidRPr="00DA1B92">
        <w:rPr>
          <w:bCs/>
        </w:rPr>
        <w:t xml:space="preserve">s or </w:t>
      </w:r>
      <w:r w:rsidRPr="000A40A4">
        <w:rPr>
          <w:bCs/>
          <w:i/>
          <w:iCs/>
        </w:rPr>
        <w:t>changing</w:t>
      </w:r>
      <w:r w:rsidRPr="000A40A4">
        <w:rPr>
          <w:bCs/>
        </w:rPr>
        <w:t xml:space="preserve"> of</w:t>
      </w:r>
      <w:r w:rsidRPr="000A40A4">
        <w:rPr>
          <w:bCs/>
          <w:i/>
          <w:iCs/>
        </w:rPr>
        <w:t xml:space="preserve"> strategy</w:t>
      </w:r>
      <w:r w:rsidRPr="000A40A4">
        <w:rPr>
          <w:bCs/>
        </w:rPr>
        <w:t xml:space="preserve"> </w:t>
      </w:r>
      <w:r w:rsidRPr="00DA1B92">
        <w:rPr>
          <w:bCs/>
          <w:szCs w:val="18"/>
        </w:rPr>
        <w:t>(</w:t>
      </w:r>
      <w:r w:rsidRPr="00DA1B92">
        <w:rPr>
          <w:bCs/>
          <w:color w:val="7F7F7F" w:themeColor="text1" w:themeTint="80"/>
          <w:szCs w:val="18"/>
        </w:rPr>
        <w:t>DP 2014, p.6</w:t>
      </w:r>
      <w:r w:rsidRPr="00DA1B92">
        <w:rPr>
          <w:bCs/>
          <w:szCs w:val="18"/>
        </w:rPr>
        <w:t>).</w:t>
      </w:r>
      <w:bookmarkEnd w:id="117"/>
      <w:r w:rsidR="00AE72D9" w:rsidRPr="00DA1B92">
        <w:rPr>
          <w:rStyle w:val="Refdenotaderodap"/>
          <w:bCs/>
          <w:szCs w:val="18"/>
        </w:rPr>
        <w:footnoteReference w:id="99"/>
      </w:r>
      <w:r w:rsidR="00DD1F96" w:rsidRPr="00DA1B92">
        <w:rPr>
          <w:bCs/>
          <w:szCs w:val="18"/>
        </w:rPr>
        <w:t xml:space="preserve"> </w:t>
      </w:r>
      <w:bookmarkStart w:id="118" w:name="_Hlk140252551"/>
      <w:r w:rsidR="00DD1F96" w:rsidRPr="00DA1B92">
        <w:rPr>
          <w:bCs/>
          <w:szCs w:val="18"/>
        </w:rPr>
        <w:t xml:space="preserve">As noted in the </w:t>
      </w:r>
      <w:r w:rsidR="00DD1F96" w:rsidRPr="00DA1B92">
        <w:rPr>
          <w:bCs/>
          <w:color w:val="7F7F7F" w:themeColor="text1" w:themeTint="80"/>
          <w:szCs w:val="18"/>
        </w:rPr>
        <w:t>DP (2012)</w:t>
      </w:r>
      <w:r w:rsidR="00DD1F96" w:rsidRPr="00DA1B92">
        <w:rPr>
          <w:bCs/>
          <w:szCs w:val="18"/>
        </w:rPr>
        <w:t>, ‘</w:t>
      </w:r>
      <w:r w:rsidR="00DD1F96" w:rsidRPr="00DA1B92">
        <w:rPr>
          <w:bCs/>
          <w:i/>
          <w:iCs/>
          <w:szCs w:val="18"/>
        </w:rPr>
        <w:t>to be able to move flexibly from one strategy to another in the future</w:t>
      </w:r>
      <w:r w:rsidR="00DD1F96" w:rsidRPr="00DA1B92">
        <w:rPr>
          <w:bCs/>
          <w:szCs w:val="18"/>
        </w:rPr>
        <w:t xml:space="preserve">’, it was necessary to identify what additional measures were required to keep options open for the future </w:t>
      </w:r>
      <w:r w:rsidR="00DD1F96" w:rsidRPr="00DA1B92">
        <w:rPr>
          <w:bCs/>
        </w:rPr>
        <w:t>(</w:t>
      </w:r>
      <w:r w:rsidR="00DD1F96" w:rsidRPr="00DA1B92">
        <w:rPr>
          <w:bCs/>
          <w:color w:val="7F7F7F" w:themeColor="text1" w:themeTint="80"/>
        </w:rPr>
        <w:t>DP 2012, p.81</w:t>
      </w:r>
      <w:r w:rsidR="00DD1F96" w:rsidRPr="00DA1B92">
        <w:rPr>
          <w:bCs/>
        </w:rPr>
        <w:t>).</w:t>
      </w:r>
      <w:bookmarkEnd w:id="118"/>
      <w:r w:rsidR="00AE72D9" w:rsidRPr="00DA1B92">
        <w:rPr>
          <w:bCs/>
          <w:color w:val="00B050"/>
        </w:rPr>
        <w:t xml:space="preserve"> </w:t>
      </w:r>
      <w:r w:rsidR="00AE72D9" w:rsidRPr="000A40A4">
        <w:rPr>
          <w:bCs/>
        </w:rPr>
        <w:t xml:space="preserve">The DP underlines that, </w:t>
      </w:r>
      <w:r w:rsidR="00AE72D9" w:rsidRPr="00DA1B92">
        <w:rPr>
          <w:bCs/>
        </w:rPr>
        <w:t>to</w:t>
      </w:r>
      <w:r w:rsidR="00AE72D9" w:rsidRPr="00DA1B92">
        <w:rPr>
          <w:rFonts w:eastAsia="RijksoverheidSansText-Regular" w:cs="Arial"/>
          <w:bCs/>
          <w:szCs w:val="18"/>
        </w:rPr>
        <w:t xml:space="preserve"> have flexibility in strategies and measures (to deal with uncertain future developments and to timely respon</w:t>
      </w:r>
      <w:r w:rsidR="00B40A52" w:rsidRPr="00DA1B92">
        <w:rPr>
          <w:rFonts w:eastAsia="RijksoverheidSansText-Regular" w:cs="Arial"/>
          <w:bCs/>
          <w:szCs w:val="18"/>
        </w:rPr>
        <w:t>d</w:t>
      </w:r>
      <w:r w:rsidR="00AE72D9" w:rsidRPr="00DA1B92">
        <w:rPr>
          <w:rFonts w:eastAsia="RijksoverheidSansText-Regular" w:cs="Arial"/>
          <w:bCs/>
          <w:szCs w:val="18"/>
        </w:rPr>
        <w:t xml:space="preserve"> to changes), it is advisable to operate</w:t>
      </w:r>
      <w:r w:rsidR="00AE72D9" w:rsidRPr="00DA1B92">
        <w:rPr>
          <w:bCs/>
        </w:rPr>
        <w:t xml:space="preserve"> </w:t>
      </w:r>
      <w:r w:rsidR="00AE72D9" w:rsidRPr="00DA1B92">
        <w:rPr>
          <w:bCs/>
          <w:i/>
          <w:iCs/>
        </w:rPr>
        <w:t>strategies that offer chances to switch to other strategies</w:t>
      </w:r>
      <w:r w:rsidR="00AE72D9" w:rsidRPr="00DA1B92">
        <w:rPr>
          <w:bCs/>
        </w:rPr>
        <w:t xml:space="preserve">, and/or carry out measures </w:t>
      </w:r>
      <w:r w:rsidR="00AE72D9" w:rsidRPr="00DA1B92">
        <w:rPr>
          <w:bCs/>
          <w:i/>
          <w:iCs/>
        </w:rPr>
        <w:t>that enable their later adjustment or expansion</w:t>
      </w:r>
      <w:r w:rsidR="00AE72D9" w:rsidRPr="00DA1B92">
        <w:rPr>
          <w:bCs/>
        </w:rPr>
        <w:t xml:space="preserve"> </w:t>
      </w:r>
      <w:r w:rsidR="00AE72D9" w:rsidRPr="00DA1B92">
        <w:rPr>
          <w:rFonts w:eastAsia="RijksoverheidSansText-Regular"/>
          <w:bCs/>
          <w:color w:val="000000"/>
          <w:szCs w:val="18"/>
        </w:rPr>
        <w:t>(</w:t>
      </w:r>
      <w:r w:rsidR="00AE72D9" w:rsidRPr="00DA1B92">
        <w:rPr>
          <w:rFonts w:eastAsia="RijksoverheidSansText-Regular"/>
          <w:bCs/>
          <w:color w:val="7F7F7F" w:themeColor="text1" w:themeTint="80"/>
          <w:szCs w:val="18"/>
        </w:rPr>
        <w:t xml:space="preserve">DP 2011, p.8, </w:t>
      </w:r>
      <w:r w:rsidR="00AE72D9" w:rsidRPr="00DA1B92">
        <w:rPr>
          <w:rFonts w:eastAsia="RijksoverheidSansText-Regular" w:cs="Arial"/>
          <w:bCs/>
          <w:color w:val="7F7F7F" w:themeColor="text1" w:themeTint="80"/>
          <w:szCs w:val="18"/>
        </w:rPr>
        <w:t>16, 48-49, 70</w:t>
      </w:r>
      <w:r w:rsidR="00AE72D9" w:rsidRPr="00DA1B92">
        <w:rPr>
          <w:rFonts w:eastAsia="RijksoverheidSansText-Regular"/>
          <w:bCs/>
          <w:color w:val="000000"/>
          <w:szCs w:val="18"/>
        </w:rPr>
        <w:t xml:space="preserve">), or </w:t>
      </w:r>
      <w:r w:rsidR="00AE72D9" w:rsidRPr="00DA1B92">
        <w:rPr>
          <w:rFonts w:eastAsia="RijksoverheidSansText-Regular"/>
          <w:bCs/>
        </w:rPr>
        <w:t>measures that can be</w:t>
      </w:r>
      <w:r w:rsidR="00AE72D9" w:rsidRPr="00DA1B92">
        <w:rPr>
          <w:rFonts w:eastAsia="RijksoverheidSansText-Regular"/>
          <w:bCs/>
          <w:i/>
          <w:iCs/>
        </w:rPr>
        <w:t xml:space="preserve"> easily accelerated or decelerated </w:t>
      </w:r>
      <w:r w:rsidR="00AE72D9" w:rsidRPr="00DA1B92">
        <w:rPr>
          <w:rFonts w:eastAsia="RijksoverheidSansText-Regular"/>
          <w:bCs/>
        </w:rPr>
        <w:t>(</w:t>
      </w:r>
      <w:r w:rsidR="00AE72D9" w:rsidRPr="00DA1B92">
        <w:rPr>
          <w:rFonts w:eastAsia="RijksoverheidSansText-Regular"/>
          <w:bCs/>
          <w:color w:val="7F7F7F" w:themeColor="text1" w:themeTint="80"/>
        </w:rPr>
        <w:t>DP 2010, p.70</w:t>
      </w:r>
      <w:r w:rsidR="00AE72D9" w:rsidRPr="00DA1B92">
        <w:rPr>
          <w:rFonts w:eastAsia="RijksoverheidSansText-Regular"/>
          <w:bCs/>
        </w:rPr>
        <w:t>).</w:t>
      </w:r>
    </w:p>
    <w:p w14:paraId="7D216C83" w14:textId="77777777" w:rsidR="00AE72D9" w:rsidRPr="009B720F" w:rsidRDefault="00AE72D9" w:rsidP="00E74925">
      <w:pPr>
        <w:pStyle w:val="TEXTBODY"/>
        <w:spacing w:after="0" w:line="276" w:lineRule="auto"/>
        <w:ind w:left="284"/>
        <w:rPr>
          <w:bCs/>
        </w:rPr>
      </w:pPr>
    </w:p>
    <w:p w14:paraId="56B1A71C" w14:textId="221F951C" w:rsidR="00106A2C" w:rsidRPr="00DA1B92" w:rsidRDefault="00106A2C" w:rsidP="00E74925">
      <w:pPr>
        <w:pStyle w:val="TEXTBODY"/>
        <w:numPr>
          <w:ilvl w:val="0"/>
          <w:numId w:val="75"/>
        </w:numPr>
        <w:spacing w:after="0" w:line="276" w:lineRule="auto"/>
        <w:ind w:left="993"/>
        <w:rPr>
          <w:bCs/>
          <w:szCs w:val="22"/>
        </w:rPr>
      </w:pPr>
      <w:r w:rsidRPr="00DA1B92">
        <w:rPr>
          <w:bCs/>
          <w:szCs w:val="22"/>
        </w:rPr>
        <w:t>Possibility of switching from a measure, or a strategy (</w:t>
      </w:r>
      <w:r w:rsidRPr="00DA1B92">
        <w:rPr>
          <w:bCs/>
          <w:i/>
          <w:iCs/>
          <w:szCs w:val="22"/>
        </w:rPr>
        <w:t>path</w:t>
      </w:r>
      <w:r w:rsidRPr="00DA1B92">
        <w:rPr>
          <w:bCs/>
          <w:szCs w:val="22"/>
        </w:rPr>
        <w:t xml:space="preserve">), to another one. By having several possible measures and pathways available. In the DP, a </w:t>
      </w:r>
      <w:r w:rsidRPr="00DA1B92">
        <w:rPr>
          <w:bCs/>
          <w:i/>
          <w:iCs/>
          <w:szCs w:val="22"/>
        </w:rPr>
        <w:t>Strategy</w:t>
      </w:r>
      <w:r w:rsidRPr="00DA1B92">
        <w:rPr>
          <w:bCs/>
          <w:szCs w:val="22"/>
        </w:rPr>
        <w:t xml:space="preserve"> usually contains </w:t>
      </w:r>
      <w:r w:rsidRPr="00DA1B92">
        <w:rPr>
          <w:bCs/>
          <w:i/>
          <w:iCs/>
          <w:szCs w:val="22"/>
        </w:rPr>
        <w:t>multiple pathways</w:t>
      </w:r>
      <w:r w:rsidRPr="00DA1B92">
        <w:rPr>
          <w:bCs/>
          <w:szCs w:val="22"/>
        </w:rPr>
        <w:t xml:space="preserve"> and allows </w:t>
      </w:r>
      <w:r w:rsidRPr="00DA1B92">
        <w:rPr>
          <w:bCs/>
          <w:i/>
          <w:iCs/>
          <w:szCs w:val="22"/>
        </w:rPr>
        <w:t xml:space="preserve">switching between different options </w:t>
      </w:r>
      <w:r w:rsidRPr="00DA1B92">
        <w:rPr>
          <w:bCs/>
          <w:szCs w:val="22"/>
        </w:rPr>
        <w:t>over time (</w:t>
      </w:r>
      <w:proofErr w:type="spellStart"/>
      <w:r w:rsidRPr="00DA1B92">
        <w:rPr>
          <w:bCs/>
          <w:color w:val="7F7F7F" w:themeColor="text1" w:themeTint="80"/>
          <w:szCs w:val="22"/>
        </w:rPr>
        <w:t>Jeuken</w:t>
      </w:r>
      <w:proofErr w:type="spellEnd"/>
      <w:r w:rsidRPr="00DA1B92">
        <w:rPr>
          <w:bCs/>
          <w:color w:val="7F7F7F" w:themeColor="text1" w:themeTint="80"/>
          <w:szCs w:val="22"/>
        </w:rPr>
        <w:t xml:space="preserve"> et al. 2014, p.18, 10</w:t>
      </w:r>
      <w:r w:rsidRPr="00DA1B92">
        <w:rPr>
          <w:bCs/>
          <w:szCs w:val="22"/>
        </w:rPr>
        <w:t>)</w:t>
      </w:r>
      <w:r w:rsidRPr="00DA1B92">
        <w:rPr>
          <w:rStyle w:val="Refdenotaderodap"/>
          <w:bCs/>
          <w:szCs w:val="22"/>
        </w:rPr>
        <w:footnoteReference w:id="100"/>
      </w:r>
      <w:r w:rsidRPr="00DA1B92">
        <w:rPr>
          <w:bCs/>
          <w:szCs w:val="22"/>
        </w:rPr>
        <w:t xml:space="preserve">; in specific, each </w:t>
      </w:r>
      <w:r w:rsidRPr="00DA1B92">
        <w:rPr>
          <w:bCs/>
          <w:i/>
          <w:iCs/>
          <w:szCs w:val="22"/>
        </w:rPr>
        <w:t>Strategy</w:t>
      </w:r>
      <w:r w:rsidRPr="00DA1B92">
        <w:rPr>
          <w:bCs/>
          <w:szCs w:val="22"/>
        </w:rPr>
        <w:t xml:space="preserve"> has a map with one or more adaptation pathways, and it shows when it is necessary to switch from a measure (action) to another one (</w:t>
      </w:r>
      <w:proofErr w:type="spellStart"/>
      <w:r w:rsidRPr="00DA1B92">
        <w:rPr>
          <w:bCs/>
          <w:color w:val="7F7F7F" w:themeColor="text1" w:themeTint="80"/>
          <w:szCs w:val="22"/>
        </w:rPr>
        <w:t>Jeuken</w:t>
      </w:r>
      <w:proofErr w:type="spellEnd"/>
      <w:r w:rsidRPr="00DA1B92">
        <w:rPr>
          <w:bCs/>
          <w:color w:val="7F7F7F" w:themeColor="text1" w:themeTint="80"/>
          <w:szCs w:val="22"/>
        </w:rPr>
        <w:t xml:space="preserve"> et al. 2014, p.24</w:t>
      </w:r>
      <w:r w:rsidRPr="00DA1B92">
        <w:rPr>
          <w:bCs/>
          <w:szCs w:val="22"/>
        </w:rPr>
        <w:t>).</w:t>
      </w:r>
      <w:r w:rsidRPr="00DA1B92">
        <w:rPr>
          <w:bCs/>
          <w:color w:val="C00000"/>
          <w:szCs w:val="22"/>
        </w:rPr>
        <w:t xml:space="preserve"> </w:t>
      </w:r>
      <w:r w:rsidRPr="00DA1B92">
        <w:rPr>
          <w:bCs/>
          <w:szCs w:val="22"/>
        </w:rPr>
        <w:t xml:space="preserve">A </w:t>
      </w:r>
      <w:r w:rsidRPr="00DA1B92">
        <w:rPr>
          <w:bCs/>
          <w:i/>
          <w:iCs/>
          <w:szCs w:val="22"/>
        </w:rPr>
        <w:t xml:space="preserve">Strategy </w:t>
      </w:r>
      <w:r w:rsidRPr="00DA1B92">
        <w:rPr>
          <w:bCs/>
          <w:szCs w:val="22"/>
        </w:rPr>
        <w:t xml:space="preserve">shows what pathway(s) might be followed, i.e. several </w:t>
      </w:r>
      <w:r w:rsidRPr="00DA1B92">
        <w:rPr>
          <w:bCs/>
          <w:i/>
          <w:iCs/>
          <w:szCs w:val="22"/>
        </w:rPr>
        <w:t>paths</w:t>
      </w:r>
      <w:r w:rsidRPr="00DA1B92">
        <w:rPr>
          <w:bCs/>
          <w:szCs w:val="22"/>
        </w:rPr>
        <w:t xml:space="preserve">, and such </w:t>
      </w:r>
      <w:r w:rsidRPr="00DA1B92">
        <w:rPr>
          <w:bCs/>
          <w:i/>
          <w:iCs/>
          <w:szCs w:val="22"/>
        </w:rPr>
        <w:t xml:space="preserve">paths </w:t>
      </w:r>
      <w:r w:rsidRPr="00DA1B92">
        <w:rPr>
          <w:bCs/>
          <w:szCs w:val="22"/>
        </w:rPr>
        <w:t xml:space="preserve">show diverse measures, including the measures to be taken first and </w:t>
      </w:r>
      <w:r w:rsidRPr="00DA1B92">
        <w:rPr>
          <w:bCs/>
          <w:i/>
          <w:iCs/>
          <w:szCs w:val="22"/>
        </w:rPr>
        <w:t>options ahead</w:t>
      </w:r>
      <w:r w:rsidRPr="00DA1B92">
        <w:rPr>
          <w:bCs/>
          <w:szCs w:val="22"/>
        </w:rPr>
        <w:t xml:space="preserve"> (</w:t>
      </w:r>
      <w:proofErr w:type="spellStart"/>
      <w:r w:rsidRPr="00DA1B92">
        <w:rPr>
          <w:bCs/>
          <w:color w:val="7F7F7F" w:themeColor="text1" w:themeTint="80"/>
          <w:szCs w:val="22"/>
        </w:rPr>
        <w:t>Jeuken</w:t>
      </w:r>
      <w:proofErr w:type="spellEnd"/>
      <w:r w:rsidRPr="00DA1B92">
        <w:rPr>
          <w:bCs/>
          <w:color w:val="7F7F7F" w:themeColor="text1" w:themeTint="80"/>
          <w:szCs w:val="22"/>
        </w:rPr>
        <w:t xml:space="preserve"> and Reeder 2011, p.5</w:t>
      </w:r>
      <w:r w:rsidRPr="00DA1B92">
        <w:rPr>
          <w:bCs/>
          <w:szCs w:val="22"/>
        </w:rPr>
        <w:t xml:space="preserve">). In each </w:t>
      </w:r>
      <w:r w:rsidRPr="00DA1B92">
        <w:rPr>
          <w:bCs/>
          <w:i/>
          <w:iCs/>
          <w:szCs w:val="22"/>
        </w:rPr>
        <w:t>Preferential Strategy</w:t>
      </w:r>
      <w:r w:rsidRPr="00DA1B92">
        <w:rPr>
          <w:bCs/>
          <w:szCs w:val="22"/>
        </w:rPr>
        <w:t xml:space="preserve">, there is a map of </w:t>
      </w:r>
      <w:r w:rsidRPr="00DA1B92">
        <w:rPr>
          <w:bCs/>
          <w:i/>
          <w:iCs/>
          <w:szCs w:val="22"/>
        </w:rPr>
        <w:t>adaptation paths</w:t>
      </w:r>
      <w:r w:rsidRPr="00DA1B92">
        <w:rPr>
          <w:bCs/>
          <w:szCs w:val="22"/>
        </w:rPr>
        <w:t xml:space="preserve"> (pathways) that shows what measures need to be taken and when (</w:t>
      </w:r>
      <w:r w:rsidRPr="00DA1B92">
        <w:rPr>
          <w:bCs/>
          <w:color w:val="7F7F7F" w:themeColor="text1" w:themeTint="80"/>
          <w:szCs w:val="22"/>
        </w:rPr>
        <w:t>DP 2014, p.47; 2012, p.82</w:t>
      </w:r>
      <w:r w:rsidRPr="00DA1B92">
        <w:rPr>
          <w:bCs/>
          <w:szCs w:val="22"/>
        </w:rPr>
        <w:t>), namely when a change of measure, or strategy (</w:t>
      </w:r>
      <w:r w:rsidRPr="00DA1B92">
        <w:rPr>
          <w:bCs/>
          <w:i/>
          <w:iCs/>
          <w:szCs w:val="22"/>
        </w:rPr>
        <w:t>path</w:t>
      </w:r>
      <w:r w:rsidRPr="00DA1B92">
        <w:rPr>
          <w:bCs/>
          <w:szCs w:val="22"/>
        </w:rPr>
        <w:t>), is necessary or possible (</w:t>
      </w:r>
      <w:r w:rsidRPr="00DA1B92">
        <w:rPr>
          <w:bCs/>
          <w:color w:val="7F7F7F" w:themeColor="text1" w:themeTint="80"/>
          <w:szCs w:val="22"/>
        </w:rPr>
        <w:t>Alphen 2015, p.313</w:t>
      </w:r>
      <w:r w:rsidRPr="00DA1B92">
        <w:rPr>
          <w:bCs/>
          <w:szCs w:val="22"/>
        </w:rPr>
        <w:t>).</w:t>
      </w:r>
      <w:r w:rsidRPr="00DA1B92">
        <w:rPr>
          <w:rStyle w:val="Refdenotaderodap"/>
          <w:bCs/>
          <w:szCs w:val="22"/>
        </w:rPr>
        <w:footnoteReference w:id="101"/>
      </w:r>
      <w:r w:rsidRPr="00DA1B92">
        <w:rPr>
          <w:bCs/>
          <w:szCs w:val="22"/>
        </w:rPr>
        <w:t xml:space="preserve"> </w:t>
      </w:r>
    </w:p>
    <w:p w14:paraId="24470DED" w14:textId="1684AC6C" w:rsidR="00106A2C" w:rsidRPr="009B720F" w:rsidRDefault="00106A2C" w:rsidP="00E74925">
      <w:pPr>
        <w:pStyle w:val="TEXTBODY"/>
        <w:spacing w:line="276" w:lineRule="auto"/>
        <w:ind w:left="993"/>
        <w:rPr>
          <w:bCs/>
          <w:szCs w:val="22"/>
        </w:rPr>
      </w:pPr>
      <w:r w:rsidRPr="00DA1B92">
        <w:rPr>
          <w:bCs/>
          <w:szCs w:val="22"/>
        </w:rPr>
        <w:t xml:space="preserve">Overall, the ‘APs method’ </w:t>
      </w:r>
      <w:r w:rsidRPr="00DA1B92">
        <w:rPr>
          <w:bCs/>
          <w:i/>
          <w:iCs/>
          <w:szCs w:val="22"/>
        </w:rPr>
        <w:t>allows for switching between measures</w:t>
      </w:r>
      <w:r w:rsidRPr="00DA1B92">
        <w:rPr>
          <w:bCs/>
          <w:i/>
          <w:iCs/>
          <w:sz w:val="23"/>
          <w:szCs w:val="23"/>
        </w:rPr>
        <w:t xml:space="preserve"> </w:t>
      </w:r>
      <w:r w:rsidRPr="00DA1B92">
        <w:rPr>
          <w:bCs/>
          <w:i/>
          <w:iCs/>
          <w:szCs w:val="22"/>
        </w:rPr>
        <w:t>along the pathways when needed in view of socioeconomic developments or CC</w:t>
      </w:r>
      <w:r w:rsidRPr="00DA1B92">
        <w:rPr>
          <w:bCs/>
          <w:szCs w:val="22"/>
        </w:rPr>
        <w:t xml:space="preserve">’ </w:t>
      </w:r>
      <w:r w:rsidRPr="00DA1B92">
        <w:rPr>
          <w:bCs/>
          <w:color w:val="231F20"/>
          <w:szCs w:val="22"/>
        </w:rPr>
        <w:t>(</w:t>
      </w:r>
      <w:r w:rsidRPr="00DA1B92">
        <w:rPr>
          <w:bCs/>
          <w:color w:val="7F7F7F" w:themeColor="text1" w:themeTint="80"/>
          <w:szCs w:val="22"/>
        </w:rPr>
        <w:t xml:space="preserve">Haegen and </w:t>
      </w:r>
      <w:proofErr w:type="spellStart"/>
      <w:r w:rsidRPr="00DA1B92">
        <w:rPr>
          <w:bCs/>
          <w:color w:val="7F7F7F" w:themeColor="text1" w:themeTint="80"/>
          <w:szCs w:val="22"/>
        </w:rPr>
        <w:t>Wieriks</w:t>
      </w:r>
      <w:proofErr w:type="spellEnd"/>
      <w:r w:rsidRPr="00DA1B92">
        <w:rPr>
          <w:bCs/>
          <w:color w:val="7F7F7F" w:themeColor="text1" w:themeTint="80"/>
          <w:szCs w:val="22"/>
        </w:rPr>
        <w:t xml:space="preserve"> 2015, p.56, 50, 54</w:t>
      </w:r>
      <w:r w:rsidRPr="00DA1B92">
        <w:rPr>
          <w:bCs/>
          <w:color w:val="231F20"/>
          <w:szCs w:val="22"/>
        </w:rPr>
        <w:t xml:space="preserve">). </w:t>
      </w:r>
      <w:r w:rsidRPr="00DA1B92">
        <w:rPr>
          <w:bCs/>
          <w:szCs w:val="22"/>
        </w:rPr>
        <w:t xml:space="preserve">The APs’ map shows a range of possible measures (options) from which one can choose </w:t>
      </w:r>
      <w:r w:rsidRPr="00DA1B92">
        <w:rPr>
          <w:bCs/>
          <w:color w:val="231F20"/>
          <w:szCs w:val="22"/>
        </w:rPr>
        <w:t>(</w:t>
      </w:r>
      <w:r w:rsidRPr="00DA1B92">
        <w:rPr>
          <w:bCs/>
          <w:color w:val="7F7F7F" w:themeColor="text1" w:themeTint="80"/>
          <w:szCs w:val="22"/>
        </w:rPr>
        <w:t xml:space="preserve">Haegen and </w:t>
      </w:r>
      <w:proofErr w:type="spellStart"/>
      <w:r w:rsidRPr="00DA1B92">
        <w:rPr>
          <w:bCs/>
          <w:color w:val="7F7F7F" w:themeColor="text1" w:themeTint="80"/>
          <w:szCs w:val="22"/>
        </w:rPr>
        <w:t>Wieriks</w:t>
      </w:r>
      <w:proofErr w:type="spellEnd"/>
      <w:r w:rsidRPr="00DA1B92">
        <w:rPr>
          <w:bCs/>
          <w:color w:val="7F7F7F" w:themeColor="text1" w:themeTint="80"/>
          <w:szCs w:val="22"/>
        </w:rPr>
        <w:t xml:space="preserve"> 2015, p.50</w:t>
      </w:r>
      <w:r w:rsidRPr="00DA1B92">
        <w:rPr>
          <w:bCs/>
          <w:szCs w:val="22"/>
        </w:rPr>
        <w:t>).</w:t>
      </w:r>
      <w:r w:rsidRPr="00DA1B92">
        <w:rPr>
          <w:bCs/>
        </w:rPr>
        <w:t xml:space="preserve"> The design of </w:t>
      </w:r>
      <w:r w:rsidRPr="00DA1B92">
        <w:rPr>
          <w:bCs/>
          <w:i/>
          <w:iCs/>
        </w:rPr>
        <w:t>adaptation pathways</w:t>
      </w:r>
      <w:r w:rsidRPr="00DA1B92">
        <w:rPr>
          <w:bCs/>
        </w:rPr>
        <w:t xml:space="preserve"> implied the identification of various possible measures as </w:t>
      </w:r>
      <w:r w:rsidRPr="00DA1B92">
        <w:rPr>
          <w:bCs/>
          <w:i/>
          <w:iCs/>
        </w:rPr>
        <w:t>strategic alternatives</w:t>
      </w:r>
      <w:r w:rsidRPr="00DA1B92">
        <w:rPr>
          <w:bCs/>
        </w:rPr>
        <w:t xml:space="preserve"> (</w:t>
      </w:r>
      <w:r w:rsidRPr="00DA1B92">
        <w:rPr>
          <w:bCs/>
          <w:color w:val="7F7F7F" w:themeColor="text1" w:themeTint="80"/>
        </w:rPr>
        <w:t>Werners et al. 2016</w:t>
      </w:r>
      <w:r w:rsidRPr="00DA1B92">
        <w:rPr>
          <w:bCs/>
        </w:rPr>
        <w:t xml:space="preserve">).  </w:t>
      </w:r>
      <w:r w:rsidR="00D31A64" w:rsidRPr="00DA1B92">
        <w:rPr>
          <w:bCs/>
        </w:rPr>
        <w:t>The flexibility of a strategy</w:t>
      </w:r>
      <w:r w:rsidR="00D31A64" w:rsidRPr="00DA1B92">
        <w:rPr>
          <w:bCs/>
          <w:i/>
          <w:iCs/>
        </w:rPr>
        <w:t xml:space="preserve"> </w:t>
      </w:r>
      <w:r w:rsidR="00D31A64" w:rsidRPr="00DA1B92">
        <w:rPr>
          <w:bCs/>
        </w:rPr>
        <w:t>could be increased</w:t>
      </w:r>
      <w:r w:rsidR="00D31A64" w:rsidRPr="00DA1B92">
        <w:rPr>
          <w:bCs/>
          <w:i/>
          <w:iCs/>
        </w:rPr>
        <w:t xml:space="preserve"> ‘if there is the possibility of switching to other measures</w:t>
      </w:r>
      <w:r w:rsidR="00D31A64" w:rsidRPr="00DA1B92">
        <w:rPr>
          <w:bCs/>
        </w:rPr>
        <w:t>’ (</w:t>
      </w:r>
      <w:proofErr w:type="spellStart"/>
      <w:r w:rsidR="00D31A64" w:rsidRPr="00DA1B92">
        <w:rPr>
          <w:bCs/>
          <w:color w:val="7F7F7F" w:themeColor="text1" w:themeTint="80"/>
        </w:rPr>
        <w:t>Jeuken</w:t>
      </w:r>
      <w:proofErr w:type="spellEnd"/>
      <w:r w:rsidR="00D31A64" w:rsidRPr="00DA1B92">
        <w:rPr>
          <w:bCs/>
          <w:color w:val="7F7F7F" w:themeColor="text1" w:themeTint="80"/>
        </w:rPr>
        <w:t xml:space="preserve"> et al. 2014, p.18</w:t>
      </w:r>
      <w:r w:rsidR="00D31A64" w:rsidRPr="009B720F">
        <w:rPr>
          <w:bCs/>
        </w:rPr>
        <w:t>).</w:t>
      </w:r>
    </w:p>
    <w:p w14:paraId="7907F071" w14:textId="3C4FBABB" w:rsidR="00996CFA" w:rsidRPr="009B720F" w:rsidRDefault="00A61A74" w:rsidP="00E74925">
      <w:pPr>
        <w:pStyle w:val="TEXTBODY"/>
        <w:numPr>
          <w:ilvl w:val="0"/>
          <w:numId w:val="27"/>
        </w:numPr>
        <w:spacing w:line="276" w:lineRule="auto"/>
        <w:ind w:left="284" w:hanging="284"/>
        <w:rPr>
          <w:bCs/>
        </w:rPr>
      </w:pPr>
      <w:r w:rsidRPr="009B720F">
        <w:rPr>
          <w:bCs/>
        </w:rPr>
        <w:t>By allowing altering the timing of implementation of measures, e.g. by anticipating / postponing measures in time (</w:t>
      </w:r>
      <w:r w:rsidR="005C558F">
        <w:rPr>
          <w:bCs/>
          <w:color w:val="7F7F7F" w:themeColor="text1" w:themeTint="80"/>
        </w:rPr>
        <w:t>Brugge and Bruggeman 2019</w:t>
      </w:r>
      <w:r w:rsidRPr="009B720F">
        <w:rPr>
          <w:bCs/>
          <w:color w:val="7F7F7F" w:themeColor="text1" w:themeTint="80"/>
        </w:rPr>
        <w:t>, p.2</w:t>
      </w:r>
      <w:r w:rsidRPr="009B720F">
        <w:rPr>
          <w:bCs/>
        </w:rPr>
        <w:t xml:space="preserve">), or by </w:t>
      </w:r>
      <w:r w:rsidRPr="009B720F">
        <w:rPr>
          <w:rFonts w:cs="Arial"/>
          <w:bCs/>
          <w:i/>
          <w:iCs/>
          <w:szCs w:val="18"/>
        </w:rPr>
        <w:t>accelerating or slowing down the implementation of measures</w:t>
      </w:r>
      <w:r w:rsidRPr="009B720F">
        <w:rPr>
          <w:rFonts w:cs="Arial"/>
          <w:bCs/>
          <w:szCs w:val="18"/>
        </w:rPr>
        <w:t xml:space="preserve"> (</w:t>
      </w:r>
      <w:r w:rsidRPr="009B720F">
        <w:rPr>
          <w:bCs/>
          <w:color w:val="7F7F7F" w:themeColor="text1" w:themeTint="80"/>
        </w:rPr>
        <w:t>DP 2014, p.136</w:t>
      </w:r>
      <w:r w:rsidRPr="009B720F">
        <w:rPr>
          <w:rFonts w:cs="Arial"/>
          <w:bCs/>
          <w:szCs w:val="18"/>
        </w:rPr>
        <w:t xml:space="preserve">), </w:t>
      </w:r>
      <w:r w:rsidRPr="009B720F">
        <w:rPr>
          <w:bCs/>
        </w:rPr>
        <w:t xml:space="preserve">i.e. through the possibility to speed up / slow down </w:t>
      </w:r>
      <w:r w:rsidRPr="00DA1B92">
        <w:rPr>
          <w:bCs/>
        </w:rPr>
        <w:t>measures</w:t>
      </w:r>
      <w:r w:rsidRPr="00DA1B92">
        <w:rPr>
          <w:bCs/>
          <w:i/>
        </w:rPr>
        <w:t xml:space="preserve"> </w:t>
      </w:r>
      <w:r w:rsidRPr="00DA1B92">
        <w:rPr>
          <w:bCs/>
          <w:color w:val="231F20"/>
        </w:rPr>
        <w:t>(</w:t>
      </w:r>
      <w:r w:rsidRPr="00DA1B92">
        <w:rPr>
          <w:bCs/>
          <w:color w:val="7F7F7F" w:themeColor="text1" w:themeTint="80"/>
        </w:rPr>
        <w:t>Klijn et al. 2015, p.848; 2016, p.2</w:t>
      </w:r>
      <w:r w:rsidRPr="00DA1B92">
        <w:rPr>
          <w:bCs/>
        </w:rPr>
        <w:t xml:space="preserve">, and </w:t>
      </w:r>
      <w:r w:rsidRPr="00DA1B92">
        <w:rPr>
          <w:bCs/>
          <w:color w:val="7F7F7F" w:themeColor="text1" w:themeTint="80"/>
        </w:rPr>
        <w:t>Werners et al. 2016, based on Rhee 2012; Vink et al. 2013, p.96-97</w:t>
      </w:r>
      <w:r w:rsidRPr="00DA1B92">
        <w:rPr>
          <w:bCs/>
          <w:color w:val="231F20"/>
        </w:rPr>
        <w:t xml:space="preserve">), by using measures that can be </w:t>
      </w:r>
      <w:r w:rsidRPr="00DA1B92">
        <w:rPr>
          <w:bCs/>
          <w:i/>
          <w:iCs/>
          <w:color w:val="231F20"/>
        </w:rPr>
        <w:t xml:space="preserve">relatively </w:t>
      </w:r>
      <w:r w:rsidRPr="00DA1B92">
        <w:rPr>
          <w:rFonts w:eastAsia="RijksoverheidSansText-Regular"/>
          <w:bCs/>
          <w:i/>
          <w:iCs/>
        </w:rPr>
        <w:t xml:space="preserve">easily accelerated or decelerated up to the implementation stage </w:t>
      </w:r>
      <w:r w:rsidRPr="00DA1B92">
        <w:rPr>
          <w:rFonts w:eastAsia="RijksoverheidSansText-Regular"/>
          <w:bCs/>
        </w:rPr>
        <w:t>(</w:t>
      </w:r>
      <w:r w:rsidRPr="00DA1B92">
        <w:rPr>
          <w:rFonts w:eastAsia="RijksoverheidSansText-Regular"/>
          <w:bCs/>
          <w:color w:val="7F7F7F" w:themeColor="text1" w:themeTint="80"/>
        </w:rPr>
        <w:t>DP 2010, p.70</w:t>
      </w:r>
      <w:r w:rsidRPr="00DA1B92">
        <w:rPr>
          <w:rFonts w:eastAsia="RijksoverheidSansText-Regular"/>
          <w:bCs/>
        </w:rPr>
        <w:t xml:space="preserve">). </w:t>
      </w:r>
      <w:r w:rsidRPr="00DA1B92">
        <w:rPr>
          <w:rFonts w:cs="Arial"/>
          <w:bCs/>
          <w:szCs w:val="18"/>
        </w:rPr>
        <w:t>The strategies, and / or measures within them, might be advanced or postponed</w:t>
      </w:r>
      <w:r w:rsidRPr="00DA1B92">
        <w:rPr>
          <w:bCs/>
        </w:rPr>
        <w:t>, and/or adjusted in terms of scope and design (</w:t>
      </w:r>
      <w:r w:rsidRPr="00DA1B92">
        <w:rPr>
          <w:bCs/>
          <w:color w:val="7F7F7F" w:themeColor="text1" w:themeTint="80"/>
        </w:rPr>
        <w:t>DP 2014, p.136</w:t>
      </w:r>
      <w:r w:rsidRPr="00DA1B92">
        <w:rPr>
          <w:bCs/>
        </w:rPr>
        <w:t>).</w:t>
      </w:r>
      <w:r w:rsidR="00B40A52" w:rsidRPr="00DA1B92">
        <w:rPr>
          <w:bCs/>
        </w:rPr>
        <w:t xml:space="preserve"> In the APs approach, a measure can be postponed or advanced in time, as conditions change and new information emerges </w:t>
      </w:r>
      <w:r w:rsidR="00B40A52" w:rsidRPr="00DA1B92">
        <w:rPr>
          <w:bCs/>
          <w:color w:val="231F20"/>
        </w:rPr>
        <w:t>(</w:t>
      </w:r>
      <w:r w:rsidR="00B40A52" w:rsidRPr="00DA1B92">
        <w:rPr>
          <w:bCs/>
          <w:color w:val="7F7F7F" w:themeColor="text1" w:themeTint="80"/>
        </w:rPr>
        <w:t xml:space="preserve">Haegen and </w:t>
      </w:r>
      <w:proofErr w:type="spellStart"/>
      <w:r w:rsidR="00B40A52" w:rsidRPr="00DA1B92">
        <w:rPr>
          <w:bCs/>
          <w:color w:val="7F7F7F" w:themeColor="text1" w:themeTint="80"/>
        </w:rPr>
        <w:t>Wieriks</w:t>
      </w:r>
      <w:proofErr w:type="spellEnd"/>
      <w:r w:rsidR="00B40A52" w:rsidRPr="00DA1B92">
        <w:rPr>
          <w:bCs/>
          <w:color w:val="7F7F7F" w:themeColor="text1" w:themeTint="80"/>
        </w:rPr>
        <w:t xml:space="preserve"> 2015, p.54, 56, 48; Alphen 2013 </w:t>
      </w:r>
      <w:r w:rsidR="00B40A52" w:rsidRPr="00DA1B92">
        <w:rPr>
          <w:bCs/>
          <w:i/>
          <w:iCs/>
          <w:color w:val="7F7F7F" w:themeColor="text1" w:themeTint="80"/>
        </w:rPr>
        <w:t>in</w:t>
      </w:r>
      <w:r w:rsidR="00B40A52" w:rsidRPr="00DA1B92">
        <w:rPr>
          <w:bCs/>
          <w:color w:val="7F7F7F" w:themeColor="text1" w:themeTint="80"/>
        </w:rPr>
        <w:t xml:space="preserve"> Zevenbergen et al. 2018; Zandvoort et al. 2018, p.191</w:t>
      </w:r>
      <w:r w:rsidR="00B40A52" w:rsidRPr="00DA1B92">
        <w:rPr>
          <w:bCs/>
        </w:rPr>
        <w:t xml:space="preserve">).  </w:t>
      </w:r>
    </w:p>
    <w:p w14:paraId="6EF06570" w14:textId="703C985F" w:rsidR="00996CFA" w:rsidRPr="00DA1B92" w:rsidRDefault="00A61A74" w:rsidP="00E74925">
      <w:pPr>
        <w:pStyle w:val="TEXTBODY"/>
        <w:numPr>
          <w:ilvl w:val="0"/>
          <w:numId w:val="27"/>
        </w:numPr>
        <w:spacing w:line="276" w:lineRule="auto"/>
        <w:ind w:left="284" w:hanging="284"/>
        <w:rPr>
          <w:bCs/>
        </w:rPr>
      </w:pPr>
      <w:r w:rsidRPr="00DA1B92">
        <w:rPr>
          <w:rFonts w:cs="Arial"/>
          <w:bCs/>
          <w:szCs w:val="18"/>
        </w:rPr>
        <w:t>By using</w:t>
      </w:r>
      <w:r w:rsidRPr="00DA1B92">
        <w:rPr>
          <w:rFonts w:cs="Arial"/>
          <w:bCs/>
          <w:i/>
          <w:iCs/>
          <w:szCs w:val="18"/>
        </w:rPr>
        <w:t xml:space="preserve"> </w:t>
      </w:r>
      <w:r w:rsidRPr="00DA1B92">
        <w:rPr>
          <w:rFonts w:cs="Arial"/>
          <w:bCs/>
          <w:szCs w:val="18"/>
        </w:rPr>
        <w:t xml:space="preserve">measures that are </w:t>
      </w:r>
      <w:r w:rsidRPr="00DA1B92">
        <w:rPr>
          <w:rFonts w:cs="Arial"/>
          <w:bCs/>
          <w:i/>
          <w:iCs/>
          <w:szCs w:val="18"/>
        </w:rPr>
        <w:t>robust</w:t>
      </w:r>
      <w:r w:rsidR="007456F7" w:rsidRPr="00DA1B92">
        <w:rPr>
          <w:rFonts w:cs="Arial"/>
          <w:bCs/>
          <w:szCs w:val="18"/>
        </w:rPr>
        <w:t xml:space="preserve">. </w:t>
      </w:r>
      <w:r w:rsidRPr="00DA1B92">
        <w:rPr>
          <w:rFonts w:cs="Arial"/>
          <w:bCs/>
          <w:szCs w:val="18"/>
        </w:rPr>
        <w:t xml:space="preserve">The DP searched for short-term measures that are adequate in the long-term and enhance the system’s robustness and flexibility, making it suited for diverse scenarios </w:t>
      </w:r>
      <w:r w:rsidRPr="00DA1B92">
        <w:rPr>
          <w:rFonts w:eastAsia="RijksoverheidSansText-Regular" w:cs="Arial"/>
          <w:bCs/>
          <w:color w:val="000000"/>
          <w:szCs w:val="18"/>
        </w:rPr>
        <w:t>(</w:t>
      </w:r>
      <w:r w:rsidRPr="00DA1B92">
        <w:rPr>
          <w:rFonts w:eastAsia="RijksoverheidSansText-Regular" w:cs="Arial"/>
          <w:bCs/>
          <w:color w:val="7F7F7F" w:themeColor="text1" w:themeTint="80"/>
          <w:szCs w:val="18"/>
        </w:rPr>
        <w:t>DP 2010, p.69</w:t>
      </w:r>
      <w:r w:rsidRPr="00DA1B92">
        <w:rPr>
          <w:rFonts w:eastAsia="RijksoverheidSansText-Regular" w:cs="Arial"/>
          <w:bCs/>
          <w:color w:val="000000"/>
          <w:szCs w:val="18"/>
        </w:rPr>
        <w:t>).</w:t>
      </w:r>
      <w:r w:rsidRPr="00DA1B92">
        <w:rPr>
          <w:rFonts w:eastAsia="RijksoverheidSerif-Regular"/>
          <w:bCs/>
          <w:lang w:eastAsia="en-US"/>
        </w:rPr>
        <w:t xml:space="preserve"> </w:t>
      </w:r>
      <w:r w:rsidRPr="00DA1B92">
        <w:rPr>
          <w:rFonts w:cs="Arial"/>
          <w:bCs/>
          <w:color w:val="C00000"/>
          <w:szCs w:val="18"/>
        </w:rPr>
        <w:t xml:space="preserve"> </w:t>
      </w:r>
      <w:r w:rsidR="00996CFA" w:rsidRPr="00DA1B92">
        <w:rPr>
          <w:bCs/>
          <w:szCs w:val="18"/>
        </w:rPr>
        <w:t>The</w:t>
      </w:r>
      <w:r w:rsidR="00996CFA" w:rsidRPr="00DA1B92">
        <w:rPr>
          <w:bCs/>
        </w:rPr>
        <w:t xml:space="preserve"> DP aimed at developing a robust FRM system that is prepared for various scenarios and able to ‘</w:t>
      </w:r>
      <w:r w:rsidR="00996CFA" w:rsidRPr="00DA1B92">
        <w:rPr>
          <w:bCs/>
          <w:i/>
          <w:iCs/>
        </w:rPr>
        <w:t>withstand the (greater) climatic extremes in a resilient manner</w:t>
      </w:r>
      <w:r w:rsidR="00996CFA" w:rsidRPr="00DA1B92">
        <w:rPr>
          <w:bCs/>
        </w:rPr>
        <w:t xml:space="preserve">’ </w:t>
      </w:r>
      <w:r w:rsidR="00996CFA" w:rsidRPr="00DA1B92">
        <w:rPr>
          <w:bCs/>
          <w:szCs w:val="18"/>
        </w:rPr>
        <w:t>(</w:t>
      </w:r>
      <w:r w:rsidR="00996CFA" w:rsidRPr="00DA1B92">
        <w:rPr>
          <w:bCs/>
          <w:color w:val="7F7F7F" w:themeColor="text1" w:themeTint="80"/>
          <w:szCs w:val="18"/>
        </w:rPr>
        <w:t>DP 2014, p.6</w:t>
      </w:r>
      <w:r w:rsidR="00996CFA" w:rsidRPr="00DA1B92">
        <w:rPr>
          <w:bCs/>
          <w:szCs w:val="18"/>
        </w:rPr>
        <w:t>)</w:t>
      </w:r>
      <w:r w:rsidR="00996CFA" w:rsidRPr="00DA1B92">
        <w:rPr>
          <w:bCs/>
        </w:rPr>
        <w:t xml:space="preserve">.  </w:t>
      </w:r>
    </w:p>
    <w:p w14:paraId="5AC167B7" w14:textId="59BB73B8" w:rsidR="007456F7" w:rsidRPr="00DA1B92" w:rsidRDefault="007456F7" w:rsidP="00E74925">
      <w:pPr>
        <w:pStyle w:val="TEXTBODY"/>
        <w:numPr>
          <w:ilvl w:val="0"/>
          <w:numId w:val="75"/>
        </w:numPr>
        <w:spacing w:after="80" w:line="276" w:lineRule="auto"/>
        <w:ind w:left="1276"/>
        <w:rPr>
          <w:bCs/>
          <w:sz w:val="23"/>
          <w:szCs w:val="23"/>
        </w:rPr>
      </w:pPr>
      <w:r w:rsidRPr="00DA1B92">
        <w:rPr>
          <w:bCs/>
        </w:rPr>
        <w:t>Using measures that are flexible and / or robust. In the DP,</w:t>
      </w:r>
      <w:r w:rsidRPr="00DA1B92">
        <w:rPr>
          <w:bCs/>
          <w:i/>
          <w:iCs/>
        </w:rPr>
        <w:t xml:space="preserve"> adaptive strategies</w:t>
      </w:r>
      <w:r w:rsidRPr="00DA1B92">
        <w:rPr>
          <w:bCs/>
        </w:rPr>
        <w:t xml:space="preserve"> could benefit from the inclusion of </w:t>
      </w:r>
      <w:r w:rsidRPr="00DA1B92">
        <w:rPr>
          <w:bCs/>
          <w:i/>
          <w:iCs/>
        </w:rPr>
        <w:t>flexible measures</w:t>
      </w:r>
      <w:r w:rsidRPr="00DA1B92">
        <w:rPr>
          <w:bCs/>
        </w:rPr>
        <w:t>, i.e. measures that are ‘</w:t>
      </w:r>
      <w:r w:rsidRPr="00DA1B92">
        <w:rPr>
          <w:bCs/>
          <w:i/>
          <w:iCs/>
        </w:rPr>
        <w:t>easy to alter, speed up or slow down depending on the measured CC</w:t>
      </w:r>
      <w:r w:rsidRPr="00DA1B92">
        <w:rPr>
          <w:bCs/>
        </w:rPr>
        <w:t xml:space="preserve">’ (e.g. nature-based measures like beach nourishment, or vegetated foreshores in front of defences, which are more flexible than ‘fixed’ hard defences); or, on the other hand, in some cases, it might be preferable to use </w:t>
      </w:r>
      <w:r w:rsidRPr="00DA1B92">
        <w:rPr>
          <w:bCs/>
          <w:i/>
          <w:iCs/>
        </w:rPr>
        <w:t>robust measures</w:t>
      </w:r>
      <w:r w:rsidRPr="00DA1B92">
        <w:rPr>
          <w:bCs/>
        </w:rPr>
        <w:t xml:space="preserve"> (that can deal with high-end scenarios), namely where</w:t>
      </w:r>
      <w:r w:rsidRPr="00DA1B92">
        <w:rPr>
          <w:bCs/>
          <w:i/>
          <w:iCs/>
        </w:rPr>
        <w:t xml:space="preserve"> ‘the cost of adjusting a measure later is high compared to a more robust initial design</w:t>
      </w:r>
      <w:r w:rsidRPr="00DA1B92">
        <w:rPr>
          <w:bCs/>
        </w:rPr>
        <w:t>’ (</w:t>
      </w:r>
      <w:r w:rsidRPr="00DA1B92">
        <w:rPr>
          <w:bCs/>
          <w:color w:val="7F7F7F" w:themeColor="text1" w:themeTint="80"/>
        </w:rPr>
        <w:t>Alphen 2015, p.313</w:t>
      </w:r>
      <w:r w:rsidRPr="00DA1B92">
        <w:rPr>
          <w:bCs/>
        </w:rPr>
        <w:t>).</w:t>
      </w:r>
    </w:p>
    <w:p w14:paraId="38CF2C4C" w14:textId="7D34CAE5" w:rsidR="00996CFA" w:rsidRPr="00DA1B92" w:rsidRDefault="00A61A74" w:rsidP="00E74925">
      <w:pPr>
        <w:pStyle w:val="TEXTBODY"/>
        <w:numPr>
          <w:ilvl w:val="0"/>
          <w:numId w:val="27"/>
        </w:numPr>
        <w:spacing w:line="276" w:lineRule="auto"/>
        <w:ind w:left="284" w:hanging="284"/>
        <w:rPr>
          <w:bCs/>
        </w:rPr>
      </w:pPr>
      <w:r w:rsidRPr="009B720F">
        <w:rPr>
          <w:rFonts w:eastAsia="RijksoverheidSerif-Regular"/>
          <w:bCs/>
          <w:lang w:eastAsia="en-US"/>
        </w:rPr>
        <w:t xml:space="preserve">By </w:t>
      </w:r>
      <w:r w:rsidR="00996CFA" w:rsidRPr="009B720F">
        <w:rPr>
          <w:rFonts w:eastAsia="RijksoverheidSerif-Regular"/>
          <w:bCs/>
          <w:lang w:eastAsia="en-US"/>
        </w:rPr>
        <w:t xml:space="preserve">using </w:t>
      </w:r>
      <w:r w:rsidRPr="009B720F">
        <w:rPr>
          <w:rFonts w:eastAsia="RijksoverheidSerif-Regular"/>
          <w:bCs/>
          <w:lang w:eastAsia="en-US"/>
        </w:rPr>
        <w:t>a variety of measures</w:t>
      </w:r>
      <w:r w:rsidRPr="009B720F">
        <w:rPr>
          <w:bCs/>
        </w:rPr>
        <w:t xml:space="preserve">, i.e. </w:t>
      </w:r>
      <w:r w:rsidRPr="009B720F">
        <w:rPr>
          <w:rFonts w:eastAsia="RijksoverheidSerif-Regular"/>
          <w:bCs/>
          <w:lang w:eastAsia="en-US"/>
        </w:rPr>
        <w:t>diverse types of measures (</w:t>
      </w:r>
      <w:r w:rsidRPr="009B720F">
        <w:rPr>
          <w:rFonts w:eastAsia="RijksoverheidSerif-Regular"/>
          <w:bCs/>
          <w:color w:val="7F7F7F" w:themeColor="text1" w:themeTint="80"/>
          <w:lang w:eastAsia="en-US"/>
        </w:rPr>
        <w:t xml:space="preserve">DP </w:t>
      </w:r>
      <w:r w:rsidRPr="009B720F">
        <w:rPr>
          <w:rFonts w:eastAsia="RijksoverheidSansText-Regular" w:cs="Arial"/>
          <w:bCs/>
          <w:color w:val="7F7F7F" w:themeColor="text1" w:themeTint="80"/>
          <w:szCs w:val="18"/>
        </w:rPr>
        <w:t>2014, p.169</w:t>
      </w:r>
      <w:r w:rsidRPr="009B720F">
        <w:rPr>
          <w:bCs/>
        </w:rPr>
        <w:t>).</w:t>
      </w:r>
      <w:r w:rsidR="00996CFA" w:rsidRPr="009B720F">
        <w:rPr>
          <w:bCs/>
        </w:rPr>
        <w:t xml:space="preserve"> The Dutch philosophy on FRM has widened with the introduction of the concept of </w:t>
      </w:r>
      <w:r w:rsidR="00996CFA" w:rsidRPr="009B720F">
        <w:rPr>
          <w:bCs/>
          <w:i/>
          <w:iCs/>
        </w:rPr>
        <w:t>Multi-layer Flood Risk Management</w:t>
      </w:r>
      <w:r w:rsidR="00996CFA" w:rsidRPr="009B720F">
        <w:rPr>
          <w:bCs/>
        </w:rPr>
        <w:t xml:space="preserve">, leading to greater </w:t>
      </w:r>
      <w:r w:rsidR="00996CFA" w:rsidRPr="009B720F">
        <w:rPr>
          <w:bCs/>
          <w:i/>
          <w:iCs/>
        </w:rPr>
        <w:t>flexibility</w:t>
      </w:r>
      <w:r w:rsidR="00996CFA" w:rsidRPr="009B720F">
        <w:rPr>
          <w:bCs/>
        </w:rPr>
        <w:t xml:space="preserve"> and robustness (</w:t>
      </w:r>
      <w:r w:rsidR="00996CFA" w:rsidRPr="009B720F">
        <w:rPr>
          <w:bCs/>
          <w:color w:val="7F7F7F" w:themeColor="text1" w:themeTint="80"/>
        </w:rPr>
        <w:t xml:space="preserve">Haegen and </w:t>
      </w:r>
      <w:proofErr w:type="spellStart"/>
      <w:r w:rsidR="00996CFA" w:rsidRPr="009B720F">
        <w:rPr>
          <w:bCs/>
          <w:color w:val="7F7F7F" w:themeColor="text1" w:themeTint="80"/>
        </w:rPr>
        <w:t>Wieriks</w:t>
      </w:r>
      <w:proofErr w:type="spellEnd"/>
      <w:r w:rsidR="00996CFA" w:rsidRPr="009B720F">
        <w:rPr>
          <w:bCs/>
          <w:color w:val="7F7F7F" w:themeColor="text1" w:themeTint="80"/>
        </w:rPr>
        <w:t xml:space="preserve"> 2015</w:t>
      </w:r>
      <w:r w:rsidR="00996CFA" w:rsidRPr="00DA1B92">
        <w:rPr>
          <w:bCs/>
        </w:rPr>
        <w:t xml:space="preserve">). </w:t>
      </w:r>
      <w:r w:rsidR="00996CFA" w:rsidRPr="00DA1B92">
        <w:rPr>
          <w:rFonts w:eastAsiaTheme="minorHAnsi"/>
          <w:bCs/>
          <w:lang w:eastAsia="en-US"/>
        </w:rPr>
        <w:t xml:space="preserve">A large heterogeneity of measures, and some ‘planned redundancy’ in solutions, help to increase the robustness and resilience </w:t>
      </w:r>
      <w:r w:rsidR="00996CFA" w:rsidRPr="00DA1B92">
        <w:rPr>
          <w:rFonts w:eastAsiaTheme="minorHAnsi"/>
          <w:bCs/>
          <w:lang w:eastAsia="en-US"/>
        </w:rPr>
        <w:lastRenderedPageBreak/>
        <w:t>of the FRM system (the risk of failure is distributed over many elements of the system, thus, if one solution fails, the whole system does not fail) (</w:t>
      </w:r>
      <w:proofErr w:type="spellStart"/>
      <w:r w:rsidR="00996CFA" w:rsidRPr="00DA1B92">
        <w:rPr>
          <w:rFonts w:eastAsiaTheme="minorHAnsi"/>
          <w:bCs/>
          <w:color w:val="7F7F7F" w:themeColor="text1" w:themeTint="80"/>
          <w:lang w:eastAsia="en-US"/>
        </w:rPr>
        <w:t>Jeuken</w:t>
      </w:r>
      <w:proofErr w:type="spellEnd"/>
      <w:r w:rsidR="00996CFA" w:rsidRPr="00DA1B92">
        <w:rPr>
          <w:rFonts w:eastAsiaTheme="minorHAnsi"/>
          <w:bCs/>
          <w:color w:val="7F7F7F" w:themeColor="text1" w:themeTint="80"/>
          <w:lang w:eastAsia="en-US"/>
        </w:rPr>
        <w:t xml:space="preserve"> et al. 2014, p.15</w:t>
      </w:r>
      <w:r w:rsidR="00996CFA" w:rsidRPr="00DA1B92">
        <w:rPr>
          <w:rFonts w:eastAsiaTheme="minorHAnsi"/>
          <w:bCs/>
          <w:lang w:eastAsia="en-US"/>
        </w:rPr>
        <w:t>).</w:t>
      </w:r>
      <w:r w:rsidR="00996CFA" w:rsidRPr="00DA1B92">
        <w:rPr>
          <w:bCs/>
        </w:rPr>
        <w:t xml:space="preserve"> </w:t>
      </w:r>
      <w:r w:rsidR="007D2351" w:rsidRPr="00DA1B92">
        <w:rPr>
          <w:rStyle w:val="Refdenotaderodap"/>
          <w:bCs/>
        </w:rPr>
        <w:footnoteReference w:id="102"/>
      </w:r>
    </w:p>
    <w:p w14:paraId="5E2925FF" w14:textId="2538BAF1" w:rsidR="007456F7" w:rsidRPr="00DA1B92" w:rsidRDefault="00A441C4" w:rsidP="00E74925">
      <w:pPr>
        <w:pStyle w:val="TEXTBODY"/>
        <w:numPr>
          <w:ilvl w:val="0"/>
          <w:numId w:val="27"/>
        </w:numPr>
        <w:spacing w:line="276" w:lineRule="auto"/>
        <w:ind w:left="284" w:hanging="284"/>
        <w:rPr>
          <w:bCs/>
        </w:rPr>
      </w:pPr>
      <w:r w:rsidRPr="00DA1B92">
        <w:rPr>
          <w:bCs/>
        </w:rPr>
        <w:t>By taking low-/no-regrets measures first.</w:t>
      </w:r>
      <w:r w:rsidR="00996CFA" w:rsidRPr="00DA1B92">
        <w:rPr>
          <w:bCs/>
          <w:color w:val="C00000"/>
        </w:rPr>
        <w:t xml:space="preserve"> </w:t>
      </w:r>
      <w:r w:rsidR="00996CFA" w:rsidRPr="00DA1B92">
        <w:rPr>
          <w:bCs/>
        </w:rPr>
        <w:t>The DP sought that the first steps (first measures taken) were ‘no-regret measures</w:t>
      </w:r>
      <w:r w:rsidR="00996CFA" w:rsidRPr="00DA1B92">
        <w:rPr>
          <w:rFonts w:eastAsia="RijksoverheidSansText-Regular"/>
          <w:bCs/>
          <w:color w:val="000000"/>
        </w:rPr>
        <w:t>’ (</w:t>
      </w:r>
      <w:r w:rsidR="00996CFA" w:rsidRPr="00DA1B92">
        <w:rPr>
          <w:bCs/>
        </w:rPr>
        <w:t xml:space="preserve">measures that are worthwhile in any scenario) </w:t>
      </w:r>
      <w:r w:rsidR="00996CFA" w:rsidRPr="00DA1B92">
        <w:rPr>
          <w:rFonts w:eastAsia="RijksoverheidSansText-Regular"/>
          <w:bCs/>
          <w:color w:val="000000"/>
        </w:rPr>
        <w:t>(</w:t>
      </w:r>
      <w:r w:rsidR="00996CFA" w:rsidRPr="00DA1B92">
        <w:rPr>
          <w:rFonts w:eastAsia="RijksoverheidSansText-Regular"/>
          <w:bCs/>
          <w:color w:val="7F7F7F" w:themeColor="text1" w:themeTint="80"/>
        </w:rPr>
        <w:t>DP 2012, p.88</w:t>
      </w:r>
      <w:r w:rsidR="00996CFA" w:rsidRPr="00DA1B92">
        <w:rPr>
          <w:rFonts w:eastAsia="RijksoverheidSansText-Regular"/>
          <w:bCs/>
          <w:color w:val="000000"/>
        </w:rPr>
        <w:t>).</w:t>
      </w:r>
      <w:r w:rsidRPr="00DA1B92">
        <w:rPr>
          <w:bCs/>
        </w:rPr>
        <w:t xml:space="preserve"> </w:t>
      </w:r>
      <w:r w:rsidRPr="00DA1B92">
        <w:rPr>
          <w:bCs/>
          <w:szCs w:val="22"/>
        </w:rPr>
        <w:t>Having the long-term vision in mind, the DP sought to prioritize no-regret actions (and s</w:t>
      </w:r>
      <w:r w:rsidRPr="00DA1B92">
        <w:rPr>
          <w:bCs/>
          <w:i/>
          <w:iCs/>
          <w:szCs w:val="22"/>
        </w:rPr>
        <w:t>cenario analysis</w:t>
      </w:r>
      <w:r w:rsidRPr="00DA1B92">
        <w:rPr>
          <w:bCs/>
          <w:szCs w:val="22"/>
        </w:rPr>
        <w:t xml:space="preserve"> was useful to assess the robustness of measures under various scenarios) (</w:t>
      </w:r>
      <w:r w:rsidRPr="00DA1B92">
        <w:rPr>
          <w:bCs/>
          <w:color w:val="7F7F7F" w:themeColor="text1" w:themeTint="80"/>
          <w:szCs w:val="22"/>
        </w:rPr>
        <w:t>Marchand and Ludwig 2014, p.2, 11</w:t>
      </w:r>
      <w:r w:rsidRPr="00DA1B92">
        <w:rPr>
          <w:bCs/>
          <w:szCs w:val="22"/>
        </w:rPr>
        <w:t>)</w:t>
      </w:r>
      <w:r w:rsidRPr="00DA1B92">
        <w:rPr>
          <w:bCs/>
          <w:szCs w:val="36"/>
        </w:rPr>
        <w:t>.</w:t>
      </w:r>
      <w:r w:rsidRPr="00DA1B92">
        <w:rPr>
          <w:rStyle w:val="Refdenotaderodap"/>
          <w:bCs/>
          <w:szCs w:val="36"/>
        </w:rPr>
        <w:footnoteReference w:id="103"/>
      </w:r>
      <w:r w:rsidRPr="00DA1B92">
        <w:rPr>
          <w:bCs/>
        </w:rPr>
        <w:t xml:space="preserve"> </w:t>
      </w:r>
      <w:r w:rsidRPr="00DA1B92">
        <w:rPr>
          <w:bCs/>
          <w:szCs w:val="22"/>
        </w:rPr>
        <w:t>I</w:t>
      </w:r>
      <w:r w:rsidRPr="00DA1B92">
        <w:rPr>
          <w:bCs/>
        </w:rPr>
        <w:t xml:space="preserve">n the implementation of an </w:t>
      </w:r>
      <w:r w:rsidRPr="00DA1B92">
        <w:rPr>
          <w:bCs/>
          <w:i/>
          <w:iCs/>
        </w:rPr>
        <w:t>adaptive plan</w:t>
      </w:r>
      <w:r w:rsidRPr="00DA1B92">
        <w:rPr>
          <w:bCs/>
        </w:rPr>
        <w:t>, decisions in the short-term should be used to implement first ‘low-regret actions’ (</w:t>
      </w:r>
      <w:proofErr w:type="spellStart"/>
      <w:r w:rsidRPr="00DA1B92">
        <w:rPr>
          <w:bCs/>
          <w:color w:val="7F7F7F" w:themeColor="text1" w:themeTint="80"/>
        </w:rPr>
        <w:t>Jeuken</w:t>
      </w:r>
      <w:proofErr w:type="spellEnd"/>
      <w:r w:rsidRPr="00DA1B92">
        <w:rPr>
          <w:bCs/>
          <w:color w:val="7F7F7F" w:themeColor="text1" w:themeTint="80"/>
        </w:rPr>
        <w:t xml:space="preserve"> et al. 2018, p.19</w:t>
      </w:r>
      <w:r w:rsidRPr="00DA1B92">
        <w:rPr>
          <w:bCs/>
        </w:rPr>
        <w:t xml:space="preserve">). </w:t>
      </w:r>
    </w:p>
    <w:p w14:paraId="664B08BF" w14:textId="4F3FD05C" w:rsidR="00996CFA" w:rsidRPr="00DA1B92" w:rsidRDefault="00996CFA" w:rsidP="00E74925">
      <w:pPr>
        <w:pStyle w:val="TEXTBODY"/>
        <w:numPr>
          <w:ilvl w:val="0"/>
          <w:numId w:val="27"/>
        </w:numPr>
        <w:spacing w:line="276" w:lineRule="auto"/>
        <w:ind w:left="284" w:hanging="284"/>
        <w:rPr>
          <w:bCs/>
        </w:rPr>
      </w:pPr>
      <w:r w:rsidRPr="00DA1B92">
        <w:rPr>
          <w:rFonts w:eastAsia="RijksoverheidSerif-Regular"/>
          <w:bCs/>
          <w:lang w:eastAsia="en-US"/>
        </w:rPr>
        <w:t xml:space="preserve">By </w:t>
      </w:r>
      <w:r w:rsidRPr="009B720F">
        <w:rPr>
          <w:bCs/>
        </w:rPr>
        <w:t xml:space="preserve">allocating land that might </w:t>
      </w:r>
      <w:r w:rsidRPr="00DA1B92">
        <w:rPr>
          <w:bCs/>
        </w:rPr>
        <w:t xml:space="preserve">be needed for measures in the </w:t>
      </w:r>
      <w:proofErr w:type="gramStart"/>
      <w:r w:rsidRPr="00DA1B92">
        <w:rPr>
          <w:bCs/>
        </w:rPr>
        <w:t>long-term, or</w:t>
      </w:r>
      <w:proofErr w:type="gramEnd"/>
      <w:r w:rsidRPr="00DA1B92">
        <w:rPr>
          <w:bCs/>
        </w:rPr>
        <w:t xml:space="preserve"> setting it for long-term spatial objectives or temporary uses (</w:t>
      </w:r>
      <w:r w:rsidRPr="00DA1B92">
        <w:rPr>
          <w:bCs/>
          <w:color w:val="7F7F7F" w:themeColor="text1" w:themeTint="80"/>
        </w:rPr>
        <w:t>DP 2010, p.70).</w:t>
      </w:r>
      <w:r w:rsidR="007456F7" w:rsidRPr="00DA1B92">
        <w:rPr>
          <w:bCs/>
          <w:color w:val="7F7F7F" w:themeColor="text1" w:themeTint="80"/>
        </w:rPr>
        <w:t xml:space="preserve"> </w:t>
      </w:r>
      <w:r w:rsidR="007456F7" w:rsidRPr="00DA1B92">
        <w:rPr>
          <w:bCs/>
          <w:szCs w:val="22"/>
        </w:rPr>
        <w:t xml:space="preserve">The DP defined measures (for the near future) necessary to keep options open in the long-term, namely </w:t>
      </w:r>
      <w:r w:rsidR="007456F7" w:rsidRPr="00DA1B92">
        <w:rPr>
          <w:bCs/>
          <w:i/>
          <w:iCs/>
          <w:szCs w:val="22"/>
        </w:rPr>
        <w:t>spatial reservations</w:t>
      </w:r>
      <w:r w:rsidR="007456F7" w:rsidRPr="00DA1B92">
        <w:rPr>
          <w:bCs/>
          <w:szCs w:val="22"/>
        </w:rPr>
        <w:t xml:space="preserve"> necessary to keep ‘</w:t>
      </w:r>
      <w:r w:rsidR="007456F7" w:rsidRPr="00DA1B92">
        <w:rPr>
          <w:bCs/>
          <w:i/>
          <w:iCs/>
          <w:szCs w:val="22"/>
        </w:rPr>
        <w:t>river widening’</w:t>
      </w:r>
      <w:r w:rsidR="007456F7" w:rsidRPr="00DA1B92">
        <w:rPr>
          <w:bCs/>
          <w:szCs w:val="22"/>
        </w:rPr>
        <w:t xml:space="preserve"> measures open for a long time (</w:t>
      </w:r>
      <w:proofErr w:type="spellStart"/>
      <w:r w:rsidR="007456F7" w:rsidRPr="00DA1B92">
        <w:rPr>
          <w:bCs/>
          <w:color w:val="7F7F7F" w:themeColor="text1" w:themeTint="80"/>
          <w:szCs w:val="22"/>
        </w:rPr>
        <w:t>Jeuken</w:t>
      </w:r>
      <w:proofErr w:type="spellEnd"/>
      <w:r w:rsidR="007456F7" w:rsidRPr="00DA1B92">
        <w:rPr>
          <w:bCs/>
          <w:color w:val="7F7F7F" w:themeColor="text1" w:themeTint="80"/>
          <w:szCs w:val="22"/>
        </w:rPr>
        <w:t xml:space="preserve"> et al. 2014, p.18</w:t>
      </w:r>
      <w:r w:rsidR="007456F7" w:rsidRPr="00DA1B92">
        <w:rPr>
          <w:bCs/>
          <w:szCs w:val="22"/>
        </w:rPr>
        <w:t>).</w:t>
      </w:r>
      <w:r w:rsidR="007456F7" w:rsidRPr="00DA1B92">
        <w:rPr>
          <w:bCs/>
          <w:color w:val="7F7F7F" w:themeColor="text1" w:themeTint="80"/>
          <w:szCs w:val="22"/>
        </w:rPr>
        <w:t xml:space="preserve"> </w:t>
      </w:r>
    </w:p>
    <w:p w14:paraId="4C265855" w14:textId="77777777" w:rsidR="000A40A4" w:rsidRDefault="00A61A74" w:rsidP="000A40A4">
      <w:pPr>
        <w:pStyle w:val="TEXTBODY"/>
        <w:numPr>
          <w:ilvl w:val="0"/>
          <w:numId w:val="27"/>
        </w:numPr>
        <w:spacing w:line="276" w:lineRule="auto"/>
        <w:ind w:left="284" w:hanging="284"/>
        <w:rPr>
          <w:bCs/>
        </w:rPr>
      </w:pPr>
      <w:r w:rsidRPr="00DA1B92">
        <w:rPr>
          <w:rFonts w:ascii="Times-Roman" w:eastAsiaTheme="minorHAnsi" w:hAnsi="Times-Roman" w:cs="Times-Roman"/>
          <w:bCs/>
          <w:lang w:eastAsia="en-US"/>
        </w:rPr>
        <w:t>According to Principle 4 (</w:t>
      </w:r>
      <w:r w:rsidRPr="00DA1B92">
        <w:rPr>
          <w:bCs/>
          <w:i/>
          <w:iCs/>
        </w:rPr>
        <w:t>linking FRM and FS measures with other investments and agendas of other actors or sectors</w:t>
      </w:r>
      <w:r w:rsidRPr="00DA1B92">
        <w:rPr>
          <w:bCs/>
        </w:rPr>
        <w:t>) (</w:t>
      </w:r>
      <w:r w:rsidRPr="00DA1B92">
        <w:rPr>
          <w:rFonts w:eastAsia="RijksoverheidSansText-Regular"/>
          <w:bCs/>
          <w:color w:val="7F7F7F" w:themeColor="text1" w:themeTint="80"/>
        </w:rPr>
        <w:t>DP 2014</w:t>
      </w:r>
      <w:r w:rsidRPr="00DA1B92">
        <w:rPr>
          <w:rFonts w:eastAsia="RijksoverheidSansText-Regular"/>
          <w:bCs/>
          <w:color w:val="00B050"/>
        </w:rPr>
        <w:t xml:space="preserve">, </w:t>
      </w:r>
      <w:r w:rsidRPr="00DA1B92">
        <w:rPr>
          <w:bCs/>
          <w:color w:val="7F7F7F" w:themeColor="text1" w:themeTint="80"/>
        </w:rPr>
        <w:t xml:space="preserve">p.169, 95, 47; </w:t>
      </w:r>
      <w:r w:rsidRPr="00DA1B92">
        <w:rPr>
          <w:rFonts w:eastAsia="RijksoverheidSansText-Regular"/>
          <w:bCs/>
          <w:color w:val="7F7F7F" w:themeColor="text1" w:themeTint="80"/>
        </w:rPr>
        <w:t>2012, p.88; 2013, p.102;</w:t>
      </w:r>
      <w:r w:rsidRPr="00DA1B92">
        <w:rPr>
          <w:bCs/>
          <w:color w:val="7F7F7F" w:themeColor="text1" w:themeTint="80"/>
        </w:rPr>
        <w:t xml:space="preserve"> 169; 2011, p.49</w:t>
      </w:r>
      <w:r w:rsidRPr="00DA1B92">
        <w:rPr>
          <w:bCs/>
        </w:rPr>
        <w:t xml:space="preserve">; </w:t>
      </w:r>
      <w:r w:rsidRPr="00DA1B92">
        <w:rPr>
          <w:rFonts w:eastAsia="RijksoverheidSansText-Regular"/>
          <w:bCs/>
          <w:color w:val="7F7F7F" w:themeColor="text1" w:themeTint="80"/>
        </w:rPr>
        <w:t>2010, p.68</w:t>
      </w:r>
      <w:r w:rsidRPr="00DA1B92">
        <w:rPr>
          <w:bCs/>
          <w:color w:val="7F7F7F" w:themeColor="text1" w:themeTint="80"/>
        </w:rPr>
        <w:t xml:space="preserve">; 2016, p.5; Marchand and Ludwig 2014; </w:t>
      </w:r>
      <w:proofErr w:type="spellStart"/>
      <w:r w:rsidRPr="00DA1B92">
        <w:rPr>
          <w:bCs/>
          <w:color w:val="7F7F7F" w:themeColor="text1" w:themeTint="80"/>
        </w:rPr>
        <w:t>Gersonius</w:t>
      </w:r>
      <w:proofErr w:type="spellEnd"/>
      <w:r w:rsidRPr="00DA1B92">
        <w:rPr>
          <w:bCs/>
          <w:color w:val="7F7F7F" w:themeColor="text1" w:themeTint="80"/>
        </w:rPr>
        <w:t xml:space="preserve"> et al. 2016; Zandvoort et al. 2018; </w:t>
      </w:r>
      <w:r w:rsidR="005C558F" w:rsidRPr="00DA1B92">
        <w:rPr>
          <w:rFonts w:cs="Arial"/>
          <w:bCs/>
          <w:color w:val="7F7F7F" w:themeColor="text1" w:themeTint="80"/>
          <w:szCs w:val="18"/>
        </w:rPr>
        <w:t>Brugge and Bruggeman 2019</w:t>
      </w:r>
      <w:r w:rsidRPr="00DA1B92">
        <w:rPr>
          <w:rFonts w:cs="Arial"/>
          <w:bCs/>
          <w:color w:val="7F7F7F" w:themeColor="text1" w:themeTint="80"/>
          <w:szCs w:val="18"/>
        </w:rPr>
        <w:t xml:space="preserve">; and, </w:t>
      </w:r>
      <w:r w:rsidRPr="00DA1B92">
        <w:rPr>
          <w:bCs/>
          <w:color w:val="7F7F7F" w:themeColor="text1" w:themeTint="80"/>
        </w:rPr>
        <w:t>based on Rhee 2012, Werners et al. 2016; Klijn et al. 2016, 2015</w:t>
      </w:r>
      <w:r w:rsidRPr="00DA1B92">
        <w:rPr>
          <w:bCs/>
        </w:rPr>
        <w:t xml:space="preserve">), the Subprogrammes sought to link FRM measures to other agendas and investments. </w:t>
      </w:r>
      <w:r w:rsidRPr="00DA1B92">
        <w:rPr>
          <w:rFonts w:cs="Arial"/>
          <w:bCs/>
          <w:szCs w:val="18"/>
        </w:rPr>
        <w:t xml:space="preserve">The Teams sought to link FRM measures envisioned, as far as possible, to other objectives and ambitions in the area (e.g. regarding space or nature), as this can contribute to more innovative, efficient and sustainable solutions, in a </w:t>
      </w:r>
      <w:r w:rsidRPr="00DA1B92">
        <w:rPr>
          <w:rFonts w:cs="Arial"/>
          <w:bCs/>
          <w:i/>
          <w:iCs/>
          <w:szCs w:val="18"/>
        </w:rPr>
        <w:t>comprehensive / integrated approach</w:t>
      </w:r>
      <w:r w:rsidRPr="00DA1B92">
        <w:rPr>
          <w:rFonts w:cs="Arial"/>
          <w:bCs/>
          <w:szCs w:val="18"/>
        </w:rPr>
        <w:t xml:space="preserve"> (</w:t>
      </w:r>
      <w:r w:rsidRPr="00DA1B92">
        <w:rPr>
          <w:rFonts w:cs="Arial"/>
          <w:bCs/>
          <w:color w:val="7F7F7F" w:themeColor="text1" w:themeTint="80"/>
          <w:szCs w:val="18"/>
        </w:rPr>
        <w:t>DP 2014, p.47</w:t>
      </w:r>
      <w:r w:rsidRPr="00DA1B92">
        <w:rPr>
          <w:rFonts w:cs="Arial"/>
          <w:bCs/>
          <w:szCs w:val="18"/>
        </w:rPr>
        <w:t>); t</w:t>
      </w:r>
      <w:r w:rsidRPr="00DA1B92">
        <w:rPr>
          <w:bCs/>
        </w:rPr>
        <w:t xml:space="preserve">he </w:t>
      </w:r>
      <w:r w:rsidRPr="00DA1B92">
        <w:rPr>
          <w:bCs/>
          <w:i/>
          <w:iCs/>
        </w:rPr>
        <w:t>paths</w:t>
      </w:r>
      <w:r w:rsidRPr="00DA1B92">
        <w:rPr>
          <w:bCs/>
        </w:rPr>
        <w:t xml:space="preserve"> helped to detect linkages between the measures devised and other investments, agendas, and policy-objectives (</w:t>
      </w:r>
      <w:r w:rsidRPr="00DA1B92">
        <w:rPr>
          <w:bCs/>
          <w:color w:val="7F7F7F" w:themeColor="text1" w:themeTint="80"/>
        </w:rPr>
        <w:t>DP 2013, p.56</w:t>
      </w:r>
      <w:r w:rsidRPr="00DA1B92">
        <w:rPr>
          <w:bCs/>
        </w:rPr>
        <w:t xml:space="preserve">). By interlinking agendas and investments, </w:t>
      </w:r>
      <w:r w:rsidRPr="00DA1B92">
        <w:rPr>
          <w:bCs/>
          <w:szCs w:val="22"/>
        </w:rPr>
        <w:t xml:space="preserve">measures could become cheaper and easier to implement (by </w:t>
      </w:r>
      <w:r w:rsidRPr="00DA1B92">
        <w:rPr>
          <w:bCs/>
        </w:rPr>
        <w:t>sharing costs or reducing impediments</w:t>
      </w:r>
      <w:r w:rsidRPr="00DA1B92">
        <w:rPr>
          <w:bCs/>
          <w:szCs w:val="22"/>
        </w:rPr>
        <w:t>), yield added value and</w:t>
      </w:r>
      <w:r w:rsidRPr="00DA1B92">
        <w:rPr>
          <w:bCs/>
        </w:rPr>
        <w:t xml:space="preserve"> reduce</w:t>
      </w:r>
      <w:r w:rsidRPr="00DA1B92">
        <w:rPr>
          <w:bCs/>
          <w:iCs/>
        </w:rPr>
        <w:t xml:space="preserve"> regret (as other benefits could be achieved)</w:t>
      </w:r>
      <w:r w:rsidRPr="00DA1B92">
        <w:rPr>
          <w:bCs/>
        </w:rPr>
        <w:t xml:space="preserve"> </w:t>
      </w:r>
      <w:r w:rsidRPr="00DA1B92">
        <w:rPr>
          <w:bCs/>
          <w:szCs w:val="22"/>
        </w:rPr>
        <w:t>(</w:t>
      </w:r>
      <w:r w:rsidRPr="00DA1B92">
        <w:rPr>
          <w:bCs/>
          <w:color w:val="7F7F7F" w:themeColor="text1" w:themeTint="80"/>
          <w:szCs w:val="22"/>
        </w:rPr>
        <w:t xml:space="preserve">Marchand and Ludwig 2014; </w:t>
      </w:r>
      <w:r w:rsidR="005C558F" w:rsidRPr="00DA1B92">
        <w:rPr>
          <w:bCs/>
          <w:color w:val="7F7F7F" w:themeColor="text1" w:themeTint="80"/>
        </w:rPr>
        <w:t>Brugge and Bruggeman 2019</w:t>
      </w:r>
      <w:r w:rsidRPr="00DA1B92">
        <w:rPr>
          <w:bCs/>
          <w:color w:val="7F7F7F" w:themeColor="text1" w:themeTint="80"/>
        </w:rPr>
        <w:t>; Klijn et al. 2015, 2016</w:t>
      </w:r>
      <w:r w:rsidRPr="00DA1B92">
        <w:rPr>
          <w:bCs/>
          <w:color w:val="231F20"/>
        </w:rPr>
        <w:t>).</w:t>
      </w:r>
      <w:r w:rsidR="00547E86" w:rsidRPr="00DA1B92">
        <w:rPr>
          <w:bCs/>
          <w:color w:val="231F20"/>
        </w:rPr>
        <w:t xml:space="preserve"> </w:t>
      </w:r>
    </w:p>
    <w:p w14:paraId="6F321067" w14:textId="3BC33DCB" w:rsidR="00A61A74" w:rsidRPr="000A40A4" w:rsidRDefault="00547E86" w:rsidP="000A40A4">
      <w:pPr>
        <w:pStyle w:val="TEXTBODY"/>
        <w:numPr>
          <w:ilvl w:val="0"/>
          <w:numId w:val="27"/>
        </w:numPr>
        <w:spacing w:line="276" w:lineRule="auto"/>
        <w:ind w:left="284" w:hanging="284"/>
        <w:rPr>
          <w:bCs/>
        </w:rPr>
      </w:pPr>
      <w:r w:rsidRPr="000A40A4">
        <w:rPr>
          <w:bCs/>
        </w:rPr>
        <w:t xml:space="preserve">By combining agendas, and mainstreaming FRM / adaptation measures into decisions and investments in the short-term. The identification of opportunities to combine the measures envisioned with other agendas and multi-objective investments was one way of increasing flexibility of the </w:t>
      </w:r>
      <w:r w:rsidRPr="000A40A4">
        <w:rPr>
          <w:bCs/>
          <w:i/>
          <w:iCs/>
        </w:rPr>
        <w:t>Strategies</w:t>
      </w:r>
      <w:r w:rsidRPr="000A40A4">
        <w:rPr>
          <w:bCs/>
        </w:rPr>
        <w:t xml:space="preserve"> (</w:t>
      </w:r>
      <w:r w:rsidRPr="000A40A4">
        <w:rPr>
          <w:bCs/>
          <w:color w:val="7F7F7F" w:themeColor="text1" w:themeTint="80"/>
        </w:rPr>
        <w:t xml:space="preserve">DP 2011, p.48; </w:t>
      </w:r>
      <w:proofErr w:type="spellStart"/>
      <w:r w:rsidRPr="000A40A4">
        <w:rPr>
          <w:bCs/>
          <w:color w:val="7F7F7F" w:themeColor="text1" w:themeTint="80"/>
        </w:rPr>
        <w:t>Jeuken</w:t>
      </w:r>
      <w:proofErr w:type="spellEnd"/>
      <w:r w:rsidRPr="000A40A4">
        <w:rPr>
          <w:bCs/>
          <w:color w:val="7F7F7F" w:themeColor="text1" w:themeTint="80"/>
        </w:rPr>
        <w:t xml:space="preserve"> et al. 2014, p.1, 19</w:t>
      </w:r>
      <w:r w:rsidRPr="000A40A4">
        <w:rPr>
          <w:bCs/>
        </w:rPr>
        <w:t>). The DP sought to ensure the integration of objectives (FRM and FS objectives integrated with spatial planning, spatial adaptation, and nature conservation) (</w:t>
      </w:r>
      <w:proofErr w:type="spellStart"/>
      <w:r w:rsidRPr="000A40A4">
        <w:rPr>
          <w:bCs/>
          <w:color w:val="7F7F7F" w:themeColor="text1" w:themeTint="80"/>
        </w:rPr>
        <w:t>Jeuken</w:t>
      </w:r>
      <w:proofErr w:type="spellEnd"/>
      <w:r w:rsidRPr="000A40A4">
        <w:rPr>
          <w:bCs/>
          <w:color w:val="7F7F7F" w:themeColor="text1" w:themeTint="80"/>
        </w:rPr>
        <w:t xml:space="preserve"> and Reeder 2011</w:t>
      </w:r>
      <w:r w:rsidRPr="000A40A4">
        <w:rPr>
          <w:bCs/>
        </w:rPr>
        <w:t>). It also sought to ensure the integration of agendas (in accordance with the 4</w:t>
      </w:r>
      <w:r w:rsidRPr="000A40A4">
        <w:rPr>
          <w:bCs/>
          <w:vertAlign w:val="superscript"/>
        </w:rPr>
        <w:t>th</w:t>
      </w:r>
      <w:r w:rsidRPr="000A40A4">
        <w:rPr>
          <w:bCs/>
        </w:rPr>
        <w:t xml:space="preserve"> principle of ADM). The combination of measures with other objectives (through e.g. multifunctional flood defences) helps to increase public acceptance of measures and reduce costs (brings added value), but implies the synchronization of different investment agendas, new technical requirements for designing and maintaining defences, and multi-actor arrangements (</w:t>
      </w:r>
      <w:r w:rsidRPr="000A40A4">
        <w:rPr>
          <w:bCs/>
          <w:color w:val="7F7F7F" w:themeColor="text1" w:themeTint="80"/>
        </w:rPr>
        <w:t>Alphen 2015</w:t>
      </w:r>
      <w:r w:rsidRPr="000A40A4">
        <w:rPr>
          <w:bCs/>
        </w:rPr>
        <w:t>).</w:t>
      </w:r>
      <w:r w:rsidRPr="000A40A4">
        <w:rPr>
          <w:bCs/>
          <w:color w:val="C00000"/>
        </w:rPr>
        <w:t xml:space="preserve"> </w:t>
      </w:r>
      <w:r w:rsidRPr="000A40A4">
        <w:rPr>
          <w:bCs/>
        </w:rPr>
        <w:t>The DP also sought to link short-term decisions to long-term goals (in accordance with the 1</w:t>
      </w:r>
      <w:r w:rsidRPr="000A40A4">
        <w:rPr>
          <w:bCs/>
          <w:vertAlign w:val="superscript"/>
        </w:rPr>
        <w:t>st</w:t>
      </w:r>
      <w:r w:rsidRPr="000A40A4">
        <w:rPr>
          <w:bCs/>
        </w:rPr>
        <w:t xml:space="preserve"> principle of ADM).</w:t>
      </w:r>
      <w:r w:rsidRPr="000A40A4">
        <w:rPr>
          <w:bCs/>
          <w:sz w:val="23"/>
          <w:szCs w:val="23"/>
        </w:rPr>
        <w:t xml:space="preserve"> </w:t>
      </w:r>
      <w:r w:rsidRPr="000A40A4">
        <w:rPr>
          <w:bCs/>
        </w:rPr>
        <w:t>In the DP, long-term climate adaptation needs were considered in short-term decisions, e.g. in the definition of the new flood protection standards; in areas where dykes need to be reinforced for maintenance, the projected water level rise associated with CC must be considered in their design; works to increase the sluice capacity for shipping must provide an extra drainage capacity (</w:t>
      </w:r>
      <w:proofErr w:type="spellStart"/>
      <w:r w:rsidRPr="000A40A4">
        <w:rPr>
          <w:bCs/>
          <w:color w:val="7F7F7F" w:themeColor="text1" w:themeTint="80"/>
        </w:rPr>
        <w:t>Jeuken</w:t>
      </w:r>
      <w:proofErr w:type="spellEnd"/>
      <w:r w:rsidRPr="000A40A4">
        <w:rPr>
          <w:bCs/>
          <w:color w:val="7F7F7F" w:themeColor="text1" w:themeTint="80"/>
        </w:rPr>
        <w:t xml:space="preserve"> et al. 2014</w:t>
      </w:r>
      <w:r w:rsidRPr="000A40A4">
        <w:rPr>
          <w:bCs/>
        </w:rPr>
        <w:t>).</w:t>
      </w:r>
    </w:p>
    <w:p w14:paraId="6EAC2565" w14:textId="187E0B9B" w:rsidR="00A61A74" w:rsidRPr="009B720F" w:rsidRDefault="00A61A74" w:rsidP="00E74925">
      <w:pPr>
        <w:pStyle w:val="TEXTBODY"/>
        <w:spacing w:line="276" w:lineRule="auto"/>
        <w:rPr>
          <w:bCs/>
          <w:sz w:val="23"/>
          <w:szCs w:val="23"/>
        </w:rPr>
      </w:pPr>
      <w:r w:rsidRPr="00DA1B92">
        <w:rPr>
          <w:bCs/>
        </w:rPr>
        <w:t xml:space="preserve">These were the main ways of embedding </w:t>
      </w:r>
      <w:r w:rsidRPr="00DA1B92">
        <w:rPr>
          <w:bCs/>
          <w:i/>
          <w:iCs/>
        </w:rPr>
        <w:t>dynamic robustness</w:t>
      </w:r>
      <w:r w:rsidRPr="00DA1B92">
        <w:rPr>
          <w:bCs/>
        </w:rPr>
        <w:t xml:space="preserve"> and </w:t>
      </w:r>
      <w:r w:rsidRPr="00DA1B92">
        <w:rPr>
          <w:bCs/>
          <w:i/>
          <w:iCs/>
        </w:rPr>
        <w:t>flexibility</w:t>
      </w:r>
      <w:r w:rsidRPr="00DA1B92">
        <w:rPr>
          <w:bCs/>
        </w:rPr>
        <w:t xml:space="preserve"> into the DP’s Strategies.</w:t>
      </w:r>
      <w:r w:rsidR="00DD5A40" w:rsidRPr="00DA1B92">
        <w:rPr>
          <w:bCs/>
        </w:rPr>
        <w:t xml:space="preserve"> These aspects contributed to incorporate and safeguard the </w:t>
      </w:r>
      <w:r w:rsidR="00DD5A40" w:rsidRPr="00DA1B92">
        <w:rPr>
          <w:bCs/>
          <w:i/>
          <w:iCs/>
        </w:rPr>
        <w:t xml:space="preserve">robustness </w:t>
      </w:r>
      <w:r w:rsidR="00DD5A40" w:rsidRPr="00DA1B92">
        <w:rPr>
          <w:bCs/>
        </w:rPr>
        <w:t xml:space="preserve">and </w:t>
      </w:r>
      <w:r w:rsidR="00DD5A40" w:rsidRPr="00DA1B92">
        <w:rPr>
          <w:bCs/>
          <w:i/>
          <w:iCs/>
        </w:rPr>
        <w:t xml:space="preserve">flexibility </w:t>
      </w:r>
      <w:r w:rsidR="00DD5A40" w:rsidRPr="00DA1B92">
        <w:rPr>
          <w:bCs/>
        </w:rPr>
        <w:t xml:space="preserve">of </w:t>
      </w:r>
      <w:r w:rsidR="00DD5A40" w:rsidRPr="00DA1B92">
        <w:rPr>
          <w:bCs/>
          <w:i/>
          <w:iCs/>
        </w:rPr>
        <w:t>Strategies</w:t>
      </w:r>
      <w:r w:rsidR="00DD5A40" w:rsidRPr="00DA1B92">
        <w:rPr>
          <w:bCs/>
        </w:rPr>
        <w:t>.</w:t>
      </w:r>
      <w:r w:rsidR="00DD5A40" w:rsidRPr="00DA1B92">
        <w:rPr>
          <w:rStyle w:val="Refdenotaderodap"/>
          <w:bCs/>
        </w:rPr>
        <w:footnoteReference w:id="104"/>
      </w:r>
      <w:r w:rsidR="00DD5A40" w:rsidRPr="00DA1B92">
        <w:rPr>
          <w:bCs/>
        </w:rPr>
        <w:t xml:space="preserve"> </w:t>
      </w:r>
      <w:r w:rsidRPr="00DA1B92">
        <w:rPr>
          <w:bCs/>
        </w:rPr>
        <w:t>These</w:t>
      </w:r>
      <w:r w:rsidRPr="009B720F">
        <w:rPr>
          <w:bCs/>
        </w:rPr>
        <w:t xml:space="preserve"> types of </w:t>
      </w:r>
      <w:r w:rsidRPr="009B720F">
        <w:rPr>
          <w:bCs/>
          <w:i/>
          <w:iCs/>
        </w:rPr>
        <w:t>flexibility</w:t>
      </w:r>
      <w:r w:rsidRPr="009B720F">
        <w:rPr>
          <w:bCs/>
        </w:rPr>
        <w:t xml:space="preserve"> also helped to prevent over- or under-investments and underperformance (</w:t>
      </w:r>
      <w:r w:rsidRPr="009B720F">
        <w:rPr>
          <w:bCs/>
          <w:color w:val="7F7F7F" w:themeColor="text1" w:themeTint="80"/>
        </w:rPr>
        <w:t>Klijn et al. 2015; 2016</w:t>
      </w:r>
      <w:r w:rsidRPr="009B720F">
        <w:rPr>
          <w:bCs/>
        </w:rPr>
        <w:t xml:space="preserve">, based on </w:t>
      </w:r>
      <w:r w:rsidRPr="009B720F">
        <w:rPr>
          <w:bCs/>
          <w:color w:val="7F7F7F" w:themeColor="text1" w:themeTint="80"/>
        </w:rPr>
        <w:t xml:space="preserve">Rhee 2012; </w:t>
      </w:r>
      <w:r w:rsidR="005C558F">
        <w:rPr>
          <w:bCs/>
          <w:color w:val="7F7F7F" w:themeColor="text1" w:themeTint="80"/>
        </w:rPr>
        <w:t>Brugge and Bruggeman 2019</w:t>
      </w:r>
      <w:r w:rsidRPr="009B720F">
        <w:rPr>
          <w:bCs/>
          <w:color w:val="7F7F7F" w:themeColor="text1" w:themeTint="80"/>
        </w:rPr>
        <w:t>, p.2</w:t>
      </w:r>
      <w:r w:rsidRPr="009B720F">
        <w:rPr>
          <w:bCs/>
        </w:rPr>
        <w:t>),</w:t>
      </w:r>
      <w:r w:rsidRPr="009B720F">
        <w:rPr>
          <w:bCs/>
          <w:color w:val="C00000"/>
        </w:rPr>
        <w:t xml:space="preserve"> </w:t>
      </w:r>
      <w:r w:rsidRPr="00DA1B92">
        <w:rPr>
          <w:bCs/>
        </w:rPr>
        <w:t xml:space="preserve">and, thus, </w:t>
      </w:r>
      <w:proofErr w:type="spellStart"/>
      <w:r w:rsidRPr="00DA1B92">
        <w:rPr>
          <w:bCs/>
        </w:rPr>
        <w:t>maladaptations</w:t>
      </w:r>
      <w:proofErr w:type="spellEnd"/>
      <w:r w:rsidRPr="00DA1B92">
        <w:rPr>
          <w:bCs/>
        </w:rPr>
        <w:t xml:space="preserve">. With its </w:t>
      </w:r>
      <w:r w:rsidRPr="00DA1B92">
        <w:rPr>
          <w:bCs/>
          <w:i/>
          <w:iCs/>
        </w:rPr>
        <w:t>flexible adaptive approach</w:t>
      </w:r>
      <w:r w:rsidRPr="00DA1B92">
        <w:rPr>
          <w:bCs/>
        </w:rPr>
        <w:t>, the DP sought to ensure the possibility of shifting to other measures, or modifying them, or switching to other strategies, or anticipating / delaying measures</w:t>
      </w:r>
      <w:r w:rsidRPr="00505570">
        <w:rPr>
          <w:bCs/>
        </w:rPr>
        <w:t xml:space="preserve">, and, in this way, safeguard </w:t>
      </w:r>
      <w:r w:rsidRPr="00DA1B92">
        <w:rPr>
          <w:bCs/>
        </w:rPr>
        <w:t xml:space="preserve">that </w:t>
      </w:r>
      <w:r w:rsidRPr="00DA1B92">
        <w:rPr>
          <w:bCs/>
          <w:i/>
        </w:rPr>
        <w:t>‘not too many measures, nor too few, and not (…) too early, nor too late</w:t>
      </w:r>
      <w:r w:rsidRPr="00DA1B92">
        <w:rPr>
          <w:bCs/>
          <w:iCs/>
        </w:rPr>
        <w:t xml:space="preserve">’ are taken </w:t>
      </w:r>
      <w:r w:rsidRPr="00DA1B92">
        <w:rPr>
          <w:bCs/>
        </w:rPr>
        <w:t>(</w:t>
      </w:r>
      <w:r w:rsidRPr="00DA1B92">
        <w:rPr>
          <w:bCs/>
          <w:color w:val="7F7F7F" w:themeColor="text1" w:themeTint="80"/>
        </w:rPr>
        <w:t>Vink et al. 2013, p.96-97</w:t>
      </w:r>
      <w:r w:rsidRPr="00DA1B92">
        <w:rPr>
          <w:bCs/>
        </w:rPr>
        <w:t>).</w:t>
      </w:r>
      <w:r w:rsidRPr="00DA1B92">
        <w:rPr>
          <w:rStyle w:val="Refdenotaderodap"/>
          <w:bCs/>
        </w:rPr>
        <w:footnoteReference w:id="105"/>
      </w:r>
    </w:p>
    <w:p w14:paraId="5D2375C5" w14:textId="77777777" w:rsidR="00A61A74" w:rsidRPr="009B720F" w:rsidRDefault="00A61A74" w:rsidP="00E74925">
      <w:pPr>
        <w:pStyle w:val="TEXTBODY"/>
        <w:spacing w:line="276" w:lineRule="auto"/>
        <w:rPr>
          <w:bCs/>
        </w:rPr>
      </w:pPr>
      <w:r w:rsidRPr="009B720F">
        <w:rPr>
          <w:bCs/>
          <w:iCs/>
        </w:rPr>
        <w:t>Overall, ADM</w:t>
      </w:r>
      <w:r w:rsidRPr="009B720F">
        <w:rPr>
          <w:bCs/>
          <w:i/>
        </w:rPr>
        <w:t xml:space="preserve"> </w:t>
      </w:r>
      <w:r w:rsidRPr="009B720F">
        <w:rPr>
          <w:bCs/>
          <w:iCs/>
        </w:rPr>
        <w:t xml:space="preserve">seeks and values </w:t>
      </w:r>
      <w:r w:rsidRPr="009B720F">
        <w:rPr>
          <w:bCs/>
          <w:i/>
        </w:rPr>
        <w:t>flexibility</w:t>
      </w:r>
      <w:r w:rsidRPr="009B720F">
        <w:rPr>
          <w:bCs/>
          <w:iCs/>
        </w:rPr>
        <w:t xml:space="preserve"> in comprehensive strategies and in individual measures, and t</w:t>
      </w:r>
      <w:r w:rsidRPr="009B720F">
        <w:rPr>
          <w:bCs/>
          <w:color w:val="231F20"/>
        </w:rPr>
        <w:t>his</w:t>
      </w:r>
      <w:r w:rsidRPr="009B720F">
        <w:rPr>
          <w:bCs/>
        </w:rPr>
        <w:t xml:space="preserve"> required incorporating and appraising </w:t>
      </w:r>
      <w:r w:rsidRPr="009B720F">
        <w:rPr>
          <w:bCs/>
          <w:i/>
          <w:iCs/>
        </w:rPr>
        <w:t>flexibility</w:t>
      </w:r>
      <w:r w:rsidRPr="009B720F">
        <w:rPr>
          <w:bCs/>
        </w:rPr>
        <w:t xml:space="preserve"> in measures and pathways (</w:t>
      </w:r>
      <w:r w:rsidRPr="009B720F">
        <w:rPr>
          <w:bCs/>
          <w:color w:val="7F7F7F" w:themeColor="text1" w:themeTint="80"/>
        </w:rPr>
        <w:t xml:space="preserve">Rhee 2012, </w:t>
      </w:r>
      <w:r w:rsidRPr="009B720F">
        <w:rPr>
          <w:bCs/>
          <w:i/>
          <w:iCs/>
          <w:color w:val="7F7F7F" w:themeColor="text1" w:themeTint="80"/>
        </w:rPr>
        <w:t>in</w:t>
      </w:r>
      <w:r w:rsidRPr="009B720F">
        <w:rPr>
          <w:bCs/>
          <w:color w:val="7F7F7F" w:themeColor="text1" w:themeTint="80"/>
        </w:rPr>
        <w:t xml:space="preserve"> Klijn et al. 2015; 2016 and Werners et al. 2016</w:t>
      </w:r>
      <w:r w:rsidRPr="009B720F">
        <w:rPr>
          <w:bCs/>
        </w:rPr>
        <w:t xml:space="preserve">). </w:t>
      </w:r>
      <w:r w:rsidRPr="00DA1B92">
        <w:rPr>
          <w:bCs/>
        </w:rPr>
        <w:t xml:space="preserve">Ultimately, Principle </w:t>
      </w:r>
      <w:r w:rsidRPr="009B720F">
        <w:rPr>
          <w:bCs/>
        </w:rPr>
        <w:t xml:space="preserve">2 aimed at developing </w:t>
      </w:r>
      <w:r w:rsidRPr="009B720F">
        <w:rPr>
          <w:bCs/>
          <w:i/>
          <w:iCs/>
        </w:rPr>
        <w:t>flexible strategies</w:t>
      </w:r>
      <w:r w:rsidRPr="009B720F">
        <w:rPr>
          <w:bCs/>
        </w:rPr>
        <w:t xml:space="preserve"> (</w:t>
      </w:r>
      <w:r w:rsidRPr="009B720F">
        <w:rPr>
          <w:bCs/>
          <w:color w:val="7F7F7F" w:themeColor="text1" w:themeTint="80"/>
        </w:rPr>
        <w:t>Bloemen et al. 2018, p.12</w:t>
      </w:r>
      <w:r w:rsidRPr="009B720F">
        <w:rPr>
          <w:bCs/>
        </w:rPr>
        <w:t>).</w:t>
      </w:r>
    </w:p>
    <w:p w14:paraId="3469FDEE" w14:textId="77777777" w:rsidR="00A61A74" w:rsidRPr="009B720F" w:rsidRDefault="00A61A74" w:rsidP="00E74925">
      <w:pPr>
        <w:pStyle w:val="TEXTBODY"/>
        <w:spacing w:line="276" w:lineRule="auto"/>
        <w:rPr>
          <w:bCs/>
        </w:rPr>
      </w:pPr>
      <w:r w:rsidRPr="009B720F">
        <w:rPr>
          <w:bCs/>
        </w:rPr>
        <w:lastRenderedPageBreak/>
        <w:t xml:space="preserve">With its </w:t>
      </w:r>
      <w:r w:rsidRPr="009B720F">
        <w:rPr>
          <w:bCs/>
          <w:i/>
          <w:iCs/>
        </w:rPr>
        <w:t>flexible adaptive approach</w:t>
      </w:r>
      <w:r w:rsidRPr="009B720F">
        <w:rPr>
          <w:bCs/>
        </w:rPr>
        <w:t xml:space="preserve">, the DP has valued </w:t>
      </w:r>
      <w:r w:rsidRPr="009B720F">
        <w:rPr>
          <w:bCs/>
          <w:i/>
          <w:iCs/>
        </w:rPr>
        <w:t>flexibility</w:t>
      </w:r>
      <w:r w:rsidRPr="009B720F">
        <w:rPr>
          <w:bCs/>
        </w:rPr>
        <w:t xml:space="preserve"> mainly in terms of possible strategies and their possible timing of implementation (</w:t>
      </w:r>
      <w:r w:rsidRPr="009B720F">
        <w:rPr>
          <w:bCs/>
          <w:color w:val="7F7F7F" w:themeColor="text1" w:themeTint="80"/>
        </w:rPr>
        <w:t xml:space="preserve">Haegen and </w:t>
      </w:r>
      <w:proofErr w:type="spellStart"/>
      <w:r w:rsidRPr="009B720F">
        <w:rPr>
          <w:bCs/>
          <w:color w:val="7F7F7F" w:themeColor="text1" w:themeTint="80"/>
        </w:rPr>
        <w:t>Wieriks</w:t>
      </w:r>
      <w:proofErr w:type="spellEnd"/>
      <w:r w:rsidRPr="009B720F">
        <w:rPr>
          <w:bCs/>
          <w:color w:val="7F7F7F" w:themeColor="text1" w:themeTint="80"/>
        </w:rPr>
        <w:t xml:space="preserve"> 2015; Zevenbergen et al. 2018</w:t>
      </w:r>
      <w:r w:rsidRPr="009B720F">
        <w:rPr>
          <w:bCs/>
        </w:rPr>
        <w:t xml:space="preserve">), i.e. in terms of the possibility of switching to other </w:t>
      </w:r>
      <w:r w:rsidRPr="00DA1B92">
        <w:rPr>
          <w:bCs/>
        </w:rPr>
        <w:t>measures or to other strategies</w:t>
      </w:r>
      <w:r w:rsidRPr="009B720F">
        <w:rPr>
          <w:bCs/>
        </w:rPr>
        <w:t xml:space="preserve"> (or modifying a measure), and possibility of anticipating / delaying measures</w:t>
      </w:r>
      <w:r w:rsidRPr="009B720F">
        <w:rPr>
          <w:bCs/>
          <w:iCs/>
        </w:rPr>
        <w:t xml:space="preserve"> </w:t>
      </w:r>
      <w:r w:rsidRPr="009B720F">
        <w:rPr>
          <w:bCs/>
        </w:rPr>
        <w:t>(</w:t>
      </w:r>
      <w:r w:rsidRPr="009B720F">
        <w:rPr>
          <w:bCs/>
          <w:color w:val="7F7F7F" w:themeColor="text1" w:themeTint="80"/>
        </w:rPr>
        <w:t>Vink et al. 2013, p.92</w:t>
      </w:r>
      <w:r w:rsidRPr="009B720F">
        <w:rPr>
          <w:bCs/>
        </w:rPr>
        <w:t>).</w:t>
      </w:r>
      <w:bookmarkStart w:id="119" w:name="_Hlk140138373"/>
      <w:r w:rsidRPr="009B720F">
        <w:rPr>
          <w:bCs/>
        </w:rPr>
        <w:t xml:space="preserve"> </w:t>
      </w:r>
    </w:p>
    <w:p w14:paraId="613F547F" w14:textId="45E5E86E" w:rsidR="00A61A74" w:rsidRPr="00DA1B92" w:rsidRDefault="00A61A74" w:rsidP="00E74925">
      <w:pPr>
        <w:pStyle w:val="TEXTBODY"/>
        <w:spacing w:line="276" w:lineRule="auto"/>
        <w:ind w:left="142"/>
        <w:rPr>
          <w:bCs/>
        </w:rPr>
      </w:pPr>
      <w:bookmarkStart w:id="120" w:name="_Hlk141364630"/>
      <w:r w:rsidRPr="000A40A4">
        <w:rPr>
          <w:bCs/>
        </w:rPr>
        <w:t xml:space="preserve">The DP underlines that, </w:t>
      </w:r>
      <w:r w:rsidRPr="00DA1B92">
        <w:rPr>
          <w:bCs/>
        </w:rPr>
        <w:t>in accordance with ADM, it is wise and necessary to</w:t>
      </w:r>
      <w:r w:rsidRPr="00DA1B92">
        <w:rPr>
          <w:rFonts w:eastAsia="RijksoverheidSansText-Regular" w:cs="Arial"/>
          <w:bCs/>
          <w:szCs w:val="18"/>
        </w:rPr>
        <w:t xml:space="preserve"> have flexibility in strategies and measures, to deal with uncertainties around future CC and socioeconomic developments and to allow a timely response to changes (</w:t>
      </w:r>
      <w:r w:rsidRPr="00DA1B92">
        <w:rPr>
          <w:rFonts w:eastAsia="RijksoverheidSansText-Regular" w:cs="Arial"/>
          <w:bCs/>
          <w:color w:val="7F7F7F" w:themeColor="text1" w:themeTint="80"/>
          <w:szCs w:val="18"/>
        </w:rPr>
        <w:t>DP 2011, p.16, 48-49, 70, 8</w:t>
      </w:r>
      <w:r w:rsidRPr="00DA1B92">
        <w:rPr>
          <w:rFonts w:eastAsia="RijksoverheidSansText-Regular"/>
          <w:bCs/>
        </w:rPr>
        <w:t xml:space="preserve">). </w:t>
      </w:r>
      <w:r w:rsidRPr="00DA1B92">
        <w:rPr>
          <w:bCs/>
        </w:rPr>
        <w:t>In ADM, strategies and measures must ensure flexibility in the way they respond to new measurements and insights, for example, by intensifying efforts if necessary or by changing strategy, and at the same time, envisaging possible future measures (</w:t>
      </w:r>
      <w:r w:rsidRPr="00DA1B92">
        <w:rPr>
          <w:bCs/>
          <w:color w:val="7F7F7F" w:themeColor="text1" w:themeTint="80"/>
        </w:rPr>
        <w:t>Petersen and Bloemen 2015</w:t>
      </w:r>
      <w:r w:rsidRPr="00DA1B92">
        <w:rPr>
          <w:bCs/>
        </w:rPr>
        <w:t xml:space="preserve">). </w:t>
      </w:r>
      <w:r w:rsidRPr="00DA1B92">
        <w:rPr>
          <w:rFonts w:eastAsia="RijksoverheidSansText-Regular" w:cs="Arial"/>
          <w:bCs/>
          <w:szCs w:val="18"/>
        </w:rPr>
        <w:t>ADM seeks to be able to ‘</w:t>
      </w:r>
      <w:r w:rsidRPr="00DA1B92">
        <w:rPr>
          <w:rFonts w:eastAsia="RijksoverheidSansText-Regular" w:cs="Arial"/>
          <w:bCs/>
          <w:i/>
          <w:iCs/>
          <w:szCs w:val="18"/>
        </w:rPr>
        <w:t>temporize</w:t>
      </w:r>
      <w:r w:rsidRPr="00DA1B92">
        <w:rPr>
          <w:rFonts w:eastAsia="RijksoverheidSansText-Regular" w:cs="Arial"/>
          <w:bCs/>
          <w:szCs w:val="18"/>
        </w:rPr>
        <w:t>’ (speed up / postpone) measures, or change of measure or strategy, if the actual or expected rate of climatic and socioeconomic developments indicates this is necessary (</w:t>
      </w:r>
      <w:proofErr w:type="spellStart"/>
      <w:r w:rsidRPr="00DA1B92">
        <w:rPr>
          <w:rFonts w:eastAsia="RijksoverheidSansText-Regular" w:cs="Arial"/>
          <w:bCs/>
          <w:color w:val="7F7F7F" w:themeColor="text1" w:themeTint="80"/>
          <w:szCs w:val="18"/>
        </w:rPr>
        <w:t>Dessai</w:t>
      </w:r>
      <w:proofErr w:type="spellEnd"/>
      <w:r w:rsidRPr="00DA1B92">
        <w:rPr>
          <w:rFonts w:eastAsia="RijksoverheidSansText-Regular" w:cs="Arial"/>
          <w:bCs/>
          <w:color w:val="7F7F7F" w:themeColor="text1" w:themeTint="80"/>
          <w:szCs w:val="18"/>
        </w:rPr>
        <w:t xml:space="preserve"> and Sluijs </w:t>
      </w:r>
      <w:hyperlink r:id="rId16" w:anchor="CR12" w:tooltip="View reference" w:history="1">
        <w:r w:rsidRPr="00DA1B92">
          <w:rPr>
            <w:rStyle w:val="Hiperligao"/>
            <w:rFonts w:eastAsia="RijksoverheidSansText-Regular"/>
            <w:bCs/>
            <w:color w:val="7F7F7F" w:themeColor="text1" w:themeTint="80"/>
            <w:szCs w:val="18"/>
            <w:u w:val="none"/>
          </w:rPr>
          <w:t>2007</w:t>
        </w:r>
      </w:hyperlink>
      <w:r w:rsidRPr="00DA1B92">
        <w:rPr>
          <w:rFonts w:eastAsia="RijksoverheidSansText-Regular" w:cs="Arial"/>
          <w:bCs/>
          <w:color w:val="7F7F7F" w:themeColor="text1" w:themeTint="80"/>
          <w:szCs w:val="18"/>
        </w:rPr>
        <w:t>; Buuren et al. </w:t>
      </w:r>
      <w:hyperlink r:id="rId17" w:anchor="CR46" w:tooltip="View reference" w:history="1">
        <w:r w:rsidRPr="00DA1B92">
          <w:rPr>
            <w:rStyle w:val="Hiperligao"/>
            <w:rFonts w:eastAsia="RijksoverheidSansText-Regular"/>
            <w:bCs/>
            <w:color w:val="7F7F7F" w:themeColor="text1" w:themeTint="80"/>
            <w:szCs w:val="18"/>
            <w:u w:val="none"/>
          </w:rPr>
          <w:t>2013</w:t>
        </w:r>
      </w:hyperlink>
      <w:r w:rsidRPr="00DA1B92">
        <w:rPr>
          <w:rFonts w:eastAsia="RijksoverheidSansText-Regular" w:cs="Arial"/>
          <w:bCs/>
          <w:color w:val="7F7F7F" w:themeColor="text1" w:themeTint="80"/>
          <w:szCs w:val="18"/>
        </w:rPr>
        <w:t>;</w:t>
      </w:r>
      <w:r w:rsidRPr="00DA1B92">
        <w:rPr>
          <w:rFonts w:eastAsia="RijksoverheidSansText-Regular" w:cs="Arial"/>
          <w:bCs/>
          <w:i/>
          <w:iCs/>
          <w:color w:val="7F7F7F" w:themeColor="text1" w:themeTint="80"/>
          <w:szCs w:val="18"/>
        </w:rPr>
        <w:t xml:space="preserve"> in</w:t>
      </w:r>
      <w:r w:rsidRPr="00DA1B92">
        <w:rPr>
          <w:rFonts w:eastAsia="RijksoverheidSansText-Regular" w:cs="Arial"/>
          <w:bCs/>
          <w:color w:val="7F7F7F" w:themeColor="text1" w:themeTint="80"/>
          <w:szCs w:val="18"/>
        </w:rPr>
        <w:t xml:space="preserve"> </w:t>
      </w:r>
      <w:proofErr w:type="spellStart"/>
      <w:r w:rsidRPr="00DA1B92">
        <w:rPr>
          <w:rFonts w:eastAsia="RijksoverheidSansText-Regular" w:cs="Arial"/>
          <w:bCs/>
          <w:color w:val="7F7F7F" w:themeColor="text1" w:themeTint="80"/>
          <w:szCs w:val="18"/>
        </w:rPr>
        <w:t>Marchau</w:t>
      </w:r>
      <w:proofErr w:type="spellEnd"/>
      <w:r w:rsidRPr="00DA1B92">
        <w:rPr>
          <w:rFonts w:eastAsia="RijksoverheidSansText-Regular" w:cs="Arial"/>
          <w:bCs/>
          <w:color w:val="7F7F7F" w:themeColor="text1" w:themeTint="80"/>
          <w:szCs w:val="18"/>
        </w:rPr>
        <w:t xml:space="preserve"> et al. 2019</w:t>
      </w:r>
      <w:r w:rsidRPr="00DA1B92">
        <w:rPr>
          <w:rFonts w:eastAsia="RijksoverheidSansText-Regular" w:cs="Arial"/>
          <w:bCs/>
          <w:szCs w:val="18"/>
        </w:rPr>
        <w:t>).</w:t>
      </w:r>
      <w:bookmarkEnd w:id="119"/>
      <w:r w:rsidRPr="00DA1B92">
        <w:rPr>
          <w:rFonts w:eastAsia="RijksoverheidSansText-Regular" w:cs="Arial"/>
          <w:bCs/>
          <w:szCs w:val="18"/>
        </w:rPr>
        <w:t xml:space="preserve"> </w:t>
      </w:r>
      <w:r w:rsidRPr="00DA1B92">
        <w:rPr>
          <w:bCs/>
        </w:rPr>
        <w:t>Thus, the designed strategies (</w:t>
      </w:r>
      <w:r w:rsidRPr="00DA1B92">
        <w:rPr>
          <w:bCs/>
          <w:i/>
          <w:iCs/>
        </w:rPr>
        <w:t>adaptation paths</w:t>
      </w:r>
      <w:r w:rsidRPr="00DA1B92">
        <w:rPr>
          <w:bCs/>
        </w:rPr>
        <w:t xml:space="preserve">) had to be flexible in terms </w:t>
      </w:r>
      <w:proofErr w:type="gramStart"/>
      <w:r w:rsidRPr="00DA1B92">
        <w:rPr>
          <w:bCs/>
        </w:rPr>
        <w:t>of:</w:t>
      </w:r>
      <w:proofErr w:type="gramEnd"/>
      <w:r w:rsidRPr="00DA1B92">
        <w:rPr>
          <w:bCs/>
        </w:rPr>
        <w:t xml:space="preserve"> timing (possibility of postponing / advancing measures in time), possibility of choosing another measure or strategy, and avoidance of lock-ins (</w:t>
      </w:r>
      <w:r w:rsidRPr="00DA1B92">
        <w:rPr>
          <w:bCs/>
          <w:color w:val="7F7F7F" w:themeColor="text1" w:themeTint="80"/>
        </w:rPr>
        <w:t>Zandvoort et al. 2018, p.191</w:t>
      </w:r>
      <w:r w:rsidRPr="00DA1B92">
        <w:rPr>
          <w:bCs/>
        </w:rPr>
        <w:t>).</w:t>
      </w:r>
    </w:p>
    <w:p w14:paraId="2D6A5BD2" w14:textId="282BA61F" w:rsidR="00B40A52" w:rsidRPr="00DA1B92" w:rsidRDefault="00B40A52" w:rsidP="00E74925">
      <w:pPr>
        <w:pStyle w:val="TEXTBODY"/>
        <w:numPr>
          <w:ilvl w:val="0"/>
          <w:numId w:val="77"/>
        </w:numPr>
        <w:spacing w:line="276" w:lineRule="auto"/>
        <w:rPr>
          <w:bCs/>
          <w:color w:val="C00000"/>
          <w:szCs w:val="22"/>
        </w:rPr>
      </w:pPr>
      <w:r w:rsidRPr="00DA1B92">
        <w:rPr>
          <w:bCs/>
        </w:rPr>
        <w:t xml:space="preserve">Overall, in the APs method, </w:t>
      </w:r>
      <w:r w:rsidRPr="00DA1B92">
        <w:rPr>
          <w:bCs/>
          <w:i/>
          <w:iCs/>
        </w:rPr>
        <w:t>flexibility</w:t>
      </w:r>
      <w:r w:rsidRPr="00DA1B92">
        <w:rPr>
          <w:bCs/>
        </w:rPr>
        <w:t xml:space="preserve"> is related with: (a) the possibility (flexibility) to switch to other measures or pathways if and when needed, in the face of uncertain future developments, and thus, with the availability of other possible measures (</w:t>
      </w:r>
      <w:r w:rsidR="00E3656F" w:rsidRPr="00DA1B92">
        <w:rPr>
          <w:bCs/>
        </w:rPr>
        <w:t>options/</w:t>
      </w:r>
      <w:r w:rsidRPr="00DA1B92">
        <w:rPr>
          <w:bCs/>
        </w:rPr>
        <w:t xml:space="preserve">alternatives); and (b) flexibility in relation to the timing of implementation of measures (the possibility of altering the moment for implementing a measure) </w:t>
      </w:r>
      <w:r w:rsidRPr="00DA1B92">
        <w:rPr>
          <w:bCs/>
          <w:color w:val="231F20"/>
        </w:rPr>
        <w:t>(</w:t>
      </w:r>
      <w:r w:rsidRPr="00DA1B92">
        <w:rPr>
          <w:bCs/>
          <w:color w:val="7F7F7F" w:themeColor="text1" w:themeTint="80"/>
        </w:rPr>
        <w:t xml:space="preserve">Haegen and </w:t>
      </w:r>
      <w:proofErr w:type="spellStart"/>
      <w:r w:rsidRPr="00DA1B92">
        <w:rPr>
          <w:bCs/>
          <w:color w:val="7F7F7F" w:themeColor="text1" w:themeTint="80"/>
        </w:rPr>
        <w:t>Wieriks</w:t>
      </w:r>
      <w:proofErr w:type="spellEnd"/>
      <w:r w:rsidRPr="00DA1B92">
        <w:rPr>
          <w:bCs/>
          <w:color w:val="7F7F7F" w:themeColor="text1" w:themeTint="80"/>
        </w:rPr>
        <w:t xml:space="preserve"> 2015, p.54, 56, 48; Alphen 2013 </w:t>
      </w:r>
      <w:r w:rsidRPr="00DA1B92">
        <w:rPr>
          <w:bCs/>
          <w:i/>
          <w:iCs/>
          <w:color w:val="7F7F7F" w:themeColor="text1" w:themeTint="80"/>
        </w:rPr>
        <w:t>in</w:t>
      </w:r>
      <w:r w:rsidRPr="00DA1B92">
        <w:rPr>
          <w:bCs/>
          <w:color w:val="7F7F7F" w:themeColor="text1" w:themeTint="80"/>
        </w:rPr>
        <w:t xml:space="preserve"> Zevenbergen et al. 2018; Zandvoort et al. 2018, p.191</w:t>
      </w:r>
      <w:r w:rsidRPr="00DA1B92">
        <w:rPr>
          <w:bCs/>
        </w:rPr>
        <w:t xml:space="preserve">). </w:t>
      </w:r>
    </w:p>
    <w:p w14:paraId="672EEF9F" w14:textId="45F08E4C" w:rsidR="00AC348F" w:rsidRPr="00DA1B92" w:rsidRDefault="00AC348F" w:rsidP="00E74925">
      <w:pPr>
        <w:pStyle w:val="TEXTBODY"/>
        <w:spacing w:line="276" w:lineRule="auto"/>
        <w:ind w:left="284"/>
        <w:rPr>
          <w:bCs/>
        </w:rPr>
      </w:pPr>
      <w:bookmarkStart w:id="121" w:name="_Hlk141363504"/>
      <w:bookmarkEnd w:id="120"/>
      <w:r w:rsidRPr="00DA1B92">
        <w:rPr>
          <w:bCs/>
        </w:rPr>
        <w:t>In the DP, one of the four basic principles (</w:t>
      </w:r>
      <w:r w:rsidRPr="00DA1B92">
        <w:rPr>
          <w:bCs/>
          <w:i/>
          <w:iCs/>
        </w:rPr>
        <w:t>essential aspects</w:t>
      </w:r>
      <w:r w:rsidRPr="00DA1B92">
        <w:rPr>
          <w:bCs/>
        </w:rPr>
        <w:t xml:space="preserve"> / </w:t>
      </w:r>
      <w:r w:rsidRPr="00DA1B92">
        <w:rPr>
          <w:bCs/>
          <w:i/>
          <w:iCs/>
        </w:rPr>
        <w:t>key-points</w:t>
      </w:r>
      <w:r w:rsidRPr="00DA1B92">
        <w:rPr>
          <w:bCs/>
        </w:rPr>
        <w:t>) of ADM was ‘</w:t>
      </w:r>
      <w:r w:rsidRPr="00DA1B92">
        <w:rPr>
          <w:bCs/>
          <w:i/>
          <w:iCs/>
        </w:rPr>
        <w:t>working with multiple strategies between which it is possible to alternate</w:t>
      </w:r>
      <w:r w:rsidRPr="00DA1B92">
        <w:rPr>
          <w:bCs/>
        </w:rPr>
        <w:t xml:space="preserve">, </w:t>
      </w:r>
      <w:r w:rsidRPr="00DA1B92">
        <w:rPr>
          <w:bCs/>
          <w:i/>
          <w:iCs/>
        </w:rPr>
        <w:t>i.e.</w:t>
      </w:r>
      <w:r w:rsidRPr="00DA1B92">
        <w:rPr>
          <w:bCs/>
        </w:rPr>
        <w:t xml:space="preserve"> </w:t>
      </w:r>
      <w:r w:rsidRPr="00DA1B92">
        <w:rPr>
          <w:bCs/>
          <w:i/>
          <w:iCs/>
        </w:rPr>
        <w:t>with</w:t>
      </w:r>
      <w:r w:rsidRPr="00DA1B92">
        <w:rPr>
          <w:bCs/>
        </w:rPr>
        <w:t xml:space="preserve"> </w:t>
      </w:r>
      <w:r w:rsidRPr="00DA1B92">
        <w:rPr>
          <w:bCs/>
          <w:i/>
          <w:iCs/>
        </w:rPr>
        <w:t>adaptation paths</w:t>
      </w:r>
      <w:r w:rsidRPr="00DA1B92">
        <w:rPr>
          <w:bCs/>
        </w:rPr>
        <w:t>’</w:t>
      </w:r>
      <w:r w:rsidRPr="00DA1B92">
        <w:rPr>
          <w:bCs/>
          <w:i/>
          <w:iCs/>
        </w:rPr>
        <w:t xml:space="preserve"> </w:t>
      </w:r>
      <w:r w:rsidRPr="00DA1B92">
        <w:rPr>
          <w:bCs/>
        </w:rPr>
        <w:t>(</w:t>
      </w:r>
      <w:r w:rsidRPr="00DA1B92">
        <w:rPr>
          <w:bCs/>
          <w:color w:val="7F7F7F" w:themeColor="text1" w:themeTint="80"/>
        </w:rPr>
        <w:t>DP 2012, p.88, 81; 2013, p.102</w:t>
      </w:r>
      <w:r w:rsidR="0034350B" w:rsidRPr="00DA1B92">
        <w:rPr>
          <w:bCs/>
          <w:color w:val="7F7F7F" w:themeColor="text1" w:themeTint="80"/>
        </w:rPr>
        <w:t>; 2011, p.48</w:t>
      </w:r>
      <w:r w:rsidRPr="00DA1B92">
        <w:rPr>
          <w:bCs/>
        </w:rPr>
        <w:t>).</w:t>
      </w:r>
      <w:r w:rsidRPr="00DA1B92">
        <w:rPr>
          <w:rStyle w:val="Refdenotaderodap"/>
          <w:bCs/>
        </w:rPr>
        <w:footnoteReference w:id="106"/>
      </w:r>
      <w:r w:rsidRPr="00DA1B92">
        <w:rPr>
          <w:bCs/>
        </w:rPr>
        <w:t xml:space="preserve"> This implied the design of adaptation pathways (as sets of</w:t>
      </w:r>
      <w:r w:rsidRPr="00DA1B92">
        <w:rPr>
          <w:bCs/>
          <w:color w:val="C00000"/>
        </w:rPr>
        <w:t xml:space="preserve"> </w:t>
      </w:r>
      <w:r w:rsidRPr="00DA1B92">
        <w:rPr>
          <w:bCs/>
        </w:rPr>
        <w:t xml:space="preserve">sequenced measures) that together provided a general </w:t>
      </w:r>
      <w:r w:rsidRPr="00DA1B92">
        <w:rPr>
          <w:bCs/>
          <w:i/>
          <w:iCs/>
        </w:rPr>
        <w:t xml:space="preserve">adaptive strategy </w:t>
      </w:r>
      <w:r w:rsidRPr="00DA1B92">
        <w:rPr>
          <w:bCs/>
        </w:rPr>
        <w:t>(</w:t>
      </w:r>
      <w:r w:rsidRPr="00DA1B92">
        <w:rPr>
          <w:bCs/>
          <w:color w:val="7F7F7F" w:themeColor="text1" w:themeTint="80"/>
        </w:rPr>
        <w:t xml:space="preserve">Haegen and </w:t>
      </w:r>
      <w:proofErr w:type="spellStart"/>
      <w:r w:rsidRPr="00DA1B92">
        <w:rPr>
          <w:bCs/>
          <w:color w:val="7F7F7F" w:themeColor="text1" w:themeTint="80"/>
        </w:rPr>
        <w:t>Wieriks</w:t>
      </w:r>
      <w:proofErr w:type="spellEnd"/>
      <w:r w:rsidRPr="00DA1B92">
        <w:rPr>
          <w:bCs/>
          <w:color w:val="7F7F7F" w:themeColor="text1" w:themeTint="80"/>
        </w:rPr>
        <w:t xml:space="preserve"> 2015</w:t>
      </w:r>
      <w:r w:rsidRPr="00DA1B92">
        <w:rPr>
          <w:bCs/>
        </w:rPr>
        <w:t>).</w:t>
      </w:r>
    </w:p>
    <w:p w14:paraId="34790F21" w14:textId="5DF11951" w:rsidR="00A61A74" w:rsidRPr="00DA1B92" w:rsidRDefault="00A61A74" w:rsidP="00E74925">
      <w:pPr>
        <w:pStyle w:val="TEXTBODY"/>
        <w:spacing w:line="276" w:lineRule="auto"/>
        <w:rPr>
          <w:bCs/>
        </w:rPr>
      </w:pPr>
      <w:r w:rsidRPr="00DA1B92">
        <w:rPr>
          <w:rFonts w:eastAsia="RijksoverheidSansText-Regular"/>
          <w:bCs/>
        </w:rPr>
        <w:t>The 3</w:t>
      </w:r>
      <w:r w:rsidRPr="00DA1B92">
        <w:rPr>
          <w:rFonts w:eastAsia="RijksoverheidSansText-Regular"/>
          <w:bCs/>
          <w:vertAlign w:val="superscript"/>
        </w:rPr>
        <w:t>rd</w:t>
      </w:r>
      <w:r w:rsidRPr="00DA1B92">
        <w:rPr>
          <w:rFonts w:eastAsia="RijksoverheidSansText-Regular"/>
          <w:bCs/>
        </w:rPr>
        <w:t xml:space="preserve"> principle of ADM</w:t>
      </w:r>
      <w:r w:rsidRPr="00DA1B92">
        <w:rPr>
          <w:bCs/>
        </w:rPr>
        <w:t xml:space="preserve"> (</w:t>
      </w:r>
      <w:r w:rsidRPr="00DA1B92">
        <w:rPr>
          <w:bCs/>
          <w:i/>
          <w:iCs/>
        </w:rPr>
        <w:t>working with</w:t>
      </w:r>
      <w:r w:rsidRPr="00DA1B92">
        <w:rPr>
          <w:bCs/>
        </w:rPr>
        <w:t xml:space="preserve"> </w:t>
      </w:r>
      <w:r w:rsidRPr="00DA1B92">
        <w:rPr>
          <w:bCs/>
          <w:i/>
          <w:iCs/>
        </w:rPr>
        <w:t>multiple strategies that can be alternated between, i.e.</w:t>
      </w:r>
      <w:r w:rsidRPr="00DA1B92">
        <w:rPr>
          <w:bCs/>
        </w:rPr>
        <w:t xml:space="preserve"> </w:t>
      </w:r>
      <w:r w:rsidRPr="00DA1B92">
        <w:rPr>
          <w:bCs/>
          <w:i/>
          <w:iCs/>
        </w:rPr>
        <w:t>adaptation paths</w:t>
      </w:r>
      <w:r w:rsidRPr="00DA1B92">
        <w:rPr>
          <w:rFonts w:eastAsia="RijksoverheidSansText-Regular"/>
          <w:bCs/>
        </w:rPr>
        <w:t>)</w:t>
      </w:r>
      <w:r w:rsidRPr="00DA1B92">
        <w:rPr>
          <w:bCs/>
        </w:rPr>
        <w:t xml:space="preserve"> (</w:t>
      </w:r>
      <w:r w:rsidRPr="00DA1B92">
        <w:rPr>
          <w:rFonts w:eastAsia="RijksoverheidSansText-Regular"/>
          <w:bCs/>
          <w:color w:val="7F7F7F" w:themeColor="text1" w:themeTint="80"/>
        </w:rPr>
        <w:t>DP 2012, p.88</w:t>
      </w:r>
      <w:r w:rsidRPr="00DA1B92">
        <w:rPr>
          <w:rFonts w:eastAsia="RijksoverheidSansText-Regular"/>
          <w:bCs/>
        </w:rPr>
        <w:t>;</w:t>
      </w:r>
      <w:r w:rsidRPr="00DA1B92">
        <w:rPr>
          <w:rFonts w:eastAsia="RijksoverheidSansText-Regular"/>
          <w:bCs/>
          <w:color w:val="7F7F7F" w:themeColor="text1" w:themeTint="80"/>
        </w:rPr>
        <w:t xml:space="preserve"> 2013, p.102; </w:t>
      </w:r>
      <w:r w:rsidRPr="00DA1B92">
        <w:rPr>
          <w:bCs/>
          <w:color w:val="7F7F7F" w:themeColor="text1" w:themeTint="80"/>
        </w:rPr>
        <w:t xml:space="preserve">Marchand and Ludwig 2014, p.8; </w:t>
      </w:r>
      <w:proofErr w:type="spellStart"/>
      <w:r w:rsidRPr="00DA1B92">
        <w:rPr>
          <w:bCs/>
          <w:color w:val="7F7F7F" w:themeColor="text1" w:themeTint="80"/>
        </w:rPr>
        <w:t>Gersonius</w:t>
      </w:r>
      <w:proofErr w:type="spellEnd"/>
      <w:r w:rsidRPr="00DA1B92">
        <w:rPr>
          <w:bCs/>
          <w:color w:val="7F7F7F" w:themeColor="text1" w:themeTint="80"/>
        </w:rPr>
        <w:t xml:space="preserve"> et al. 2016</w:t>
      </w:r>
      <w:r w:rsidRPr="00DA1B92">
        <w:rPr>
          <w:rFonts w:eastAsia="RijksoverheidSansText-Regular"/>
          <w:bCs/>
          <w:color w:val="7F7F7F" w:themeColor="text1" w:themeTint="80"/>
        </w:rPr>
        <w:t xml:space="preserve">; </w:t>
      </w:r>
      <w:r w:rsidRPr="00DA1B92">
        <w:rPr>
          <w:bCs/>
          <w:color w:val="7F7F7F" w:themeColor="text1" w:themeTint="80"/>
        </w:rPr>
        <w:t xml:space="preserve">Rhee 2012 </w:t>
      </w:r>
      <w:r w:rsidRPr="00DA1B92">
        <w:rPr>
          <w:bCs/>
          <w:i/>
          <w:iCs/>
          <w:color w:val="7F7F7F" w:themeColor="text1" w:themeTint="80"/>
        </w:rPr>
        <w:t>in</w:t>
      </w:r>
      <w:r w:rsidRPr="00DA1B92">
        <w:rPr>
          <w:bCs/>
          <w:color w:val="7F7F7F" w:themeColor="text1" w:themeTint="80"/>
        </w:rPr>
        <w:t xml:space="preserve"> Werners et al. 2016</w:t>
      </w:r>
      <w:r w:rsidRPr="00DA1B92">
        <w:rPr>
          <w:bCs/>
        </w:rPr>
        <w:t>) required developing multiple strategies that can be implemented alternatingly depending on developments, i.e. designing several adaptation pathways, called ‘</w:t>
      </w:r>
      <w:r w:rsidRPr="00DA1B92">
        <w:rPr>
          <w:bCs/>
          <w:i/>
          <w:iCs/>
        </w:rPr>
        <w:t>adaptation p</w:t>
      </w:r>
      <w:r w:rsidRPr="00DA1B92">
        <w:rPr>
          <w:bCs/>
          <w:i/>
        </w:rPr>
        <w:t>aths</w:t>
      </w:r>
      <w:r w:rsidRPr="00DA1B92">
        <w:rPr>
          <w:bCs/>
          <w:iCs/>
        </w:rPr>
        <w:t xml:space="preserve">’ in the DP, </w:t>
      </w:r>
      <w:r w:rsidRPr="00DA1B92">
        <w:rPr>
          <w:bCs/>
        </w:rPr>
        <w:t>between which it is possible to switch depending on developments. This principle implied using the method of Adaptation Pathways (APs) to design the strategies (</w:t>
      </w:r>
      <w:r w:rsidR="005C558F" w:rsidRPr="00DA1B92">
        <w:rPr>
          <w:bCs/>
          <w:color w:val="7F7F7F" w:themeColor="text1" w:themeTint="80"/>
        </w:rPr>
        <w:t>Brugge and Bruggeman 2019</w:t>
      </w:r>
      <w:r w:rsidRPr="00DA1B92">
        <w:rPr>
          <w:bCs/>
          <w:szCs w:val="22"/>
        </w:rPr>
        <w:t>)</w:t>
      </w:r>
      <w:r w:rsidRPr="00DA1B92">
        <w:rPr>
          <w:bCs/>
        </w:rPr>
        <w:t>.</w:t>
      </w:r>
      <w:r w:rsidRPr="00DA1B92">
        <w:rPr>
          <w:rStyle w:val="Refdenotaderodap"/>
          <w:bCs/>
        </w:rPr>
        <w:footnoteReference w:id="107"/>
      </w:r>
      <w:r w:rsidRPr="009B720F">
        <w:rPr>
          <w:bCs/>
          <w:noProof/>
        </w:rPr>
        <w:t xml:space="preserve"> </w:t>
      </w:r>
    </w:p>
    <w:p w14:paraId="23463B89" w14:textId="65A74AE5" w:rsidR="00A61A74" w:rsidRPr="00DA1B92" w:rsidRDefault="00DA1B92" w:rsidP="00E74925">
      <w:pPr>
        <w:pStyle w:val="TEXTBODY"/>
        <w:spacing w:line="276" w:lineRule="auto"/>
        <w:rPr>
          <w:bCs/>
        </w:rPr>
      </w:pPr>
      <w:r w:rsidRPr="00DA1B92">
        <w:rPr>
          <w:bCs/>
          <w:iCs/>
        </w:rPr>
        <w:t xml:space="preserve">The </w:t>
      </w:r>
      <w:r w:rsidR="00A61A74" w:rsidRPr="00DA1B92">
        <w:rPr>
          <w:bCs/>
          <w:iCs/>
        </w:rPr>
        <w:t>3</w:t>
      </w:r>
      <w:r w:rsidR="00A61A74" w:rsidRPr="00DA1B92">
        <w:rPr>
          <w:bCs/>
          <w:iCs/>
          <w:vertAlign w:val="superscript"/>
        </w:rPr>
        <w:t>rd</w:t>
      </w:r>
      <w:r w:rsidR="00A61A74" w:rsidRPr="00DA1B92">
        <w:rPr>
          <w:bCs/>
          <w:iCs/>
        </w:rPr>
        <w:t xml:space="preserve"> principle </w:t>
      </w:r>
      <w:r w:rsidR="00A61A74" w:rsidRPr="009B720F">
        <w:rPr>
          <w:bCs/>
          <w:iCs/>
        </w:rPr>
        <w:t xml:space="preserve">of ADM involved </w:t>
      </w:r>
      <w:r w:rsidR="00A61A74" w:rsidRPr="009B720F">
        <w:rPr>
          <w:bCs/>
          <w:i/>
        </w:rPr>
        <w:t>working with several potential strategies</w:t>
      </w:r>
      <w:r w:rsidR="00A61A74" w:rsidRPr="009B720F">
        <w:rPr>
          <w:rFonts w:hint="eastAsia"/>
          <w:bCs/>
          <w:i/>
        </w:rPr>
        <w:t xml:space="preserve"> </w:t>
      </w:r>
      <w:r w:rsidR="00A61A74" w:rsidRPr="009B720F">
        <w:rPr>
          <w:bCs/>
          <w:iCs/>
        </w:rPr>
        <w:t xml:space="preserve">– i.e. with </w:t>
      </w:r>
      <w:r w:rsidR="00A61A74" w:rsidRPr="009B720F">
        <w:rPr>
          <w:rFonts w:hint="eastAsia"/>
          <w:bCs/>
          <w:iCs/>
        </w:rPr>
        <w:t>‘</w:t>
      </w:r>
      <w:r w:rsidR="00A61A74" w:rsidRPr="009B720F">
        <w:rPr>
          <w:bCs/>
          <w:i/>
        </w:rPr>
        <w:t>adaptation paths</w:t>
      </w:r>
      <w:r w:rsidR="00A61A74" w:rsidRPr="009B720F">
        <w:rPr>
          <w:rFonts w:hint="eastAsia"/>
          <w:bCs/>
          <w:iCs/>
        </w:rPr>
        <w:t>’</w:t>
      </w:r>
      <w:r w:rsidR="00A61A74" w:rsidRPr="009B720F">
        <w:rPr>
          <w:bCs/>
          <w:iCs/>
        </w:rPr>
        <w:t xml:space="preserve"> – and appraising the </w:t>
      </w:r>
      <w:r w:rsidR="00A61A74" w:rsidRPr="00DA1B92">
        <w:rPr>
          <w:bCs/>
          <w:i/>
        </w:rPr>
        <w:t xml:space="preserve">flexibility </w:t>
      </w:r>
      <w:r w:rsidR="00A61A74" w:rsidRPr="00DA1B92">
        <w:rPr>
          <w:bCs/>
          <w:iCs/>
        </w:rPr>
        <w:t>around</w:t>
      </w:r>
      <w:r w:rsidR="00A61A74" w:rsidRPr="00DA1B92">
        <w:rPr>
          <w:bCs/>
          <w:i/>
        </w:rPr>
        <w:t xml:space="preserve"> </w:t>
      </w:r>
      <w:r w:rsidR="00A61A74" w:rsidRPr="00DA1B92">
        <w:rPr>
          <w:bCs/>
          <w:iCs/>
        </w:rPr>
        <w:t xml:space="preserve">such </w:t>
      </w:r>
      <w:r w:rsidR="00A61A74" w:rsidRPr="00DA1B92">
        <w:rPr>
          <w:bCs/>
          <w:i/>
        </w:rPr>
        <w:t>paths</w:t>
      </w:r>
      <w:r w:rsidR="00A61A74" w:rsidRPr="00DA1B92">
        <w:rPr>
          <w:bCs/>
          <w:iCs/>
        </w:rPr>
        <w:t xml:space="preserve"> (</w:t>
      </w:r>
      <w:r w:rsidR="00A61A74" w:rsidRPr="00DA1B92">
        <w:rPr>
          <w:bCs/>
          <w:iCs/>
          <w:color w:val="7F7F7F" w:themeColor="text1" w:themeTint="80"/>
        </w:rPr>
        <w:t xml:space="preserve">DP </w:t>
      </w:r>
      <w:r w:rsidR="00A61A74" w:rsidRPr="00DA1B92">
        <w:rPr>
          <w:rFonts w:eastAsia="RijksoverheidSansText-Regular" w:cs="Arial"/>
          <w:bCs/>
          <w:color w:val="7F7F7F" w:themeColor="text1" w:themeTint="80"/>
          <w:szCs w:val="18"/>
        </w:rPr>
        <w:t>2011, p.48</w:t>
      </w:r>
      <w:r w:rsidR="00A61A74" w:rsidRPr="00DA1B92">
        <w:rPr>
          <w:rFonts w:eastAsia="RijksoverheidSansText-Regular" w:cs="Arial"/>
          <w:bCs/>
          <w:szCs w:val="18"/>
        </w:rPr>
        <w:t xml:space="preserve">). </w:t>
      </w:r>
      <w:r w:rsidR="00A61A74" w:rsidRPr="00DA1B92">
        <w:rPr>
          <w:bCs/>
        </w:rPr>
        <w:t>The 3</w:t>
      </w:r>
      <w:r w:rsidR="00A61A74" w:rsidRPr="00DA1B92">
        <w:rPr>
          <w:bCs/>
          <w:vertAlign w:val="superscript"/>
        </w:rPr>
        <w:t>rd</w:t>
      </w:r>
      <w:r w:rsidR="00A61A74" w:rsidRPr="00DA1B92">
        <w:rPr>
          <w:bCs/>
        </w:rPr>
        <w:t xml:space="preserve"> principle of ADM has translated into / has reflected in the design of </w:t>
      </w:r>
      <w:r w:rsidR="00A61A74" w:rsidRPr="00DA1B92">
        <w:rPr>
          <w:bCs/>
          <w:i/>
          <w:iCs/>
        </w:rPr>
        <w:t xml:space="preserve">adaptation </w:t>
      </w:r>
      <w:proofErr w:type="gramStart"/>
      <w:r w:rsidR="00A61A74" w:rsidRPr="00DA1B92">
        <w:rPr>
          <w:bCs/>
          <w:i/>
          <w:iCs/>
        </w:rPr>
        <w:t>paths</w:t>
      </w:r>
      <w:r w:rsidR="00A61A74" w:rsidRPr="00DA1B92">
        <w:rPr>
          <w:bCs/>
        </w:rPr>
        <w:t>’</w:t>
      </w:r>
      <w:proofErr w:type="gramEnd"/>
      <w:r w:rsidR="00A61A74" w:rsidRPr="00DA1B92">
        <w:rPr>
          <w:bCs/>
        </w:rPr>
        <w:t xml:space="preserve"> in each </w:t>
      </w:r>
      <w:r w:rsidR="00A61A74" w:rsidRPr="00DA1B92">
        <w:rPr>
          <w:bCs/>
          <w:i/>
          <w:iCs/>
        </w:rPr>
        <w:t xml:space="preserve">Preferential Strategy </w:t>
      </w:r>
      <w:r w:rsidR="00A61A74" w:rsidRPr="00DA1B92">
        <w:rPr>
          <w:bCs/>
        </w:rPr>
        <w:t xml:space="preserve">of the DP </w:t>
      </w:r>
      <w:r w:rsidR="00A61A74" w:rsidRPr="00DA1B92">
        <w:rPr>
          <w:rFonts w:cs="Arial"/>
          <w:bCs/>
          <w:szCs w:val="18"/>
        </w:rPr>
        <w:t>(</w:t>
      </w:r>
      <w:r w:rsidR="00A61A74" w:rsidRPr="00DA1B92">
        <w:rPr>
          <w:rFonts w:cs="Arial"/>
          <w:bCs/>
          <w:color w:val="7F7F7F" w:themeColor="text1" w:themeTint="80"/>
          <w:szCs w:val="18"/>
        </w:rPr>
        <w:t xml:space="preserve">DP 2012, p.81; </w:t>
      </w:r>
      <w:r w:rsidR="00A61A74" w:rsidRPr="00DA1B92">
        <w:rPr>
          <w:rFonts w:eastAsia="RijksoverheidSansText-Regular" w:cs="Arial"/>
          <w:bCs/>
          <w:color w:val="7F7F7F" w:themeColor="text1" w:themeTint="80"/>
          <w:szCs w:val="18"/>
        </w:rPr>
        <w:t xml:space="preserve">2011, p.48; </w:t>
      </w:r>
      <w:r w:rsidR="00A61A74" w:rsidRPr="00DA1B92">
        <w:rPr>
          <w:bCs/>
          <w:color w:val="7F7F7F" w:themeColor="text1" w:themeTint="80"/>
        </w:rPr>
        <w:t>2014, p.47</w:t>
      </w:r>
      <w:r w:rsidR="00A61A74" w:rsidRPr="00DA1B92">
        <w:rPr>
          <w:rFonts w:eastAsia="RijksoverheidSansText-Regular" w:cs="Arial"/>
          <w:bCs/>
          <w:color w:val="000000"/>
          <w:szCs w:val="18"/>
        </w:rPr>
        <w:t xml:space="preserve">). </w:t>
      </w:r>
      <w:r w:rsidR="00A61A74" w:rsidRPr="00DA1B92">
        <w:rPr>
          <w:bCs/>
          <w:color w:val="C00000"/>
        </w:rPr>
        <w:t xml:space="preserve"> </w:t>
      </w:r>
      <w:r w:rsidR="00A61A74" w:rsidRPr="00DA1B92">
        <w:rPr>
          <w:bCs/>
        </w:rPr>
        <w:t xml:space="preserve">In </w:t>
      </w:r>
      <w:r w:rsidR="00A61A74" w:rsidRPr="00DA1B92">
        <w:rPr>
          <w:rFonts w:cs="Arial"/>
          <w:bCs/>
          <w:szCs w:val="18"/>
        </w:rPr>
        <w:t xml:space="preserve">line with this principle, a map with one or more </w:t>
      </w:r>
      <w:r w:rsidR="00A61A74" w:rsidRPr="00DA1B92">
        <w:rPr>
          <w:rFonts w:cs="Arial"/>
          <w:bCs/>
          <w:i/>
          <w:iCs/>
          <w:szCs w:val="18"/>
        </w:rPr>
        <w:t>adaptation paths</w:t>
      </w:r>
      <w:r w:rsidR="00A61A74" w:rsidRPr="00DA1B92">
        <w:rPr>
          <w:rFonts w:cs="Arial"/>
          <w:bCs/>
          <w:szCs w:val="18"/>
        </w:rPr>
        <w:t xml:space="preserve"> was designed in each regional </w:t>
      </w:r>
      <w:r w:rsidR="00A61A74" w:rsidRPr="00DA1B92">
        <w:rPr>
          <w:rFonts w:cs="Arial"/>
          <w:bCs/>
          <w:i/>
          <w:iCs/>
          <w:szCs w:val="18"/>
        </w:rPr>
        <w:t>Strategy</w:t>
      </w:r>
      <w:r w:rsidR="00A61A74" w:rsidRPr="00DA1B92">
        <w:rPr>
          <w:rFonts w:cs="Arial"/>
          <w:bCs/>
          <w:szCs w:val="18"/>
        </w:rPr>
        <w:t xml:space="preserve"> (</w:t>
      </w:r>
      <w:r w:rsidR="00A61A74" w:rsidRPr="00DA1B92">
        <w:rPr>
          <w:rFonts w:eastAsia="RijksoverheidSansText-Regular" w:cs="Arial"/>
          <w:bCs/>
          <w:color w:val="000000"/>
          <w:szCs w:val="18"/>
        </w:rPr>
        <w:t>thus, e</w:t>
      </w:r>
      <w:r w:rsidR="00A61A74" w:rsidRPr="00DA1B92">
        <w:rPr>
          <w:bCs/>
          <w:iCs/>
        </w:rPr>
        <w:t xml:space="preserve">ach </w:t>
      </w:r>
      <w:r w:rsidR="00A61A74" w:rsidRPr="00DA1B92">
        <w:rPr>
          <w:bCs/>
          <w:i/>
        </w:rPr>
        <w:t xml:space="preserve">Strategy </w:t>
      </w:r>
      <w:r w:rsidR="00A61A74" w:rsidRPr="00DA1B92">
        <w:rPr>
          <w:bCs/>
          <w:iCs/>
        </w:rPr>
        <w:t xml:space="preserve">presents a map of </w:t>
      </w:r>
      <w:r w:rsidR="00A61A74" w:rsidRPr="00DA1B92">
        <w:rPr>
          <w:bCs/>
          <w:i/>
        </w:rPr>
        <w:t>adaptation paths</w:t>
      </w:r>
      <w:r w:rsidR="00A61A74" w:rsidRPr="00DA1B92">
        <w:rPr>
          <w:bCs/>
          <w:iCs/>
        </w:rPr>
        <w:t>)</w:t>
      </w:r>
      <w:r w:rsidR="00A61A74" w:rsidRPr="00DA1B92">
        <w:rPr>
          <w:rFonts w:cs="Arial"/>
          <w:bCs/>
          <w:szCs w:val="18"/>
        </w:rPr>
        <w:t xml:space="preserve"> (</w:t>
      </w:r>
      <w:r w:rsidR="00A61A74" w:rsidRPr="00DA1B92">
        <w:rPr>
          <w:rFonts w:cs="Arial"/>
          <w:bCs/>
          <w:color w:val="7F7F7F" w:themeColor="text1" w:themeTint="80"/>
          <w:szCs w:val="18"/>
        </w:rPr>
        <w:t xml:space="preserve">DP </w:t>
      </w:r>
      <w:r w:rsidR="00A61A74" w:rsidRPr="00DA1B92">
        <w:rPr>
          <w:bCs/>
          <w:color w:val="7F7F7F" w:themeColor="text1" w:themeTint="80"/>
        </w:rPr>
        <w:t xml:space="preserve">2014, p.47; </w:t>
      </w:r>
      <w:r w:rsidR="00A61A74" w:rsidRPr="00DA1B92">
        <w:rPr>
          <w:rFonts w:cs="Arial"/>
          <w:bCs/>
          <w:color w:val="7F7F7F" w:themeColor="text1" w:themeTint="80"/>
          <w:szCs w:val="18"/>
        </w:rPr>
        <w:t>2012, p.81; 2011, p.48</w:t>
      </w:r>
      <w:r w:rsidR="00A61A74" w:rsidRPr="00DA1B92">
        <w:rPr>
          <w:rFonts w:eastAsia="RijksoverheidSansText-Regular" w:cs="Arial"/>
          <w:bCs/>
          <w:color w:val="000000"/>
          <w:szCs w:val="18"/>
        </w:rPr>
        <w:t>)</w:t>
      </w:r>
      <w:r w:rsidR="00A61A74" w:rsidRPr="00DA1B92">
        <w:rPr>
          <w:bCs/>
          <w:iCs/>
        </w:rPr>
        <w:t xml:space="preserve">. The </w:t>
      </w:r>
      <w:r w:rsidR="00A61A74" w:rsidRPr="00DA1B92">
        <w:rPr>
          <w:bCs/>
          <w:i/>
          <w:iCs/>
        </w:rPr>
        <w:t>paths</w:t>
      </w:r>
      <w:r w:rsidR="00A61A74" w:rsidRPr="00DA1B92">
        <w:rPr>
          <w:bCs/>
        </w:rPr>
        <w:t xml:space="preserve"> contain diverse measures sequenced over time, which can be implemented alternatively according to the changes that occur (</w:t>
      </w:r>
      <w:r w:rsidR="00A61A74" w:rsidRPr="00DA1B92">
        <w:rPr>
          <w:bCs/>
          <w:color w:val="7F7F7F" w:themeColor="text1" w:themeTint="80"/>
        </w:rPr>
        <w:t>Marchand and Ludwig 2014, p.8</w:t>
      </w:r>
      <w:r w:rsidR="00A61A74" w:rsidRPr="00DA1B92">
        <w:rPr>
          <w:bCs/>
        </w:rPr>
        <w:t>).</w:t>
      </w:r>
    </w:p>
    <w:p w14:paraId="5866B0C3" w14:textId="3166E782" w:rsidR="00A61A74" w:rsidRPr="00DA1B92" w:rsidRDefault="00A61A74" w:rsidP="00E74925">
      <w:pPr>
        <w:pStyle w:val="TEXTBODY"/>
        <w:spacing w:line="276" w:lineRule="auto"/>
        <w:ind w:left="284"/>
        <w:rPr>
          <w:bCs/>
        </w:rPr>
      </w:pPr>
      <w:r w:rsidRPr="00DA1B92">
        <w:rPr>
          <w:bCs/>
        </w:rPr>
        <w:t>Each</w:t>
      </w:r>
      <w:r w:rsidRPr="00DA1B92">
        <w:rPr>
          <w:bCs/>
          <w:i/>
          <w:iCs/>
        </w:rPr>
        <w:t xml:space="preserve"> Strategy</w:t>
      </w:r>
      <w:r w:rsidRPr="00DA1B92">
        <w:rPr>
          <w:bCs/>
        </w:rPr>
        <w:t xml:space="preserve"> contains a map of </w:t>
      </w:r>
      <w:r w:rsidRPr="00DA1B92">
        <w:rPr>
          <w:bCs/>
          <w:i/>
          <w:iCs/>
        </w:rPr>
        <w:t>adaptation path(s)</w:t>
      </w:r>
      <w:r w:rsidRPr="00DA1B92">
        <w:rPr>
          <w:bCs/>
        </w:rPr>
        <w:t>; the term ‘</w:t>
      </w:r>
      <w:r w:rsidRPr="00DA1B92">
        <w:rPr>
          <w:bCs/>
          <w:i/>
          <w:iCs/>
        </w:rPr>
        <w:t>adaptation path</w:t>
      </w:r>
      <w:r w:rsidRPr="00DA1B92">
        <w:rPr>
          <w:bCs/>
        </w:rPr>
        <w:t xml:space="preserve">’ refers to an ‘adaptation pathway’; an </w:t>
      </w:r>
      <w:r w:rsidRPr="00DA1B92">
        <w:rPr>
          <w:bCs/>
          <w:i/>
          <w:iCs/>
        </w:rPr>
        <w:t>adaptation path</w:t>
      </w:r>
      <w:r w:rsidRPr="00DA1B92">
        <w:rPr>
          <w:bCs/>
        </w:rPr>
        <w:t xml:space="preserve"> is a logical set of measures that includes measures for the short-term (namely </w:t>
      </w:r>
      <w:r w:rsidRPr="00DA1B92">
        <w:rPr>
          <w:bCs/>
          <w:i/>
          <w:iCs/>
        </w:rPr>
        <w:t>no-regrets measures</w:t>
      </w:r>
      <w:r w:rsidRPr="00DA1B92">
        <w:rPr>
          <w:bCs/>
        </w:rPr>
        <w:t>) and options for the mid- and long-term (</w:t>
      </w:r>
      <w:r w:rsidRPr="00DA1B92">
        <w:rPr>
          <w:bCs/>
          <w:color w:val="7F7F7F" w:themeColor="text1" w:themeTint="80"/>
        </w:rPr>
        <w:t>DP 2013, p.56</w:t>
      </w:r>
      <w:r w:rsidRPr="00DA1B92">
        <w:rPr>
          <w:bCs/>
        </w:rPr>
        <w:t>).</w:t>
      </w:r>
      <w:r w:rsidRPr="00DA1B92">
        <w:rPr>
          <w:rStyle w:val="Refdenotaderodap"/>
          <w:bCs/>
        </w:rPr>
        <w:t xml:space="preserve"> </w:t>
      </w:r>
      <w:r w:rsidRPr="00DA1B92">
        <w:rPr>
          <w:bCs/>
        </w:rPr>
        <w:t xml:space="preserve"> </w:t>
      </w:r>
    </w:p>
    <w:p w14:paraId="7698194E" w14:textId="77777777" w:rsidR="00A61A74" w:rsidRPr="00DA1B92" w:rsidRDefault="00A61A74" w:rsidP="00E74925">
      <w:pPr>
        <w:pStyle w:val="TEXTBODY"/>
        <w:spacing w:line="276" w:lineRule="auto"/>
        <w:ind w:left="284"/>
        <w:rPr>
          <w:bCs/>
        </w:rPr>
      </w:pPr>
      <w:r w:rsidRPr="00DA1B92">
        <w:rPr>
          <w:bCs/>
        </w:rPr>
        <w:t xml:space="preserve">Thus, </w:t>
      </w:r>
      <w:r w:rsidRPr="00DA1B92">
        <w:rPr>
          <w:bCs/>
          <w:szCs w:val="22"/>
        </w:rPr>
        <w:t>each</w:t>
      </w:r>
      <w:r w:rsidRPr="00DA1B92">
        <w:rPr>
          <w:bCs/>
          <w:i/>
          <w:iCs/>
          <w:szCs w:val="22"/>
        </w:rPr>
        <w:t xml:space="preserve"> Strategy</w:t>
      </w:r>
      <w:r w:rsidRPr="00DA1B92">
        <w:rPr>
          <w:bCs/>
          <w:szCs w:val="22"/>
        </w:rPr>
        <w:t xml:space="preserve"> contains </w:t>
      </w:r>
      <w:r w:rsidRPr="00DA1B92">
        <w:rPr>
          <w:bCs/>
          <w:i/>
          <w:iCs/>
          <w:szCs w:val="22"/>
        </w:rPr>
        <w:t>sets of measures</w:t>
      </w:r>
      <w:r w:rsidRPr="00DA1B92">
        <w:rPr>
          <w:bCs/>
          <w:szCs w:val="22"/>
        </w:rPr>
        <w:t xml:space="preserve">: each </w:t>
      </w:r>
      <w:r w:rsidRPr="00DA1B92">
        <w:rPr>
          <w:bCs/>
          <w:i/>
          <w:iCs/>
          <w:szCs w:val="22"/>
        </w:rPr>
        <w:t>set of measures</w:t>
      </w:r>
      <w:r w:rsidRPr="00DA1B92">
        <w:rPr>
          <w:bCs/>
          <w:szCs w:val="22"/>
        </w:rPr>
        <w:t xml:space="preserve"> offers a logical </w:t>
      </w:r>
      <w:r w:rsidRPr="00DA1B92">
        <w:rPr>
          <w:bCs/>
          <w:i/>
          <w:iCs/>
          <w:szCs w:val="22"/>
        </w:rPr>
        <w:t>path</w:t>
      </w:r>
      <w:r w:rsidRPr="00DA1B92">
        <w:rPr>
          <w:bCs/>
          <w:szCs w:val="22"/>
        </w:rPr>
        <w:t xml:space="preserve">, and </w:t>
      </w:r>
      <w:r w:rsidRPr="00DA1B92">
        <w:rPr>
          <w:bCs/>
          <w:i/>
          <w:iCs/>
          <w:szCs w:val="22"/>
        </w:rPr>
        <w:t>sets of measures</w:t>
      </w:r>
      <w:r w:rsidRPr="00DA1B92">
        <w:rPr>
          <w:bCs/>
          <w:szCs w:val="22"/>
        </w:rPr>
        <w:t xml:space="preserve"> (i.e. several paths) were elaborated </w:t>
      </w:r>
      <w:r w:rsidRPr="00DA1B92">
        <w:rPr>
          <w:bCs/>
        </w:rPr>
        <w:t xml:space="preserve">separately </w:t>
      </w:r>
      <w:r w:rsidRPr="00DA1B92">
        <w:rPr>
          <w:bCs/>
          <w:szCs w:val="22"/>
        </w:rPr>
        <w:t>for each Region (</w:t>
      </w:r>
      <w:r w:rsidRPr="00DA1B92">
        <w:rPr>
          <w:bCs/>
          <w:color w:val="7F7F7F" w:themeColor="text1" w:themeTint="80"/>
          <w:szCs w:val="22"/>
        </w:rPr>
        <w:t xml:space="preserve">DP 2013, p.56, 95; </w:t>
      </w:r>
      <w:r w:rsidRPr="00DA1B92">
        <w:rPr>
          <w:rFonts w:eastAsia="RijksoverheidSansText-Regular"/>
          <w:bCs/>
          <w:color w:val="7F7F7F" w:themeColor="text1" w:themeTint="80"/>
          <w:szCs w:val="22"/>
        </w:rPr>
        <w:t>2012, p.81</w:t>
      </w:r>
      <w:r w:rsidRPr="00DA1B92">
        <w:rPr>
          <w:bCs/>
          <w:szCs w:val="22"/>
        </w:rPr>
        <w:t>).</w:t>
      </w:r>
      <w:r w:rsidRPr="00DA1B92">
        <w:rPr>
          <w:rStyle w:val="Refdenotaderodap"/>
          <w:bCs/>
        </w:rPr>
        <w:footnoteReference w:id="108"/>
      </w:r>
      <w:r w:rsidRPr="00DA1B92">
        <w:rPr>
          <w:bCs/>
          <w:szCs w:val="22"/>
        </w:rPr>
        <w:t xml:space="preserve"> </w:t>
      </w:r>
      <w:r w:rsidRPr="00DA1B92">
        <w:rPr>
          <w:bCs/>
        </w:rPr>
        <w:t>Each</w:t>
      </w:r>
      <w:r w:rsidRPr="00DA1B92">
        <w:rPr>
          <w:bCs/>
          <w:i/>
          <w:iCs/>
        </w:rPr>
        <w:t xml:space="preserve"> Preferential Strategy</w:t>
      </w:r>
      <w:r w:rsidRPr="00DA1B92">
        <w:rPr>
          <w:bCs/>
        </w:rPr>
        <w:t xml:space="preserve"> delivers </w:t>
      </w:r>
      <w:r w:rsidRPr="00DA1B92">
        <w:rPr>
          <w:bCs/>
          <w:i/>
          <w:iCs/>
          <w:sz w:val="24"/>
          <w:szCs w:val="22"/>
        </w:rPr>
        <w:t xml:space="preserve">a set </w:t>
      </w:r>
      <w:r w:rsidRPr="00DA1B92">
        <w:rPr>
          <w:bCs/>
          <w:i/>
          <w:iCs/>
        </w:rPr>
        <w:t>of measures</w:t>
      </w:r>
      <w:r w:rsidRPr="00DA1B92">
        <w:rPr>
          <w:bCs/>
        </w:rPr>
        <w:t xml:space="preserve"> which includes measures for the short-term (planned with a fair level of certainty) and options for the long-term (</w:t>
      </w:r>
      <w:r w:rsidRPr="00DA1B92">
        <w:rPr>
          <w:bCs/>
          <w:color w:val="7F7F7F" w:themeColor="text1" w:themeTint="80"/>
        </w:rPr>
        <w:t>DP 2013, p.95</w:t>
      </w:r>
      <w:r w:rsidRPr="00DA1B92">
        <w:rPr>
          <w:bCs/>
        </w:rPr>
        <w:t>).</w:t>
      </w:r>
      <w:r w:rsidRPr="00DA1B92">
        <w:rPr>
          <w:rStyle w:val="Refdenotaderodap"/>
          <w:bCs/>
        </w:rPr>
        <w:footnoteReference w:id="109"/>
      </w:r>
      <w:r w:rsidRPr="00DA1B92">
        <w:rPr>
          <w:bCs/>
        </w:rPr>
        <w:t xml:space="preserve"> </w:t>
      </w:r>
    </w:p>
    <w:p w14:paraId="5C6FA5DB" w14:textId="783EA421" w:rsidR="00475BCB" w:rsidRPr="00DA1B92" w:rsidRDefault="00A61A74" w:rsidP="00E74925">
      <w:pPr>
        <w:pStyle w:val="TEXTBODY"/>
        <w:spacing w:line="276" w:lineRule="auto"/>
        <w:ind w:left="284"/>
        <w:rPr>
          <w:rFonts w:eastAsia="RijksoverheidSansText-Regular"/>
          <w:bCs/>
          <w:szCs w:val="22"/>
        </w:rPr>
      </w:pPr>
      <w:r w:rsidRPr="00DA1B92">
        <w:rPr>
          <w:bCs/>
        </w:rPr>
        <w:t>In accordance with ADM, in each Subprogramme</w:t>
      </w:r>
      <w:r w:rsidRPr="00DA1B92">
        <w:rPr>
          <w:bCs/>
          <w:color w:val="C00000"/>
        </w:rPr>
        <w:t xml:space="preserve">, </w:t>
      </w:r>
      <w:r w:rsidRPr="00DA1B92">
        <w:rPr>
          <w:bCs/>
          <w:i/>
          <w:iCs/>
        </w:rPr>
        <w:t xml:space="preserve">various adaptation paths </w:t>
      </w:r>
      <w:r w:rsidRPr="00DA1B92">
        <w:rPr>
          <w:bCs/>
        </w:rPr>
        <w:t>(initially called</w:t>
      </w:r>
      <w:r w:rsidRPr="00DA1B92">
        <w:rPr>
          <w:bCs/>
          <w:i/>
          <w:iCs/>
        </w:rPr>
        <w:t xml:space="preserve"> development paths</w:t>
      </w:r>
      <w:r w:rsidRPr="00DA1B92">
        <w:rPr>
          <w:bCs/>
        </w:rPr>
        <w:t>) were developed, which required studying the circumstances</w:t>
      </w:r>
      <w:r w:rsidRPr="00DA1B92">
        <w:rPr>
          <w:bCs/>
          <w:i/>
          <w:iCs/>
        </w:rPr>
        <w:t xml:space="preserve"> </w:t>
      </w:r>
      <w:r w:rsidRPr="00DA1B92">
        <w:rPr>
          <w:bCs/>
        </w:rPr>
        <w:t>under which it will be logical to move from one</w:t>
      </w:r>
      <w:r w:rsidRPr="00DA1B92">
        <w:rPr>
          <w:bCs/>
          <w:i/>
          <w:iCs/>
        </w:rPr>
        <w:t xml:space="preserve"> path</w:t>
      </w:r>
      <w:r w:rsidRPr="00DA1B92">
        <w:rPr>
          <w:bCs/>
        </w:rPr>
        <w:t xml:space="preserve"> to another and options</w:t>
      </w:r>
      <w:r w:rsidRPr="00DA1B92">
        <w:rPr>
          <w:bCs/>
          <w:i/>
          <w:iCs/>
        </w:rPr>
        <w:t xml:space="preserve"> </w:t>
      </w:r>
      <w:r w:rsidRPr="00DA1B92">
        <w:rPr>
          <w:bCs/>
        </w:rPr>
        <w:t>to keep open to allow such transitions (</w:t>
      </w:r>
      <w:r w:rsidRPr="00DA1B92">
        <w:rPr>
          <w:bCs/>
          <w:color w:val="7F7F7F" w:themeColor="text1" w:themeTint="80"/>
        </w:rPr>
        <w:t>DP 2012, p.81</w:t>
      </w:r>
      <w:r w:rsidRPr="00DA1B92">
        <w:rPr>
          <w:bCs/>
        </w:rPr>
        <w:t>)</w:t>
      </w:r>
      <w:r w:rsidR="009219A4" w:rsidRPr="00DA1B92">
        <w:rPr>
          <w:bCs/>
        </w:rPr>
        <w:t xml:space="preserve">, i.e. laying down the conditions under which changing or switching of measure or strategy </w:t>
      </w:r>
      <w:r w:rsidR="009219A4" w:rsidRPr="00DA1B92">
        <w:rPr>
          <w:bCs/>
        </w:rPr>
        <w:lastRenderedPageBreak/>
        <w:t>(</w:t>
      </w:r>
      <w:r w:rsidR="009219A4" w:rsidRPr="00DA1B92">
        <w:rPr>
          <w:bCs/>
          <w:i/>
          <w:iCs/>
        </w:rPr>
        <w:t>path</w:t>
      </w:r>
      <w:r w:rsidR="009219A4" w:rsidRPr="00DA1B92">
        <w:rPr>
          <w:bCs/>
        </w:rPr>
        <w:t>) is reasonable and possibilities for switching between strategies (</w:t>
      </w:r>
      <w:r w:rsidR="009219A4" w:rsidRPr="00DA1B92">
        <w:rPr>
          <w:bCs/>
          <w:color w:val="7F7F7F" w:themeColor="text1" w:themeTint="80"/>
        </w:rPr>
        <w:t>DP 2013, p.95, 77</w:t>
      </w:r>
      <w:r w:rsidR="009219A4" w:rsidRPr="00DA1B92">
        <w:rPr>
          <w:bCs/>
        </w:rPr>
        <w:t>)</w:t>
      </w:r>
      <w:r w:rsidR="005F4235" w:rsidRPr="00DA1B92">
        <w:rPr>
          <w:bCs/>
        </w:rPr>
        <w:t>,</w:t>
      </w:r>
      <w:r w:rsidR="005F4235" w:rsidRPr="00DA1B92">
        <w:rPr>
          <w:bCs/>
          <w:sz w:val="14"/>
          <w:szCs w:val="14"/>
        </w:rPr>
        <w:t xml:space="preserve"> </w:t>
      </w:r>
      <w:r w:rsidR="005F4235" w:rsidRPr="00DA1B92">
        <w:rPr>
          <w:bCs/>
          <w:szCs w:val="22"/>
        </w:rPr>
        <w:t xml:space="preserve">that is, </w:t>
      </w:r>
      <w:r w:rsidR="005F4235" w:rsidRPr="00DA1B92">
        <w:rPr>
          <w:rFonts w:eastAsia="RijksoverheidSansText-Regular"/>
          <w:bCs/>
          <w:szCs w:val="22"/>
        </w:rPr>
        <w:t>looking at the conditions under which it is wise to shift from a strategy, or from a measure, to another one (</w:t>
      </w:r>
      <w:r w:rsidR="005F4235" w:rsidRPr="00DA1B92">
        <w:rPr>
          <w:rFonts w:eastAsia="RijksoverheidSansText-Regular"/>
          <w:bCs/>
          <w:color w:val="7F7F7F" w:themeColor="text1" w:themeTint="80"/>
          <w:szCs w:val="22"/>
        </w:rPr>
        <w:t>DP 2011, p.48</w:t>
      </w:r>
      <w:r w:rsidR="00475BCB" w:rsidRPr="00DA1B92">
        <w:rPr>
          <w:rFonts w:eastAsia="RijksoverheidSansText-Regular"/>
          <w:bCs/>
          <w:szCs w:val="22"/>
        </w:rPr>
        <w:t xml:space="preserve">; </w:t>
      </w:r>
      <w:proofErr w:type="spellStart"/>
      <w:r w:rsidR="00475BCB" w:rsidRPr="00DA1B92">
        <w:rPr>
          <w:bCs/>
          <w:color w:val="7F7F7F" w:themeColor="text1" w:themeTint="80"/>
          <w:szCs w:val="22"/>
        </w:rPr>
        <w:t>Gersonius</w:t>
      </w:r>
      <w:proofErr w:type="spellEnd"/>
      <w:r w:rsidR="00475BCB" w:rsidRPr="00DA1B92">
        <w:rPr>
          <w:bCs/>
          <w:color w:val="7F7F7F" w:themeColor="text1" w:themeTint="80"/>
          <w:szCs w:val="22"/>
        </w:rPr>
        <w:t xml:space="preserve"> et al.2016, p.205</w:t>
      </w:r>
      <w:r w:rsidR="00475BCB" w:rsidRPr="00DA1B92">
        <w:rPr>
          <w:rFonts w:eastAsia="RijksoverheidSansText-Regular"/>
          <w:bCs/>
          <w:szCs w:val="22"/>
        </w:rPr>
        <w:t>).</w:t>
      </w:r>
    </w:p>
    <w:p w14:paraId="2A0C0879" w14:textId="2B663251" w:rsidR="00A61A74" w:rsidRPr="009B720F" w:rsidRDefault="00A61A74" w:rsidP="00E74925">
      <w:pPr>
        <w:pStyle w:val="TEXTBODY"/>
        <w:spacing w:line="276" w:lineRule="auto"/>
        <w:ind w:left="284"/>
        <w:rPr>
          <w:bCs/>
        </w:rPr>
      </w:pPr>
      <w:r w:rsidRPr="00DA1B92">
        <w:rPr>
          <w:bCs/>
        </w:rPr>
        <w:t xml:space="preserve">Each </w:t>
      </w:r>
      <w:r w:rsidRPr="00DA1B92">
        <w:rPr>
          <w:bCs/>
          <w:i/>
          <w:iCs/>
        </w:rPr>
        <w:t>Preferential Strategy</w:t>
      </w:r>
      <w:r w:rsidRPr="00DA1B92">
        <w:rPr>
          <w:bCs/>
        </w:rPr>
        <w:t xml:space="preserve"> of the DP presents objectives, measures to achieve the objectives, and the associated </w:t>
      </w:r>
      <w:r w:rsidRPr="00DA1B92">
        <w:rPr>
          <w:bCs/>
          <w:i/>
          <w:iCs/>
        </w:rPr>
        <w:t>adaptation path(s)</w:t>
      </w:r>
      <w:r w:rsidRPr="00DA1B92">
        <w:rPr>
          <w:bCs/>
        </w:rPr>
        <w:t xml:space="preserve"> (i.e. a set, or sets, of measures) displayed in a map (</w:t>
      </w:r>
      <w:r w:rsidRPr="00DA1B92">
        <w:rPr>
          <w:bCs/>
          <w:color w:val="7F7F7F" w:themeColor="text1" w:themeTint="80"/>
        </w:rPr>
        <w:t xml:space="preserve">DP 2013, p.56; Bloemen et al. 2018; Alphen 2015; Rhee 2012, p.18 </w:t>
      </w:r>
      <w:r w:rsidRPr="00DA1B92">
        <w:rPr>
          <w:bCs/>
          <w:i/>
          <w:iCs/>
        </w:rPr>
        <w:t>in</w:t>
      </w:r>
      <w:r w:rsidRPr="00DA1B92">
        <w:rPr>
          <w:bCs/>
        </w:rPr>
        <w:t xml:space="preserve"> </w:t>
      </w:r>
      <w:r w:rsidRPr="00DA1B92">
        <w:rPr>
          <w:bCs/>
          <w:color w:val="7F7F7F" w:themeColor="text1" w:themeTint="80"/>
        </w:rPr>
        <w:t>Zandvoort et al. 2018, p.190</w:t>
      </w:r>
      <w:r w:rsidRPr="00DA1B92">
        <w:rPr>
          <w:bCs/>
        </w:rPr>
        <w:t>).</w:t>
      </w:r>
      <w:r w:rsidRPr="00DA1B92">
        <w:rPr>
          <w:rStyle w:val="Refdenotaderodap"/>
          <w:bCs/>
        </w:rPr>
        <w:footnoteReference w:id="110"/>
      </w:r>
      <w:r w:rsidRPr="009B720F">
        <w:rPr>
          <w:bCs/>
        </w:rPr>
        <w:t xml:space="preserve"> </w:t>
      </w:r>
    </w:p>
    <w:p w14:paraId="2AADD63C" w14:textId="45E89C86" w:rsidR="00A61A74" w:rsidRPr="00A748CB" w:rsidRDefault="00A61A74" w:rsidP="00E74925">
      <w:pPr>
        <w:pStyle w:val="TEXTBODY"/>
        <w:spacing w:line="276" w:lineRule="auto"/>
        <w:ind w:left="284"/>
        <w:rPr>
          <w:bCs/>
        </w:rPr>
      </w:pPr>
      <w:r w:rsidRPr="00A748CB">
        <w:rPr>
          <w:bCs/>
        </w:rPr>
        <w:t xml:space="preserve">Thus, each </w:t>
      </w:r>
      <w:r w:rsidRPr="00A748CB">
        <w:rPr>
          <w:bCs/>
          <w:i/>
          <w:iCs/>
        </w:rPr>
        <w:t>Strategy</w:t>
      </w:r>
      <w:r w:rsidRPr="00A748CB">
        <w:rPr>
          <w:rStyle w:val="Refdenotaderodap"/>
          <w:bCs/>
        </w:rPr>
        <w:footnoteReference w:id="111"/>
      </w:r>
      <w:r w:rsidRPr="00A748CB">
        <w:rPr>
          <w:bCs/>
          <w:vertAlign w:val="superscript"/>
        </w:rPr>
        <w:t xml:space="preserve"> </w:t>
      </w:r>
      <w:r w:rsidRPr="00A748CB">
        <w:rPr>
          <w:bCs/>
        </w:rPr>
        <w:t xml:space="preserve">(of each Subprogramme) contains a map with one or more </w:t>
      </w:r>
      <w:r w:rsidRPr="00A748CB">
        <w:rPr>
          <w:bCs/>
          <w:i/>
          <w:iCs/>
        </w:rPr>
        <w:t>adaptation paths</w:t>
      </w:r>
      <w:r w:rsidR="00A748CB" w:rsidRPr="00A748CB">
        <w:rPr>
          <w:bCs/>
        </w:rPr>
        <w:t xml:space="preserve"> </w:t>
      </w:r>
      <w:r w:rsidRPr="00A748CB">
        <w:rPr>
          <w:bCs/>
        </w:rPr>
        <w:t>(</w:t>
      </w:r>
      <w:r w:rsidRPr="00A748CB">
        <w:rPr>
          <w:bCs/>
          <w:color w:val="7F7F7F" w:themeColor="text1" w:themeTint="80"/>
        </w:rPr>
        <w:t>DP 2013, p.56</w:t>
      </w:r>
      <w:r w:rsidRPr="00A748CB">
        <w:rPr>
          <w:bCs/>
        </w:rPr>
        <w:t>).</w:t>
      </w:r>
    </w:p>
    <w:p w14:paraId="6A009230" w14:textId="643F21B9" w:rsidR="00A61A74" w:rsidRPr="00A748CB" w:rsidRDefault="00A61A74" w:rsidP="00E74925">
      <w:pPr>
        <w:pStyle w:val="TEXTBODY"/>
        <w:spacing w:line="276" w:lineRule="auto"/>
        <w:ind w:left="284"/>
        <w:rPr>
          <w:bCs/>
        </w:rPr>
      </w:pPr>
      <w:r w:rsidRPr="009B720F">
        <w:rPr>
          <w:rFonts w:eastAsia="RijksoverheidSansText-Regular"/>
          <w:bCs/>
          <w:color w:val="000000"/>
        </w:rPr>
        <w:t xml:space="preserve">All </w:t>
      </w:r>
      <w:r w:rsidRPr="009B720F">
        <w:rPr>
          <w:bCs/>
          <w:i/>
          <w:iCs/>
        </w:rPr>
        <w:t>Preferential Strategies</w:t>
      </w:r>
      <w:r w:rsidRPr="009B720F">
        <w:rPr>
          <w:bCs/>
        </w:rPr>
        <w:t xml:space="preserve"> </w:t>
      </w:r>
      <w:r w:rsidRPr="000A40A4">
        <w:rPr>
          <w:bCs/>
        </w:rPr>
        <w:t>contain a map</w:t>
      </w:r>
      <w:r w:rsidRPr="00A748CB">
        <w:rPr>
          <w:bCs/>
        </w:rPr>
        <w:t xml:space="preserve"> with </w:t>
      </w:r>
      <w:r w:rsidRPr="00A748CB">
        <w:rPr>
          <w:bCs/>
          <w:i/>
          <w:iCs/>
        </w:rPr>
        <w:t>adaptation path(s)</w:t>
      </w:r>
      <w:r w:rsidRPr="00A748CB">
        <w:rPr>
          <w:bCs/>
        </w:rPr>
        <w:t xml:space="preserve">; each regional Subprogramme </w:t>
      </w:r>
      <w:r w:rsidR="00554BF3" w:rsidRPr="00A748CB">
        <w:rPr>
          <w:bCs/>
        </w:rPr>
        <w:t xml:space="preserve">drew </w:t>
      </w:r>
      <w:r w:rsidRPr="00A748CB">
        <w:rPr>
          <w:bCs/>
        </w:rPr>
        <w:t xml:space="preserve">up a </w:t>
      </w:r>
      <w:r w:rsidRPr="00A748CB">
        <w:rPr>
          <w:bCs/>
          <w:i/>
          <w:iCs/>
        </w:rPr>
        <w:t>Preferential Strategy</w:t>
      </w:r>
      <w:r w:rsidRPr="00A748CB">
        <w:rPr>
          <w:bCs/>
        </w:rPr>
        <w:t xml:space="preserve"> for FRM for its region </w:t>
      </w:r>
      <w:r w:rsidRPr="00A748CB">
        <w:rPr>
          <w:rFonts w:cs="Arial"/>
          <w:bCs/>
          <w:szCs w:val="18"/>
        </w:rPr>
        <w:t>(</w:t>
      </w:r>
      <w:r w:rsidRPr="00A748CB">
        <w:rPr>
          <w:rFonts w:cs="Arial"/>
          <w:bCs/>
          <w:color w:val="7F7F7F" w:themeColor="text1" w:themeTint="80"/>
          <w:szCs w:val="18"/>
        </w:rPr>
        <w:t>DP 2014, p.8, 46</w:t>
      </w:r>
      <w:r w:rsidRPr="00A748CB">
        <w:rPr>
          <w:rFonts w:cs="Arial"/>
          <w:bCs/>
          <w:szCs w:val="18"/>
        </w:rPr>
        <w:t>).</w:t>
      </w:r>
      <w:r w:rsidRPr="00A748CB">
        <w:rPr>
          <w:bCs/>
        </w:rPr>
        <w:t xml:space="preserve"> </w:t>
      </w:r>
    </w:p>
    <w:p w14:paraId="32F525D6" w14:textId="77777777" w:rsidR="00A61A74" w:rsidRPr="009B720F" w:rsidRDefault="00A61A74" w:rsidP="00E74925">
      <w:pPr>
        <w:pStyle w:val="TEXTBODY"/>
        <w:spacing w:line="276" w:lineRule="auto"/>
        <w:ind w:left="284"/>
        <w:rPr>
          <w:bCs/>
        </w:rPr>
      </w:pPr>
      <w:r w:rsidRPr="00A748CB">
        <w:rPr>
          <w:bCs/>
        </w:rPr>
        <w:t xml:space="preserve">In each </w:t>
      </w:r>
      <w:r w:rsidRPr="00A748CB">
        <w:rPr>
          <w:bCs/>
          <w:i/>
          <w:iCs/>
        </w:rPr>
        <w:t>Preferential Strategy</w:t>
      </w:r>
      <w:r w:rsidRPr="00A748CB">
        <w:rPr>
          <w:bCs/>
        </w:rPr>
        <w:t>, there is a map of ‘</w:t>
      </w:r>
      <w:r w:rsidRPr="00A748CB">
        <w:rPr>
          <w:bCs/>
          <w:i/>
          <w:iCs/>
        </w:rPr>
        <w:t>adaptation path(s)</w:t>
      </w:r>
      <w:r w:rsidRPr="00A748CB">
        <w:rPr>
          <w:bCs/>
        </w:rPr>
        <w:t>’ (</w:t>
      </w:r>
      <w:r w:rsidRPr="00A748CB">
        <w:rPr>
          <w:bCs/>
          <w:color w:val="7F7F7F" w:themeColor="text1" w:themeTint="80"/>
        </w:rPr>
        <w:t>DP 2013,</w:t>
      </w:r>
      <w:r w:rsidRPr="009B720F">
        <w:rPr>
          <w:bCs/>
          <w:color w:val="7F7F7F" w:themeColor="text1" w:themeTint="80"/>
        </w:rPr>
        <w:t xml:space="preserve"> p.56; Zandvoort et al. 2018, p.190</w:t>
      </w:r>
      <w:r w:rsidRPr="009B720F">
        <w:rPr>
          <w:bCs/>
        </w:rPr>
        <w:t xml:space="preserve">). </w:t>
      </w:r>
    </w:p>
    <w:p w14:paraId="01B959E3" w14:textId="77777777" w:rsidR="00A61A74" w:rsidRPr="009B720F" w:rsidRDefault="00A61A74" w:rsidP="00E74925">
      <w:pPr>
        <w:pStyle w:val="TEXTBODY"/>
        <w:spacing w:line="276" w:lineRule="auto"/>
        <w:rPr>
          <w:bCs/>
          <w:sz w:val="16"/>
          <w:szCs w:val="16"/>
        </w:rPr>
      </w:pPr>
      <w:r w:rsidRPr="00A748CB">
        <w:rPr>
          <w:bCs/>
          <w:sz w:val="16"/>
          <w:szCs w:val="16"/>
        </w:rPr>
        <w:t>Each path (pathway) provides a sequence of actions over time to achieve the predefined objectives (</w:t>
      </w:r>
      <w:r w:rsidRPr="00A748CB">
        <w:rPr>
          <w:bCs/>
          <w:color w:val="7F7F7F" w:themeColor="text1" w:themeTint="80"/>
          <w:sz w:val="16"/>
          <w:szCs w:val="16"/>
        </w:rPr>
        <w:t xml:space="preserve">Marchand and Ludwig 2014, p.2, 13, based on </w:t>
      </w:r>
      <w:proofErr w:type="spellStart"/>
      <w:r w:rsidRPr="00A748CB">
        <w:rPr>
          <w:bCs/>
          <w:color w:val="7F7F7F" w:themeColor="text1" w:themeTint="80"/>
          <w:sz w:val="16"/>
          <w:szCs w:val="16"/>
        </w:rPr>
        <w:t>Haasnoot</w:t>
      </w:r>
      <w:proofErr w:type="spellEnd"/>
      <w:r w:rsidRPr="00A748CB">
        <w:rPr>
          <w:bCs/>
          <w:color w:val="7F7F7F" w:themeColor="text1" w:themeTint="80"/>
          <w:sz w:val="16"/>
          <w:szCs w:val="16"/>
        </w:rPr>
        <w:t xml:space="preserve"> 2013</w:t>
      </w:r>
      <w:r w:rsidRPr="00A748CB">
        <w:rPr>
          <w:bCs/>
          <w:sz w:val="16"/>
          <w:szCs w:val="16"/>
        </w:rPr>
        <w:t>); the various paths offer ‘</w:t>
      </w:r>
      <w:r w:rsidRPr="00A748CB">
        <w:rPr>
          <w:bCs/>
          <w:i/>
          <w:iCs/>
          <w:sz w:val="16"/>
          <w:szCs w:val="16"/>
        </w:rPr>
        <w:t>coherent sequences of measures and potential options, which may be triggered before an ATP occurs</w:t>
      </w:r>
      <w:r w:rsidRPr="00A748CB">
        <w:rPr>
          <w:bCs/>
          <w:sz w:val="16"/>
          <w:szCs w:val="16"/>
        </w:rPr>
        <w:t>’ (</w:t>
      </w:r>
      <w:r w:rsidRPr="00A748CB">
        <w:rPr>
          <w:bCs/>
          <w:color w:val="7F7F7F" w:themeColor="text1" w:themeTint="80"/>
          <w:sz w:val="16"/>
          <w:szCs w:val="16"/>
        </w:rPr>
        <w:t xml:space="preserve">Zevenbergen et al. 2018, </w:t>
      </w:r>
      <w:r w:rsidRPr="00A748CB">
        <w:rPr>
          <w:bCs/>
          <w:sz w:val="16"/>
          <w:szCs w:val="16"/>
        </w:rPr>
        <w:t xml:space="preserve">based on </w:t>
      </w:r>
      <w:proofErr w:type="spellStart"/>
      <w:r w:rsidRPr="00A748CB">
        <w:rPr>
          <w:bCs/>
          <w:color w:val="7F7F7F" w:themeColor="text1" w:themeTint="80"/>
          <w:sz w:val="16"/>
          <w:szCs w:val="16"/>
        </w:rPr>
        <w:t>Haasnoot</w:t>
      </w:r>
      <w:proofErr w:type="spellEnd"/>
      <w:r w:rsidRPr="00A748CB">
        <w:rPr>
          <w:bCs/>
          <w:color w:val="7F7F7F" w:themeColor="text1" w:themeTint="80"/>
          <w:sz w:val="16"/>
          <w:szCs w:val="16"/>
        </w:rPr>
        <w:t xml:space="preserve"> et al. 2012, 2013</w:t>
      </w:r>
      <w:r w:rsidRPr="00A748CB">
        <w:rPr>
          <w:bCs/>
          <w:sz w:val="16"/>
          <w:szCs w:val="16"/>
        </w:rPr>
        <w:t>).</w:t>
      </w:r>
    </w:p>
    <w:p w14:paraId="4B47FBEE" w14:textId="07C9A430" w:rsidR="00475BCB" w:rsidRPr="00A748CB" w:rsidRDefault="00A61A74" w:rsidP="00E74925">
      <w:pPr>
        <w:pStyle w:val="TEXTBODY"/>
        <w:spacing w:line="276" w:lineRule="auto"/>
        <w:ind w:left="142"/>
        <w:rPr>
          <w:bCs/>
          <w:color w:val="C00000"/>
          <w:sz w:val="20"/>
        </w:rPr>
      </w:pPr>
      <w:r w:rsidRPr="00A748CB">
        <w:rPr>
          <w:bCs/>
          <w:sz w:val="20"/>
        </w:rPr>
        <w:t xml:space="preserve">In the DP 2014, a map of </w:t>
      </w:r>
      <w:r w:rsidRPr="00A748CB">
        <w:rPr>
          <w:bCs/>
          <w:i/>
          <w:iCs/>
          <w:sz w:val="20"/>
        </w:rPr>
        <w:t>adaptation path(s)</w:t>
      </w:r>
      <w:r w:rsidRPr="00A748CB">
        <w:rPr>
          <w:bCs/>
          <w:sz w:val="20"/>
        </w:rPr>
        <w:t xml:space="preserve"> is presented in each </w:t>
      </w:r>
      <w:r w:rsidRPr="00A748CB">
        <w:rPr>
          <w:bCs/>
          <w:i/>
          <w:iCs/>
          <w:sz w:val="20"/>
        </w:rPr>
        <w:t>Preferential Strategy</w:t>
      </w:r>
      <w:r w:rsidRPr="00A748CB">
        <w:rPr>
          <w:bCs/>
          <w:sz w:val="20"/>
        </w:rPr>
        <w:t xml:space="preserve">, i.e. each </w:t>
      </w:r>
      <w:r w:rsidRPr="00A748CB">
        <w:rPr>
          <w:bCs/>
          <w:i/>
          <w:iCs/>
          <w:sz w:val="20"/>
        </w:rPr>
        <w:t>Preferential Strategy</w:t>
      </w:r>
      <w:r w:rsidRPr="00A748CB">
        <w:rPr>
          <w:bCs/>
          <w:sz w:val="20"/>
        </w:rPr>
        <w:t xml:space="preserve"> contains a map with one or more </w:t>
      </w:r>
      <w:r w:rsidRPr="00A748CB">
        <w:rPr>
          <w:bCs/>
          <w:i/>
          <w:iCs/>
          <w:sz w:val="20"/>
        </w:rPr>
        <w:t>adaptation path(s)</w:t>
      </w:r>
      <w:r w:rsidRPr="00A748CB">
        <w:rPr>
          <w:bCs/>
          <w:sz w:val="20"/>
        </w:rPr>
        <w:t>, which shows the pathway(s) to be followed. Such map indicates which measures can be taken (including measures required now to ensure that options that may be needed in the long-term can be implemented by then) and when they are expected to be necessary (</w:t>
      </w:r>
      <w:r w:rsidRPr="00A748CB">
        <w:rPr>
          <w:bCs/>
          <w:color w:val="7F7F7F" w:themeColor="text1" w:themeTint="80"/>
          <w:sz w:val="20"/>
        </w:rPr>
        <w:t>DP 2014, p.47</w:t>
      </w:r>
      <w:r w:rsidRPr="00A748CB">
        <w:rPr>
          <w:bCs/>
          <w:sz w:val="20"/>
        </w:rPr>
        <w:t xml:space="preserve">); in specific, the map </w:t>
      </w:r>
      <w:r w:rsidR="00475BCB" w:rsidRPr="00A748CB">
        <w:rPr>
          <w:bCs/>
          <w:sz w:val="20"/>
        </w:rPr>
        <w:t>displays</w:t>
      </w:r>
      <w:r w:rsidRPr="00A748CB">
        <w:rPr>
          <w:bCs/>
          <w:sz w:val="20"/>
        </w:rPr>
        <w:t xml:space="preserve"> the </w:t>
      </w:r>
      <w:r w:rsidR="009219A4" w:rsidRPr="00A748CB">
        <w:rPr>
          <w:bCs/>
          <w:sz w:val="20"/>
        </w:rPr>
        <w:t>possibilities</w:t>
      </w:r>
      <w:r w:rsidRPr="00A748CB">
        <w:rPr>
          <w:bCs/>
          <w:sz w:val="20"/>
        </w:rPr>
        <w:t xml:space="preserve"> </w:t>
      </w:r>
      <w:r w:rsidR="00475BCB" w:rsidRPr="00A748CB">
        <w:rPr>
          <w:bCs/>
          <w:sz w:val="20"/>
        </w:rPr>
        <w:t xml:space="preserve">(options) </w:t>
      </w:r>
      <w:r w:rsidR="009219A4" w:rsidRPr="00A748CB">
        <w:rPr>
          <w:bCs/>
          <w:sz w:val="20"/>
        </w:rPr>
        <w:t>for switching of</w:t>
      </w:r>
      <w:r w:rsidRPr="00A748CB">
        <w:rPr>
          <w:bCs/>
          <w:sz w:val="20"/>
        </w:rPr>
        <w:t xml:space="preserve"> measure or </w:t>
      </w:r>
      <w:r w:rsidRPr="00A748CB">
        <w:rPr>
          <w:bCs/>
          <w:i/>
          <w:iCs/>
          <w:sz w:val="20"/>
        </w:rPr>
        <w:t>path</w:t>
      </w:r>
      <w:r w:rsidRPr="00A748CB">
        <w:rPr>
          <w:bCs/>
          <w:sz w:val="20"/>
        </w:rPr>
        <w:t>, and it also identifies short-term measures required to be able to change strategies later, if necessary (</w:t>
      </w:r>
      <w:r w:rsidRPr="00A748CB">
        <w:rPr>
          <w:bCs/>
          <w:color w:val="7F7F7F" w:themeColor="text1" w:themeTint="80"/>
          <w:sz w:val="20"/>
        </w:rPr>
        <w:t>DP 2013, p.95</w:t>
      </w:r>
      <w:r w:rsidR="009219A4" w:rsidRPr="00A748CB">
        <w:rPr>
          <w:bCs/>
          <w:color w:val="7F7F7F" w:themeColor="text1" w:themeTint="80"/>
          <w:sz w:val="20"/>
        </w:rPr>
        <w:t>, 77</w:t>
      </w:r>
      <w:r w:rsidRPr="00A748CB">
        <w:rPr>
          <w:bCs/>
          <w:sz w:val="20"/>
        </w:rPr>
        <w:t xml:space="preserve">). Each </w:t>
      </w:r>
      <w:r w:rsidRPr="00A748CB">
        <w:rPr>
          <w:bCs/>
          <w:i/>
          <w:iCs/>
          <w:sz w:val="20"/>
        </w:rPr>
        <w:t>Preferential Strategy</w:t>
      </w:r>
      <w:r w:rsidRPr="00A748CB">
        <w:rPr>
          <w:bCs/>
          <w:sz w:val="20"/>
        </w:rPr>
        <w:t xml:space="preserve">, in its </w:t>
      </w:r>
      <w:r w:rsidRPr="00A748CB">
        <w:rPr>
          <w:bCs/>
          <w:i/>
          <w:iCs/>
          <w:sz w:val="20"/>
        </w:rPr>
        <w:t>adaptation path(s)</w:t>
      </w:r>
      <w:r w:rsidRPr="00A748CB">
        <w:rPr>
          <w:bCs/>
          <w:sz w:val="20"/>
        </w:rPr>
        <w:t>, includes measures for the short-, and options for the mid- and long-term (which may be used after 2050) (</w:t>
      </w:r>
      <w:r w:rsidRPr="00A748CB">
        <w:rPr>
          <w:bCs/>
          <w:color w:val="7F7F7F" w:themeColor="text1" w:themeTint="80"/>
          <w:sz w:val="20"/>
        </w:rPr>
        <w:t>DP 2014, p. 49,</w:t>
      </w:r>
      <w:r w:rsidR="00475BCB" w:rsidRPr="00A748CB">
        <w:rPr>
          <w:bCs/>
          <w:color w:val="7F7F7F" w:themeColor="text1" w:themeTint="80"/>
          <w:sz w:val="20"/>
        </w:rPr>
        <w:t xml:space="preserve"> </w:t>
      </w:r>
      <w:r w:rsidRPr="00A748CB">
        <w:rPr>
          <w:bCs/>
          <w:color w:val="7F7F7F" w:themeColor="text1" w:themeTint="80"/>
          <w:sz w:val="20"/>
        </w:rPr>
        <w:t>148</w:t>
      </w:r>
      <w:r w:rsidRPr="00A748CB">
        <w:rPr>
          <w:bCs/>
          <w:sz w:val="20"/>
        </w:rPr>
        <w:t>)</w:t>
      </w:r>
      <w:r w:rsidR="00AE0658" w:rsidRPr="00A748CB">
        <w:rPr>
          <w:bCs/>
          <w:sz w:val="20"/>
        </w:rPr>
        <w:t>,</w:t>
      </w:r>
      <w:r w:rsidR="00AE0658" w:rsidRPr="00A748CB">
        <w:rPr>
          <w:rFonts w:eastAsia="RijksoverheidSansText-Regular"/>
          <w:bCs/>
          <w:sz w:val="20"/>
        </w:rPr>
        <w:t xml:space="preserve"> which implied looking at the conditions under which it is wise to shift from a strategy, or from a measure, to another one (</w:t>
      </w:r>
      <w:r w:rsidR="00AE0658" w:rsidRPr="00A748CB">
        <w:rPr>
          <w:rFonts w:eastAsia="RijksoverheidSansText-Regular"/>
          <w:bCs/>
          <w:color w:val="7F7F7F" w:themeColor="text1" w:themeTint="80"/>
          <w:sz w:val="20"/>
        </w:rPr>
        <w:t xml:space="preserve">2011, p.48; </w:t>
      </w:r>
      <w:proofErr w:type="spellStart"/>
      <w:r w:rsidR="00AE0658" w:rsidRPr="00A748CB">
        <w:rPr>
          <w:bCs/>
          <w:color w:val="7F7F7F" w:themeColor="text1" w:themeTint="80"/>
          <w:sz w:val="20"/>
        </w:rPr>
        <w:t>Gersonius</w:t>
      </w:r>
      <w:proofErr w:type="spellEnd"/>
      <w:r w:rsidR="00AE0658" w:rsidRPr="00A748CB">
        <w:rPr>
          <w:bCs/>
          <w:color w:val="7F7F7F" w:themeColor="text1" w:themeTint="80"/>
          <w:sz w:val="20"/>
        </w:rPr>
        <w:t xml:space="preserve"> et al.2016, p.205</w:t>
      </w:r>
      <w:r w:rsidR="00AE0658" w:rsidRPr="00A748CB">
        <w:rPr>
          <w:rFonts w:eastAsia="RijksoverheidSansText-Regular"/>
          <w:bCs/>
          <w:sz w:val="20"/>
        </w:rPr>
        <w:t xml:space="preserve">) </w:t>
      </w:r>
    </w:p>
    <w:p w14:paraId="03FC5ACE" w14:textId="1CC9CB2F" w:rsidR="00A61A74" w:rsidRPr="009B720F" w:rsidRDefault="00A61A74" w:rsidP="00E74925">
      <w:pPr>
        <w:pStyle w:val="TEXTBODY"/>
        <w:spacing w:line="276" w:lineRule="auto"/>
        <w:ind w:left="426"/>
        <w:rPr>
          <w:rFonts w:eastAsia="RijksoverheidSansText-Regular"/>
          <w:bCs/>
        </w:rPr>
      </w:pPr>
      <w:bookmarkStart w:id="122" w:name="_Hlk140172671"/>
      <w:r w:rsidRPr="00A748CB">
        <w:rPr>
          <w:rFonts w:cs="Arial"/>
          <w:bCs/>
          <w:szCs w:val="18"/>
        </w:rPr>
        <w:t>In line with ADM, a</w:t>
      </w:r>
      <w:r w:rsidRPr="00A748CB">
        <w:rPr>
          <w:rFonts w:cs="Arial"/>
          <w:bCs/>
          <w:color w:val="C00000"/>
          <w:szCs w:val="18"/>
        </w:rPr>
        <w:t xml:space="preserve"> </w:t>
      </w:r>
      <w:r w:rsidRPr="00A748CB">
        <w:rPr>
          <w:rFonts w:cs="Arial"/>
          <w:bCs/>
          <w:szCs w:val="18"/>
        </w:rPr>
        <w:t xml:space="preserve">map with one or more </w:t>
      </w:r>
      <w:r w:rsidRPr="00A748CB">
        <w:rPr>
          <w:rFonts w:cs="Arial"/>
          <w:bCs/>
          <w:i/>
          <w:iCs/>
          <w:szCs w:val="18"/>
        </w:rPr>
        <w:t>adaptation paths</w:t>
      </w:r>
      <w:r w:rsidRPr="00A748CB">
        <w:rPr>
          <w:rFonts w:cs="Arial"/>
          <w:bCs/>
          <w:szCs w:val="18"/>
        </w:rPr>
        <w:t xml:space="preserve"> was designed in each of the </w:t>
      </w:r>
      <w:r w:rsidRPr="00A748CB">
        <w:rPr>
          <w:rFonts w:cs="Arial"/>
          <w:bCs/>
          <w:i/>
          <w:iCs/>
          <w:szCs w:val="18"/>
        </w:rPr>
        <w:t>Strategies</w:t>
      </w:r>
      <w:r w:rsidRPr="00A748CB">
        <w:rPr>
          <w:rFonts w:cs="Arial"/>
          <w:bCs/>
          <w:szCs w:val="18"/>
        </w:rPr>
        <w:t xml:space="preserve"> elaborated (</w:t>
      </w:r>
      <w:r w:rsidRPr="00A748CB">
        <w:rPr>
          <w:rFonts w:cs="Arial"/>
          <w:bCs/>
          <w:color w:val="7F7F7F" w:themeColor="text1" w:themeTint="80"/>
          <w:szCs w:val="18"/>
        </w:rPr>
        <w:t>DP 2012, p.81</w:t>
      </w:r>
      <w:r w:rsidRPr="00A748CB">
        <w:rPr>
          <w:rFonts w:cs="Arial"/>
          <w:bCs/>
          <w:szCs w:val="18"/>
        </w:rPr>
        <w:t>), it</w:t>
      </w:r>
      <w:r w:rsidRPr="00A748CB">
        <w:rPr>
          <w:rFonts w:eastAsia="RijksoverheidSansText-Regular"/>
          <w:bCs/>
        </w:rPr>
        <w:t xml:space="preserve"> provides a schematic overview</w:t>
      </w:r>
      <w:r w:rsidRPr="00A748CB">
        <w:rPr>
          <w:rFonts w:eastAsia="RijksoverheidSansText-Regular"/>
          <w:bCs/>
          <w:i/>
          <w:iCs/>
        </w:rPr>
        <w:t xml:space="preserve"> </w:t>
      </w:r>
      <w:r w:rsidRPr="00A748CB">
        <w:rPr>
          <w:rFonts w:eastAsia="RijksoverheidSansText-Regular"/>
          <w:bCs/>
        </w:rPr>
        <w:t xml:space="preserve">of the measures needed in a certain region </w:t>
      </w:r>
      <w:r w:rsidRPr="00A748CB">
        <w:rPr>
          <w:rFonts w:eastAsia="RijksoverheidSansText-Regular" w:cs="Arial"/>
          <w:bCs/>
          <w:color w:val="000000"/>
          <w:szCs w:val="18"/>
        </w:rPr>
        <w:t>(</w:t>
      </w:r>
      <w:r w:rsidRPr="00A748CB">
        <w:rPr>
          <w:rFonts w:eastAsia="RijksoverheidSansText-Regular" w:cs="Arial"/>
          <w:bCs/>
          <w:color w:val="7F7F7F" w:themeColor="text1" w:themeTint="80"/>
          <w:szCs w:val="18"/>
        </w:rPr>
        <w:t>DP 2011, p.48</w:t>
      </w:r>
      <w:r w:rsidRPr="00A748CB">
        <w:rPr>
          <w:rFonts w:eastAsia="RijksoverheidSansText-Regular" w:cs="Arial"/>
          <w:bCs/>
          <w:color w:val="000000"/>
          <w:szCs w:val="18"/>
        </w:rPr>
        <w:t xml:space="preserve">). </w:t>
      </w:r>
      <w:r w:rsidRPr="00A748CB">
        <w:rPr>
          <w:bCs/>
        </w:rPr>
        <w:t xml:space="preserve">Thus, each </w:t>
      </w:r>
      <w:r w:rsidRPr="00A748CB">
        <w:rPr>
          <w:bCs/>
          <w:i/>
          <w:iCs/>
        </w:rPr>
        <w:t>Preferential Strategy</w:t>
      </w:r>
      <w:r w:rsidRPr="00A748CB">
        <w:rPr>
          <w:bCs/>
        </w:rPr>
        <w:t xml:space="preserve"> presents a map of ‘</w:t>
      </w:r>
      <w:r w:rsidRPr="00A748CB">
        <w:rPr>
          <w:bCs/>
          <w:i/>
          <w:iCs/>
        </w:rPr>
        <w:t>adaptation path(s)</w:t>
      </w:r>
      <w:r w:rsidRPr="00A748CB">
        <w:rPr>
          <w:bCs/>
        </w:rPr>
        <w:t>’</w:t>
      </w:r>
      <w:r w:rsidRPr="00A748CB">
        <w:rPr>
          <w:rFonts w:eastAsia="RijksoverheidSansText-Regular"/>
          <w:bCs/>
        </w:rPr>
        <w:t xml:space="preserve">, which shows, from the current situation and moving ahead into the future, the various measures available for the short-term and possible options for the mid- and long-term (including possible adjustments / adaptations or amendments that might be necessary in strategies), </w:t>
      </w:r>
      <w:r w:rsidR="005F4235" w:rsidRPr="00A748CB">
        <w:rPr>
          <w:rFonts w:eastAsia="RijksoverheidSansText-Regular"/>
          <w:bCs/>
        </w:rPr>
        <w:t>which required looking at the</w:t>
      </w:r>
      <w:r w:rsidRPr="00A748CB">
        <w:rPr>
          <w:rFonts w:eastAsia="RijksoverheidSansText-Regular"/>
          <w:bCs/>
        </w:rPr>
        <w:t xml:space="preserve"> conditions under which it is advisable (wise) to shift from a strategy, or measure, to another one (</w:t>
      </w:r>
      <w:r w:rsidRPr="00A748CB">
        <w:rPr>
          <w:rFonts w:eastAsia="RijksoverheidSansText-Regular"/>
          <w:bCs/>
          <w:color w:val="7F7F7F" w:themeColor="text1" w:themeTint="80"/>
        </w:rPr>
        <w:t xml:space="preserve">DP 2011, p.48; </w:t>
      </w:r>
      <w:proofErr w:type="spellStart"/>
      <w:r w:rsidRPr="00A748CB">
        <w:rPr>
          <w:bCs/>
          <w:color w:val="7F7F7F" w:themeColor="text1" w:themeTint="80"/>
        </w:rPr>
        <w:t>Gersonius</w:t>
      </w:r>
      <w:proofErr w:type="spellEnd"/>
      <w:r w:rsidRPr="00A748CB">
        <w:rPr>
          <w:bCs/>
          <w:color w:val="7F7F7F" w:themeColor="text1" w:themeTint="80"/>
        </w:rPr>
        <w:t xml:space="preserve"> et al.2016, p.205</w:t>
      </w:r>
      <w:r w:rsidRPr="00A748CB">
        <w:rPr>
          <w:rFonts w:eastAsia="RijksoverheidSansText-Regular"/>
          <w:bCs/>
        </w:rPr>
        <w:t>).</w:t>
      </w:r>
      <w:bookmarkEnd w:id="122"/>
      <w:r w:rsidRPr="00A748CB">
        <w:rPr>
          <w:rFonts w:eastAsia="RijksoverheidSansText-Regular"/>
          <w:bCs/>
        </w:rPr>
        <w:t xml:space="preserve"> </w:t>
      </w:r>
      <w:r w:rsidRPr="00A748CB">
        <w:rPr>
          <w:bCs/>
        </w:rPr>
        <w:t xml:space="preserve">For instance, the Subprogramme for the Rhine Estuary-Drechtsteden, in its </w:t>
      </w:r>
      <w:r w:rsidRPr="00A748CB">
        <w:rPr>
          <w:bCs/>
          <w:i/>
          <w:iCs/>
        </w:rPr>
        <w:t>Preferential Strategy for FRM</w:t>
      </w:r>
      <w:r w:rsidRPr="00A748CB">
        <w:rPr>
          <w:bCs/>
        </w:rPr>
        <w:t xml:space="preserve">, developed an </w:t>
      </w:r>
      <w:r w:rsidRPr="00A748CB">
        <w:rPr>
          <w:bCs/>
          <w:i/>
          <w:iCs/>
        </w:rPr>
        <w:t>adaptation path</w:t>
      </w:r>
      <w:r w:rsidRPr="00A748CB">
        <w:rPr>
          <w:bCs/>
        </w:rPr>
        <w:t xml:space="preserve"> which indicates diverse measures and at what times these will be required (</w:t>
      </w:r>
      <w:r w:rsidRPr="00A748CB">
        <w:rPr>
          <w:bCs/>
          <w:color w:val="7F7F7F" w:themeColor="text1" w:themeTint="80"/>
        </w:rPr>
        <w:t>DP 2012, p.90</w:t>
      </w:r>
      <w:r w:rsidRPr="00A748CB">
        <w:rPr>
          <w:bCs/>
        </w:rPr>
        <w:t>).</w:t>
      </w:r>
      <w:r w:rsidRPr="00A748CB">
        <w:rPr>
          <w:rStyle w:val="Refdenotaderodap"/>
          <w:bCs/>
        </w:rPr>
        <w:footnoteReference w:id="112"/>
      </w:r>
    </w:p>
    <w:p w14:paraId="03344238" w14:textId="26172160" w:rsidR="00A61A74" w:rsidRPr="009B720F" w:rsidRDefault="00A61A74" w:rsidP="00E74925">
      <w:pPr>
        <w:pStyle w:val="TEXTBODY"/>
        <w:spacing w:line="276" w:lineRule="auto"/>
        <w:ind w:left="142"/>
        <w:rPr>
          <w:bCs/>
        </w:rPr>
      </w:pPr>
      <w:r w:rsidRPr="00A748CB">
        <w:rPr>
          <w:bCs/>
        </w:rPr>
        <w:t>In line with the 3</w:t>
      </w:r>
      <w:r w:rsidRPr="00A748CB">
        <w:rPr>
          <w:bCs/>
          <w:vertAlign w:val="superscript"/>
        </w:rPr>
        <w:t>rd</w:t>
      </w:r>
      <w:r w:rsidRPr="00A748CB">
        <w:rPr>
          <w:bCs/>
        </w:rPr>
        <w:t xml:space="preserve"> principle and 2</w:t>
      </w:r>
      <w:r w:rsidRPr="00A748CB">
        <w:rPr>
          <w:bCs/>
          <w:vertAlign w:val="superscript"/>
        </w:rPr>
        <w:t>nd</w:t>
      </w:r>
      <w:r w:rsidRPr="00A748CB">
        <w:rPr>
          <w:bCs/>
        </w:rPr>
        <w:t xml:space="preserve"> principle of ADM, each Subprogramme developed</w:t>
      </w:r>
      <w:r w:rsidRPr="00A748CB">
        <w:rPr>
          <w:bCs/>
          <w:i/>
          <w:iCs/>
        </w:rPr>
        <w:t xml:space="preserve"> multiple strategies that can be alternated between</w:t>
      </w:r>
      <w:r w:rsidRPr="00A748CB">
        <w:rPr>
          <w:bCs/>
        </w:rPr>
        <w:t xml:space="preserve">. i.e. several </w:t>
      </w:r>
      <w:proofErr w:type="gramStart"/>
      <w:r w:rsidRPr="00A748CB">
        <w:rPr>
          <w:bCs/>
          <w:i/>
          <w:iCs/>
        </w:rPr>
        <w:t>adaptation</w:t>
      </w:r>
      <w:proofErr w:type="gramEnd"/>
      <w:r w:rsidRPr="00A748CB">
        <w:rPr>
          <w:bCs/>
          <w:i/>
          <w:iCs/>
        </w:rPr>
        <w:t xml:space="preserve"> paths</w:t>
      </w:r>
      <w:r w:rsidRPr="00A748CB">
        <w:rPr>
          <w:bCs/>
        </w:rPr>
        <w:t>, and sought to incorporate and valued (</w:t>
      </w:r>
      <w:r w:rsidRPr="00A748CB">
        <w:rPr>
          <w:bCs/>
          <w:i/>
          <w:iCs/>
        </w:rPr>
        <w:t>appreciated</w:t>
      </w:r>
      <w:r w:rsidR="003D6C0B" w:rsidRPr="00A748CB">
        <w:rPr>
          <w:bCs/>
          <w:i/>
          <w:iCs/>
        </w:rPr>
        <w:t xml:space="preserve"> </w:t>
      </w:r>
      <w:r w:rsidR="003D6C0B" w:rsidRPr="00A748CB">
        <w:rPr>
          <w:bCs/>
        </w:rPr>
        <w:t>and appraised</w:t>
      </w:r>
      <w:r w:rsidRPr="00A748CB">
        <w:rPr>
          <w:bCs/>
        </w:rPr>
        <w:t xml:space="preserve">) the </w:t>
      </w:r>
      <w:r w:rsidRPr="00A748CB">
        <w:rPr>
          <w:bCs/>
          <w:i/>
          <w:iCs/>
        </w:rPr>
        <w:t xml:space="preserve">flexibility </w:t>
      </w:r>
      <w:r w:rsidRPr="00A748CB">
        <w:rPr>
          <w:bCs/>
        </w:rPr>
        <w:t>in strategies (</w:t>
      </w:r>
      <w:r w:rsidRPr="00A748CB">
        <w:rPr>
          <w:bCs/>
          <w:color w:val="7F7F7F" w:themeColor="text1" w:themeTint="80"/>
        </w:rPr>
        <w:t>DP 2013, p.102</w:t>
      </w:r>
      <w:r w:rsidR="003D6C0B" w:rsidRPr="00A748CB">
        <w:rPr>
          <w:bCs/>
          <w:color w:val="7F7F7F" w:themeColor="text1" w:themeTint="80"/>
        </w:rPr>
        <w:t xml:space="preserve">; </w:t>
      </w:r>
      <w:r w:rsidR="003D6C0B" w:rsidRPr="00A748CB">
        <w:rPr>
          <w:bCs/>
          <w:color w:val="7F7F7F" w:themeColor="text1" w:themeTint="80"/>
          <w:szCs w:val="22"/>
        </w:rPr>
        <w:t>2011, p.48</w:t>
      </w:r>
      <w:r w:rsidRPr="00A748CB">
        <w:rPr>
          <w:bCs/>
        </w:rPr>
        <w:t>).</w:t>
      </w:r>
      <w:r w:rsidRPr="00A748CB">
        <w:rPr>
          <w:bCs/>
          <w:color w:val="0070C0"/>
        </w:rPr>
        <w:t xml:space="preserve"> </w:t>
      </w:r>
      <w:r w:rsidRPr="00A748CB">
        <w:rPr>
          <w:bCs/>
        </w:rPr>
        <w:t xml:space="preserve">In each </w:t>
      </w:r>
      <w:r w:rsidRPr="00A748CB">
        <w:rPr>
          <w:bCs/>
          <w:i/>
          <w:iCs/>
        </w:rPr>
        <w:t>Preferential Strategy</w:t>
      </w:r>
      <w:r w:rsidRPr="00A748CB">
        <w:rPr>
          <w:bCs/>
        </w:rPr>
        <w:t xml:space="preserve"> (in its map of </w:t>
      </w:r>
      <w:r w:rsidRPr="00A748CB">
        <w:rPr>
          <w:bCs/>
          <w:i/>
          <w:iCs/>
        </w:rPr>
        <w:t>adaptation paths</w:t>
      </w:r>
      <w:r w:rsidRPr="00A748CB">
        <w:rPr>
          <w:bCs/>
        </w:rPr>
        <w:t>), depending on climatic and socioeconomic developments, measures may be taken sooner or later (</w:t>
      </w:r>
      <w:r w:rsidRPr="00A748CB">
        <w:rPr>
          <w:bCs/>
          <w:color w:val="7F7F7F" w:themeColor="text1" w:themeTint="80"/>
        </w:rPr>
        <w:t>DP 2014, p.47</w:t>
      </w:r>
      <w:r w:rsidRPr="00A748CB">
        <w:rPr>
          <w:bCs/>
        </w:rPr>
        <w:t>), and it may be necessary to switch of measure or</w:t>
      </w:r>
      <w:r w:rsidRPr="00A748CB">
        <w:rPr>
          <w:bCs/>
          <w:i/>
          <w:iCs/>
        </w:rPr>
        <w:t xml:space="preserve"> </w:t>
      </w:r>
      <w:r w:rsidRPr="00A748CB">
        <w:rPr>
          <w:bCs/>
        </w:rPr>
        <w:t>strategy (</w:t>
      </w:r>
      <w:r w:rsidRPr="00A748CB">
        <w:rPr>
          <w:bCs/>
          <w:i/>
          <w:iCs/>
        </w:rPr>
        <w:t>path</w:t>
      </w:r>
      <w:r w:rsidRPr="00A748CB">
        <w:rPr>
          <w:bCs/>
        </w:rPr>
        <w:t>) (</w:t>
      </w:r>
      <w:r w:rsidRPr="00A748CB">
        <w:rPr>
          <w:bCs/>
          <w:color w:val="7F7F7F" w:themeColor="text1" w:themeTint="80"/>
        </w:rPr>
        <w:t>DP 2013, p.77, 95, 103; 2014, p.6, 169</w:t>
      </w:r>
      <w:r w:rsidRPr="00A748CB">
        <w:rPr>
          <w:bCs/>
        </w:rPr>
        <w:t>). In</w:t>
      </w:r>
      <w:r w:rsidRPr="00A748CB">
        <w:rPr>
          <w:bCs/>
          <w:color w:val="C00000"/>
        </w:rPr>
        <w:t xml:space="preserve"> </w:t>
      </w:r>
      <w:r w:rsidRPr="00A748CB">
        <w:rPr>
          <w:bCs/>
        </w:rPr>
        <w:t xml:space="preserve">the DP, the APs approach allows for shifting (switching) between different measures or </w:t>
      </w:r>
      <w:r w:rsidRPr="00A748CB">
        <w:rPr>
          <w:bCs/>
          <w:i/>
          <w:iCs/>
        </w:rPr>
        <w:t>paths</w:t>
      </w:r>
      <w:r w:rsidRPr="00A748CB">
        <w:rPr>
          <w:bCs/>
        </w:rPr>
        <w:t xml:space="preserve"> (i.e. switching from a measure, or </w:t>
      </w:r>
      <w:r w:rsidRPr="00A748CB">
        <w:rPr>
          <w:bCs/>
          <w:i/>
          <w:iCs/>
        </w:rPr>
        <w:t>path</w:t>
      </w:r>
      <w:r w:rsidRPr="00A748CB">
        <w:rPr>
          <w:bCs/>
        </w:rPr>
        <w:t>, to another one), if necessary, in view of climate change or socioeconomic developments</w:t>
      </w:r>
      <w:r w:rsidRPr="00A748CB">
        <w:rPr>
          <w:bCs/>
          <w:color w:val="231F20"/>
        </w:rPr>
        <w:t xml:space="preserve">, </w:t>
      </w:r>
      <w:r w:rsidRPr="00A748CB">
        <w:rPr>
          <w:bCs/>
        </w:rPr>
        <w:t>and (helped)seeks to ensure that options are kept open for the long-term (</w:t>
      </w:r>
      <w:r w:rsidRPr="00A748CB">
        <w:rPr>
          <w:bCs/>
          <w:color w:val="7F7F7F" w:themeColor="text1" w:themeTint="80"/>
        </w:rPr>
        <w:t>Bloemen et al. 2018, p.12</w:t>
      </w:r>
      <w:r w:rsidR="00475BCB" w:rsidRPr="00A748CB">
        <w:rPr>
          <w:bCs/>
          <w:color w:val="7F7F7F" w:themeColor="text1" w:themeTint="80"/>
        </w:rPr>
        <w:t>, 14</w:t>
      </w:r>
      <w:r w:rsidRPr="00A748CB">
        <w:rPr>
          <w:bCs/>
          <w:color w:val="7F7F7F" w:themeColor="text1" w:themeTint="80"/>
        </w:rPr>
        <w:t xml:space="preserve">; Haegen and </w:t>
      </w:r>
      <w:proofErr w:type="spellStart"/>
      <w:r w:rsidRPr="00A748CB">
        <w:rPr>
          <w:bCs/>
          <w:color w:val="7F7F7F" w:themeColor="text1" w:themeTint="80"/>
        </w:rPr>
        <w:t>Wieriks</w:t>
      </w:r>
      <w:proofErr w:type="spellEnd"/>
      <w:r w:rsidRPr="009B720F">
        <w:rPr>
          <w:bCs/>
          <w:color w:val="7F7F7F" w:themeColor="text1" w:themeTint="80"/>
        </w:rPr>
        <w:t xml:space="preserve"> 2015, p.56, 50, 54</w:t>
      </w:r>
      <w:r w:rsidRPr="009B720F">
        <w:rPr>
          <w:bCs/>
        </w:rPr>
        <w:t xml:space="preserve">). </w:t>
      </w:r>
    </w:p>
    <w:p w14:paraId="06DD065C" w14:textId="77777777" w:rsidR="00A61A74" w:rsidRPr="009B720F" w:rsidRDefault="00A61A74" w:rsidP="00E74925">
      <w:pPr>
        <w:pStyle w:val="TEXTBODY"/>
        <w:spacing w:line="276" w:lineRule="auto"/>
        <w:ind w:left="142"/>
        <w:rPr>
          <w:bCs/>
          <w:color w:val="C00000"/>
          <w:sz w:val="14"/>
          <w:szCs w:val="14"/>
        </w:rPr>
      </w:pPr>
      <w:r w:rsidRPr="009B720F">
        <w:rPr>
          <w:bCs/>
          <w:iCs/>
        </w:rPr>
        <w:lastRenderedPageBreak/>
        <w:t xml:space="preserve">Overall, the </w:t>
      </w:r>
      <w:r w:rsidRPr="009B720F">
        <w:rPr>
          <w:bCs/>
          <w:i/>
          <w:iCs/>
        </w:rPr>
        <w:t>adaptation paths</w:t>
      </w:r>
      <w:r w:rsidRPr="009B720F">
        <w:rPr>
          <w:bCs/>
        </w:rPr>
        <w:t xml:space="preserve"> of the DP contain diverse measures sequenced over time which can be implemented according to </w:t>
      </w:r>
      <w:r w:rsidRPr="00A748CB">
        <w:rPr>
          <w:bCs/>
        </w:rPr>
        <w:t>the real changes</w:t>
      </w:r>
      <w:r w:rsidRPr="009B720F">
        <w:rPr>
          <w:bCs/>
        </w:rPr>
        <w:t xml:space="preserve"> that occur (</w:t>
      </w:r>
      <w:r w:rsidRPr="009B720F">
        <w:rPr>
          <w:bCs/>
          <w:color w:val="7F7F7F" w:themeColor="text1" w:themeTint="80"/>
        </w:rPr>
        <w:t>Marchand and Ludwig 2014, p.8</w:t>
      </w:r>
      <w:r w:rsidRPr="009B720F">
        <w:rPr>
          <w:bCs/>
        </w:rPr>
        <w:t xml:space="preserve">). </w:t>
      </w:r>
    </w:p>
    <w:p w14:paraId="4874C079" w14:textId="1505C67F" w:rsidR="00F25FD8" w:rsidRPr="00A748CB" w:rsidRDefault="00A61A74" w:rsidP="00E74925">
      <w:pPr>
        <w:pStyle w:val="TEXTBODY"/>
        <w:spacing w:line="276" w:lineRule="auto"/>
        <w:ind w:left="142"/>
        <w:rPr>
          <w:rFonts w:cs="Arial"/>
          <w:bCs/>
        </w:rPr>
      </w:pPr>
      <w:r w:rsidRPr="00A748CB">
        <w:rPr>
          <w:bCs/>
          <w:sz w:val="20"/>
          <w:szCs w:val="28"/>
        </w:rPr>
        <w:t xml:space="preserve">To design the adaptation pathways, the method of </w:t>
      </w:r>
      <w:proofErr w:type="spellStart"/>
      <w:r w:rsidRPr="00A748CB">
        <w:rPr>
          <w:bCs/>
          <w:color w:val="7F7F7F" w:themeColor="text1" w:themeTint="80"/>
          <w:sz w:val="20"/>
          <w:szCs w:val="28"/>
        </w:rPr>
        <w:t>Haasnoot</w:t>
      </w:r>
      <w:proofErr w:type="spellEnd"/>
      <w:r w:rsidRPr="00A748CB">
        <w:rPr>
          <w:bCs/>
          <w:color w:val="7F7F7F" w:themeColor="text1" w:themeTint="80"/>
          <w:sz w:val="20"/>
          <w:szCs w:val="28"/>
        </w:rPr>
        <w:t xml:space="preserve"> et al. (2012, 2013) </w:t>
      </w:r>
      <w:r w:rsidRPr="00A748CB">
        <w:rPr>
          <w:bCs/>
          <w:sz w:val="20"/>
          <w:szCs w:val="28"/>
        </w:rPr>
        <w:t xml:space="preserve">could be used; pathways could </w:t>
      </w:r>
      <w:r w:rsidRPr="00505570">
        <w:rPr>
          <w:bCs/>
          <w:sz w:val="20"/>
          <w:szCs w:val="28"/>
        </w:rPr>
        <w:t>be designed as series of sequenced measures that provide</w:t>
      </w:r>
      <w:r w:rsidRPr="00A748CB">
        <w:rPr>
          <w:bCs/>
          <w:sz w:val="20"/>
          <w:szCs w:val="28"/>
        </w:rPr>
        <w:t xml:space="preserve"> a solution to problems (</w:t>
      </w:r>
      <w:r w:rsidRPr="00A748CB">
        <w:rPr>
          <w:bCs/>
          <w:i/>
          <w:iCs/>
          <w:sz w:val="20"/>
          <w:szCs w:val="28"/>
        </w:rPr>
        <w:t>in</w:t>
      </w:r>
      <w:r w:rsidRPr="00A748CB">
        <w:rPr>
          <w:bCs/>
          <w:sz w:val="20"/>
          <w:szCs w:val="28"/>
        </w:rPr>
        <w:t xml:space="preserve"> </w:t>
      </w:r>
      <w:r w:rsidR="005C558F" w:rsidRPr="00A748CB">
        <w:rPr>
          <w:bCs/>
          <w:color w:val="7F7F7F" w:themeColor="text1" w:themeTint="80"/>
          <w:sz w:val="20"/>
          <w:szCs w:val="28"/>
        </w:rPr>
        <w:t>Brugge and Bruggeman 2019</w:t>
      </w:r>
      <w:r w:rsidRPr="00A748CB">
        <w:rPr>
          <w:bCs/>
          <w:sz w:val="20"/>
          <w:szCs w:val="28"/>
        </w:rPr>
        <w:t>).</w:t>
      </w:r>
      <w:r w:rsidRPr="00A748CB">
        <w:rPr>
          <w:bCs/>
          <w:sz w:val="24"/>
          <w:szCs w:val="24"/>
        </w:rPr>
        <w:t xml:space="preserve"> </w:t>
      </w:r>
      <w:r w:rsidRPr="00A748CB">
        <w:rPr>
          <w:bCs/>
        </w:rPr>
        <w:t xml:space="preserve">To develop </w:t>
      </w:r>
      <w:r w:rsidRPr="00A748CB">
        <w:rPr>
          <w:bCs/>
          <w:i/>
          <w:iCs/>
        </w:rPr>
        <w:t>adaptation paths</w:t>
      </w:r>
      <w:r w:rsidRPr="00A748CB">
        <w:rPr>
          <w:bCs/>
        </w:rPr>
        <w:t>, the Subprogrammes used the ATPs and APs methods (</w:t>
      </w:r>
      <w:r w:rsidRPr="00A748CB">
        <w:rPr>
          <w:bCs/>
          <w:color w:val="7F7F7F" w:themeColor="text1" w:themeTint="80"/>
        </w:rPr>
        <w:t>Zandvoort et al.2018</w:t>
      </w:r>
      <w:r w:rsidRPr="00A748CB">
        <w:rPr>
          <w:bCs/>
        </w:rPr>
        <w:t xml:space="preserve">); the design of the </w:t>
      </w:r>
      <w:r w:rsidRPr="00A748CB">
        <w:rPr>
          <w:bCs/>
          <w:i/>
          <w:iCs/>
        </w:rPr>
        <w:t>adaptation paths</w:t>
      </w:r>
      <w:r w:rsidRPr="00A748CB">
        <w:rPr>
          <w:bCs/>
        </w:rPr>
        <w:t xml:space="preserve"> implied the identification of tipping-</w:t>
      </w:r>
      <w:r w:rsidRPr="009B720F">
        <w:rPr>
          <w:bCs/>
        </w:rPr>
        <w:t>points (</w:t>
      </w:r>
      <w:r w:rsidRPr="009B720F">
        <w:rPr>
          <w:bCs/>
          <w:color w:val="7F7F7F" w:themeColor="text1" w:themeTint="80"/>
        </w:rPr>
        <w:t>Buuren et al. 2016</w:t>
      </w:r>
      <w:r w:rsidRPr="009B720F">
        <w:rPr>
          <w:bCs/>
        </w:rPr>
        <w:t xml:space="preserve">). Each Subprogramme </w:t>
      </w:r>
      <w:r w:rsidRPr="00A748CB">
        <w:rPr>
          <w:bCs/>
        </w:rPr>
        <w:t xml:space="preserve">elaborated one or more </w:t>
      </w:r>
      <w:r w:rsidRPr="00A748CB">
        <w:rPr>
          <w:bCs/>
          <w:i/>
          <w:iCs/>
        </w:rPr>
        <w:t xml:space="preserve">adaptation paths </w:t>
      </w:r>
      <w:r w:rsidRPr="00A748CB">
        <w:rPr>
          <w:bCs/>
        </w:rPr>
        <w:t xml:space="preserve">for its </w:t>
      </w:r>
      <w:r w:rsidRPr="00A748CB">
        <w:rPr>
          <w:bCs/>
          <w:i/>
          <w:iCs/>
        </w:rPr>
        <w:t>Preferential Strategy</w:t>
      </w:r>
      <w:r w:rsidRPr="00A748CB">
        <w:rPr>
          <w:bCs/>
        </w:rPr>
        <w:t>, and this implied defining the conditions under which changing of measure is necessary (</w:t>
      </w:r>
      <w:r w:rsidRPr="00A748CB">
        <w:rPr>
          <w:bCs/>
          <w:color w:val="7F7F7F" w:themeColor="text1" w:themeTint="80"/>
        </w:rPr>
        <w:t>DP 2013, p.95</w:t>
      </w:r>
      <w:r w:rsidRPr="00A748CB">
        <w:rPr>
          <w:bCs/>
        </w:rPr>
        <w:t>).</w:t>
      </w:r>
      <w:r w:rsidRPr="00A748CB">
        <w:rPr>
          <w:rFonts w:cs="Arial"/>
          <w:bCs/>
        </w:rPr>
        <w:t xml:space="preserve"> </w:t>
      </w:r>
    </w:p>
    <w:p w14:paraId="4918F1AB" w14:textId="0169AE9B" w:rsidR="00F25FD8" w:rsidRPr="009B720F" w:rsidRDefault="00C0539A" w:rsidP="00E74925">
      <w:pPr>
        <w:pStyle w:val="TEXTBODY"/>
        <w:spacing w:line="276" w:lineRule="auto"/>
        <w:ind w:left="993"/>
        <w:rPr>
          <w:bCs/>
          <w:color w:val="C00000"/>
          <w:sz w:val="20"/>
        </w:rPr>
      </w:pPr>
      <w:r w:rsidRPr="00A748CB">
        <w:rPr>
          <w:bCs/>
          <w:sz w:val="20"/>
        </w:rPr>
        <w:t xml:space="preserve">The design of </w:t>
      </w:r>
      <w:r w:rsidRPr="00A748CB">
        <w:rPr>
          <w:bCs/>
          <w:i/>
          <w:iCs/>
          <w:sz w:val="20"/>
        </w:rPr>
        <w:t xml:space="preserve">paths </w:t>
      </w:r>
      <w:r w:rsidRPr="00A748CB">
        <w:rPr>
          <w:bCs/>
          <w:sz w:val="20"/>
        </w:rPr>
        <w:t xml:space="preserve">implied the consideration of </w:t>
      </w:r>
      <w:r w:rsidRPr="00A748CB">
        <w:rPr>
          <w:bCs/>
          <w:i/>
          <w:iCs/>
          <w:sz w:val="20"/>
        </w:rPr>
        <w:t>Adaptation Tipping-Points</w:t>
      </w:r>
      <w:r w:rsidRPr="00A748CB">
        <w:rPr>
          <w:bCs/>
          <w:sz w:val="20"/>
        </w:rPr>
        <w:t xml:space="preserve"> (ATPs, conditions under which the current or other management / policy measure fails, and a new measure is required, see </w:t>
      </w:r>
      <w:proofErr w:type="spellStart"/>
      <w:r w:rsidRPr="00A748CB">
        <w:rPr>
          <w:bCs/>
          <w:color w:val="7F7F7F" w:themeColor="text1" w:themeTint="80"/>
          <w:sz w:val="20"/>
        </w:rPr>
        <w:t>Kwadijk</w:t>
      </w:r>
      <w:proofErr w:type="spellEnd"/>
      <w:r w:rsidRPr="00A748CB">
        <w:rPr>
          <w:bCs/>
          <w:color w:val="7F7F7F" w:themeColor="text1" w:themeTint="80"/>
          <w:sz w:val="20"/>
        </w:rPr>
        <w:t xml:space="preserve"> et al. 2010</w:t>
      </w:r>
      <w:r w:rsidRPr="00A748CB">
        <w:rPr>
          <w:bCs/>
          <w:sz w:val="20"/>
        </w:rPr>
        <w:t xml:space="preserve">); ATPs were essential for phasing the possible measures within each </w:t>
      </w:r>
      <w:r w:rsidRPr="00A748CB">
        <w:rPr>
          <w:bCs/>
          <w:i/>
          <w:iCs/>
          <w:sz w:val="20"/>
        </w:rPr>
        <w:t>Strategy</w:t>
      </w:r>
      <w:r w:rsidRPr="00A748CB">
        <w:rPr>
          <w:bCs/>
          <w:sz w:val="20"/>
        </w:rPr>
        <w:t xml:space="preserve"> – successive measures were sequenced to assemble pathways that show short-term measures chained with (linked to) long-term options</w:t>
      </w:r>
      <w:r w:rsidRPr="00A748CB">
        <w:rPr>
          <w:bCs/>
          <w:color w:val="00B050"/>
          <w:sz w:val="20"/>
        </w:rPr>
        <w:t xml:space="preserve"> </w:t>
      </w:r>
      <w:r w:rsidRPr="00A748CB">
        <w:rPr>
          <w:bCs/>
          <w:sz w:val="20"/>
        </w:rPr>
        <w:t>(</w:t>
      </w:r>
      <w:proofErr w:type="spellStart"/>
      <w:r w:rsidRPr="00A748CB">
        <w:rPr>
          <w:bCs/>
          <w:color w:val="7F7F7F" w:themeColor="text1" w:themeTint="80"/>
          <w:sz w:val="20"/>
        </w:rPr>
        <w:t>Jeuken</w:t>
      </w:r>
      <w:proofErr w:type="spellEnd"/>
      <w:r w:rsidRPr="00A748CB">
        <w:rPr>
          <w:bCs/>
          <w:color w:val="7F7F7F" w:themeColor="text1" w:themeTint="80"/>
          <w:sz w:val="20"/>
        </w:rPr>
        <w:t xml:space="preserve"> et al. 2014, p.17</w:t>
      </w:r>
      <w:r w:rsidRPr="00A748CB">
        <w:rPr>
          <w:bCs/>
          <w:sz w:val="20"/>
        </w:rPr>
        <w:t>).</w:t>
      </w:r>
      <w:r w:rsidRPr="00A748CB">
        <w:rPr>
          <w:bCs/>
          <w:sz w:val="23"/>
          <w:szCs w:val="23"/>
        </w:rPr>
        <w:t xml:space="preserve"> </w:t>
      </w:r>
      <w:r w:rsidR="00F25FD8" w:rsidRPr="00A748CB">
        <w:rPr>
          <w:bCs/>
          <w:sz w:val="20"/>
        </w:rPr>
        <w:t>To design the pathways, the method of ATPs was applied: o</w:t>
      </w:r>
      <w:r w:rsidR="00F25FD8" w:rsidRPr="00A748CB">
        <w:rPr>
          <w:bCs/>
          <w:color w:val="231F20"/>
          <w:sz w:val="20"/>
        </w:rPr>
        <w:t>nce an ATP was in sight, a new measure was needed (</w:t>
      </w:r>
      <w:r w:rsidR="00F25FD8" w:rsidRPr="00A748CB">
        <w:rPr>
          <w:bCs/>
          <w:color w:val="7F7F7F" w:themeColor="text1" w:themeTint="80"/>
          <w:sz w:val="20"/>
        </w:rPr>
        <w:t xml:space="preserve">Haegen and </w:t>
      </w:r>
      <w:proofErr w:type="spellStart"/>
      <w:r w:rsidR="00F25FD8" w:rsidRPr="00A748CB">
        <w:rPr>
          <w:bCs/>
          <w:color w:val="7F7F7F" w:themeColor="text1" w:themeTint="80"/>
          <w:sz w:val="20"/>
        </w:rPr>
        <w:t>Wieriks</w:t>
      </w:r>
      <w:proofErr w:type="spellEnd"/>
      <w:r w:rsidR="00F25FD8" w:rsidRPr="00A748CB">
        <w:rPr>
          <w:bCs/>
          <w:color w:val="7F7F7F" w:themeColor="text1" w:themeTint="80"/>
          <w:sz w:val="20"/>
        </w:rPr>
        <w:t xml:space="preserve"> 2015, p.51</w:t>
      </w:r>
      <w:r w:rsidR="00F25FD8" w:rsidRPr="00A748CB">
        <w:rPr>
          <w:bCs/>
          <w:color w:val="231F20"/>
          <w:sz w:val="20"/>
        </w:rPr>
        <w:t>). Yet, in the DP’s Strategies,</w:t>
      </w:r>
      <w:r w:rsidR="00F25FD8" w:rsidRPr="00A748CB">
        <w:rPr>
          <w:bCs/>
          <w:sz w:val="20"/>
        </w:rPr>
        <w:t xml:space="preserve"> relevant decision-moments and implementation-moments not only depend on critical ATPs and on ATPs of measures and, but also on earlier opportunities to combine measures for different purposes (thematically and spatially) (</w:t>
      </w:r>
      <w:proofErr w:type="spellStart"/>
      <w:r w:rsidR="00F25FD8" w:rsidRPr="00A748CB">
        <w:rPr>
          <w:bCs/>
          <w:color w:val="7F7F7F" w:themeColor="text1" w:themeTint="80"/>
          <w:sz w:val="20"/>
        </w:rPr>
        <w:t>Jeuken</w:t>
      </w:r>
      <w:proofErr w:type="spellEnd"/>
      <w:r w:rsidR="00F25FD8" w:rsidRPr="00A748CB">
        <w:rPr>
          <w:bCs/>
          <w:color w:val="7F7F7F" w:themeColor="text1" w:themeTint="80"/>
          <w:sz w:val="20"/>
        </w:rPr>
        <w:t xml:space="preserve"> and Reeder 2011, p.5</w:t>
      </w:r>
      <w:r w:rsidR="00F25FD8" w:rsidRPr="00A748CB">
        <w:rPr>
          <w:bCs/>
          <w:sz w:val="20"/>
        </w:rPr>
        <w:t>).</w:t>
      </w:r>
      <w:r w:rsidR="007456F7" w:rsidRPr="00A748CB">
        <w:rPr>
          <w:rStyle w:val="Refdenotaderodap"/>
          <w:bCs/>
          <w:sz w:val="20"/>
        </w:rPr>
        <w:footnoteReference w:id="113"/>
      </w:r>
      <w:r w:rsidR="00F25FD8" w:rsidRPr="009B720F">
        <w:rPr>
          <w:bCs/>
          <w:sz w:val="20"/>
        </w:rPr>
        <w:t xml:space="preserve"> </w:t>
      </w:r>
    </w:p>
    <w:p w14:paraId="6D28627A" w14:textId="28BE80F2" w:rsidR="00A61A74" w:rsidRPr="00A748CB" w:rsidRDefault="00A61A74" w:rsidP="00E74925">
      <w:pPr>
        <w:pStyle w:val="TEXTBODY"/>
        <w:spacing w:line="276" w:lineRule="auto"/>
        <w:ind w:left="142"/>
        <w:rPr>
          <w:bCs/>
        </w:rPr>
      </w:pPr>
      <w:r w:rsidRPr="009B720F">
        <w:rPr>
          <w:bCs/>
        </w:rPr>
        <w:t xml:space="preserve">The basic idea underlying the APs </w:t>
      </w:r>
      <w:r w:rsidRPr="00A748CB">
        <w:rPr>
          <w:bCs/>
        </w:rPr>
        <w:t xml:space="preserve">approach (within ADM) is </w:t>
      </w:r>
      <w:r w:rsidRPr="00A748CB">
        <w:rPr>
          <w:bCs/>
          <w:i/>
        </w:rPr>
        <w:t>to generate a wide array of pathways</w:t>
      </w:r>
      <w:r w:rsidRPr="00A748CB">
        <w:rPr>
          <w:bCs/>
          <w:iCs/>
        </w:rPr>
        <w:t xml:space="preserve"> (</w:t>
      </w:r>
      <w:r w:rsidRPr="00A748CB">
        <w:rPr>
          <w:bCs/>
        </w:rPr>
        <w:t xml:space="preserve">each pathway </w:t>
      </w:r>
      <w:r w:rsidRPr="00A748CB">
        <w:rPr>
          <w:bCs/>
          <w:i/>
          <w:iCs/>
        </w:rPr>
        <w:t>consisting of a series</w:t>
      </w:r>
      <w:r w:rsidRPr="00A748CB">
        <w:rPr>
          <w:bCs/>
          <w:i/>
        </w:rPr>
        <w:t xml:space="preserve"> of measures</w:t>
      </w:r>
      <w:r w:rsidRPr="00A748CB">
        <w:rPr>
          <w:bCs/>
        </w:rPr>
        <w:t xml:space="preserve">) </w:t>
      </w:r>
      <w:r w:rsidRPr="00A748CB">
        <w:rPr>
          <w:bCs/>
          <w:i/>
        </w:rPr>
        <w:t>through which the policy-objectives are achieved under changing climate and socioeconomic conditions</w:t>
      </w:r>
      <w:r w:rsidRPr="00A748CB">
        <w:rPr>
          <w:bCs/>
        </w:rPr>
        <w:t xml:space="preserve"> (</w:t>
      </w:r>
      <w:proofErr w:type="spellStart"/>
      <w:r w:rsidR="005C558F" w:rsidRPr="00A748CB">
        <w:rPr>
          <w:bCs/>
          <w:color w:val="7F7F7F" w:themeColor="text1" w:themeTint="80"/>
        </w:rPr>
        <w:t>Deltares</w:t>
      </w:r>
      <w:proofErr w:type="spellEnd"/>
      <w:r w:rsidR="005C558F" w:rsidRPr="00A748CB">
        <w:rPr>
          <w:bCs/>
          <w:color w:val="7F7F7F" w:themeColor="text1" w:themeTint="80"/>
        </w:rPr>
        <w:t xml:space="preserve"> 2018</w:t>
      </w:r>
      <w:r w:rsidRPr="00A748CB">
        <w:rPr>
          <w:bCs/>
          <w:color w:val="7F7F7F" w:themeColor="text1" w:themeTint="80"/>
        </w:rPr>
        <w:t>, p.4, 3</w:t>
      </w:r>
      <w:r w:rsidRPr="00A748CB">
        <w:rPr>
          <w:bCs/>
        </w:rPr>
        <w:t xml:space="preserve">). The set of possible pathways mapped out in an AP’s map provides a range of adaptation options that may be used in future planning and policymaking, in this way, the APs approach helps to enhance the </w:t>
      </w:r>
      <w:proofErr w:type="gramStart"/>
      <w:r w:rsidRPr="00A748CB">
        <w:rPr>
          <w:bCs/>
        </w:rPr>
        <w:t>plan’s</w:t>
      </w:r>
      <w:proofErr w:type="gramEnd"/>
      <w:r w:rsidRPr="00A748CB">
        <w:rPr>
          <w:bCs/>
        </w:rPr>
        <w:t xml:space="preserve"> and the system’s </w:t>
      </w:r>
      <w:r w:rsidRPr="00A748CB">
        <w:rPr>
          <w:bCs/>
          <w:i/>
          <w:iCs/>
        </w:rPr>
        <w:t>flexibility</w:t>
      </w:r>
      <w:r w:rsidRPr="00A748CB">
        <w:rPr>
          <w:bCs/>
        </w:rPr>
        <w:t xml:space="preserve"> and </w:t>
      </w:r>
      <w:r w:rsidRPr="00A748CB">
        <w:rPr>
          <w:bCs/>
          <w:i/>
          <w:iCs/>
        </w:rPr>
        <w:t>adaptability</w:t>
      </w:r>
      <w:r w:rsidRPr="00A748CB">
        <w:rPr>
          <w:bCs/>
        </w:rPr>
        <w:t xml:space="preserve"> (capacity to adapt to multiple plausible future changes and conditions) (</w:t>
      </w:r>
      <w:proofErr w:type="spellStart"/>
      <w:r w:rsidR="005C558F" w:rsidRPr="00A748CB">
        <w:rPr>
          <w:bCs/>
          <w:color w:val="7F7F7F" w:themeColor="text1" w:themeTint="80"/>
        </w:rPr>
        <w:t>Deltares</w:t>
      </w:r>
      <w:proofErr w:type="spellEnd"/>
      <w:r w:rsidR="005C558F" w:rsidRPr="00A748CB">
        <w:rPr>
          <w:bCs/>
          <w:color w:val="7F7F7F" w:themeColor="text1" w:themeTint="80"/>
        </w:rPr>
        <w:t xml:space="preserve"> 2018</w:t>
      </w:r>
      <w:r w:rsidRPr="00A748CB">
        <w:rPr>
          <w:bCs/>
          <w:color w:val="7F7F7F" w:themeColor="text1" w:themeTint="80"/>
        </w:rPr>
        <w:t>, p. 4, 2</w:t>
      </w:r>
      <w:r w:rsidRPr="00A748CB">
        <w:rPr>
          <w:bCs/>
        </w:rPr>
        <w:t>).</w:t>
      </w:r>
      <w:bookmarkStart w:id="123" w:name="_Hlk140166381"/>
    </w:p>
    <w:p w14:paraId="1F7EF9F6" w14:textId="77777777" w:rsidR="007D2351" w:rsidRPr="009B720F" w:rsidRDefault="007D2351" w:rsidP="00E74925">
      <w:pPr>
        <w:pStyle w:val="TEXTBODY"/>
        <w:spacing w:line="276" w:lineRule="auto"/>
        <w:ind w:left="567"/>
        <w:rPr>
          <w:bCs/>
        </w:rPr>
      </w:pPr>
      <w:r w:rsidRPr="00A748CB">
        <w:rPr>
          <w:bCs/>
          <w:color w:val="231F20"/>
        </w:rPr>
        <w:t xml:space="preserve">ADM utilizes the APs method </w:t>
      </w:r>
      <w:r w:rsidRPr="00A748CB">
        <w:rPr>
          <w:bCs/>
        </w:rPr>
        <w:t xml:space="preserve">as a </w:t>
      </w:r>
      <w:r w:rsidRPr="00A748CB">
        <w:rPr>
          <w:bCs/>
          <w:i/>
          <w:iCs/>
        </w:rPr>
        <w:t>flexible, adaptive approach</w:t>
      </w:r>
      <w:r w:rsidRPr="00A748CB">
        <w:rPr>
          <w:bCs/>
        </w:rPr>
        <w:t xml:space="preserve"> for designing strategies under plausible future scenarios, </w:t>
      </w:r>
      <w:r w:rsidRPr="00A748CB">
        <w:rPr>
          <w:bCs/>
          <w:szCs w:val="22"/>
        </w:rPr>
        <w:t xml:space="preserve">which </w:t>
      </w:r>
      <w:bookmarkStart w:id="124" w:name="_Hlk43295284"/>
      <w:r w:rsidRPr="00A748CB">
        <w:rPr>
          <w:bCs/>
          <w:i/>
          <w:iCs/>
          <w:szCs w:val="22"/>
        </w:rPr>
        <w:t xml:space="preserve">allows for switching between measures along the </w:t>
      </w:r>
      <w:proofErr w:type="gramStart"/>
      <w:r w:rsidRPr="00A748CB">
        <w:rPr>
          <w:bCs/>
          <w:i/>
          <w:iCs/>
          <w:szCs w:val="22"/>
        </w:rPr>
        <w:t>pathways</w:t>
      </w:r>
      <w:proofErr w:type="gramEnd"/>
      <w:r w:rsidRPr="00A748CB">
        <w:rPr>
          <w:bCs/>
          <w:szCs w:val="22"/>
        </w:rPr>
        <w:t xml:space="preserve"> if necessary, </w:t>
      </w:r>
      <w:r w:rsidRPr="00A748CB">
        <w:rPr>
          <w:bCs/>
          <w:i/>
          <w:iCs/>
          <w:szCs w:val="22"/>
        </w:rPr>
        <w:t>in view of socioeconomic developments or CC</w:t>
      </w:r>
      <w:r w:rsidRPr="00A748CB">
        <w:rPr>
          <w:bCs/>
          <w:szCs w:val="22"/>
        </w:rPr>
        <w:t xml:space="preserve"> </w:t>
      </w:r>
      <w:r w:rsidRPr="00A748CB">
        <w:rPr>
          <w:bCs/>
          <w:color w:val="231F20"/>
          <w:szCs w:val="22"/>
        </w:rPr>
        <w:t>(</w:t>
      </w:r>
      <w:r w:rsidRPr="00A748CB">
        <w:rPr>
          <w:bCs/>
          <w:color w:val="7F7F7F" w:themeColor="text1" w:themeTint="80"/>
          <w:szCs w:val="22"/>
        </w:rPr>
        <w:t xml:space="preserve">Haegen and </w:t>
      </w:r>
      <w:proofErr w:type="spellStart"/>
      <w:r w:rsidRPr="00A748CB">
        <w:rPr>
          <w:bCs/>
          <w:color w:val="7F7F7F" w:themeColor="text1" w:themeTint="80"/>
          <w:szCs w:val="22"/>
        </w:rPr>
        <w:t>Wieriks</w:t>
      </w:r>
      <w:proofErr w:type="spellEnd"/>
      <w:r w:rsidRPr="00A748CB">
        <w:rPr>
          <w:bCs/>
          <w:color w:val="7F7F7F" w:themeColor="text1" w:themeTint="80"/>
          <w:szCs w:val="22"/>
        </w:rPr>
        <w:t xml:space="preserve"> 2015, p.56, 50, 54</w:t>
      </w:r>
      <w:r w:rsidRPr="00A748CB">
        <w:rPr>
          <w:bCs/>
          <w:color w:val="231F20"/>
          <w:szCs w:val="22"/>
        </w:rPr>
        <w:t xml:space="preserve">). </w:t>
      </w:r>
      <w:bookmarkEnd w:id="124"/>
      <w:r w:rsidRPr="00A748CB">
        <w:rPr>
          <w:bCs/>
          <w:szCs w:val="22"/>
        </w:rPr>
        <w:t xml:space="preserve">A key step of the ADM process is </w:t>
      </w:r>
      <w:r w:rsidRPr="00A748CB">
        <w:rPr>
          <w:bCs/>
          <w:i/>
          <w:iCs/>
          <w:szCs w:val="22"/>
        </w:rPr>
        <w:t>to develop a set of measures along adaptive pathways</w:t>
      </w:r>
      <w:r w:rsidRPr="00A748CB">
        <w:rPr>
          <w:bCs/>
          <w:szCs w:val="22"/>
        </w:rPr>
        <w:t xml:space="preserve"> </w:t>
      </w:r>
      <w:r w:rsidRPr="00A748CB">
        <w:rPr>
          <w:bCs/>
          <w:color w:val="231F20"/>
          <w:szCs w:val="22"/>
        </w:rPr>
        <w:t>(</w:t>
      </w:r>
      <w:r w:rsidRPr="00A748CB">
        <w:rPr>
          <w:bCs/>
          <w:color w:val="7F7F7F" w:themeColor="text1" w:themeTint="80"/>
          <w:szCs w:val="22"/>
        </w:rPr>
        <w:t xml:space="preserve">Haegen and </w:t>
      </w:r>
      <w:proofErr w:type="spellStart"/>
      <w:r w:rsidRPr="00A748CB">
        <w:rPr>
          <w:bCs/>
          <w:color w:val="7F7F7F" w:themeColor="text1" w:themeTint="80"/>
          <w:szCs w:val="22"/>
        </w:rPr>
        <w:t>Wieriks</w:t>
      </w:r>
      <w:proofErr w:type="spellEnd"/>
      <w:r w:rsidRPr="00A748CB">
        <w:rPr>
          <w:bCs/>
          <w:color w:val="7F7F7F" w:themeColor="text1" w:themeTint="80"/>
          <w:szCs w:val="22"/>
        </w:rPr>
        <w:t xml:space="preserve"> 2015, p.55</w:t>
      </w:r>
      <w:r w:rsidRPr="00A748CB">
        <w:rPr>
          <w:bCs/>
          <w:color w:val="231F20"/>
          <w:szCs w:val="22"/>
        </w:rPr>
        <w:t>).</w:t>
      </w:r>
      <w:r w:rsidRPr="00A748CB">
        <w:rPr>
          <w:bCs/>
          <w:szCs w:val="22"/>
        </w:rPr>
        <w:t xml:space="preserve"> </w:t>
      </w:r>
    </w:p>
    <w:p w14:paraId="3D972185" w14:textId="2F7D37F2" w:rsidR="005A1AF0" w:rsidRPr="00A748CB" w:rsidRDefault="00A61A74" w:rsidP="00E74925">
      <w:pPr>
        <w:pStyle w:val="TEXTBODY"/>
        <w:spacing w:line="276" w:lineRule="auto"/>
        <w:ind w:left="142"/>
        <w:rPr>
          <w:bCs/>
        </w:rPr>
      </w:pPr>
      <w:r w:rsidRPr="009B720F">
        <w:rPr>
          <w:bCs/>
        </w:rPr>
        <w:t xml:space="preserve">In </w:t>
      </w:r>
      <w:r w:rsidR="007D2351" w:rsidRPr="009B720F">
        <w:rPr>
          <w:bCs/>
        </w:rPr>
        <w:t>sum,</w:t>
      </w:r>
      <w:r w:rsidRPr="009B720F">
        <w:rPr>
          <w:bCs/>
        </w:rPr>
        <w:t xml:space="preserve"> to create ‘</w:t>
      </w:r>
      <w:r w:rsidRPr="009B720F">
        <w:rPr>
          <w:bCs/>
          <w:i/>
          <w:iCs/>
        </w:rPr>
        <w:t>strategies</w:t>
      </w:r>
      <w:r w:rsidRPr="009B720F">
        <w:rPr>
          <w:bCs/>
        </w:rPr>
        <w:t xml:space="preserve">’, the ADM process builds on the construction of pathways, and this implied scanning options to keep open, and assessing the </w:t>
      </w:r>
      <w:r w:rsidRPr="00A748CB">
        <w:rPr>
          <w:bCs/>
        </w:rPr>
        <w:t xml:space="preserve">flexibility of measures and pathways – these aspects were patent in the </w:t>
      </w:r>
      <w:r w:rsidRPr="00A748CB">
        <w:rPr>
          <w:bCs/>
          <w:i/>
          <w:iCs/>
        </w:rPr>
        <w:t>Strategies</w:t>
      </w:r>
      <w:r w:rsidRPr="00A748CB">
        <w:rPr>
          <w:bCs/>
        </w:rPr>
        <w:t xml:space="preserve"> for FRM of the DP (</w:t>
      </w:r>
      <w:r w:rsidRPr="00A748CB">
        <w:rPr>
          <w:bCs/>
          <w:color w:val="7F7F7F" w:themeColor="text1" w:themeTint="80"/>
        </w:rPr>
        <w:t>Zandvoort et al. 2018, p.189, 191</w:t>
      </w:r>
      <w:r w:rsidRPr="00A748CB">
        <w:rPr>
          <w:bCs/>
        </w:rPr>
        <w:t>).</w:t>
      </w:r>
      <w:r w:rsidR="007D2351" w:rsidRPr="00A748CB">
        <w:rPr>
          <w:rStyle w:val="Refdenotaderodap"/>
          <w:bCs/>
        </w:rPr>
        <w:footnoteReference w:id="114"/>
      </w:r>
    </w:p>
    <w:bookmarkEnd w:id="121"/>
    <w:bookmarkEnd w:id="123"/>
    <w:p w14:paraId="3AC1BD15" w14:textId="4785B485" w:rsidR="00A61A74" w:rsidRPr="009B720F" w:rsidRDefault="00A61A74" w:rsidP="00E74925">
      <w:pPr>
        <w:pStyle w:val="TEXTBODY"/>
        <w:spacing w:line="276" w:lineRule="auto"/>
        <w:ind w:left="426"/>
        <w:rPr>
          <w:bCs/>
          <w:color w:val="C00000"/>
          <w:sz w:val="14"/>
          <w:szCs w:val="14"/>
        </w:rPr>
      </w:pPr>
      <w:r w:rsidRPr="00A748CB">
        <w:rPr>
          <w:bCs/>
        </w:rPr>
        <w:t xml:space="preserve">The designed </w:t>
      </w:r>
      <w:r w:rsidRPr="00A748CB">
        <w:rPr>
          <w:bCs/>
          <w:i/>
          <w:iCs/>
        </w:rPr>
        <w:t>adaptation paths</w:t>
      </w:r>
      <w:r w:rsidRPr="00A748CB">
        <w:rPr>
          <w:bCs/>
        </w:rPr>
        <w:t xml:space="preserve"> were assessed under different scenarios (</w:t>
      </w:r>
      <w:r w:rsidRPr="00A748CB">
        <w:rPr>
          <w:bCs/>
          <w:color w:val="7F7F7F" w:themeColor="text1" w:themeTint="80"/>
        </w:rPr>
        <w:t>Zandvoort et al. 2018,</w:t>
      </w:r>
      <w:r w:rsidRPr="009B720F">
        <w:rPr>
          <w:bCs/>
          <w:color w:val="7F7F7F" w:themeColor="text1" w:themeTint="80"/>
        </w:rPr>
        <w:t xml:space="preserve"> p.191</w:t>
      </w:r>
      <w:r w:rsidRPr="009B720F">
        <w:rPr>
          <w:bCs/>
        </w:rPr>
        <w:t xml:space="preserve">). In accordance with ADM, it was important to assess the </w:t>
      </w:r>
      <w:r w:rsidRPr="009B720F">
        <w:rPr>
          <w:bCs/>
          <w:i/>
          <w:iCs/>
        </w:rPr>
        <w:t>robustness</w:t>
      </w:r>
      <w:r w:rsidRPr="009B720F">
        <w:rPr>
          <w:bCs/>
        </w:rPr>
        <w:t xml:space="preserve"> and </w:t>
      </w:r>
      <w:r w:rsidRPr="009B720F">
        <w:rPr>
          <w:bCs/>
          <w:i/>
          <w:iCs/>
        </w:rPr>
        <w:t>flexibility</w:t>
      </w:r>
      <w:r w:rsidRPr="009B720F">
        <w:rPr>
          <w:bCs/>
        </w:rPr>
        <w:t xml:space="preserve"> of the proposed strategies (</w:t>
      </w:r>
      <w:r w:rsidRPr="009B720F">
        <w:rPr>
          <w:bCs/>
          <w:i/>
          <w:iCs/>
        </w:rPr>
        <w:t>paths</w:t>
      </w:r>
      <w:r w:rsidRPr="009B720F">
        <w:rPr>
          <w:bCs/>
        </w:rPr>
        <w:t xml:space="preserve"> and their individual measures) against several scenarios (</w:t>
      </w:r>
      <w:proofErr w:type="spellStart"/>
      <w:r w:rsidRPr="009B720F">
        <w:rPr>
          <w:bCs/>
          <w:color w:val="7F7F7F" w:themeColor="text1" w:themeTint="80"/>
        </w:rPr>
        <w:t>Gersonius</w:t>
      </w:r>
      <w:proofErr w:type="spellEnd"/>
      <w:r w:rsidRPr="009B720F">
        <w:rPr>
          <w:bCs/>
          <w:color w:val="7F7F7F" w:themeColor="text1" w:themeTint="80"/>
        </w:rPr>
        <w:t xml:space="preserve"> et al. 2016, p.</w:t>
      </w:r>
      <w:r w:rsidRPr="00A748CB">
        <w:rPr>
          <w:bCs/>
          <w:color w:val="7F7F7F" w:themeColor="text1" w:themeTint="80"/>
        </w:rPr>
        <w:t>4</w:t>
      </w:r>
      <w:r w:rsidRPr="00A748CB">
        <w:rPr>
          <w:bCs/>
        </w:rPr>
        <w:t>).</w:t>
      </w:r>
      <w:r w:rsidRPr="00A748CB">
        <w:rPr>
          <w:rStyle w:val="Refdenotaderodap"/>
          <w:bCs/>
        </w:rPr>
        <w:footnoteReference w:id="115"/>
      </w:r>
      <w:r w:rsidRPr="00A748CB">
        <w:rPr>
          <w:bCs/>
        </w:rPr>
        <w:t xml:space="preserve"> As mentioned, a </w:t>
      </w:r>
      <w:r w:rsidRPr="00A748CB">
        <w:rPr>
          <w:bCs/>
          <w:i/>
          <w:iCs/>
        </w:rPr>
        <w:t>Preferential Strategy</w:t>
      </w:r>
      <w:r w:rsidRPr="00A748CB">
        <w:rPr>
          <w:bCs/>
        </w:rPr>
        <w:t xml:space="preserve"> should be both </w:t>
      </w:r>
      <w:r w:rsidRPr="00A748CB">
        <w:rPr>
          <w:bCs/>
          <w:i/>
          <w:iCs/>
        </w:rPr>
        <w:t>robust</w:t>
      </w:r>
      <w:r w:rsidRPr="00A748CB">
        <w:rPr>
          <w:bCs/>
        </w:rPr>
        <w:t xml:space="preserve"> and </w:t>
      </w:r>
      <w:r w:rsidRPr="00A748CB">
        <w:rPr>
          <w:bCs/>
          <w:i/>
          <w:iCs/>
        </w:rPr>
        <w:t>flexible</w:t>
      </w:r>
      <w:r w:rsidRPr="00A748CB">
        <w:rPr>
          <w:bCs/>
        </w:rPr>
        <w:t xml:space="preserve">; and each Subprogramme should assess if its </w:t>
      </w:r>
      <w:r w:rsidRPr="00A748CB">
        <w:rPr>
          <w:bCs/>
          <w:i/>
          <w:iCs/>
        </w:rPr>
        <w:t>Strategy</w:t>
      </w:r>
      <w:r w:rsidRPr="009B720F">
        <w:rPr>
          <w:bCs/>
          <w:i/>
          <w:iCs/>
        </w:rPr>
        <w:t xml:space="preserve"> </w:t>
      </w:r>
      <w:r w:rsidRPr="009B720F">
        <w:rPr>
          <w:bCs/>
        </w:rPr>
        <w:t>had these features, among others (</w:t>
      </w:r>
      <w:r w:rsidRPr="009B720F">
        <w:rPr>
          <w:bCs/>
          <w:color w:val="7F7F7F" w:themeColor="text1" w:themeTint="80"/>
        </w:rPr>
        <w:t>DP 2013, p.94 95</w:t>
      </w:r>
      <w:r w:rsidRPr="009B720F">
        <w:rPr>
          <w:bCs/>
        </w:rPr>
        <w:t>).</w:t>
      </w:r>
    </w:p>
    <w:p w14:paraId="357FABFE" w14:textId="5781E981" w:rsidR="00A61A74" w:rsidRPr="009B720F" w:rsidRDefault="00A61A74" w:rsidP="00E74925">
      <w:pPr>
        <w:pStyle w:val="TEXTBODY"/>
        <w:spacing w:line="276" w:lineRule="auto"/>
        <w:ind w:left="142"/>
        <w:rPr>
          <w:bCs/>
        </w:rPr>
      </w:pPr>
      <w:r w:rsidRPr="009B720F">
        <w:rPr>
          <w:bCs/>
        </w:rPr>
        <w:t xml:space="preserve">The </w:t>
      </w:r>
      <w:r w:rsidRPr="009B720F">
        <w:rPr>
          <w:bCs/>
          <w:i/>
          <w:iCs/>
        </w:rPr>
        <w:t>Preferential Strategies</w:t>
      </w:r>
      <w:r w:rsidRPr="009B720F">
        <w:rPr>
          <w:bCs/>
        </w:rPr>
        <w:t xml:space="preserve"> were developed </w:t>
      </w:r>
      <w:proofErr w:type="gramStart"/>
      <w:r w:rsidRPr="009B720F">
        <w:rPr>
          <w:bCs/>
        </w:rPr>
        <w:t>on the basis of</w:t>
      </w:r>
      <w:proofErr w:type="gramEnd"/>
      <w:r w:rsidRPr="009B720F">
        <w:rPr>
          <w:bCs/>
        </w:rPr>
        <w:t xml:space="preserve"> the four </w:t>
      </w:r>
      <w:r w:rsidRPr="009B720F">
        <w:rPr>
          <w:bCs/>
          <w:i/>
          <w:iCs/>
        </w:rPr>
        <w:t>Delta Scenarios</w:t>
      </w:r>
      <w:r w:rsidRPr="009B720F">
        <w:rPr>
          <w:bCs/>
        </w:rPr>
        <w:t xml:space="preserve"> (</w:t>
      </w:r>
      <w:r w:rsidRPr="009B720F">
        <w:rPr>
          <w:bCs/>
          <w:color w:val="7F7F7F" w:themeColor="text1" w:themeTint="80"/>
        </w:rPr>
        <w:t>DP 2014, p.136</w:t>
      </w:r>
      <w:r w:rsidRPr="009B720F">
        <w:rPr>
          <w:bCs/>
        </w:rPr>
        <w:t>), with 2100 as time-horizon (</w:t>
      </w:r>
      <w:r w:rsidRPr="009B720F">
        <w:rPr>
          <w:bCs/>
          <w:color w:val="7F7F7F" w:themeColor="text1" w:themeTint="80"/>
        </w:rPr>
        <w:t>Alphen 2015</w:t>
      </w:r>
      <w:r w:rsidRPr="009B720F">
        <w:rPr>
          <w:bCs/>
        </w:rPr>
        <w:t xml:space="preserve">), but they are, by nature, </w:t>
      </w:r>
      <w:r w:rsidRPr="009B720F">
        <w:rPr>
          <w:bCs/>
          <w:i/>
          <w:iCs/>
        </w:rPr>
        <w:t>adaptive</w:t>
      </w:r>
      <w:r w:rsidRPr="009B720F">
        <w:rPr>
          <w:bCs/>
        </w:rPr>
        <w:t>: they can be adapted</w:t>
      </w:r>
      <w:r w:rsidRPr="009B720F">
        <w:rPr>
          <w:bCs/>
          <w:i/>
          <w:iCs/>
        </w:rPr>
        <w:t xml:space="preserve"> to</w:t>
      </w:r>
      <w:r w:rsidRPr="009B720F">
        <w:rPr>
          <w:bCs/>
        </w:rPr>
        <w:t xml:space="preserve"> </w:t>
      </w:r>
      <w:r w:rsidRPr="009B720F">
        <w:rPr>
          <w:bCs/>
          <w:i/>
          <w:iCs/>
        </w:rPr>
        <w:t>slower and faster CC</w:t>
      </w:r>
      <w:r w:rsidRPr="009B720F">
        <w:rPr>
          <w:bCs/>
        </w:rPr>
        <w:t xml:space="preserve"> than expected in the </w:t>
      </w:r>
      <w:r w:rsidRPr="009B720F">
        <w:rPr>
          <w:bCs/>
          <w:i/>
          <w:iCs/>
        </w:rPr>
        <w:t>Delta Scenarios</w:t>
      </w:r>
      <w:r w:rsidRPr="009B720F">
        <w:rPr>
          <w:bCs/>
        </w:rPr>
        <w:t>. The</w:t>
      </w:r>
      <w:r w:rsidRPr="009B720F">
        <w:rPr>
          <w:rFonts w:cs="Arial"/>
          <w:bCs/>
          <w:szCs w:val="18"/>
        </w:rPr>
        <w:t xml:space="preserve"> </w:t>
      </w:r>
      <w:r w:rsidRPr="009B720F">
        <w:rPr>
          <w:rFonts w:cs="Arial"/>
          <w:bCs/>
          <w:i/>
          <w:iCs/>
          <w:szCs w:val="18"/>
        </w:rPr>
        <w:t xml:space="preserve">adaptive nature of the strategies </w:t>
      </w:r>
      <w:r w:rsidRPr="009B720F">
        <w:rPr>
          <w:rFonts w:cs="Arial"/>
          <w:bCs/>
          <w:szCs w:val="18"/>
        </w:rPr>
        <w:t>makes it possible to act according to evolving conditions and changes, for example,</w:t>
      </w:r>
      <w:r w:rsidRPr="009B720F">
        <w:rPr>
          <w:rFonts w:cs="Arial"/>
          <w:bCs/>
          <w:i/>
          <w:iCs/>
          <w:szCs w:val="18"/>
        </w:rPr>
        <w:t xml:space="preserve"> by accelerating or slowing down the implementation of measures</w:t>
      </w:r>
      <w:r w:rsidRPr="009B720F">
        <w:rPr>
          <w:rFonts w:cs="Arial"/>
          <w:bCs/>
          <w:szCs w:val="18"/>
        </w:rPr>
        <w:t xml:space="preserve"> (e.g. the number and amount of sand replenishments per year along the coast can be adjusted to the measured SLR</w:t>
      </w:r>
      <w:r w:rsidRPr="009B720F">
        <w:rPr>
          <w:bCs/>
        </w:rPr>
        <w:t>)</w:t>
      </w:r>
      <w:r w:rsidR="00280F67" w:rsidRPr="009B720F">
        <w:rPr>
          <w:bCs/>
        </w:rPr>
        <w:t xml:space="preserve"> (</w:t>
      </w:r>
      <w:r w:rsidR="00280F67" w:rsidRPr="009B720F">
        <w:rPr>
          <w:bCs/>
          <w:color w:val="7F7F7F" w:themeColor="text1" w:themeTint="80"/>
        </w:rPr>
        <w:t>DP 2014, p.136</w:t>
      </w:r>
      <w:r w:rsidR="00280F67" w:rsidRPr="009B720F">
        <w:rPr>
          <w:bCs/>
        </w:rPr>
        <w:t xml:space="preserve">). </w:t>
      </w:r>
      <w:r w:rsidRPr="009B720F">
        <w:rPr>
          <w:rFonts w:cs="Arial"/>
          <w:bCs/>
          <w:szCs w:val="18"/>
        </w:rPr>
        <w:t>B</w:t>
      </w:r>
      <w:r w:rsidRPr="009B720F">
        <w:rPr>
          <w:bCs/>
        </w:rPr>
        <w:t xml:space="preserve">ased on new knowledge and </w:t>
      </w:r>
      <w:r w:rsidRPr="00A748CB">
        <w:rPr>
          <w:bCs/>
        </w:rPr>
        <w:t xml:space="preserve">monitoring, </w:t>
      </w:r>
      <w:r w:rsidRPr="00A748CB">
        <w:rPr>
          <w:rFonts w:cs="Arial"/>
          <w:bCs/>
          <w:szCs w:val="18"/>
        </w:rPr>
        <w:t>the strategies, and / or measures within them, may be advanced or postponed</w:t>
      </w:r>
      <w:r w:rsidRPr="00A748CB">
        <w:rPr>
          <w:bCs/>
        </w:rPr>
        <w:t>, and adjusted in terms of scope and design (</w:t>
      </w:r>
      <w:r w:rsidRPr="00A748CB">
        <w:rPr>
          <w:bCs/>
          <w:color w:val="7F7F7F" w:themeColor="text1" w:themeTint="80"/>
        </w:rPr>
        <w:t>DP 2014, p.136</w:t>
      </w:r>
      <w:r w:rsidRPr="00A748CB">
        <w:rPr>
          <w:bCs/>
        </w:rPr>
        <w:t>).</w:t>
      </w:r>
    </w:p>
    <w:p w14:paraId="5EE5DBF4" w14:textId="2DE7DC78" w:rsidR="00A61A74" w:rsidRPr="009B720F" w:rsidRDefault="00A61A74" w:rsidP="00E74925">
      <w:pPr>
        <w:pStyle w:val="TEXTBODY"/>
        <w:spacing w:line="276" w:lineRule="auto"/>
        <w:rPr>
          <w:bCs/>
        </w:rPr>
      </w:pPr>
      <w:r w:rsidRPr="009B720F">
        <w:rPr>
          <w:bCs/>
        </w:rPr>
        <w:lastRenderedPageBreak/>
        <w:t>The main outcome of ADM is a single pathway, or a set of pathways, with which it was possible to schedule measures in the face of uncertain future change – that is, ADM ‘</w:t>
      </w:r>
      <w:r w:rsidRPr="009B720F">
        <w:rPr>
          <w:bCs/>
          <w:i/>
        </w:rPr>
        <w:t>leads to a composite strategy, or a set of alternative strategies with intermediate possibilities for revisions</w:t>
      </w:r>
      <w:r w:rsidRPr="009B720F">
        <w:rPr>
          <w:bCs/>
        </w:rPr>
        <w:t>’ (</w:t>
      </w:r>
      <w:r w:rsidRPr="009B720F">
        <w:rPr>
          <w:bCs/>
          <w:color w:val="7F7F7F" w:themeColor="text1" w:themeTint="80"/>
        </w:rPr>
        <w:t xml:space="preserve">Rhee 2012, p.14, </w:t>
      </w:r>
      <w:r w:rsidRPr="009B720F">
        <w:rPr>
          <w:bCs/>
          <w:i/>
          <w:iCs/>
          <w:color w:val="7F7F7F" w:themeColor="text1" w:themeTint="80"/>
        </w:rPr>
        <w:t xml:space="preserve">in </w:t>
      </w:r>
      <w:r w:rsidRPr="009B720F">
        <w:rPr>
          <w:bCs/>
          <w:color w:val="7F7F7F" w:themeColor="text1" w:themeTint="80"/>
        </w:rPr>
        <w:t>Zandvoort et al. 2018, p.191</w:t>
      </w:r>
      <w:r w:rsidRPr="009B720F">
        <w:rPr>
          <w:bCs/>
        </w:rPr>
        <w:t>).</w:t>
      </w:r>
    </w:p>
    <w:p w14:paraId="23C13239" w14:textId="4855A5D7" w:rsidR="00F25FD8" w:rsidRPr="00A748CB" w:rsidRDefault="00F25FD8" w:rsidP="00E74925">
      <w:pPr>
        <w:pStyle w:val="TEXTBODY"/>
        <w:spacing w:line="276" w:lineRule="auto"/>
        <w:ind w:left="426"/>
        <w:rPr>
          <w:bCs/>
        </w:rPr>
      </w:pPr>
      <w:r w:rsidRPr="00A748CB">
        <w:rPr>
          <w:bCs/>
        </w:rPr>
        <w:t xml:space="preserve">The APs method helped (contributed) to ensure and safeguard </w:t>
      </w:r>
      <w:r w:rsidRPr="00A748CB">
        <w:rPr>
          <w:bCs/>
          <w:i/>
          <w:iCs/>
        </w:rPr>
        <w:t>robustness</w:t>
      </w:r>
      <w:r w:rsidRPr="00A748CB">
        <w:rPr>
          <w:bCs/>
        </w:rPr>
        <w:t xml:space="preserve"> and </w:t>
      </w:r>
      <w:r w:rsidRPr="00A748CB">
        <w:rPr>
          <w:bCs/>
          <w:i/>
          <w:iCs/>
        </w:rPr>
        <w:t xml:space="preserve">flexibility </w:t>
      </w:r>
      <w:r w:rsidRPr="00A748CB">
        <w:rPr>
          <w:bCs/>
        </w:rPr>
        <w:t>in the DP’s Strategies</w:t>
      </w:r>
      <w:r w:rsidR="00A748CB" w:rsidRPr="00A748CB">
        <w:rPr>
          <w:bCs/>
        </w:rPr>
        <w:t xml:space="preserve">. </w:t>
      </w:r>
      <w:r w:rsidRPr="00A748CB">
        <w:rPr>
          <w:bCs/>
        </w:rPr>
        <w:t>With the APs approach, the Subprogrammes could envision alternative measures and possibilities for switching between them through adaptation pathways, and link measures for the short-term to long-term possible alternatives (options) (</w:t>
      </w:r>
      <w:proofErr w:type="spellStart"/>
      <w:r w:rsidRPr="00A748CB">
        <w:rPr>
          <w:bCs/>
          <w:color w:val="7F7F7F" w:themeColor="text1" w:themeTint="80"/>
        </w:rPr>
        <w:t>Jeuken</w:t>
      </w:r>
      <w:proofErr w:type="spellEnd"/>
      <w:r w:rsidRPr="00A748CB">
        <w:rPr>
          <w:bCs/>
          <w:color w:val="7F7F7F" w:themeColor="text1" w:themeTint="80"/>
        </w:rPr>
        <w:t xml:space="preserve"> et al. 2014, p.1</w:t>
      </w:r>
      <w:r w:rsidRPr="00A748CB">
        <w:rPr>
          <w:bCs/>
        </w:rPr>
        <w:t>). The APs approach served to explore possible measures and options, and possibilities for switching from one option to another in the future, and, in this way, remain flexible – this contributed to enhance the</w:t>
      </w:r>
      <w:r w:rsidRPr="00A748CB">
        <w:rPr>
          <w:bCs/>
          <w:i/>
          <w:iCs/>
        </w:rPr>
        <w:t xml:space="preserve"> flexibility</w:t>
      </w:r>
      <w:r w:rsidRPr="00A748CB">
        <w:rPr>
          <w:bCs/>
        </w:rPr>
        <w:t xml:space="preserve"> of each general Strategy. By using the APs, it was possible develop a ‘</w:t>
      </w:r>
      <w:r w:rsidRPr="00A748CB">
        <w:rPr>
          <w:bCs/>
          <w:i/>
          <w:iCs/>
        </w:rPr>
        <w:t>robust and flexible</w:t>
      </w:r>
      <w:r w:rsidRPr="00A748CB">
        <w:rPr>
          <w:bCs/>
        </w:rPr>
        <w:t xml:space="preserve">’ set of measures – or, more precisely, </w:t>
      </w:r>
      <w:r w:rsidRPr="00A748CB">
        <w:rPr>
          <w:bCs/>
          <w:i/>
          <w:iCs/>
        </w:rPr>
        <w:t>sets</w:t>
      </w:r>
      <w:r w:rsidRPr="00A748CB">
        <w:rPr>
          <w:bCs/>
        </w:rPr>
        <w:t xml:space="preserve"> – each </w:t>
      </w:r>
      <w:r w:rsidRPr="00A748CB">
        <w:rPr>
          <w:bCs/>
          <w:i/>
          <w:iCs/>
        </w:rPr>
        <w:t>set</w:t>
      </w:r>
      <w:r w:rsidRPr="00A748CB">
        <w:rPr>
          <w:bCs/>
        </w:rPr>
        <w:t xml:space="preserve"> as an adaptation pathway. The maps of </w:t>
      </w:r>
      <w:r w:rsidRPr="00A748CB">
        <w:rPr>
          <w:bCs/>
          <w:i/>
          <w:iCs/>
        </w:rPr>
        <w:t>adaptation paths</w:t>
      </w:r>
      <w:r w:rsidRPr="00A748CB">
        <w:rPr>
          <w:bCs/>
        </w:rPr>
        <w:t xml:space="preserve"> identify/show the measures available, including options for switching in the future, and when it is necessary to switch of measure (</w:t>
      </w:r>
      <w:proofErr w:type="spellStart"/>
      <w:r w:rsidRPr="00A748CB">
        <w:rPr>
          <w:bCs/>
          <w:color w:val="7F7F7F" w:themeColor="text1" w:themeTint="80"/>
        </w:rPr>
        <w:t>Jeuken</w:t>
      </w:r>
      <w:proofErr w:type="spellEnd"/>
      <w:r w:rsidRPr="00A748CB">
        <w:rPr>
          <w:bCs/>
          <w:color w:val="7F7F7F" w:themeColor="text1" w:themeTint="80"/>
        </w:rPr>
        <w:t xml:space="preserve"> et al. 2014, p.10</w:t>
      </w:r>
      <w:r w:rsidRPr="00A748CB">
        <w:rPr>
          <w:bCs/>
        </w:rPr>
        <w:t>).</w:t>
      </w:r>
    </w:p>
    <w:p w14:paraId="71446310" w14:textId="18C7FED3" w:rsidR="00F25FD8" w:rsidRDefault="00A61A74" w:rsidP="00E74925">
      <w:pPr>
        <w:pStyle w:val="TEXTBODY"/>
        <w:spacing w:line="276" w:lineRule="auto"/>
        <w:rPr>
          <w:bCs/>
        </w:rPr>
      </w:pPr>
      <w:r w:rsidRPr="00A748CB">
        <w:rPr>
          <w:bCs/>
        </w:rPr>
        <w:t xml:space="preserve">The pathways deliver </w:t>
      </w:r>
      <w:r w:rsidRPr="00A748CB">
        <w:rPr>
          <w:bCs/>
          <w:i/>
          <w:iCs/>
        </w:rPr>
        <w:t>flexibility</w:t>
      </w:r>
      <w:r w:rsidRPr="00A748CB">
        <w:rPr>
          <w:bCs/>
        </w:rPr>
        <w:t xml:space="preserve"> in several ways: the strategies can be accelerated, slowed down, or adjusted, by using other options that are previously kept open (i.e. by shifting</w:t>
      </w:r>
      <w:r w:rsidRPr="009B720F">
        <w:rPr>
          <w:bCs/>
        </w:rPr>
        <w:t xml:space="preserve"> from one measure to another which is available)</w:t>
      </w:r>
      <w:r w:rsidRPr="009B720F">
        <w:rPr>
          <w:bCs/>
          <w:color w:val="00B050"/>
        </w:rPr>
        <w:t xml:space="preserve"> </w:t>
      </w:r>
      <w:r w:rsidRPr="009B720F">
        <w:rPr>
          <w:bCs/>
        </w:rPr>
        <w:t>(</w:t>
      </w:r>
      <w:proofErr w:type="spellStart"/>
      <w:r w:rsidRPr="009B720F">
        <w:rPr>
          <w:bCs/>
          <w:color w:val="7F7F7F" w:themeColor="text1" w:themeTint="80"/>
        </w:rPr>
        <w:t>Gersonius</w:t>
      </w:r>
      <w:proofErr w:type="spellEnd"/>
      <w:r w:rsidRPr="009B720F">
        <w:rPr>
          <w:bCs/>
          <w:color w:val="7F7F7F" w:themeColor="text1" w:themeTint="80"/>
        </w:rPr>
        <w:t xml:space="preserve"> et al. 2016 p.212</w:t>
      </w:r>
      <w:r w:rsidRPr="009B720F">
        <w:rPr>
          <w:bCs/>
        </w:rPr>
        <w:t>). The APs method, served to develop a ‘</w:t>
      </w:r>
      <w:r w:rsidRPr="009B720F">
        <w:rPr>
          <w:bCs/>
          <w:i/>
          <w:iCs/>
        </w:rPr>
        <w:t>robust flexible strategy</w:t>
      </w:r>
      <w:r w:rsidRPr="009B720F">
        <w:rPr>
          <w:bCs/>
        </w:rPr>
        <w:t>’ for FRM; the development of APs ensures flexibility, since the pathways can be accelerated / slowed down, or adjusted (through shifts from a measure to other), and options to keep open are shown (</w:t>
      </w:r>
      <w:proofErr w:type="spellStart"/>
      <w:r w:rsidRPr="009B720F">
        <w:rPr>
          <w:bCs/>
          <w:color w:val="7F7F7F" w:themeColor="text1" w:themeTint="80"/>
        </w:rPr>
        <w:t>Gersonius</w:t>
      </w:r>
      <w:proofErr w:type="spellEnd"/>
      <w:r w:rsidRPr="009B720F">
        <w:rPr>
          <w:bCs/>
          <w:color w:val="7F7F7F" w:themeColor="text1" w:themeTint="80"/>
        </w:rPr>
        <w:t xml:space="preserve"> et al. 2016 p.</w:t>
      </w:r>
      <w:r w:rsidR="00D940B9" w:rsidRPr="009B720F">
        <w:rPr>
          <w:bCs/>
          <w:color w:val="7F7F7F" w:themeColor="text1" w:themeTint="80"/>
        </w:rPr>
        <w:t>2</w:t>
      </w:r>
      <w:r w:rsidRPr="009B720F">
        <w:rPr>
          <w:bCs/>
          <w:color w:val="7F7F7F" w:themeColor="text1" w:themeTint="80"/>
        </w:rPr>
        <w:t>12, 209</w:t>
      </w:r>
      <w:r w:rsidRPr="009B720F">
        <w:rPr>
          <w:bCs/>
        </w:rPr>
        <w:t>).</w:t>
      </w:r>
    </w:p>
    <w:p w14:paraId="3078C6E5" w14:textId="77777777" w:rsidR="00A748CB" w:rsidRPr="009B720F" w:rsidRDefault="00A748CB" w:rsidP="00E74925">
      <w:pPr>
        <w:pStyle w:val="TEXTBODY"/>
        <w:spacing w:line="276" w:lineRule="auto"/>
        <w:rPr>
          <w:bCs/>
        </w:rPr>
      </w:pPr>
    </w:p>
    <w:p w14:paraId="689954B3" w14:textId="77777777" w:rsidR="00A61A74" w:rsidRPr="009B720F" w:rsidRDefault="00A61A74" w:rsidP="00E74925">
      <w:pPr>
        <w:pStyle w:val="TEXTBODY"/>
        <w:spacing w:after="0" w:line="276" w:lineRule="auto"/>
        <w:rPr>
          <w:bCs/>
        </w:rPr>
      </w:pPr>
      <w:r w:rsidRPr="00A748CB">
        <w:rPr>
          <w:bCs/>
        </w:rPr>
        <w:t xml:space="preserve">Overall, as mentioned, the </w:t>
      </w:r>
      <w:r w:rsidRPr="00A748CB">
        <w:rPr>
          <w:bCs/>
          <w:i/>
          <w:iCs/>
        </w:rPr>
        <w:t>Preferential Strategies</w:t>
      </w:r>
      <w:r w:rsidRPr="00A748CB">
        <w:rPr>
          <w:bCs/>
        </w:rPr>
        <w:t xml:space="preserve"> were developed based on the ADM approach and its four basic principles</w:t>
      </w:r>
      <w:r w:rsidRPr="00A748CB">
        <w:rPr>
          <w:rStyle w:val="Refdenotaderodap"/>
          <w:bCs/>
        </w:rPr>
        <w:footnoteReference w:id="116"/>
      </w:r>
      <w:r w:rsidRPr="00A748CB">
        <w:rPr>
          <w:bCs/>
        </w:rPr>
        <w:t xml:space="preserve"> (</w:t>
      </w:r>
      <w:r w:rsidRPr="00A748CB">
        <w:rPr>
          <w:bCs/>
          <w:color w:val="7F7F7F" w:themeColor="text1" w:themeTint="80"/>
        </w:rPr>
        <w:t xml:space="preserve">DP 2014, p.47, 12; 2017, p.7; </w:t>
      </w:r>
      <w:r w:rsidRPr="00A748CB">
        <w:rPr>
          <w:rFonts w:eastAsia="RijksoverheidSansText-Regular"/>
          <w:bCs/>
          <w:color w:val="7F7F7F" w:themeColor="text1" w:themeTint="80"/>
          <w:szCs w:val="18"/>
        </w:rPr>
        <w:t>2011, p.18</w:t>
      </w:r>
      <w:r w:rsidRPr="00A748CB">
        <w:rPr>
          <w:bCs/>
        </w:rPr>
        <w:t xml:space="preserve">). Such principles are patent in the </w:t>
      </w:r>
      <w:r w:rsidRPr="00A748CB">
        <w:rPr>
          <w:bCs/>
          <w:i/>
          <w:iCs/>
        </w:rPr>
        <w:t>Preferential Strategies</w:t>
      </w:r>
      <w:r w:rsidRPr="00A748CB">
        <w:rPr>
          <w:bCs/>
        </w:rPr>
        <w:t xml:space="preserve"> in several ways, for example:</w:t>
      </w:r>
    </w:p>
    <w:p w14:paraId="5D53434C" w14:textId="500F3B19" w:rsidR="00A61A74" w:rsidRPr="009B720F" w:rsidRDefault="00A61A74" w:rsidP="00E74925">
      <w:pPr>
        <w:pStyle w:val="TEXTBODY"/>
        <w:numPr>
          <w:ilvl w:val="0"/>
          <w:numId w:val="34"/>
        </w:numPr>
        <w:spacing w:after="0" w:line="276" w:lineRule="auto"/>
        <w:ind w:left="284" w:hanging="284"/>
        <w:rPr>
          <w:bCs/>
        </w:rPr>
      </w:pPr>
      <w:r w:rsidRPr="009B720F">
        <w:rPr>
          <w:rFonts w:cs="Arial"/>
          <w:bCs/>
          <w:szCs w:val="18"/>
        </w:rPr>
        <w:t>P1</w:t>
      </w:r>
      <w:r w:rsidR="008649BD">
        <w:rPr>
          <w:rFonts w:cs="Arial"/>
          <w:bCs/>
          <w:szCs w:val="18"/>
        </w:rPr>
        <w:t xml:space="preserve">. </w:t>
      </w:r>
      <w:r w:rsidRPr="009B720F">
        <w:rPr>
          <w:bCs/>
        </w:rPr>
        <w:t xml:space="preserve">In accordance with P1, the strategies, as </w:t>
      </w:r>
      <w:r w:rsidRPr="009B720F">
        <w:rPr>
          <w:bCs/>
          <w:i/>
          <w:iCs/>
        </w:rPr>
        <w:t>adaptation paths</w:t>
      </w:r>
      <w:r w:rsidRPr="009B720F">
        <w:rPr>
          <w:bCs/>
        </w:rPr>
        <w:t>, connect short-term decisions and measures to long-term tasks (</w:t>
      </w:r>
      <w:r w:rsidRPr="009B720F">
        <w:rPr>
          <w:bCs/>
          <w:color w:val="7F7F7F" w:themeColor="text1" w:themeTint="80"/>
        </w:rPr>
        <w:t>DP 2013, p.56</w:t>
      </w:r>
      <w:r w:rsidRPr="009B720F">
        <w:rPr>
          <w:bCs/>
        </w:rPr>
        <w:t>),</w:t>
      </w:r>
    </w:p>
    <w:p w14:paraId="5E49A681" w14:textId="0712117D" w:rsidR="00A61A74" w:rsidRPr="009B720F" w:rsidRDefault="00A61A74" w:rsidP="00E74925">
      <w:pPr>
        <w:pStyle w:val="TEXTBODY"/>
        <w:numPr>
          <w:ilvl w:val="0"/>
          <w:numId w:val="34"/>
        </w:numPr>
        <w:spacing w:after="0" w:line="276" w:lineRule="auto"/>
        <w:ind w:left="284" w:hanging="284"/>
        <w:rPr>
          <w:bCs/>
        </w:rPr>
      </w:pPr>
      <w:r w:rsidRPr="009B720F">
        <w:rPr>
          <w:rFonts w:cs="Arial"/>
          <w:bCs/>
          <w:szCs w:val="18"/>
        </w:rPr>
        <w:t xml:space="preserve">P2 </w:t>
      </w:r>
      <w:r w:rsidRPr="009B720F">
        <w:rPr>
          <w:bCs/>
        </w:rPr>
        <w:t xml:space="preserve">is ensured by </w:t>
      </w:r>
      <w:r w:rsidRPr="009B720F">
        <w:rPr>
          <w:bCs/>
          <w:i/>
          <w:iCs/>
        </w:rPr>
        <w:t>taking (</w:t>
      </w:r>
      <w:r w:rsidRPr="009B720F">
        <w:rPr>
          <w:rFonts w:cs="Arial"/>
          <w:bCs/>
          <w:i/>
          <w:iCs/>
          <w:szCs w:val="18"/>
        </w:rPr>
        <w:t>the most cost-effective) measures step-by-step</w:t>
      </w:r>
      <w:r w:rsidRPr="009B720F">
        <w:rPr>
          <w:rFonts w:cs="Arial"/>
          <w:bCs/>
          <w:szCs w:val="18"/>
        </w:rPr>
        <w:t xml:space="preserve">, and by </w:t>
      </w:r>
      <w:r w:rsidRPr="009B720F">
        <w:rPr>
          <w:rFonts w:cs="Arial"/>
          <w:bCs/>
          <w:i/>
          <w:iCs/>
          <w:szCs w:val="18"/>
        </w:rPr>
        <w:t>leaving options open for the future</w:t>
      </w:r>
      <w:r w:rsidRPr="009B720F">
        <w:rPr>
          <w:rFonts w:cs="Arial"/>
          <w:bCs/>
          <w:szCs w:val="18"/>
        </w:rPr>
        <w:t xml:space="preserve"> to deal with changes and new knowledge (</w:t>
      </w:r>
      <w:r w:rsidRPr="009B720F">
        <w:rPr>
          <w:rFonts w:cs="Arial"/>
          <w:bCs/>
          <w:color w:val="7F7F7F" w:themeColor="text1" w:themeTint="80"/>
          <w:szCs w:val="18"/>
        </w:rPr>
        <w:t>DP 2014, p.47</w:t>
      </w:r>
      <w:r w:rsidRPr="009B720F">
        <w:rPr>
          <w:rFonts w:cs="Arial"/>
          <w:bCs/>
          <w:szCs w:val="18"/>
        </w:rPr>
        <w:t>).</w:t>
      </w:r>
      <w:r w:rsidRPr="009B720F">
        <w:rPr>
          <w:rFonts w:cs="Arial"/>
          <w:bCs/>
          <w:sz w:val="16"/>
          <w:szCs w:val="16"/>
        </w:rPr>
        <w:t xml:space="preserve">   </w:t>
      </w:r>
    </w:p>
    <w:p w14:paraId="4A859248" w14:textId="57B7F33C" w:rsidR="00A61A74" w:rsidRPr="009B720F" w:rsidRDefault="00A61A74" w:rsidP="00E74925">
      <w:pPr>
        <w:pStyle w:val="TEXTBODY"/>
        <w:numPr>
          <w:ilvl w:val="0"/>
          <w:numId w:val="34"/>
        </w:numPr>
        <w:spacing w:after="0" w:line="276" w:lineRule="auto"/>
        <w:ind w:left="284" w:hanging="284"/>
        <w:rPr>
          <w:bCs/>
        </w:rPr>
      </w:pPr>
      <w:r w:rsidRPr="009B720F">
        <w:rPr>
          <w:bCs/>
        </w:rPr>
        <w:t xml:space="preserve">P3 is reflected in </w:t>
      </w:r>
      <w:r w:rsidRPr="009B720F">
        <w:rPr>
          <w:rFonts w:cs="Arial"/>
          <w:bCs/>
          <w:szCs w:val="18"/>
        </w:rPr>
        <w:t>the design of</w:t>
      </w:r>
      <w:r w:rsidRPr="009B720F">
        <w:rPr>
          <w:rFonts w:cs="Arial"/>
          <w:bCs/>
          <w:i/>
          <w:iCs/>
          <w:szCs w:val="18"/>
        </w:rPr>
        <w:t xml:space="preserve"> adaptation paths </w:t>
      </w:r>
      <w:r w:rsidRPr="009B720F">
        <w:rPr>
          <w:rFonts w:cs="Arial"/>
          <w:bCs/>
          <w:szCs w:val="18"/>
        </w:rPr>
        <w:t>as</w:t>
      </w:r>
      <w:r w:rsidRPr="009B720F">
        <w:rPr>
          <w:rFonts w:cs="Arial"/>
          <w:bCs/>
          <w:i/>
          <w:iCs/>
          <w:szCs w:val="18"/>
        </w:rPr>
        <w:t xml:space="preserve"> part of the Preferential Strategy</w:t>
      </w:r>
      <w:r w:rsidRPr="009B720F">
        <w:rPr>
          <w:rFonts w:cs="Arial"/>
          <w:bCs/>
          <w:szCs w:val="18"/>
        </w:rPr>
        <w:t xml:space="preserve">. A map of </w:t>
      </w:r>
      <w:r w:rsidRPr="009B720F">
        <w:rPr>
          <w:rFonts w:cs="Arial"/>
          <w:bCs/>
          <w:i/>
          <w:iCs/>
          <w:szCs w:val="18"/>
        </w:rPr>
        <w:t xml:space="preserve">adaptation paths </w:t>
      </w:r>
      <w:r w:rsidRPr="009B720F">
        <w:rPr>
          <w:rFonts w:cs="Arial"/>
          <w:bCs/>
          <w:szCs w:val="18"/>
        </w:rPr>
        <w:t xml:space="preserve">was designed in each </w:t>
      </w:r>
      <w:r w:rsidRPr="009B720F">
        <w:rPr>
          <w:rFonts w:cs="Arial"/>
          <w:bCs/>
          <w:i/>
          <w:iCs/>
          <w:szCs w:val="18"/>
        </w:rPr>
        <w:t xml:space="preserve">Preferential </w:t>
      </w:r>
      <w:r w:rsidRPr="008649BD">
        <w:rPr>
          <w:rFonts w:cs="Arial"/>
          <w:bCs/>
          <w:i/>
          <w:iCs/>
          <w:szCs w:val="18"/>
        </w:rPr>
        <w:t>Strategy</w:t>
      </w:r>
      <w:r w:rsidRPr="008649BD">
        <w:rPr>
          <w:rFonts w:cs="Arial"/>
          <w:bCs/>
          <w:szCs w:val="18"/>
        </w:rPr>
        <w:t xml:space="preserve">, it </w:t>
      </w:r>
      <w:r w:rsidRPr="009B720F">
        <w:rPr>
          <w:rFonts w:cs="Arial"/>
          <w:bCs/>
          <w:szCs w:val="18"/>
        </w:rPr>
        <w:t xml:space="preserve">indicates </w:t>
      </w:r>
      <w:r w:rsidRPr="009B720F">
        <w:rPr>
          <w:rFonts w:cs="Arial"/>
          <w:bCs/>
          <w:i/>
          <w:iCs/>
          <w:szCs w:val="18"/>
        </w:rPr>
        <w:t xml:space="preserve">what </w:t>
      </w:r>
      <w:r w:rsidRPr="009B720F">
        <w:rPr>
          <w:rFonts w:cs="Arial"/>
          <w:bCs/>
          <w:szCs w:val="18"/>
        </w:rPr>
        <w:t xml:space="preserve">and </w:t>
      </w:r>
      <w:r w:rsidRPr="009B720F">
        <w:rPr>
          <w:rFonts w:cs="Arial"/>
          <w:bCs/>
          <w:i/>
          <w:iCs/>
          <w:szCs w:val="18"/>
        </w:rPr>
        <w:t xml:space="preserve">when </w:t>
      </w:r>
      <w:r w:rsidRPr="009B720F">
        <w:rPr>
          <w:rFonts w:cs="Arial"/>
          <w:bCs/>
          <w:szCs w:val="18"/>
        </w:rPr>
        <w:t>measures are expected to be necessary (including measures required now to ensure that the options that may be necessary in the long-term can be implemented by then); and, depending on the actual changes and climatic and socioeconomic developments, measures may be taken sooner or later</w:t>
      </w:r>
      <w:r w:rsidRPr="009B720F">
        <w:rPr>
          <w:rFonts w:cs="Arial"/>
          <w:bCs/>
          <w:color w:val="00B050"/>
          <w:szCs w:val="18"/>
        </w:rPr>
        <w:t xml:space="preserve"> </w:t>
      </w:r>
      <w:r w:rsidRPr="009B720F">
        <w:rPr>
          <w:rFonts w:cs="Arial"/>
          <w:bCs/>
          <w:szCs w:val="18"/>
        </w:rPr>
        <w:t>(</w:t>
      </w:r>
      <w:r w:rsidRPr="009B720F">
        <w:rPr>
          <w:rFonts w:cs="Arial"/>
          <w:bCs/>
          <w:color w:val="7F7F7F" w:themeColor="text1" w:themeTint="80"/>
          <w:szCs w:val="18"/>
        </w:rPr>
        <w:t>DP 2014, p.47</w:t>
      </w:r>
      <w:r w:rsidRPr="009B720F">
        <w:rPr>
          <w:rFonts w:cs="Arial"/>
          <w:bCs/>
          <w:szCs w:val="18"/>
        </w:rPr>
        <w:t xml:space="preserve">), or changed or switched. </w:t>
      </w:r>
    </w:p>
    <w:p w14:paraId="0149B1D2" w14:textId="4BB0DB3D" w:rsidR="00A61A74" w:rsidRPr="009B720F" w:rsidRDefault="00A61A74" w:rsidP="00E74925">
      <w:pPr>
        <w:pStyle w:val="TEXTBODY"/>
        <w:numPr>
          <w:ilvl w:val="0"/>
          <w:numId w:val="34"/>
        </w:numPr>
        <w:spacing w:after="80" w:line="276" w:lineRule="auto"/>
        <w:ind w:left="284" w:hanging="284"/>
        <w:rPr>
          <w:bCs/>
        </w:rPr>
      </w:pPr>
      <w:r w:rsidRPr="009B720F">
        <w:rPr>
          <w:rFonts w:cs="Arial"/>
          <w:bCs/>
          <w:szCs w:val="18"/>
        </w:rPr>
        <w:t xml:space="preserve">P4. The Teams sought to link FRM measures envisioned to other objectives and ambitions in the area, in an </w:t>
      </w:r>
      <w:r w:rsidRPr="009B720F">
        <w:rPr>
          <w:rFonts w:cs="Arial"/>
          <w:bCs/>
          <w:i/>
          <w:iCs/>
          <w:szCs w:val="18"/>
        </w:rPr>
        <w:t>integrated approach</w:t>
      </w:r>
      <w:r w:rsidRPr="009B720F">
        <w:rPr>
          <w:rFonts w:cs="Arial"/>
          <w:bCs/>
          <w:szCs w:val="18"/>
        </w:rPr>
        <w:t xml:space="preserve"> (</w:t>
      </w:r>
      <w:r w:rsidRPr="009B720F">
        <w:rPr>
          <w:rFonts w:cs="Arial"/>
          <w:bCs/>
          <w:color w:val="7F7F7F" w:themeColor="text1" w:themeTint="80"/>
          <w:szCs w:val="18"/>
        </w:rPr>
        <w:t>DP 2014, p.47</w:t>
      </w:r>
      <w:r w:rsidRPr="009B720F">
        <w:rPr>
          <w:rFonts w:cs="Arial"/>
          <w:bCs/>
          <w:szCs w:val="18"/>
        </w:rPr>
        <w:t>); the</w:t>
      </w:r>
      <w:r w:rsidRPr="009B720F">
        <w:rPr>
          <w:bCs/>
        </w:rPr>
        <w:t xml:space="preserve"> </w:t>
      </w:r>
      <w:r w:rsidRPr="009B720F">
        <w:rPr>
          <w:bCs/>
          <w:i/>
          <w:iCs/>
        </w:rPr>
        <w:t>paths</w:t>
      </w:r>
      <w:r w:rsidRPr="009B720F">
        <w:rPr>
          <w:bCs/>
        </w:rPr>
        <w:t xml:space="preserve"> helped to detect linkages between the measures devised and other investments, agendas, and policy-objectives (</w:t>
      </w:r>
      <w:r w:rsidRPr="009B720F">
        <w:rPr>
          <w:bCs/>
          <w:color w:val="7F7F7F" w:themeColor="text1" w:themeTint="80"/>
        </w:rPr>
        <w:t>DP 2013, p.56</w:t>
      </w:r>
      <w:r w:rsidRPr="009B720F">
        <w:rPr>
          <w:bCs/>
        </w:rPr>
        <w:t>).</w:t>
      </w:r>
    </w:p>
    <w:p w14:paraId="0A262933" w14:textId="24731F2D" w:rsidR="00AC1103" w:rsidRDefault="00A61A74" w:rsidP="00E74925">
      <w:pPr>
        <w:pStyle w:val="TEXTBODY"/>
        <w:spacing w:line="276" w:lineRule="auto"/>
        <w:rPr>
          <w:bCs/>
          <w:color w:val="C00000"/>
          <w:szCs w:val="22"/>
        </w:rPr>
      </w:pPr>
      <w:r w:rsidRPr="00A748CB">
        <w:rPr>
          <w:bCs/>
          <w:szCs w:val="22"/>
        </w:rPr>
        <w:t xml:space="preserve">It can, therefore, be </w:t>
      </w:r>
      <w:r w:rsidR="00A23A25" w:rsidRPr="00A748CB">
        <w:rPr>
          <w:bCs/>
          <w:szCs w:val="22"/>
        </w:rPr>
        <w:t>deduced</w:t>
      </w:r>
      <w:r w:rsidRPr="00A748CB">
        <w:rPr>
          <w:bCs/>
          <w:szCs w:val="22"/>
        </w:rPr>
        <w:t xml:space="preserve"> that </w:t>
      </w:r>
      <w:r w:rsidR="00354CF8" w:rsidRPr="00A748CB">
        <w:rPr>
          <w:bCs/>
          <w:szCs w:val="22"/>
        </w:rPr>
        <w:t>developing a ‘</w:t>
      </w:r>
      <w:r w:rsidR="00354CF8" w:rsidRPr="00A748CB">
        <w:rPr>
          <w:bCs/>
          <w:i/>
          <w:iCs/>
          <w:szCs w:val="22"/>
        </w:rPr>
        <w:t>robust and flexible</w:t>
      </w:r>
      <w:r w:rsidR="00354CF8" w:rsidRPr="00A748CB">
        <w:rPr>
          <w:bCs/>
          <w:szCs w:val="22"/>
        </w:rPr>
        <w:t xml:space="preserve">’ set of measures, to deal with uncertain future </w:t>
      </w:r>
      <w:r w:rsidRPr="00A748CB">
        <w:rPr>
          <w:bCs/>
          <w:szCs w:val="22"/>
        </w:rPr>
        <w:t xml:space="preserve">conditions and </w:t>
      </w:r>
      <w:r w:rsidR="00354CF8" w:rsidRPr="00A748CB">
        <w:rPr>
          <w:bCs/>
          <w:szCs w:val="22"/>
        </w:rPr>
        <w:t>change</w:t>
      </w:r>
      <w:r w:rsidRPr="00A748CB">
        <w:rPr>
          <w:bCs/>
          <w:szCs w:val="22"/>
        </w:rPr>
        <w:t>s</w:t>
      </w:r>
      <w:r w:rsidR="00354CF8" w:rsidRPr="00A748CB">
        <w:rPr>
          <w:bCs/>
          <w:szCs w:val="22"/>
        </w:rPr>
        <w:t>,</w:t>
      </w:r>
      <w:r w:rsidR="00E435AA" w:rsidRPr="00A748CB">
        <w:rPr>
          <w:bCs/>
          <w:szCs w:val="22"/>
        </w:rPr>
        <w:t xml:space="preserve"> (with)</w:t>
      </w:r>
      <w:r w:rsidR="00354CF8" w:rsidRPr="00A748CB">
        <w:rPr>
          <w:bCs/>
          <w:szCs w:val="22"/>
        </w:rPr>
        <w:t xml:space="preserve"> through the method of ‘Adaptation Pathways’ (APs) </w:t>
      </w:r>
      <w:r w:rsidRPr="00A748CB">
        <w:rPr>
          <w:bCs/>
          <w:szCs w:val="22"/>
        </w:rPr>
        <w:t xml:space="preserve">is another element of ADM that has been essential to </w:t>
      </w:r>
      <w:r w:rsidR="00A23A25" w:rsidRPr="00A748CB">
        <w:rPr>
          <w:bCs/>
          <w:szCs w:val="22"/>
        </w:rPr>
        <w:t>craft</w:t>
      </w:r>
      <w:r w:rsidRPr="00A748CB">
        <w:rPr>
          <w:bCs/>
          <w:szCs w:val="22"/>
        </w:rPr>
        <w:t xml:space="preserve"> and operationalize each strategy as a </w:t>
      </w:r>
      <w:r w:rsidRPr="00A748CB">
        <w:rPr>
          <w:bCs/>
          <w:i/>
          <w:iCs/>
          <w:szCs w:val="22"/>
        </w:rPr>
        <w:t>robust adaptive strategy</w:t>
      </w:r>
      <w:r w:rsidR="00A23A25" w:rsidRPr="00A748CB">
        <w:rPr>
          <w:bCs/>
          <w:i/>
          <w:iCs/>
          <w:szCs w:val="22"/>
        </w:rPr>
        <w:t>/plan</w:t>
      </w:r>
      <w:r w:rsidRPr="00A748CB">
        <w:rPr>
          <w:bCs/>
          <w:szCs w:val="22"/>
        </w:rPr>
        <w:t xml:space="preserve">, and the DP itself as a </w:t>
      </w:r>
      <w:r w:rsidRPr="00A748CB">
        <w:rPr>
          <w:bCs/>
          <w:i/>
          <w:iCs/>
          <w:szCs w:val="22"/>
        </w:rPr>
        <w:t xml:space="preserve">robust adaptive </w:t>
      </w:r>
      <w:r w:rsidRPr="00A748CB">
        <w:rPr>
          <w:bCs/>
          <w:szCs w:val="22"/>
        </w:rPr>
        <w:t>policy-programme</w:t>
      </w:r>
      <w:r w:rsidR="00A23A25" w:rsidRPr="00A748CB">
        <w:rPr>
          <w:bCs/>
          <w:szCs w:val="22"/>
        </w:rPr>
        <w:t xml:space="preserve"> </w:t>
      </w:r>
      <w:r w:rsidR="00354CF8" w:rsidRPr="00A748CB">
        <w:rPr>
          <w:bCs/>
          <w:szCs w:val="22"/>
        </w:rPr>
        <w:t>(</w:t>
      </w:r>
      <w:r w:rsidR="008929FD" w:rsidRPr="00A748CB">
        <w:rPr>
          <w:bCs/>
          <w:szCs w:val="22"/>
        </w:rPr>
        <w:t xml:space="preserve">as also </w:t>
      </w:r>
      <w:r w:rsidR="00A23A25" w:rsidRPr="00A748CB">
        <w:rPr>
          <w:bCs/>
          <w:szCs w:val="22"/>
        </w:rPr>
        <w:t xml:space="preserve">argued </w:t>
      </w:r>
      <w:r w:rsidR="008929FD" w:rsidRPr="00A748CB">
        <w:rPr>
          <w:bCs/>
          <w:szCs w:val="22"/>
        </w:rPr>
        <w:t xml:space="preserve">by </w:t>
      </w:r>
      <w:proofErr w:type="spellStart"/>
      <w:r w:rsidR="008929FD" w:rsidRPr="009B720F">
        <w:rPr>
          <w:bCs/>
          <w:color w:val="7F7F7F" w:themeColor="text1" w:themeTint="80"/>
          <w:szCs w:val="22"/>
        </w:rPr>
        <w:t>Jeuken</w:t>
      </w:r>
      <w:proofErr w:type="spellEnd"/>
      <w:r w:rsidR="008929FD" w:rsidRPr="009B720F">
        <w:rPr>
          <w:bCs/>
          <w:color w:val="7F7F7F" w:themeColor="text1" w:themeTint="80"/>
          <w:szCs w:val="22"/>
        </w:rPr>
        <w:t xml:space="preserve"> et al. 2014, p.23, 1, 3</w:t>
      </w:r>
      <w:r w:rsidR="008929FD" w:rsidRPr="009B720F">
        <w:rPr>
          <w:bCs/>
          <w:szCs w:val="22"/>
        </w:rPr>
        <w:t>).</w:t>
      </w:r>
      <w:r w:rsidR="00354CF8" w:rsidRPr="009B720F">
        <w:rPr>
          <w:bCs/>
          <w:szCs w:val="22"/>
        </w:rPr>
        <w:t xml:space="preserve"> </w:t>
      </w:r>
      <w:r w:rsidR="008929FD" w:rsidRPr="009B720F">
        <w:rPr>
          <w:bCs/>
          <w:szCs w:val="22"/>
        </w:rPr>
        <w:t>More precisely, the</w:t>
      </w:r>
      <w:r w:rsidRPr="009B720F">
        <w:rPr>
          <w:bCs/>
          <w:szCs w:val="22"/>
        </w:rPr>
        <w:t xml:space="preserve"> </w:t>
      </w:r>
      <w:r w:rsidR="00A23A25" w:rsidRPr="009B720F">
        <w:rPr>
          <w:bCs/>
          <w:szCs w:val="22"/>
        </w:rPr>
        <w:t>development (</w:t>
      </w:r>
      <w:r w:rsidRPr="009B720F">
        <w:rPr>
          <w:bCs/>
          <w:szCs w:val="22"/>
        </w:rPr>
        <w:t>design</w:t>
      </w:r>
      <w:r w:rsidR="00A23A25" w:rsidRPr="009B720F">
        <w:rPr>
          <w:bCs/>
          <w:szCs w:val="22"/>
        </w:rPr>
        <w:t>)</w:t>
      </w:r>
      <w:r w:rsidRPr="009B720F">
        <w:rPr>
          <w:bCs/>
          <w:szCs w:val="22"/>
        </w:rPr>
        <w:t xml:space="preserve"> of</w:t>
      </w:r>
      <w:r w:rsidR="00354CF8" w:rsidRPr="009B720F">
        <w:rPr>
          <w:bCs/>
          <w:szCs w:val="22"/>
        </w:rPr>
        <w:t xml:space="preserve"> </w:t>
      </w:r>
      <w:r w:rsidR="00354CF8" w:rsidRPr="009B720F">
        <w:rPr>
          <w:bCs/>
          <w:i/>
          <w:iCs/>
          <w:szCs w:val="22"/>
        </w:rPr>
        <w:t>robust</w:t>
      </w:r>
      <w:r w:rsidR="00A23A25" w:rsidRPr="009B720F">
        <w:rPr>
          <w:bCs/>
          <w:i/>
          <w:iCs/>
          <w:szCs w:val="22"/>
        </w:rPr>
        <w:t xml:space="preserve"> </w:t>
      </w:r>
      <w:r w:rsidR="00354CF8" w:rsidRPr="009B720F">
        <w:rPr>
          <w:bCs/>
          <w:i/>
          <w:iCs/>
          <w:szCs w:val="22"/>
        </w:rPr>
        <w:t>flexible strategies</w:t>
      </w:r>
      <w:r w:rsidR="00A23A25" w:rsidRPr="009B720F">
        <w:rPr>
          <w:bCs/>
          <w:i/>
          <w:iCs/>
          <w:szCs w:val="22"/>
        </w:rPr>
        <w:t xml:space="preserve"> </w:t>
      </w:r>
      <w:r w:rsidR="00354CF8" w:rsidRPr="009B720F">
        <w:rPr>
          <w:bCs/>
          <w:szCs w:val="22"/>
        </w:rPr>
        <w:t>–</w:t>
      </w:r>
      <w:r w:rsidR="008929FD" w:rsidRPr="009B720F">
        <w:rPr>
          <w:bCs/>
          <w:szCs w:val="22"/>
        </w:rPr>
        <w:t xml:space="preserve"> each strategy as a</w:t>
      </w:r>
      <w:r w:rsidR="00A23A25" w:rsidRPr="009B720F">
        <w:rPr>
          <w:bCs/>
          <w:szCs w:val="22"/>
        </w:rPr>
        <w:t xml:space="preserve"> </w:t>
      </w:r>
      <w:r w:rsidR="00A23A25" w:rsidRPr="009B720F">
        <w:rPr>
          <w:bCs/>
          <w:i/>
          <w:iCs/>
          <w:szCs w:val="22"/>
        </w:rPr>
        <w:t>robust flexible</w:t>
      </w:r>
      <w:r w:rsidR="008929FD" w:rsidRPr="009B720F">
        <w:rPr>
          <w:bCs/>
          <w:szCs w:val="22"/>
        </w:rPr>
        <w:t xml:space="preserve"> </w:t>
      </w:r>
      <w:r w:rsidR="008929FD" w:rsidRPr="009B720F">
        <w:rPr>
          <w:bCs/>
          <w:i/>
          <w:iCs/>
          <w:szCs w:val="22"/>
        </w:rPr>
        <w:t>set</w:t>
      </w:r>
      <w:r w:rsidR="008929FD" w:rsidRPr="009B720F">
        <w:rPr>
          <w:bCs/>
          <w:szCs w:val="22"/>
        </w:rPr>
        <w:t xml:space="preserve"> of measures –</w:t>
      </w:r>
      <w:r w:rsidR="00354CF8" w:rsidRPr="009B720F">
        <w:rPr>
          <w:bCs/>
          <w:szCs w:val="22"/>
        </w:rPr>
        <w:t xml:space="preserve"> by using the </w:t>
      </w:r>
      <w:r w:rsidR="00354CF8" w:rsidRPr="009B720F">
        <w:rPr>
          <w:bCs/>
          <w:i/>
          <w:iCs/>
          <w:szCs w:val="22"/>
        </w:rPr>
        <w:t>APs approach</w:t>
      </w:r>
      <w:r w:rsidR="00354CF8" w:rsidRPr="009B720F">
        <w:rPr>
          <w:bCs/>
          <w:szCs w:val="22"/>
        </w:rPr>
        <w:t xml:space="preserve"> (</w:t>
      </w:r>
      <w:r w:rsidR="008929FD" w:rsidRPr="00A748CB">
        <w:rPr>
          <w:bCs/>
          <w:szCs w:val="22"/>
        </w:rPr>
        <w:t xml:space="preserve">see </w:t>
      </w:r>
      <w:proofErr w:type="spellStart"/>
      <w:r w:rsidR="00354CF8" w:rsidRPr="009B720F">
        <w:rPr>
          <w:bCs/>
          <w:color w:val="7F7F7F" w:themeColor="text1" w:themeTint="80"/>
          <w:szCs w:val="22"/>
        </w:rPr>
        <w:t>Haasnoot</w:t>
      </w:r>
      <w:proofErr w:type="spellEnd"/>
      <w:r w:rsidR="00354CF8" w:rsidRPr="009B720F">
        <w:rPr>
          <w:bCs/>
          <w:color w:val="7F7F7F" w:themeColor="text1" w:themeTint="80"/>
          <w:szCs w:val="22"/>
        </w:rPr>
        <w:t xml:space="preserve"> et al. 2012, 2013</w:t>
      </w:r>
      <w:r w:rsidR="00354CF8" w:rsidRPr="009B720F">
        <w:rPr>
          <w:bCs/>
          <w:szCs w:val="22"/>
        </w:rPr>
        <w:t>)</w:t>
      </w:r>
      <w:r w:rsidRPr="009B720F">
        <w:rPr>
          <w:bCs/>
          <w:szCs w:val="22"/>
        </w:rPr>
        <w:t xml:space="preserve"> – can be deemed </w:t>
      </w:r>
      <w:r w:rsidR="00E435AA" w:rsidRPr="009B720F">
        <w:rPr>
          <w:bCs/>
          <w:szCs w:val="22"/>
        </w:rPr>
        <w:t>a</w:t>
      </w:r>
      <w:r w:rsidR="008929FD" w:rsidRPr="009B720F">
        <w:rPr>
          <w:bCs/>
          <w:szCs w:val="22"/>
        </w:rPr>
        <w:t xml:space="preserve"> </w:t>
      </w:r>
      <w:r w:rsidRPr="009B720F">
        <w:rPr>
          <w:bCs/>
          <w:szCs w:val="22"/>
        </w:rPr>
        <w:t>key-element of the DP’s ADM approach</w:t>
      </w:r>
      <w:r w:rsidR="00E435AA" w:rsidRPr="009B720F">
        <w:rPr>
          <w:bCs/>
          <w:szCs w:val="22"/>
        </w:rPr>
        <w:t xml:space="preserve"> fundamental to create and </w:t>
      </w:r>
      <w:r w:rsidR="00A23A25" w:rsidRPr="009B720F">
        <w:rPr>
          <w:bCs/>
          <w:szCs w:val="22"/>
        </w:rPr>
        <w:t>carry out</w:t>
      </w:r>
      <w:r w:rsidR="00E435AA" w:rsidRPr="009B720F">
        <w:rPr>
          <w:bCs/>
          <w:szCs w:val="22"/>
        </w:rPr>
        <w:t xml:space="preserve"> a</w:t>
      </w:r>
      <w:r w:rsidR="00A23A25" w:rsidRPr="009B720F">
        <w:rPr>
          <w:bCs/>
          <w:szCs w:val="22"/>
        </w:rPr>
        <w:t>n</w:t>
      </w:r>
      <w:r w:rsidR="00E435AA" w:rsidRPr="009B720F">
        <w:rPr>
          <w:bCs/>
          <w:i/>
          <w:iCs/>
          <w:szCs w:val="22"/>
        </w:rPr>
        <w:t xml:space="preserve"> adaptive policy-programme</w:t>
      </w:r>
      <w:r w:rsidR="008929FD" w:rsidRPr="009B720F">
        <w:rPr>
          <w:bCs/>
          <w:szCs w:val="22"/>
        </w:rPr>
        <w:t xml:space="preserve"> (</w:t>
      </w:r>
      <w:r w:rsidR="0085476F" w:rsidRPr="00A748CB">
        <w:rPr>
          <w:bCs/>
          <w:szCs w:val="22"/>
        </w:rPr>
        <w:t xml:space="preserve">in line with the elements proposed by </w:t>
      </w:r>
      <w:proofErr w:type="spellStart"/>
      <w:r w:rsidR="00A23A25" w:rsidRPr="009B720F">
        <w:rPr>
          <w:bCs/>
          <w:color w:val="7F7F7F" w:themeColor="text1" w:themeTint="80"/>
          <w:szCs w:val="22"/>
        </w:rPr>
        <w:t>Jeuken</w:t>
      </w:r>
      <w:proofErr w:type="spellEnd"/>
      <w:r w:rsidR="00A23A25" w:rsidRPr="009B720F">
        <w:rPr>
          <w:bCs/>
          <w:color w:val="7F7F7F" w:themeColor="text1" w:themeTint="80"/>
          <w:szCs w:val="22"/>
        </w:rPr>
        <w:t xml:space="preserve"> et al. 2014, p.23, 1, 3</w:t>
      </w:r>
      <w:r w:rsidR="00A23A25" w:rsidRPr="00A748CB">
        <w:rPr>
          <w:bCs/>
          <w:szCs w:val="22"/>
        </w:rPr>
        <w:t xml:space="preserve">, and </w:t>
      </w:r>
      <w:r w:rsidR="0085476F" w:rsidRPr="00A748CB">
        <w:rPr>
          <w:bCs/>
          <w:szCs w:val="22"/>
        </w:rPr>
        <w:t xml:space="preserve">by </w:t>
      </w:r>
      <w:proofErr w:type="spellStart"/>
      <w:r w:rsidR="008929FD" w:rsidRPr="009B720F">
        <w:rPr>
          <w:bCs/>
          <w:color w:val="7F7F7F" w:themeColor="text1" w:themeTint="80"/>
          <w:szCs w:val="22"/>
        </w:rPr>
        <w:t>Restemeyer</w:t>
      </w:r>
      <w:proofErr w:type="spellEnd"/>
      <w:r w:rsidR="008929FD" w:rsidRPr="009B720F">
        <w:rPr>
          <w:bCs/>
          <w:color w:val="7F7F7F" w:themeColor="text1" w:themeTint="80"/>
          <w:szCs w:val="22"/>
        </w:rPr>
        <w:t xml:space="preserve"> et al. 2017, p.921, 922-</w:t>
      </w:r>
      <w:r w:rsidR="008929FD" w:rsidRPr="00A748CB">
        <w:rPr>
          <w:bCs/>
          <w:color w:val="7F7F7F" w:themeColor="text1" w:themeTint="80"/>
          <w:szCs w:val="22"/>
        </w:rPr>
        <w:t>925, 935</w:t>
      </w:r>
      <w:r w:rsidR="00BA2E52" w:rsidRPr="00A748CB">
        <w:rPr>
          <w:rStyle w:val="Refdenotaderodap"/>
          <w:bCs/>
          <w:szCs w:val="22"/>
        </w:rPr>
        <w:footnoteReference w:id="117"/>
      </w:r>
      <w:r w:rsidR="0085476F" w:rsidRPr="00A748CB">
        <w:rPr>
          <w:bCs/>
          <w:szCs w:val="22"/>
        </w:rPr>
        <w:t>,</w:t>
      </w:r>
      <w:r w:rsidR="00A23A25" w:rsidRPr="00A748CB">
        <w:rPr>
          <w:bCs/>
          <w:szCs w:val="22"/>
        </w:rPr>
        <w:t xml:space="preserve"> </w:t>
      </w:r>
      <w:r w:rsidR="0085476F" w:rsidRPr="00A748CB">
        <w:rPr>
          <w:bCs/>
          <w:szCs w:val="22"/>
        </w:rPr>
        <w:t xml:space="preserve">and </w:t>
      </w:r>
      <w:r w:rsidR="00A23A25" w:rsidRPr="00A748CB">
        <w:rPr>
          <w:bCs/>
          <w:szCs w:val="22"/>
        </w:rPr>
        <w:t>as suggested in the study o</w:t>
      </w:r>
      <w:r w:rsidR="0085476F" w:rsidRPr="00A748CB">
        <w:rPr>
          <w:bCs/>
          <w:szCs w:val="22"/>
        </w:rPr>
        <w:t>n</w:t>
      </w:r>
      <w:r w:rsidR="00A23A25" w:rsidRPr="00A748CB">
        <w:rPr>
          <w:bCs/>
          <w:szCs w:val="22"/>
        </w:rPr>
        <w:t xml:space="preserve"> the DP of</w:t>
      </w:r>
      <w:r w:rsidR="0085476F" w:rsidRPr="00A748CB">
        <w:rPr>
          <w:bCs/>
          <w:szCs w:val="22"/>
        </w:rPr>
        <w:t xml:space="preserve"> </w:t>
      </w:r>
      <w:proofErr w:type="spellStart"/>
      <w:r w:rsidR="00A23A25" w:rsidRPr="00A748CB">
        <w:rPr>
          <w:bCs/>
          <w:color w:val="7F7F7F" w:themeColor="text1" w:themeTint="80"/>
          <w:szCs w:val="22"/>
        </w:rPr>
        <w:t>Jeuken</w:t>
      </w:r>
      <w:proofErr w:type="spellEnd"/>
      <w:r w:rsidR="00A23A25" w:rsidRPr="00A748CB">
        <w:rPr>
          <w:bCs/>
          <w:color w:val="7F7F7F" w:themeColor="text1" w:themeTint="80"/>
          <w:szCs w:val="22"/>
        </w:rPr>
        <w:t xml:space="preserve"> and Reeder 2011, p.2,</w:t>
      </w:r>
      <w:r w:rsidR="004B4CB2" w:rsidRPr="00A748CB">
        <w:rPr>
          <w:bCs/>
          <w:color w:val="7F7F7F" w:themeColor="text1" w:themeTint="80"/>
          <w:szCs w:val="22"/>
        </w:rPr>
        <w:t xml:space="preserve"> </w:t>
      </w:r>
      <w:r w:rsidR="00A23A25" w:rsidRPr="00A748CB">
        <w:rPr>
          <w:bCs/>
          <w:color w:val="7F7F7F" w:themeColor="text1" w:themeTint="80"/>
          <w:szCs w:val="22"/>
        </w:rPr>
        <w:t>5</w:t>
      </w:r>
      <w:r w:rsidR="00380062" w:rsidRPr="00A748CB">
        <w:rPr>
          <w:rStyle w:val="Refdenotaderodap"/>
          <w:bCs/>
          <w:color w:val="7F7F7F" w:themeColor="text1" w:themeTint="80"/>
          <w:szCs w:val="22"/>
        </w:rPr>
        <w:footnoteReference w:id="118"/>
      </w:r>
      <w:r w:rsidR="008929FD" w:rsidRPr="00A748CB">
        <w:rPr>
          <w:bCs/>
          <w:szCs w:val="22"/>
        </w:rPr>
        <w:t>).</w:t>
      </w:r>
      <w:r w:rsidR="008929FD" w:rsidRPr="009B720F">
        <w:rPr>
          <w:bCs/>
          <w:color w:val="C00000"/>
          <w:szCs w:val="22"/>
        </w:rPr>
        <w:t xml:space="preserve"> </w:t>
      </w:r>
    </w:p>
    <w:p w14:paraId="1C0237C3" w14:textId="77777777" w:rsidR="00F8219A" w:rsidRDefault="00F8219A" w:rsidP="00E74925">
      <w:pPr>
        <w:pStyle w:val="TEXTBODY"/>
        <w:spacing w:line="276" w:lineRule="auto"/>
        <w:rPr>
          <w:bCs/>
          <w:color w:val="C00000"/>
          <w:szCs w:val="22"/>
        </w:rPr>
      </w:pPr>
    </w:p>
    <w:p w14:paraId="5F9C3317" w14:textId="77777777" w:rsidR="00F8219A" w:rsidRDefault="00F8219A" w:rsidP="00E74925">
      <w:pPr>
        <w:pStyle w:val="TEXTBODY"/>
        <w:spacing w:line="276" w:lineRule="auto"/>
        <w:rPr>
          <w:bCs/>
          <w:color w:val="C00000"/>
          <w:szCs w:val="22"/>
        </w:rPr>
      </w:pPr>
    </w:p>
    <w:p w14:paraId="072CCBEB" w14:textId="77777777" w:rsidR="00F8219A" w:rsidRDefault="00F8219A" w:rsidP="00E74925">
      <w:pPr>
        <w:pStyle w:val="TEXTBODY"/>
        <w:spacing w:line="276" w:lineRule="auto"/>
        <w:rPr>
          <w:bCs/>
          <w:color w:val="C00000"/>
          <w:szCs w:val="22"/>
        </w:rPr>
      </w:pPr>
    </w:p>
    <w:p w14:paraId="01C71CCE" w14:textId="77777777" w:rsidR="008649BD" w:rsidRDefault="008649BD" w:rsidP="00E74925">
      <w:pPr>
        <w:pStyle w:val="TEXTBODY"/>
        <w:spacing w:line="276" w:lineRule="auto"/>
        <w:rPr>
          <w:bCs/>
          <w:color w:val="C00000"/>
          <w:szCs w:val="22"/>
        </w:rPr>
      </w:pPr>
    </w:p>
    <w:p w14:paraId="2D79865E" w14:textId="77777777" w:rsidR="008649BD" w:rsidRDefault="008649BD" w:rsidP="00E74925">
      <w:pPr>
        <w:pStyle w:val="TEXTBODY"/>
        <w:spacing w:line="276" w:lineRule="auto"/>
        <w:rPr>
          <w:bCs/>
          <w:color w:val="C00000"/>
          <w:szCs w:val="22"/>
        </w:rPr>
      </w:pPr>
    </w:p>
    <w:p w14:paraId="220B3AFC" w14:textId="77777777" w:rsidR="008649BD" w:rsidRPr="009B720F" w:rsidRDefault="008649BD" w:rsidP="00E74925">
      <w:pPr>
        <w:pStyle w:val="TEXTBODY"/>
        <w:spacing w:line="276" w:lineRule="auto"/>
        <w:rPr>
          <w:bCs/>
          <w:color w:val="C00000"/>
          <w:szCs w:val="22"/>
        </w:rPr>
      </w:pPr>
    </w:p>
    <w:p w14:paraId="519429DE" w14:textId="1EAB7FB2" w:rsidR="00A61A74" w:rsidRPr="009B720F" w:rsidRDefault="00BA2E52" w:rsidP="00E74925">
      <w:pPr>
        <w:pStyle w:val="TEXTBODY"/>
        <w:spacing w:line="276" w:lineRule="auto"/>
        <w:rPr>
          <w:bCs/>
          <w:szCs w:val="22"/>
        </w:rPr>
      </w:pPr>
      <w:r w:rsidRPr="009B720F">
        <w:rPr>
          <w:bCs/>
          <w:noProof/>
        </w:rPr>
        <w:lastRenderedPageBreak/>
        <mc:AlternateContent>
          <mc:Choice Requires="wps">
            <w:drawing>
              <wp:anchor distT="45720" distB="45720" distL="114300" distR="114300" simplePos="0" relativeHeight="252644864" behindDoc="1" locked="0" layoutInCell="1" allowOverlap="1" wp14:anchorId="29C1CB5C" wp14:editId="549975D5">
                <wp:simplePos x="0" y="0"/>
                <wp:positionH relativeFrom="page">
                  <wp:posOffset>666750</wp:posOffset>
                </wp:positionH>
                <wp:positionV relativeFrom="paragraph">
                  <wp:posOffset>16510</wp:posOffset>
                </wp:positionV>
                <wp:extent cx="6249725" cy="4238625"/>
                <wp:effectExtent l="0" t="0" r="0" b="9525"/>
                <wp:wrapNone/>
                <wp:docPr id="1187019131"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9725" cy="4238625"/>
                        </a:xfrm>
                        <a:prstGeom prst="rect">
                          <a:avLst/>
                        </a:prstGeom>
                        <a:solidFill>
                          <a:srgbClr val="4F81BD">
                            <a:lumMod val="20000"/>
                            <a:lumOff val="80000"/>
                          </a:srgbClr>
                        </a:solidFill>
                        <a:ln w="9525">
                          <a:noFill/>
                          <a:miter lim="800000"/>
                          <a:headEnd/>
                          <a:tailEnd/>
                        </a:ln>
                      </wps:spPr>
                      <wps:txbx>
                        <w:txbxContent>
                          <w:p w14:paraId="28F2B8C9" w14:textId="18497545" w:rsidR="00A61A74" w:rsidRPr="00A748CB" w:rsidRDefault="00A61A74" w:rsidP="007D2351">
                            <w:pPr>
                              <w:pStyle w:val="TEXTBODY"/>
                              <w:spacing w:after="0" w:line="240" w:lineRule="auto"/>
                              <w:jc w:val="left"/>
                              <w:rPr>
                                <w:rFonts w:ascii="Arial" w:hAnsi="Arial" w:cs="Arial"/>
                                <w:b/>
                                <w:bCs/>
                                <w:i/>
                                <w:iCs/>
                                <w:sz w:val="14"/>
                                <w:szCs w:val="14"/>
                              </w:rPr>
                            </w:pPr>
                            <w:r w:rsidRPr="00A748CB">
                              <w:rPr>
                                <w:rFonts w:ascii="Arial" w:hAnsi="Arial" w:cs="Arial"/>
                                <w:b/>
                                <w:bCs/>
                                <w:sz w:val="14"/>
                                <w:szCs w:val="14"/>
                              </w:rPr>
                              <w:t>BOX</w:t>
                            </w:r>
                            <w:r w:rsidR="00F25FD8" w:rsidRPr="00A748CB">
                              <w:rPr>
                                <w:rFonts w:ascii="Arial" w:hAnsi="Arial" w:cs="Arial"/>
                                <w:b/>
                                <w:bCs/>
                                <w:sz w:val="14"/>
                                <w:szCs w:val="14"/>
                              </w:rPr>
                              <w:t>.</w:t>
                            </w:r>
                            <w:r w:rsidRPr="00A748CB">
                              <w:rPr>
                                <w:rFonts w:ascii="Arial" w:hAnsi="Arial" w:cs="Arial"/>
                                <w:b/>
                                <w:bCs/>
                                <w:sz w:val="14"/>
                                <w:szCs w:val="14"/>
                              </w:rPr>
                              <w:t xml:space="preserve"> Theoretical grounds of </w:t>
                            </w:r>
                            <w:r w:rsidRPr="00A748CB">
                              <w:rPr>
                                <w:rFonts w:ascii="Arial" w:hAnsi="Arial" w:cs="Arial"/>
                                <w:b/>
                                <w:bCs/>
                                <w:i/>
                                <w:iCs/>
                                <w:sz w:val="14"/>
                                <w:szCs w:val="14"/>
                              </w:rPr>
                              <w:t>Adaptive Planning approaches</w:t>
                            </w:r>
                            <w:r w:rsidR="00CA34D1" w:rsidRPr="00A748CB">
                              <w:rPr>
                                <w:rFonts w:ascii="Arial" w:hAnsi="Arial" w:cs="Arial"/>
                                <w:b/>
                                <w:bCs/>
                                <w:i/>
                                <w:iCs/>
                                <w:sz w:val="14"/>
                                <w:szCs w:val="14"/>
                              </w:rPr>
                              <w:t xml:space="preserve"> </w:t>
                            </w:r>
                          </w:p>
                          <w:p w14:paraId="46C3663A" w14:textId="77777777" w:rsidR="00A61A74" w:rsidRPr="00A748CB" w:rsidRDefault="00A61A74" w:rsidP="007D2351">
                            <w:pPr>
                              <w:pStyle w:val="TEXTBODY"/>
                              <w:spacing w:after="0" w:line="240" w:lineRule="auto"/>
                              <w:jc w:val="left"/>
                              <w:rPr>
                                <w:rFonts w:ascii="Arial" w:hAnsi="Arial" w:cs="Arial"/>
                                <w:b/>
                                <w:bCs/>
                                <w:sz w:val="14"/>
                                <w:szCs w:val="14"/>
                              </w:rPr>
                            </w:pPr>
                          </w:p>
                          <w:p w14:paraId="1988A9D6" w14:textId="6F7FCEF9" w:rsidR="00E435AA" w:rsidRPr="00A748CB" w:rsidRDefault="00A61A74" w:rsidP="00A748CB">
                            <w:pPr>
                              <w:pStyle w:val="TEXTBODY"/>
                              <w:spacing w:line="240" w:lineRule="auto"/>
                              <w:jc w:val="left"/>
                              <w:rPr>
                                <w:rFonts w:ascii="Arial" w:hAnsi="Arial" w:cs="Arial"/>
                                <w:sz w:val="14"/>
                                <w:szCs w:val="14"/>
                              </w:rPr>
                            </w:pPr>
                            <w:r w:rsidRPr="00A748CB">
                              <w:rPr>
                                <w:rFonts w:ascii="Arial" w:hAnsi="Arial" w:cs="Arial"/>
                                <w:sz w:val="14"/>
                                <w:szCs w:val="14"/>
                              </w:rPr>
                              <w:t xml:space="preserve">In the light of the </w:t>
                            </w:r>
                            <w:r w:rsidRPr="00A748CB">
                              <w:rPr>
                                <w:rFonts w:ascii="Arial" w:hAnsi="Arial" w:cs="Arial"/>
                                <w:b/>
                                <w:bCs/>
                                <w:i/>
                                <w:iCs/>
                                <w:sz w:val="14"/>
                                <w:szCs w:val="14"/>
                              </w:rPr>
                              <w:t>Adaptive Planning paradigm</w:t>
                            </w:r>
                            <w:r w:rsidRPr="00A748CB">
                              <w:rPr>
                                <w:rFonts w:ascii="Arial" w:hAnsi="Arial" w:cs="Arial"/>
                                <w:b/>
                                <w:bCs/>
                                <w:sz w:val="14"/>
                                <w:szCs w:val="14"/>
                              </w:rPr>
                              <w:t>,</w:t>
                            </w:r>
                            <w:r w:rsidRPr="00A748CB">
                              <w:rPr>
                                <w:rFonts w:ascii="Arial" w:hAnsi="Arial" w:cs="Arial"/>
                                <w:sz w:val="14"/>
                                <w:szCs w:val="14"/>
                              </w:rPr>
                              <w:t xml:space="preserve"> under deep uncertainties about future changes, a planner must develop a ‘</w:t>
                            </w:r>
                            <w:r w:rsidRPr="00A748CB">
                              <w:rPr>
                                <w:rFonts w:ascii="Arial" w:hAnsi="Arial" w:cs="Arial"/>
                                <w:i/>
                                <w:iCs/>
                                <w:sz w:val="14"/>
                                <w:szCs w:val="14"/>
                              </w:rPr>
                              <w:t>dynamic adaptive plan/policy</w:t>
                            </w:r>
                            <w:r w:rsidRPr="00A748CB">
                              <w:rPr>
                                <w:rFonts w:ascii="Arial" w:hAnsi="Arial" w:cs="Arial"/>
                                <w:sz w:val="14"/>
                                <w:szCs w:val="14"/>
                              </w:rPr>
                              <w:t>’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xml:space="preserve"> et al. 2014, p.2</w:t>
                            </w:r>
                            <w:r w:rsidRPr="00A748CB">
                              <w:rPr>
                                <w:rFonts w:ascii="Arial" w:hAnsi="Arial" w:cs="Arial"/>
                                <w:sz w:val="14"/>
                                <w:szCs w:val="14"/>
                              </w:rPr>
                              <w:t xml:space="preserve">). </w:t>
                            </w:r>
                          </w:p>
                          <w:p w14:paraId="27D675F3" w14:textId="15364FE9" w:rsidR="00E435AA" w:rsidRPr="00A748CB" w:rsidRDefault="00A61A74" w:rsidP="007D2351">
                            <w:pPr>
                              <w:pStyle w:val="TEXTBODY"/>
                              <w:spacing w:line="240" w:lineRule="auto"/>
                              <w:ind w:left="567"/>
                              <w:jc w:val="left"/>
                              <w:rPr>
                                <w:rFonts w:ascii="Arial" w:hAnsi="Arial" w:cs="Arial"/>
                                <w:sz w:val="14"/>
                                <w:szCs w:val="14"/>
                              </w:rPr>
                            </w:pPr>
                            <w:r w:rsidRPr="00A748CB">
                              <w:rPr>
                                <w:rFonts w:ascii="Arial" w:hAnsi="Arial" w:cs="Arial"/>
                                <w:sz w:val="14"/>
                                <w:szCs w:val="14"/>
                              </w:rPr>
                              <w:t xml:space="preserve">The APs approach is defined as a (methodological) </w:t>
                            </w:r>
                            <w:r w:rsidRPr="00A748CB">
                              <w:rPr>
                                <w:rFonts w:ascii="Arial" w:hAnsi="Arial" w:cs="Arial"/>
                                <w:b/>
                                <w:bCs/>
                                <w:i/>
                                <w:iCs/>
                                <w:sz w:val="14"/>
                                <w:szCs w:val="14"/>
                              </w:rPr>
                              <w:t>approach for exploring and sequencing a set of possible actions</w:t>
                            </w:r>
                            <w:r w:rsidRPr="00A748CB">
                              <w:rPr>
                                <w:rFonts w:ascii="Arial" w:hAnsi="Arial" w:cs="Arial"/>
                                <w:i/>
                                <w:iCs/>
                                <w:sz w:val="14"/>
                                <w:szCs w:val="14"/>
                              </w:rPr>
                              <w:t xml:space="preserve"> </w:t>
                            </w:r>
                            <w:r w:rsidRPr="00A748CB">
                              <w:rPr>
                                <w:rFonts w:ascii="Arial" w:hAnsi="Arial" w:cs="Arial"/>
                                <w:sz w:val="14"/>
                                <w:szCs w:val="14"/>
                              </w:rPr>
                              <w:t>(i.e. a set of possible measures)</w:t>
                            </w:r>
                            <w:r w:rsidRPr="00A748CB">
                              <w:rPr>
                                <w:rFonts w:ascii="Arial" w:hAnsi="Arial" w:cs="Arial"/>
                                <w:i/>
                                <w:iCs/>
                                <w:sz w:val="14"/>
                                <w:szCs w:val="14"/>
                              </w:rPr>
                              <w:t xml:space="preserve"> based on alternative external developments over time</w:t>
                            </w:r>
                            <w:r w:rsidRPr="00A748CB">
                              <w:rPr>
                                <w:rFonts w:ascii="Arial" w:hAnsi="Arial" w:cs="Arial"/>
                                <w:sz w:val="14"/>
                                <w:szCs w:val="14"/>
                              </w:rPr>
                              <w:t xml:space="preserve"> (</w:t>
                            </w:r>
                            <w:proofErr w:type="spellStart"/>
                            <w:r w:rsidRPr="00A748CB">
                              <w:rPr>
                                <w:rFonts w:ascii="Arial" w:hAnsi="Arial" w:cs="Arial"/>
                                <w:color w:val="595959" w:themeColor="text1" w:themeTint="A6"/>
                                <w:sz w:val="14"/>
                                <w:szCs w:val="14"/>
                              </w:rPr>
                              <w:t>Haasnoot</w:t>
                            </w:r>
                            <w:proofErr w:type="spellEnd"/>
                            <w:r w:rsidRPr="00A748CB">
                              <w:rPr>
                                <w:rFonts w:ascii="Arial" w:hAnsi="Arial" w:cs="Arial"/>
                                <w:color w:val="595959" w:themeColor="text1" w:themeTint="A6"/>
                                <w:sz w:val="14"/>
                                <w:szCs w:val="14"/>
                              </w:rPr>
                              <w:t xml:space="preserve"> et al. 2013, p.485</w:t>
                            </w:r>
                            <w:r w:rsidRPr="00A748CB">
                              <w:rPr>
                                <w:rFonts w:ascii="Arial" w:hAnsi="Arial" w:cs="Arial"/>
                                <w:sz w:val="14"/>
                                <w:szCs w:val="14"/>
                              </w:rPr>
                              <w:t xml:space="preserve">). </w:t>
                            </w:r>
                            <w:proofErr w:type="spellStart"/>
                            <w:r w:rsidRPr="00A748CB">
                              <w:rPr>
                                <w:rFonts w:ascii="Arial" w:hAnsi="Arial" w:cs="Arial"/>
                                <w:color w:val="7F7F7F" w:themeColor="text1" w:themeTint="80"/>
                                <w:sz w:val="14"/>
                                <w:szCs w:val="14"/>
                              </w:rPr>
                              <w:t>Haasnoot</w:t>
                            </w:r>
                            <w:proofErr w:type="spellEnd"/>
                            <w:r w:rsidRPr="00A748CB">
                              <w:rPr>
                                <w:rFonts w:ascii="Arial" w:hAnsi="Arial" w:cs="Arial"/>
                                <w:color w:val="7F7F7F" w:themeColor="text1" w:themeTint="80"/>
                                <w:sz w:val="14"/>
                                <w:szCs w:val="14"/>
                              </w:rPr>
                              <w:t xml:space="preserve"> et al. (2012, 2013) </w:t>
                            </w:r>
                            <w:r w:rsidRPr="00A748CB">
                              <w:rPr>
                                <w:rFonts w:ascii="Arial" w:hAnsi="Arial" w:cs="Arial"/>
                                <w:sz w:val="14"/>
                                <w:szCs w:val="14"/>
                              </w:rPr>
                              <w:t xml:space="preserve">and </w:t>
                            </w:r>
                            <w:r w:rsidRPr="00A748CB">
                              <w:rPr>
                                <w:rFonts w:ascii="Arial" w:hAnsi="Arial" w:cs="Arial"/>
                                <w:color w:val="7F7F7F" w:themeColor="text1" w:themeTint="80"/>
                                <w:sz w:val="14"/>
                                <w:szCs w:val="14"/>
                              </w:rPr>
                              <w:t xml:space="preserve">Walker et al. (2013) </w:t>
                            </w:r>
                            <w:r w:rsidRPr="00A748CB">
                              <w:rPr>
                                <w:rFonts w:ascii="Arial" w:hAnsi="Arial" w:cs="Arial"/>
                                <w:sz w:val="14"/>
                                <w:szCs w:val="14"/>
                              </w:rPr>
                              <w:t xml:space="preserve">place the APs within family of Adaptive Planning approaches. The APs offers a methodological approach for designing a </w:t>
                            </w:r>
                            <w:r w:rsidRPr="00A748CB">
                              <w:rPr>
                                <w:rFonts w:ascii="Arial" w:hAnsi="Arial" w:cs="Arial"/>
                                <w:i/>
                                <w:iCs/>
                                <w:sz w:val="14"/>
                                <w:szCs w:val="14"/>
                              </w:rPr>
                              <w:t>dynamic adaptive plan</w:t>
                            </w:r>
                            <w:r w:rsidRPr="00A748CB">
                              <w:rPr>
                                <w:rFonts w:ascii="Arial" w:hAnsi="Arial" w:cs="Arial"/>
                                <w:sz w:val="14"/>
                                <w:szCs w:val="14"/>
                              </w:rPr>
                              <w:t xml:space="preserve"> that is both </w:t>
                            </w:r>
                            <w:r w:rsidRPr="00A748CB">
                              <w:rPr>
                                <w:rFonts w:ascii="Arial" w:hAnsi="Arial" w:cs="Arial"/>
                                <w:i/>
                                <w:iCs/>
                                <w:sz w:val="14"/>
                                <w:szCs w:val="14"/>
                              </w:rPr>
                              <w:t>robust</w:t>
                            </w:r>
                            <w:r w:rsidRPr="00A748CB">
                              <w:rPr>
                                <w:rFonts w:ascii="Arial" w:hAnsi="Arial" w:cs="Arial"/>
                                <w:sz w:val="14"/>
                                <w:szCs w:val="14"/>
                              </w:rPr>
                              <w:t xml:space="preserve"> and </w:t>
                            </w:r>
                            <w:r w:rsidRPr="00A748CB">
                              <w:rPr>
                                <w:rFonts w:ascii="Arial" w:hAnsi="Arial" w:cs="Arial"/>
                                <w:i/>
                                <w:iCs/>
                                <w:sz w:val="14"/>
                                <w:szCs w:val="14"/>
                              </w:rPr>
                              <w:t>adaptive</w:t>
                            </w:r>
                            <w:r w:rsidRPr="00A748CB">
                              <w:rPr>
                                <w:rFonts w:ascii="Arial" w:hAnsi="Arial" w:cs="Arial"/>
                                <w:sz w:val="14"/>
                                <w:szCs w:val="14"/>
                              </w:rPr>
                              <w:t xml:space="preserve"> under uncertain future change.</w:t>
                            </w:r>
                          </w:p>
                          <w:p w14:paraId="58747D26" w14:textId="77777777" w:rsidR="004E78FB" w:rsidRPr="00A748CB" w:rsidRDefault="004E78FB" w:rsidP="000F50EB">
                            <w:pPr>
                              <w:pStyle w:val="TEXTBODY"/>
                              <w:numPr>
                                <w:ilvl w:val="0"/>
                                <w:numId w:val="78"/>
                              </w:numPr>
                              <w:spacing w:after="60" w:line="240" w:lineRule="auto"/>
                              <w:ind w:left="284" w:hanging="284"/>
                              <w:rPr>
                                <w:rFonts w:ascii="Arial" w:hAnsi="Arial" w:cs="Arial"/>
                                <w:sz w:val="14"/>
                                <w:szCs w:val="14"/>
                              </w:rPr>
                            </w:pPr>
                            <w:r w:rsidRPr="00A748CB">
                              <w:rPr>
                                <w:rFonts w:ascii="Arial" w:hAnsi="Arial" w:cs="Arial"/>
                                <w:sz w:val="14"/>
                                <w:szCs w:val="14"/>
                              </w:rPr>
                              <w:t xml:space="preserve">In an Adaptive Planning approach, </w:t>
                            </w:r>
                            <w:r w:rsidRPr="00A748CB">
                              <w:rPr>
                                <w:rFonts w:ascii="Arial" w:hAnsi="Arial" w:cs="Arial"/>
                                <w:i/>
                                <w:iCs/>
                                <w:sz w:val="14"/>
                                <w:szCs w:val="14"/>
                              </w:rPr>
                              <w:t xml:space="preserve">flexibility </w:t>
                            </w:r>
                            <w:r w:rsidRPr="00A748CB">
                              <w:rPr>
                                <w:rFonts w:ascii="Arial" w:hAnsi="Arial" w:cs="Arial"/>
                                <w:sz w:val="14"/>
                                <w:szCs w:val="14"/>
                              </w:rPr>
                              <w:t xml:space="preserve">is a characteristic of the general plan / strategy, which enables it to deal with uncertain future changes, in specific, decisions and actions in the near future should </w:t>
                            </w:r>
                            <w:r w:rsidRPr="00A748CB">
                              <w:rPr>
                                <w:rFonts w:ascii="Arial" w:hAnsi="Arial" w:cs="Arial"/>
                                <w:b/>
                                <w:bCs/>
                                <w:sz w:val="14"/>
                                <w:szCs w:val="14"/>
                                <w:u w:val="thick"/>
                              </w:rPr>
                              <w:t>not foreclose future options (to act differently, to switch of action or to add actions)</w:t>
                            </w:r>
                            <w:r w:rsidRPr="00A748CB">
                              <w:rPr>
                                <w:rFonts w:ascii="Arial" w:hAnsi="Arial" w:cs="Arial"/>
                                <w:sz w:val="14"/>
                                <w:szCs w:val="14"/>
                                <w:u w:val="thick"/>
                              </w:rPr>
                              <w:t xml:space="preserve"> </w:t>
                            </w:r>
                            <w:r w:rsidRPr="00A748CB">
                              <w:rPr>
                                <w:rFonts w:ascii="Arial" w:hAnsi="Arial" w:cs="Arial"/>
                                <w:sz w:val="14"/>
                                <w:szCs w:val="14"/>
                              </w:rPr>
                              <w:t>if climatic and socioeconomic changes demand so, and, on the other hand, developments occurring in the near future should not foreclose future adaptation options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xml:space="preserve"> et al. 2014, p.16</w:t>
                            </w:r>
                            <w:r w:rsidRPr="00A748CB">
                              <w:rPr>
                                <w:rFonts w:ascii="Arial" w:hAnsi="Arial" w:cs="Arial"/>
                                <w:sz w:val="14"/>
                                <w:szCs w:val="14"/>
                              </w:rPr>
                              <w:t xml:space="preserve">). </w:t>
                            </w:r>
                          </w:p>
                          <w:p w14:paraId="07F1F240" w14:textId="77777777" w:rsidR="004E78FB" w:rsidRPr="00A748CB" w:rsidRDefault="004E78FB" w:rsidP="000F50EB">
                            <w:pPr>
                              <w:pStyle w:val="TEXTBODY"/>
                              <w:numPr>
                                <w:ilvl w:val="0"/>
                                <w:numId w:val="78"/>
                              </w:numPr>
                              <w:spacing w:after="60" w:line="240" w:lineRule="auto"/>
                              <w:ind w:left="284" w:hanging="284"/>
                              <w:rPr>
                                <w:rFonts w:ascii="Arial" w:hAnsi="Arial" w:cs="Arial"/>
                                <w:sz w:val="14"/>
                                <w:szCs w:val="14"/>
                              </w:rPr>
                            </w:pPr>
                            <w:r w:rsidRPr="00A748CB">
                              <w:rPr>
                                <w:rFonts w:ascii="Arial" w:hAnsi="Arial" w:cs="Arial"/>
                                <w:sz w:val="14"/>
                                <w:szCs w:val="14"/>
                              </w:rPr>
                              <w:t xml:space="preserve">The development of </w:t>
                            </w:r>
                            <w:r w:rsidRPr="00A748CB">
                              <w:rPr>
                                <w:rFonts w:ascii="Arial" w:hAnsi="Arial" w:cs="Arial"/>
                                <w:i/>
                                <w:iCs/>
                                <w:sz w:val="14"/>
                                <w:szCs w:val="14"/>
                              </w:rPr>
                              <w:t>flexible strategies</w:t>
                            </w:r>
                            <w:r w:rsidRPr="00A748CB">
                              <w:rPr>
                                <w:rFonts w:ascii="Arial" w:hAnsi="Arial" w:cs="Arial"/>
                                <w:sz w:val="14"/>
                                <w:szCs w:val="14"/>
                              </w:rPr>
                              <w:t xml:space="preserve"> implies finding (</w:t>
                            </w:r>
                            <w:r w:rsidRPr="00A748CB">
                              <w:rPr>
                                <w:rFonts w:ascii="Arial" w:hAnsi="Arial" w:cs="Arial"/>
                                <w:i/>
                                <w:iCs/>
                                <w:sz w:val="14"/>
                                <w:szCs w:val="14"/>
                              </w:rPr>
                              <w:t>flexible</w:t>
                            </w:r>
                            <w:r w:rsidRPr="00A748CB">
                              <w:rPr>
                                <w:rFonts w:ascii="Arial" w:hAnsi="Arial" w:cs="Arial"/>
                                <w:sz w:val="14"/>
                                <w:szCs w:val="14"/>
                              </w:rPr>
                              <w:t>) measures that do not block future strategies (or further measures that might be necessary) and avoiding irreversible measures (namely over- and under-investments) as far as possible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xml:space="preserve"> and Reeder 2011, p.1, 2</w:t>
                            </w:r>
                            <w:r w:rsidRPr="00A748CB">
                              <w:rPr>
                                <w:rFonts w:ascii="Arial" w:hAnsi="Arial" w:cs="Arial"/>
                                <w:sz w:val="14"/>
                                <w:szCs w:val="14"/>
                              </w:rPr>
                              <w:t>).</w:t>
                            </w:r>
                          </w:p>
                          <w:p w14:paraId="67E733C0" w14:textId="77777777" w:rsidR="004E78FB" w:rsidRPr="00A748CB" w:rsidRDefault="004E78FB" w:rsidP="000F50EB">
                            <w:pPr>
                              <w:pStyle w:val="TEXTBODY"/>
                              <w:numPr>
                                <w:ilvl w:val="0"/>
                                <w:numId w:val="78"/>
                              </w:numPr>
                              <w:spacing w:after="60" w:line="240" w:lineRule="auto"/>
                              <w:ind w:left="284" w:hanging="284"/>
                              <w:rPr>
                                <w:rFonts w:ascii="Arial" w:hAnsi="Arial" w:cs="Arial"/>
                                <w:sz w:val="14"/>
                                <w:szCs w:val="14"/>
                              </w:rPr>
                            </w:pPr>
                            <w:r w:rsidRPr="00A748CB">
                              <w:rPr>
                                <w:rFonts w:ascii="Arial" w:hAnsi="Arial" w:cs="Arial"/>
                                <w:sz w:val="14"/>
                                <w:szCs w:val="14"/>
                              </w:rPr>
                              <w:t>The flexibility of a plan / strategy</w:t>
                            </w:r>
                            <w:r w:rsidRPr="00A748CB">
                              <w:rPr>
                                <w:rFonts w:ascii="Arial" w:hAnsi="Arial" w:cs="Arial"/>
                                <w:i/>
                                <w:iCs/>
                                <w:sz w:val="14"/>
                                <w:szCs w:val="14"/>
                              </w:rPr>
                              <w:t xml:space="preserve"> </w:t>
                            </w:r>
                            <w:r w:rsidRPr="00A748CB">
                              <w:rPr>
                                <w:rFonts w:ascii="Arial" w:hAnsi="Arial" w:cs="Arial"/>
                                <w:sz w:val="14"/>
                                <w:szCs w:val="14"/>
                              </w:rPr>
                              <w:t>can be increased</w:t>
                            </w:r>
                            <w:r w:rsidRPr="00A748CB">
                              <w:rPr>
                                <w:rFonts w:ascii="Arial" w:hAnsi="Arial" w:cs="Arial"/>
                                <w:i/>
                                <w:iCs/>
                                <w:sz w:val="14"/>
                                <w:szCs w:val="14"/>
                              </w:rPr>
                              <w:t xml:space="preserve"> ‘if measures can be implemented stepwise, or if there is the possibility of switching to other measures</w:t>
                            </w:r>
                            <w:r w:rsidRPr="00A748CB">
                              <w:rPr>
                                <w:rFonts w:ascii="Arial" w:hAnsi="Arial" w:cs="Arial"/>
                                <w:sz w:val="14"/>
                                <w:szCs w:val="14"/>
                              </w:rPr>
                              <w:t>’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xml:space="preserve"> et al. 2014, p.18</w:t>
                            </w:r>
                            <w:r w:rsidRPr="00A748CB">
                              <w:rPr>
                                <w:rFonts w:ascii="Arial" w:hAnsi="Arial" w:cs="Arial"/>
                                <w:sz w:val="14"/>
                                <w:szCs w:val="14"/>
                              </w:rPr>
                              <w:t>).</w:t>
                            </w:r>
                          </w:p>
                          <w:p w14:paraId="2BB936ED" w14:textId="77777777" w:rsidR="004E78FB" w:rsidRPr="00A748CB" w:rsidRDefault="004E78FB" w:rsidP="000F50EB">
                            <w:pPr>
                              <w:pStyle w:val="TEXTBODY"/>
                              <w:numPr>
                                <w:ilvl w:val="0"/>
                                <w:numId w:val="78"/>
                              </w:numPr>
                              <w:spacing w:after="60" w:line="240" w:lineRule="auto"/>
                              <w:ind w:left="284" w:hanging="284"/>
                              <w:rPr>
                                <w:rFonts w:ascii="Arial" w:hAnsi="Arial" w:cs="Arial"/>
                                <w:sz w:val="14"/>
                                <w:szCs w:val="14"/>
                              </w:rPr>
                            </w:pPr>
                            <w:r w:rsidRPr="00A748CB">
                              <w:rPr>
                                <w:rFonts w:ascii="Arial" w:hAnsi="Arial" w:cs="Arial"/>
                                <w:sz w:val="14"/>
                                <w:szCs w:val="14"/>
                              </w:rPr>
                              <w:t>The flexibility of a</w:t>
                            </w:r>
                            <w:r w:rsidRPr="00A748CB">
                              <w:rPr>
                                <w:rFonts w:ascii="Arial" w:hAnsi="Arial" w:cs="Arial"/>
                                <w:i/>
                                <w:iCs/>
                                <w:sz w:val="14"/>
                                <w:szCs w:val="14"/>
                              </w:rPr>
                              <w:t xml:space="preserve"> strategy </w:t>
                            </w:r>
                            <w:r w:rsidRPr="00A748CB">
                              <w:rPr>
                                <w:rFonts w:ascii="Arial" w:hAnsi="Arial" w:cs="Arial"/>
                                <w:sz w:val="14"/>
                                <w:szCs w:val="14"/>
                              </w:rPr>
                              <w:t>can be increased</w:t>
                            </w:r>
                            <w:r w:rsidRPr="00A748CB">
                              <w:rPr>
                                <w:rFonts w:ascii="Arial" w:hAnsi="Arial" w:cs="Arial"/>
                                <w:i/>
                                <w:iCs/>
                                <w:sz w:val="14"/>
                                <w:szCs w:val="14"/>
                              </w:rPr>
                              <w:t xml:space="preserve"> if measures can be implemented stepwise </w:t>
                            </w:r>
                            <w:r w:rsidRPr="00A748CB">
                              <w:rPr>
                                <w:rFonts w:ascii="Arial" w:hAnsi="Arial" w:cs="Arial"/>
                                <w:sz w:val="14"/>
                                <w:szCs w:val="14"/>
                              </w:rPr>
                              <w:t>(</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xml:space="preserve"> et al. 2014, p.18)</w:t>
                            </w:r>
                            <w:r w:rsidRPr="00A748CB">
                              <w:rPr>
                                <w:rFonts w:ascii="Arial" w:hAnsi="Arial" w:cs="Arial"/>
                                <w:sz w:val="14"/>
                                <w:szCs w:val="14"/>
                              </w:rPr>
                              <w:t xml:space="preserve">; </w:t>
                            </w:r>
                            <w:r w:rsidRPr="00A748CB">
                              <w:rPr>
                                <w:rFonts w:ascii="Arial" w:eastAsiaTheme="minorHAnsi" w:hAnsi="Arial" w:cs="Arial"/>
                                <w:sz w:val="14"/>
                                <w:szCs w:val="14"/>
                                <w:lang w:eastAsia="en-US"/>
                              </w:rPr>
                              <w:t xml:space="preserve">a phased implementation of various smaller projects is also one way of increasing </w:t>
                            </w:r>
                            <w:r w:rsidRPr="00A748CB">
                              <w:rPr>
                                <w:rFonts w:ascii="Arial" w:eastAsiaTheme="minorHAnsi" w:hAnsi="Arial" w:cs="Arial"/>
                                <w:i/>
                                <w:iCs/>
                                <w:sz w:val="14"/>
                                <w:szCs w:val="14"/>
                                <w:lang w:eastAsia="en-US"/>
                              </w:rPr>
                              <w:t>robustness</w:t>
                            </w:r>
                            <w:r w:rsidRPr="00A748CB">
                              <w:rPr>
                                <w:rFonts w:ascii="Arial" w:eastAsiaTheme="minorHAnsi" w:hAnsi="Arial" w:cs="Arial"/>
                                <w:sz w:val="14"/>
                                <w:szCs w:val="14"/>
                                <w:lang w:eastAsia="en-US"/>
                              </w:rPr>
                              <w:t xml:space="preserve"> (</w:t>
                            </w:r>
                            <w:proofErr w:type="spellStart"/>
                            <w:r w:rsidRPr="00A748CB">
                              <w:rPr>
                                <w:rFonts w:ascii="Arial" w:eastAsiaTheme="minorHAnsi" w:hAnsi="Arial" w:cs="Arial"/>
                                <w:color w:val="7F7F7F" w:themeColor="text1" w:themeTint="80"/>
                                <w:sz w:val="14"/>
                                <w:szCs w:val="14"/>
                                <w:lang w:eastAsia="en-US"/>
                              </w:rPr>
                              <w:t>Jeuken</w:t>
                            </w:r>
                            <w:proofErr w:type="spellEnd"/>
                            <w:r w:rsidRPr="00A748CB">
                              <w:rPr>
                                <w:rFonts w:ascii="Arial" w:eastAsiaTheme="minorHAnsi" w:hAnsi="Arial" w:cs="Arial"/>
                                <w:color w:val="7F7F7F" w:themeColor="text1" w:themeTint="80"/>
                                <w:sz w:val="14"/>
                                <w:szCs w:val="14"/>
                                <w:lang w:eastAsia="en-US"/>
                              </w:rPr>
                              <w:t xml:space="preserve"> et al. 2014, p.15</w:t>
                            </w:r>
                            <w:r w:rsidRPr="00A748CB">
                              <w:rPr>
                                <w:rFonts w:ascii="Arial" w:eastAsiaTheme="minorHAnsi" w:hAnsi="Arial" w:cs="Arial"/>
                                <w:sz w:val="14"/>
                                <w:szCs w:val="14"/>
                                <w:lang w:eastAsia="en-US"/>
                              </w:rPr>
                              <w:t>)</w:t>
                            </w:r>
                            <w:r w:rsidRPr="00A748CB">
                              <w:rPr>
                                <w:rFonts w:ascii="Arial" w:hAnsi="Arial" w:cs="Arial"/>
                                <w:sz w:val="14"/>
                                <w:szCs w:val="14"/>
                              </w:rPr>
                              <w:t>.</w:t>
                            </w:r>
                          </w:p>
                          <w:p w14:paraId="7B7CE455" w14:textId="77777777" w:rsidR="004E78FB" w:rsidRPr="00A748CB" w:rsidRDefault="004E78FB" w:rsidP="000F50EB">
                            <w:pPr>
                              <w:pStyle w:val="TEXTBODY"/>
                              <w:numPr>
                                <w:ilvl w:val="0"/>
                                <w:numId w:val="78"/>
                              </w:numPr>
                              <w:spacing w:after="60" w:line="240" w:lineRule="auto"/>
                              <w:ind w:left="284" w:hanging="284"/>
                              <w:rPr>
                                <w:rFonts w:ascii="Arial" w:hAnsi="Arial" w:cs="Arial"/>
                                <w:sz w:val="14"/>
                                <w:szCs w:val="14"/>
                              </w:rPr>
                            </w:pPr>
                            <w:r w:rsidRPr="00A748CB">
                              <w:rPr>
                                <w:rFonts w:ascii="Arial" w:hAnsi="Arial" w:cs="Arial"/>
                                <w:sz w:val="14"/>
                                <w:szCs w:val="14"/>
                              </w:rPr>
                              <w:t xml:space="preserve">To devise </w:t>
                            </w:r>
                            <w:r w:rsidRPr="00A748CB">
                              <w:rPr>
                                <w:rFonts w:ascii="Arial" w:hAnsi="Arial" w:cs="Arial"/>
                                <w:i/>
                                <w:iCs/>
                                <w:sz w:val="14"/>
                                <w:szCs w:val="14"/>
                              </w:rPr>
                              <w:t>flexible strategies</w:t>
                            </w:r>
                            <w:r w:rsidRPr="00A748CB">
                              <w:rPr>
                                <w:rFonts w:ascii="Arial" w:hAnsi="Arial" w:cs="Arial"/>
                                <w:sz w:val="14"/>
                                <w:szCs w:val="14"/>
                              </w:rPr>
                              <w:t xml:space="preserve"> (and cope with uncertainty and complexity), it is necessary to ‘</w:t>
                            </w:r>
                            <w:r w:rsidRPr="00A748CB">
                              <w:rPr>
                                <w:rFonts w:ascii="Arial" w:hAnsi="Arial" w:cs="Arial"/>
                                <w:i/>
                                <w:iCs/>
                                <w:sz w:val="14"/>
                                <w:szCs w:val="14"/>
                              </w:rPr>
                              <w:t>envision and link possible short-term decisions and long-term options for adaptation and their timing across relevant interfering policy-domains</w:t>
                            </w:r>
                            <w:r w:rsidRPr="00A748CB">
                              <w:rPr>
                                <w:rFonts w:ascii="Arial" w:hAnsi="Arial" w:cs="Arial"/>
                                <w:sz w:val="14"/>
                                <w:szCs w:val="14"/>
                              </w:rPr>
                              <w:t>’</w:t>
                            </w:r>
                            <w:r w:rsidRPr="00A748CB">
                              <w:rPr>
                                <w:rFonts w:ascii="Arial" w:hAnsi="Arial" w:cs="Arial"/>
                                <w:color w:val="00B050"/>
                                <w:sz w:val="14"/>
                                <w:szCs w:val="14"/>
                              </w:rPr>
                              <w:t xml:space="preserve"> </w:t>
                            </w:r>
                            <w:r w:rsidRPr="00A748CB">
                              <w:rPr>
                                <w:rFonts w:ascii="Arial" w:hAnsi="Arial" w:cs="Arial"/>
                                <w:sz w:val="14"/>
                                <w:szCs w:val="14"/>
                              </w:rPr>
                              <w:t>(</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xml:space="preserve"> et al. 2014, p.17</w:t>
                            </w:r>
                            <w:r w:rsidRPr="00A748CB">
                              <w:rPr>
                                <w:rFonts w:ascii="Arial" w:hAnsi="Arial" w:cs="Arial"/>
                                <w:sz w:val="14"/>
                                <w:szCs w:val="14"/>
                              </w:rPr>
                              <w:t>).</w:t>
                            </w:r>
                          </w:p>
                          <w:p w14:paraId="0150809A" w14:textId="77777777" w:rsidR="004E78FB" w:rsidRPr="00A748CB" w:rsidRDefault="004E78FB" w:rsidP="000F50EB">
                            <w:pPr>
                              <w:pStyle w:val="TEXTBODY"/>
                              <w:numPr>
                                <w:ilvl w:val="0"/>
                                <w:numId w:val="78"/>
                              </w:numPr>
                              <w:spacing w:after="60" w:line="240" w:lineRule="auto"/>
                              <w:ind w:left="284" w:hanging="284"/>
                              <w:rPr>
                                <w:rFonts w:ascii="Arial" w:eastAsiaTheme="minorHAnsi" w:hAnsi="Arial" w:cs="Arial"/>
                                <w:sz w:val="14"/>
                                <w:szCs w:val="14"/>
                                <w:lang w:eastAsia="en-US"/>
                              </w:rPr>
                            </w:pPr>
                            <w:r w:rsidRPr="00A748CB">
                              <w:rPr>
                                <w:rFonts w:ascii="Arial" w:eastAsiaTheme="minorHAnsi" w:hAnsi="Arial" w:cs="Arial"/>
                                <w:sz w:val="14"/>
                                <w:szCs w:val="14"/>
                                <w:lang w:eastAsia="en-US"/>
                              </w:rPr>
                              <w:t xml:space="preserve">A large heterogeneity of measures, and some ‘planned redundancy’ in solutions, help to increase the robustness and resilience of the FRM system (the risk of failure is distributed over many elements of </w:t>
                            </w:r>
                            <w:r w:rsidRPr="000A40A4">
                              <w:rPr>
                                <w:rFonts w:ascii="Arial" w:eastAsiaTheme="minorHAnsi" w:hAnsi="Arial" w:cs="Arial"/>
                                <w:sz w:val="14"/>
                                <w:szCs w:val="14"/>
                                <w:lang w:eastAsia="en-US"/>
                              </w:rPr>
                              <w:t>the</w:t>
                            </w:r>
                            <w:r w:rsidRPr="00A748CB">
                              <w:rPr>
                                <w:rFonts w:ascii="Arial" w:eastAsiaTheme="minorHAnsi" w:hAnsi="Arial" w:cs="Arial"/>
                                <w:sz w:val="14"/>
                                <w:szCs w:val="14"/>
                                <w:lang w:eastAsia="en-US"/>
                              </w:rPr>
                              <w:t xml:space="preserve"> system, thus, if one solution fails, the whole system does not fail) (</w:t>
                            </w:r>
                            <w:proofErr w:type="spellStart"/>
                            <w:r w:rsidRPr="00A748CB">
                              <w:rPr>
                                <w:rFonts w:ascii="Arial" w:eastAsiaTheme="minorHAnsi" w:hAnsi="Arial" w:cs="Arial"/>
                                <w:color w:val="7F7F7F" w:themeColor="text1" w:themeTint="80"/>
                                <w:sz w:val="14"/>
                                <w:szCs w:val="14"/>
                                <w:lang w:eastAsia="en-US"/>
                              </w:rPr>
                              <w:t>Jeuken</w:t>
                            </w:r>
                            <w:proofErr w:type="spellEnd"/>
                            <w:r w:rsidRPr="00A748CB">
                              <w:rPr>
                                <w:rFonts w:ascii="Arial" w:eastAsiaTheme="minorHAnsi" w:hAnsi="Arial" w:cs="Arial"/>
                                <w:color w:val="7F7F7F" w:themeColor="text1" w:themeTint="80"/>
                                <w:sz w:val="14"/>
                                <w:szCs w:val="14"/>
                                <w:lang w:eastAsia="en-US"/>
                              </w:rPr>
                              <w:t xml:space="preserve"> et al. 2014, p.15</w:t>
                            </w:r>
                            <w:r w:rsidRPr="00A748CB">
                              <w:rPr>
                                <w:rFonts w:ascii="Arial" w:eastAsiaTheme="minorHAnsi" w:hAnsi="Arial" w:cs="Arial"/>
                                <w:sz w:val="14"/>
                                <w:szCs w:val="14"/>
                                <w:lang w:eastAsia="en-US"/>
                              </w:rPr>
                              <w:t>).</w:t>
                            </w:r>
                          </w:p>
                          <w:p w14:paraId="086240D5" w14:textId="77777777" w:rsidR="004E78FB" w:rsidRPr="00A748CB" w:rsidRDefault="004E78FB" w:rsidP="000F50EB">
                            <w:pPr>
                              <w:pStyle w:val="TEXTBODY"/>
                              <w:numPr>
                                <w:ilvl w:val="0"/>
                                <w:numId w:val="78"/>
                              </w:numPr>
                              <w:spacing w:line="240" w:lineRule="auto"/>
                              <w:ind w:left="284" w:hanging="284"/>
                              <w:rPr>
                                <w:rFonts w:ascii="Arial" w:hAnsi="Arial" w:cs="Arial"/>
                                <w:sz w:val="14"/>
                                <w:szCs w:val="14"/>
                              </w:rPr>
                            </w:pPr>
                            <w:r w:rsidRPr="00A748CB">
                              <w:rPr>
                                <w:rFonts w:ascii="Arial" w:hAnsi="Arial" w:cs="Arial"/>
                                <w:sz w:val="14"/>
                                <w:szCs w:val="14"/>
                              </w:rPr>
                              <w:t xml:space="preserve">In the implementation of an </w:t>
                            </w:r>
                            <w:r w:rsidRPr="00A748CB">
                              <w:rPr>
                                <w:rFonts w:ascii="Arial" w:hAnsi="Arial" w:cs="Arial"/>
                                <w:i/>
                                <w:iCs/>
                                <w:sz w:val="14"/>
                                <w:szCs w:val="14"/>
                              </w:rPr>
                              <w:t>adaptive plan</w:t>
                            </w:r>
                            <w:r w:rsidRPr="00A748CB">
                              <w:rPr>
                                <w:rFonts w:ascii="Arial" w:hAnsi="Arial" w:cs="Arial"/>
                                <w:sz w:val="14"/>
                                <w:szCs w:val="14"/>
                              </w:rPr>
                              <w:t>, decisions in the short-term should be used to implement first ‘low-regret actions’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xml:space="preserve"> et al. 2018, p.19</w:t>
                            </w:r>
                            <w:r w:rsidRPr="00A748CB">
                              <w:rPr>
                                <w:rFonts w:ascii="Arial" w:hAnsi="Arial" w:cs="Arial"/>
                                <w:sz w:val="14"/>
                                <w:szCs w:val="14"/>
                              </w:rPr>
                              <w:t xml:space="preserve">). </w:t>
                            </w:r>
                            <w:proofErr w:type="spellStart"/>
                            <w:r w:rsidRPr="00A748CB">
                              <w:rPr>
                                <w:rFonts w:ascii="Arial" w:hAnsi="Arial" w:cs="Arial"/>
                                <w:color w:val="7F7F7F" w:themeColor="text1" w:themeTint="80"/>
                                <w:sz w:val="14"/>
                                <w:szCs w:val="14"/>
                              </w:rPr>
                              <w:t>Restemeyer</w:t>
                            </w:r>
                            <w:proofErr w:type="spellEnd"/>
                            <w:r w:rsidRPr="00A748CB">
                              <w:rPr>
                                <w:rFonts w:ascii="Arial" w:hAnsi="Arial" w:cs="Arial"/>
                                <w:color w:val="7F7F7F" w:themeColor="text1" w:themeTint="80"/>
                                <w:sz w:val="14"/>
                                <w:szCs w:val="14"/>
                              </w:rPr>
                              <w:t xml:space="preserve"> et al. </w:t>
                            </w:r>
                            <w:r w:rsidRPr="00A748CB">
                              <w:rPr>
                                <w:rFonts w:ascii="Arial" w:hAnsi="Arial" w:cs="Arial"/>
                                <w:sz w:val="14"/>
                                <w:szCs w:val="14"/>
                              </w:rPr>
                              <w:t>argue that p</w:t>
                            </w:r>
                            <w:r w:rsidRPr="00A748CB">
                              <w:rPr>
                                <w:rFonts w:ascii="Arial" w:hAnsi="Arial" w:cs="Arial"/>
                                <w:iCs/>
                                <w:sz w:val="14"/>
                                <w:szCs w:val="14"/>
                              </w:rPr>
                              <w:t>rioritizing measures that prevent lock-</w:t>
                            </w:r>
                            <w:proofErr w:type="gramStart"/>
                            <w:r w:rsidRPr="00A748CB">
                              <w:rPr>
                                <w:rFonts w:ascii="Arial" w:hAnsi="Arial" w:cs="Arial"/>
                                <w:iCs/>
                                <w:sz w:val="14"/>
                                <w:szCs w:val="14"/>
                              </w:rPr>
                              <w:t>ins  a</w:t>
                            </w:r>
                            <w:proofErr w:type="gramEnd"/>
                            <w:r w:rsidRPr="00A748CB">
                              <w:rPr>
                                <w:rFonts w:ascii="Arial" w:hAnsi="Arial" w:cs="Arial"/>
                                <w:iCs/>
                                <w:sz w:val="14"/>
                                <w:szCs w:val="14"/>
                              </w:rPr>
                              <w:t xml:space="preserve"> condition for making a strategy more ‘adaptive’ </w:t>
                            </w:r>
                            <w:r w:rsidRPr="00A748CB">
                              <w:rPr>
                                <w:rFonts w:ascii="Arial" w:hAnsi="Arial" w:cs="Arial"/>
                                <w:bCs/>
                                <w:sz w:val="14"/>
                                <w:szCs w:val="14"/>
                              </w:rPr>
                              <w:t>(</w:t>
                            </w:r>
                            <w:proofErr w:type="spellStart"/>
                            <w:r w:rsidRPr="00A748CB">
                              <w:rPr>
                                <w:rFonts w:ascii="Arial" w:hAnsi="Arial" w:cs="Arial"/>
                                <w:bCs/>
                                <w:color w:val="7F7F7F" w:themeColor="text1" w:themeTint="80"/>
                                <w:sz w:val="14"/>
                                <w:szCs w:val="14"/>
                              </w:rPr>
                              <w:t>Restemeyer</w:t>
                            </w:r>
                            <w:proofErr w:type="spellEnd"/>
                            <w:r w:rsidRPr="00A748CB">
                              <w:rPr>
                                <w:rFonts w:ascii="Arial" w:hAnsi="Arial" w:cs="Arial"/>
                                <w:bCs/>
                                <w:color w:val="7F7F7F" w:themeColor="text1" w:themeTint="80"/>
                                <w:sz w:val="14"/>
                                <w:szCs w:val="14"/>
                              </w:rPr>
                              <w:t xml:space="preserve"> et al. 2017</w:t>
                            </w:r>
                            <w:r w:rsidRPr="00A748CB">
                              <w:rPr>
                                <w:rFonts w:ascii="Arial" w:hAnsi="Arial" w:cs="Arial"/>
                                <w:bCs/>
                                <w:sz w:val="14"/>
                                <w:szCs w:val="14"/>
                              </w:rPr>
                              <w:t>).</w:t>
                            </w:r>
                          </w:p>
                          <w:p w14:paraId="3EFFBE73" w14:textId="77777777" w:rsidR="00E9136E" w:rsidRPr="00A748CB" w:rsidRDefault="00E9446C" w:rsidP="007D2351">
                            <w:pPr>
                              <w:pStyle w:val="TEXTBODY"/>
                              <w:spacing w:line="240" w:lineRule="auto"/>
                              <w:rPr>
                                <w:rFonts w:ascii="Arial" w:hAnsi="Arial" w:cs="Arial"/>
                                <w:sz w:val="14"/>
                                <w:szCs w:val="14"/>
                              </w:rPr>
                            </w:pPr>
                            <w:r w:rsidRPr="00A748CB">
                              <w:rPr>
                                <w:rFonts w:ascii="Arial" w:hAnsi="Arial" w:cs="Arial"/>
                                <w:sz w:val="14"/>
                                <w:szCs w:val="14"/>
                              </w:rPr>
                              <w:t xml:space="preserve">Drawing on insights and literature on resilience, adaptive planning and governance, </w:t>
                            </w:r>
                            <w:proofErr w:type="spellStart"/>
                            <w:r w:rsidRPr="00A748CB">
                              <w:rPr>
                                <w:rFonts w:ascii="Arial" w:hAnsi="Arial" w:cs="Arial"/>
                                <w:color w:val="7F7F7F" w:themeColor="text1" w:themeTint="80"/>
                                <w:sz w:val="14"/>
                                <w:szCs w:val="14"/>
                              </w:rPr>
                              <w:t>Restemeyer</w:t>
                            </w:r>
                            <w:proofErr w:type="spellEnd"/>
                            <w:r w:rsidRPr="00A748CB">
                              <w:rPr>
                                <w:rFonts w:ascii="Arial" w:hAnsi="Arial" w:cs="Arial"/>
                                <w:color w:val="7F7F7F" w:themeColor="text1" w:themeTint="80"/>
                                <w:sz w:val="14"/>
                                <w:szCs w:val="14"/>
                              </w:rPr>
                              <w:t xml:space="preserve"> et al. </w:t>
                            </w:r>
                            <w:r w:rsidRPr="00A748CB">
                              <w:rPr>
                                <w:rFonts w:ascii="Arial" w:hAnsi="Arial" w:cs="Arial"/>
                                <w:sz w:val="14"/>
                                <w:szCs w:val="14"/>
                              </w:rPr>
                              <w:t xml:space="preserve">have defined (proposed) these 3 </w:t>
                            </w:r>
                            <w:proofErr w:type="gramStart"/>
                            <w:r w:rsidRPr="00A748CB">
                              <w:rPr>
                                <w:rFonts w:ascii="Arial" w:hAnsi="Arial" w:cs="Arial"/>
                                <w:sz w:val="14"/>
                                <w:szCs w:val="14"/>
                              </w:rPr>
                              <w:t>theoretically-defined</w:t>
                            </w:r>
                            <w:proofErr w:type="gramEnd"/>
                            <w:r w:rsidRPr="00A748CB">
                              <w:rPr>
                                <w:rFonts w:ascii="Arial" w:hAnsi="Arial" w:cs="Arial"/>
                                <w:sz w:val="14"/>
                                <w:szCs w:val="14"/>
                              </w:rPr>
                              <w:t xml:space="preserve"> conditions for making a long-term FRM policy / plan more </w:t>
                            </w:r>
                            <w:r w:rsidRPr="00A748CB">
                              <w:rPr>
                                <w:rFonts w:ascii="Arial" w:hAnsi="Arial" w:cs="Arial"/>
                                <w:i/>
                                <w:iCs/>
                                <w:sz w:val="14"/>
                                <w:szCs w:val="14"/>
                              </w:rPr>
                              <w:t>adaptive</w:t>
                            </w:r>
                            <w:r w:rsidRPr="00A748CB">
                              <w:rPr>
                                <w:rFonts w:ascii="Arial" w:hAnsi="Arial" w:cs="Arial"/>
                                <w:color w:val="0070C0"/>
                                <w:sz w:val="14"/>
                                <w:szCs w:val="14"/>
                              </w:rPr>
                              <w:t xml:space="preserve"> </w:t>
                            </w:r>
                            <w:r w:rsidRPr="00A748CB">
                              <w:rPr>
                                <w:rFonts w:ascii="Arial" w:hAnsi="Arial" w:cs="Arial"/>
                                <w:sz w:val="14"/>
                                <w:szCs w:val="14"/>
                              </w:rPr>
                              <w:t>(</w:t>
                            </w:r>
                            <w:proofErr w:type="spellStart"/>
                            <w:r w:rsidRPr="00A748CB">
                              <w:rPr>
                                <w:rFonts w:ascii="Arial" w:hAnsi="Arial" w:cs="Arial"/>
                                <w:color w:val="7F7F7F" w:themeColor="text1" w:themeTint="80"/>
                                <w:sz w:val="14"/>
                                <w:szCs w:val="14"/>
                              </w:rPr>
                              <w:t>Restemeyer</w:t>
                            </w:r>
                            <w:proofErr w:type="spellEnd"/>
                            <w:r w:rsidRPr="00A748CB">
                              <w:rPr>
                                <w:rFonts w:ascii="Arial" w:hAnsi="Arial" w:cs="Arial"/>
                                <w:color w:val="7F7F7F" w:themeColor="text1" w:themeTint="80"/>
                                <w:sz w:val="14"/>
                                <w:szCs w:val="14"/>
                              </w:rPr>
                              <w:t xml:space="preserve"> et al. 2017, p.921, 935</w:t>
                            </w:r>
                            <w:r w:rsidRPr="00A748CB">
                              <w:rPr>
                                <w:rFonts w:ascii="Arial" w:hAnsi="Arial" w:cs="Arial"/>
                                <w:sz w:val="14"/>
                                <w:szCs w:val="14"/>
                              </w:rPr>
                              <w:t xml:space="preserve">). </w:t>
                            </w:r>
                            <w:proofErr w:type="spellStart"/>
                            <w:r w:rsidR="00CA34D1" w:rsidRPr="00A748CB">
                              <w:rPr>
                                <w:rFonts w:ascii="Arial" w:hAnsi="Arial" w:cs="Arial"/>
                                <w:color w:val="7F7F7F" w:themeColor="text1" w:themeTint="80"/>
                                <w:sz w:val="14"/>
                                <w:szCs w:val="14"/>
                              </w:rPr>
                              <w:t>Restemeyer</w:t>
                            </w:r>
                            <w:proofErr w:type="spellEnd"/>
                            <w:r w:rsidR="00CA34D1" w:rsidRPr="00A748CB">
                              <w:rPr>
                                <w:rFonts w:ascii="Arial" w:hAnsi="Arial" w:cs="Arial"/>
                                <w:color w:val="7F7F7F" w:themeColor="text1" w:themeTint="80"/>
                                <w:sz w:val="14"/>
                                <w:szCs w:val="14"/>
                              </w:rPr>
                              <w:t xml:space="preserve"> et al. </w:t>
                            </w:r>
                            <w:r w:rsidR="009B7456" w:rsidRPr="00A748CB">
                              <w:rPr>
                                <w:rFonts w:ascii="Arial" w:hAnsi="Arial" w:cs="Arial"/>
                                <w:sz w:val="14"/>
                                <w:szCs w:val="14"/>
                              </w:rPr>
                              <w:t>argue</w:t>
                            </w:r>
                            <w:r w:rsidR="00CA34D1" w:rsidRPr="00A748CB">
                              <w:rPr>
                                <w:rFonts w:ascii="Arial" w:hAnsi="Arial" w:cs="Arial"/>
                                <w:sz w:val="14"/>
                                <w:szCs w:val="14"/>
                              </w:rPr>
                              <w:t xml:space="preserve"> that </w:t>
                            </w:r>
                            <w:r w:rsidR="00CA34D1" w:rsidRPr="00A748CB">
                              <w:rPr>
                                <w:rFonts w:ascii="Arial" w:hAnsi="Arial" w:cs="Arial"/>
                                <w:b/>
                                <w:bCs/>
                                <w:sz w:val="14"/>
                                <w:szCs w:val="14"/>
                              </w:rPr>
                              <w:t>th</w:t>
                            </w:r>
                            <w:r w:rsidR="009B7456" w:rsidRPr="00A748CB">
                              <w:rPr>
                                <w:rFonts w:ascii="Arial" w:hAnsi="Arial" w:cs="Arial"/>
                                <w:b/>
                                <w:bCs/>
                                <w:sz w:val="14"/>
                                <w:szCs w:val="14"/>
                              </w:rPr>
                              <w:t>ree</w:t>
                            </w:r>
                            <w:r w:rsidR="00CA34D1" w:rsidRPr="00A748CB">
                              <w:rPr>
                                <w:rFonts w:ascii="Arial" w:hAnsi="Arial" w:cs="Arial"/>
                                <w:b/>
                                <w:bCs/>
                                <w:sz w:val="14"/>
                                <w:szCs w:val="14"/>
                              </w:rPr>
                              <w:t xml:space="preserve"> conditions</w:t>
                            </w:r>
                            <w:r w:rsidR="009B7456" w:rsidRPr="00A748CB">
                              <w:rPr>
                                <w:rFonts w:ascii="Arial" w:hAnsi="Arial" w:cs="Arial"/>
                                <w:b/>
                                <w:bCs/>
                                <w:sz w:val="14"/>
                                <w:szCs w:val="14"/>
                              </w:rPr>
                              <w:t>/points</w:t>
                            </w:r>
                            <w:r w:rsidR="00CA34D1" w:rsidRPr="00A748CB">
                              <w:rPr>
                                <w:rFonts w:ascii="Arial" w:hAnsi="Arial" w:cs="Arial"/>
                                <w:b/>
                                <w:bCs/>
                                <w:sz w:val="14"/>
                                <w:szCs w:val="14"/>
                              </w:rPr>
                              <w:t xml:space="preserve"> </w:t>
                            </w:r>
                            <w:r w:rsidR="009B7456" w:rsidRPr="00A748CB">
                              <w:rPr>
                                <w:rFonts w:ascii="Arial" w:hAnsi="Arial" w:cs="Arial"/>
                                <w:b/>
                                <w:bCs/>
                                <w:sz w:val="14"/>
                                <w:szCs w:val="14"/>
                              </w:rPr>
                              <w:t xml:space="preserve">are </w:t>
                            </w:r>
                            <w:r w:rsidR="00CA34D1" w:rsidRPr="00A748CB">
                              <w:rPr>
                                <w:rFonts w:ascii="Arial" w:hAnsi="Arial" w:cs="Arial"/>
                                <w:b/>
                                <w:bCs/>
                                <w:sz w:val="14"/>
                                <w:szCs w:val="14"/>
                              </w:rPr>
                              <w:t>necessary</w:t>
                            </w:r>
                            <w:r w:rsidR="009B7456" w:rsidRPr="00A748CB">
                              <w:rPr>
                                <w:rFonts w:ascii="Arial" w:hAnsi="Arial" w:cs="Arial"/>
                                <w:b/>
                                <w:bCs/>
                                <w:sz w:val="14"/>
                                <w:szCs w:val="14"/>
                              </w:rPr>
                              <w:t xml:space="preserve"> and crucial</w:t>
                            </w:r>
                            <w:r w:rsidR="00CA34D1" w:rsidRPr="00A748CB">
                              <w:rPr>
                                <w:rFonts w:ascii="Arial" w:hAnsi="Arial" w:cs="Arial"/>
                                <w:b/>
                                <w:bCs/>
                                <w:sz w:val="14"/>
                                <w:szCs w:val="14"/>
                              </w:rPr>
                              <w:t xml:space="preserve"> for making long-term plans / policies ‘</w:t>
                            </w:r>
                            <w:r w:rsidR="00CA34D1" w:rsidRPr="00A748CB">
                              <w:rPr>
                                <w:rFonts w:ascii="Arial" w:hAnsi="Arial" w:cs="Arial"/>
                                <w:b/>
                                <w:bCs/>
                                <w:i/>
                                <w:iCs/>
                                <w:sz w:val="14"/>
                                <w:szCs w:val="14"/>
                              </w:rPr>
                              <w:t>adaptive</w:t>
                            </w:r>
                            <w:r w:rsidR="00CA34D1" w:rsidRPr="00A748CB">
                              <w:rPr>
                                <w:rFonts w:ascii="Arial" w:hAnsi="Arial" w:cs="Arial"/>
                                <w:b/>
                                <w:bCs/>
                                <w:sz w:val="14"/>
                                <w:szCs w:val="14"/>
                              </w:rPr>
                              <w:t>’</w:t>
                            </w:r>
                            <w:r w:rsidR="009B7456" w:rsidRPr="00A748CB">
                              <w:rPr>
                                <w:rFonts w:ascii="Arial" w:hAnsi="Arial" w:cs="Arial"/>
                                <w:sz w:val="14"/>
                                <w:szCs w:val="14"/>
                              </w:rPr>
                              <w:t xml:space="preserve">: (a) </w:t>
                            </w:r>
                            <w:r w:rsidR="009B7456" w:rsidRPr="00A748CB">
                              <w:rPr>
                                <w:rFonts w:ascii="Arial" w:hAnsi="Arial" w:cs="Arial"/>
                                <w:i/>
                                <w:sz w:val="14"/>
                                <w:szCs w:val="14"/>
                              </w:rPr>
                              <w:t>an agile governance process</w:t>
                            </w:r>
                            <w:r w:rsidR="009B7456" w:rsidRPr="00A748CB">
                              <w:rPr>
                                <w:rFonts w:ascii="Arial" w:hAnsi="Arial" w:cs="Arial"/>
                                <w:sz w:val="14"/>
                                <w:szCs w:val="14"/>
                              </w:rPr>
                              <w:t xml:space="preserve"> (</w:t>
                            </w:r>
                            <w:r w:rsidR="0073588F" w:rsidRPr="00A748CB">
                              <w:rPr>
                                <w:rFonts w:ascii="Arial" w:hAnsi="Arial" w:cs="Arial"/>
                                <w:sz w:val="14"/>
                                <w:szCs w:val="14"/>
                              </w:rPr>
                              <w:t>this implies</w:t>
                            </w:r>
                            <w:r w:rsidR="009B7456" w:rsidRPr="00A748CB">
                              <w:rPr>
                                <w:rFonts w:ascii="Arial" w:hAnsi="Arial" w:cs="Arial"/>
                                <w:sz w:val="14"/>
                                <w:szCs w:val="14"/>
                              </w:rPr>
                              <w:t xml:space="preserve"> </w:t>
                            </w:r>
                            <w:r w:rsidR="0073588F" w:rsidRPr="00A748CB">
                              <w:rPr>
                                <w:rFonts w:ascii="Arial" w:hAnsi="Arial" w:cs="Arial"/>
                                <w:sz w:val="14"/>
                                <w:szCs w:val="14"/>
                              </w:rPr>
                              <w:t xml:space="preserve">multi-level, multi-sector, and multi-actor governance arrangements that foster learning, i.e. </w:t>
                            </w:r>
                            <w:r w:rsidR="009B7456" w:rsidRPr="00A748CB">
                              <w:rPr>
                                <w:rFonts w:ascii="Arial" w:hAnsi="Arial" w:cs="Arial"/>
                                <w:sz w:val="14"/>
                                <w:szCs w:val="14"/>
                              </w:rPr>
                              <w:t>learning-oriented governance arrangement</w:t>
                            </w:r>
                            <w:r w:rsidR="0073588F" w:rsidRPr="00A748CB">
                              <w:rPr>
                                <w:rFonts w:ascii="Arial" w:hAnsi="Arial" w:cs="Arial"/>
                                <w:sz w:val="14"/>
                                <w:szCs w:val="14"/>
                              </w:rPr>
                              <w:t xml:space="preserve">s, as well as </w:t>
                            </w:r>
                            <w:r w:rsidR="0073588F" w:rsidRPr="00A748CB">
                              <w:rPr>
                                <w:rFonts w:ascii="Arial" w:hAnsi="Arial" w:cs="Arial"/>
                                <w:i/>
                                <w:iCs/>
                                <w:sz w:val="14"/>
                                <w:szCs w:val="14"/>
                              </w:rPr>
                              <w:t>capacity to steer towards a desired direction</w:t>
                            </w:r>
                            <w:r w:rsidR="009B7456" w:rsidRPr="00A748CB">
                              <w:rPr>
                                <w:rFonts w:ascii="Arial" w:hAnsi="Arial" w:cs="Arial"/>
                                <w:sz w:val="14"/>
                                <w:szCs w:val="14"/>
                              </w:rPr>
                              <w:t xml:space="preserve"> and </w:t>
                            </w:r>
                            <w:r w:rsidR="009B7456" w:rsidRPr="00A748CB">
                              <w:rPr>
                                <w:rFonts w:ascii="Arial" w:hAnsi="Arial" w:cs="Arial"/>
                                <w:i/>
                                <w:iCs/>
                                <w:sz w:val="14"/>
                                <w:szCs w:val="14"/>
                              </w:rPr>
                              <w:t>capacity to adjust based on new insights)</w:t>
                            </w:r>
                            <w:r w:rsidR="009B7456" w:rsidRPr="00A748CB">
                              <w:rPr>
                                <w:rFonts w:ascii="Arial" w:hAnsi="Arial" w:cs="Arial"/>
                                <w:sz w:val="14"/>
                                <w:szCs w:val="14"/>
                              </w:rPr>
                              <w:t xml:space="preserve">; </w:t>
                            </w:r>
                            <w:r w:rsidR="009B7456" w:rsidRPr="00A748CB">
                              <w:rPr>
                                <w:rFonts w:ascii="Arial" w:hAnsi="Arial" w:cs="Arial"/>
                                <w:b/>
                                <w:bCs/>
                                <w:sz w:val="14"/>
                                <w:szCs w:val="14"/>
                              </w:rPr>
                              <w:t xml:space="preserve">(b) make </w:t>
                            </w:r>
                            <w:r w:rsidR="009B7456" w:rsidRPr="00A748CB">
                              <w:rPr>
                                <w:rFonts w:ascii="Arial" w:hAnsi="Arial" w:cs="Arial"/>
                                <w:b/>
                                <w:bCs/>
                                <w:i/>
                                <w:iCs/>
                                <w:sz w:val="14"/>
                                <w:szCs w:val="14"/>
                              </w:rPr>
                              <w:t>flexible strategies and plans</w:t>
                            </w:r>
                            <w:r w:rsidR="009B7456" w:rsidRPr="00A748CB">
                              <w:rPr>
                                <w:rStyle w:val="Refdenotaderodap"/>
                                <w:rFonts w:ascii="Arial" w:hAnsi="Arial" w:cs="Arial"/>
                                <w:sz w:val="14"/>
                                <w:szCs w:val="14"/>
                              </w:rPr>
                              <w:t>.</w:t>
                            </w:r>
                            <w:r w:rsidR="009B7456" w:rsidRPr="00A748CB">
                              <w:rPr>
                                <w:rFonts w:ascii="Arial" w:hAnsi="Arial" w:cs="Arial"/>
                                <w:sz w:val="14"/>
                                <w:szCs w:val="14"/>
                              </w:rPr>
                              <w:t xml:space="preserve">; and (c) </w:t>
                            </w:r>
                            <w:r w:rsidR="0073588F" w:rsidRPr="00A748CB">
                              <w:rPr>
                                <w:rFonts w:ascii="Arial" w:hAnsi="Arial" w:cs="Arial"/>
                                <w:sz w:val="14"/>
                                <w:szCs w:val="14"/>
                              </w:rPr>
                              <w:t>prioritize</w:t>
                            </w:r>
                            <w:r w:rsidR="009B7456" w:rsidRPr="00A748CB">
                              <w:rPr>
                                <w:rFonts w:ascii="Arial" w:hAnsi="Arial" w:cs="Arial"/>
                                <w:sz w:val="14"/>
                                <w:szCs w:val="14"/>
                              </w:rPr>
                              <w:t xml:space="preserve"> measures that </w:t>
                            </w:r>
                            <w:r w:rsidR="0073588F" w:rsidRPr="00A748CB">
                              <w:rPr>
                                <w:rFonts w:ascii="Arial" w:hAnsi="Arial" w:cs="Arial"/>
                                <w:sz w:val="14"/>
                                <w:szCs w:val="14"/>
                              </w:rPr>
                              <w:t>prevent</w:t>
                            </w:r>
                            <w:r w:rsidR="009B7456" w:rsidRPr="00A748CB">
                              <w:rPr>
                                <w:rFonts w:ascii="Arial" w:hAnsi="Arial" w:cs="Arial"/>
                                <w:sz w:val="14"/>
                                <w:szCs w:val="14"/>
                              </w:rPr>
                              <w:t xml:space="preserve"> lock-ins</w:t>
                            </w:r>
                            <w:r w:rsidR="009B7456" w:rsidRPr="00A748CB">
                              <w:rPr>
                                <w:rFonts w:ascii="Arial" w:hAnsi="Arial" w:cs="Arial"/>
                                <w:color w:val="0070C0"/>
                                <w:sz w:val="14"/>
                                <w:szCs w:val="14"/>
                              </w:rPr>
                              <w:t xml:space="preserve"> </w:t>
                            </w:r>
                            <w:r w:rsidR="009B7456" w:rsidRPr="00A748CB">
                              <w:rPr>
                                <w:rFonts w:ascii="Arial" w:hAnsi="Arial" w:cs="Arial"/>
                                <w:sz w:val="14"/>
                                <w:szCs w:val="14"/>
                              </w:rPr>
                              <w:t>(</w:t>
                            </w:r>
                            <w:proofErr w:type="spellStart"/>
                            <w:r w:rsidR="009B7456" w:rsidRPr="00A748CB">
                              <w:rPr>
                                <w:rFonts w:ascii="Arial" w:hAnsi="Arial" w:cs="Arial"/>
                                <w:color w:val="7F7F7F" w:themeColor="text1" w:themeTint="80"/>
                                <w:sz w:val="14"/>
                                <w:szCs w:val="14"/>
                              </w:rPr>
                              <w:t>Restemeyer</w:t>
                            </w:r>
                            <w:proofErr w:type="spellEnd"/>
                            <w:r w:rsidR="009B7456" w:rsidRPr="00A748CB">
                              <w:rPr>
                                <w:rFonts w:ascii="Arial" w:hAnsi="Arial" w:cs="Arial"/>
                                <w:color w:val="7F7F7F" w:themeColor="text1" w:themeTint="80"/>
                                <w:sz w:val="14"/>
                                <w:szCs w:val="14"/>
                              </w:rPr>
                              <w:t xml:space="preserve"> et al. 2017, p.922</w:t>
                            </w:r>
                            <w:r w:rsidR="00FD6A11" w:rsidRPr="00A748CB">
                              <w:rPr>
                                <w:rFonts w:ascii="Arial" w:hAnsi="Arial" w:cs="Arial"/>
                                <w:color w:val="7F7F7F" w:themeColor="text1" w:themeTint="80"/>
                                <w:sz w:val="14"/>
                                <w:szCs w:val="14"/>
                              </w:rPr>
                              <w:t>-925</w:t>
                            </w:r>
                            <w:r w:rsidR="0073588F" w:rsidRPr="00A748CB">
                              <w:rPr>
                                <w:rFonts w:ascii="Arial" w:hAnsi="Arial" w:cs="Arial"/>
                                <w:color w:val="7F7F7F" w:themeColor="text1" w:themeTint="80"/>
                                <w:sz w:val="14"/>
                                <w:szCs w:val="14"/>
                              </w:rPr>
                              <w:t>,</w:t>
                            </w:r>
                            <w:r w:rsidR="009B7456" w:rsidRPr="00A748CB">
                              <w:rPr>
                                <w:rFonts w:ascii="Arial" w:hAnsi="Arial" w:cs="Arial"/>
                                <w:color w:val="7F7F7F" w:themeColor="text1" w:themeTint="80"/>
                                <w:sz w:val="14"/>
                                <w:szCs w:val="14"/>
                              </w:rPr>
                              <w:t xml:space="preserve"> 935</w:t>
                            </w:r>
                            <w:r w:rsidR="009B7456" w:rsidRPr="00A748CB">
                              <w:rPr>
                                <w:rFonts w:ascii="Arial" w:hAnsi="Arial" w:cs="Arial"/>
                                <w:sz w:val="14"/>
                                <w:szCs w:val="14"/>
                              </w:rPr>
                              <w:t>).</w:t>
                            </w:r>
                            <w:r w:rsidR="00FD6A11" w:rsidRPr="00A748CB">
                              <w:rPr>
                                <w:rFonts w:ascii="Arial" w:hAnsi="Arial" w:cs="Arial"/>
                                <w:sz w:val="14"/>
                                <w:szCs w:val="14"/>
                              </w:rPr>
                              <w:t xml:space="preserve"> </w:t>
                            </w:r>
                            <w:r w:rsidR="0073588F" w:rsidRPr="00A748CB">
                              <w:rPr>
                                <w:rFonts w:ascii="Arial" w:hAnsi="Arial" w:cs="Arial"/>
                                <w:sz w:val="14"/>
                                <w:szCs w:val="14"/>
                              </w:rPr>
                              <w:t xml:space="preserve">According to </w:t>
                            </w:r>
                            <w:proofErr w:type="spellStart"/>
                            <w:r w:rsidR="0073588F" w:rsidRPr="00A748CB">
                              <w:rPr>
                                <w:rFonts w:ascii="Arial" w:hAnsi="Arial" w:cs="Arial"/>
                                <w:color w:val="7F7F7F" w:themeColor="text1" w:themeTint="80"/>
                                <w:sz w:val="14"/>
                                <w:szCs w:val="14"/>
                              </w:rPr>
                              <w:t>Restemeyer</w:t>
                            </w:r>
                            <w:proofErr w:type="spellEnd"/>
                            <w:r w:rsidR="0073588F" w:rsidRPr="00A748CB">
                              <w:rPr>
                                <w:rFonts w:ascii="Arial" w:hAnsi="Arial" w:cs="Arial"/>
                                <w:color w:val="7F7F7F" w:themeColor="text1" w:themeTint="80"/>
                                <w:sz w:val="14"/>
                                <w:szCs w:val="14"/>
                              </w:rPr>
                              <w:t xml:space="preserve"> et al</w:t>
                            </w:r>
                            <w:r w:rsidR="0073588F" w:rsidRPr="00A748CB">
                              <w:rPr>
                                <w:rFonts w:ascii="Arial" w:hAnsi="Arial" w:cs="Arial"/>
                                <w:sz w:val="14"/>
                                <w:szCs w:val="14"/>
                              </w:rPr>
                              <w:t xml:space="preserve">., </w:t>
                            </w:r>
                            <w:r w:rsidRPr="00A748CB">
                              <w:rPr>
                                <w:rFonts w:ascii="Arial" w:hAnsi="Arial" w:cs="Arial"/>
                                <w:sz w:val="14"/>
                                <w:szCs w:val="14"/>
                              </w:rPr>
                              <w:t xml:space="preserve">for making long-term plans </w:t>
                            </w:r>
                            <w:r w:rsidRPr="00A748CB">
                              <w:rPr>
                                <w:rFonts w:ascii="Arial" w:hAnsi="Arial" w:cs="Arial"/>
                                <w:i/>
                                <w:iCs/>
                                <w:sz w:val="14"/>
                                <w:szCs w:val="14"/>
                              </w:rPr>
                              <w:t>adaptive</w:t>
                            </w:r>
                            <w:r w:rsidRPr="00A748CB">
                              <w:rPr>
                                <w:rFonts w:ascii="Arial" w:hAnsi="Arial" w:cs="Arial"/>
                                <w:sz w:val="14"/>
                                <w:szCs w:val="14"/>
                              </w:rPr>
                              <w:t xml:space="preserve">, and, especially, for creating </w:t>
                            </w:r>
                            <w:r w:rsidRPr="00A748CB">
                              <w:rPr>
                                <w:rFonts w:ascii="Arial" w:hAnsi="Arial" w:cs="Arial"/>
                                <w:i/>
                                <w:iCs/>
                                <w:sz w:val="14"/>
                                <w:szCs w:val="14"/>
                              </w:rPr>
                              <w:t>flexible strategies and plans</w:t>
                            </w:r>
                            <w:r w:rsidRPr="00A748CB">
                              <w:rPr>
                                <w:rFonts w:ascii="Arial" w:hAnsi="Arial" w:cs="Arial"/>
                                <w:sz w:val="14"/>
                                <w:szCs w:val="14"/>
                              </w:rPr>
                              <w:t>:</w:t>
                            </w:r>
                            <w:r w:rsidRPr="00A748CB">
                              <w:rPr>
                                <w:rFonts w:ascii="Arial" w:hAnsi="Arial" w:cs="Arial"/>
                                <w:bCs/>
                                <w:sz w:val="14"/>
                                <w:szCs w:val="14"/>
                              </w:rPr>
                              <w:t xml:space="preserve"> </w:t>
                            </w:r>
                            <w:r w:rsidRPr="00A748CB">
                              <w:rPr>
                                <w:rFonts w:ascii="Arial" w:hAnsi="Arial" w:cs="Arial"/>
                                <w:sz w:val="14"/>
                                <w:szCs w:val="14"/>
                              </w:rPr>
                              <w:t xml:space="preserve">recent </w:t>
                            </w:r>
                            <w:r w:rsidR="0073588F" w:rsidRPr="00A748CB">
                              <w:rPr>
                                <w:rFonts w:ascii="Arial" w:hAnsi="Arial" w:cs="Arial"/>
                                <w:sz w:val="14"/>
                                <w:szCs w:val="14"/>
                              </w:rPr>
                              <w:t xml:space="preserve">literature </w:t>
                            </w:r>
                            <w:r w:rsidR="00FD6A11" w:rsidRPr="00A748CB">
                              <w:rPr>
                                <w:rFonts w:ascii="Arial" w:hAnsi="Arial" w:cs="Arial"/>
                                <w:sz w:val="14"/>
                                <w:szCs w:val="14"/>
                              </w:rPr>
                              <w:t>indicates</w:t>
                            </w:r>
                            <w:r w:rsidR="0073588F" w:rsidRPr="00A748CB">
                              <w:rPr>
                                <w:rFonts w:ascii="Arial" w:hAnsi="Arial" w:cs="Arial"/>
                                <w:sz w:val="14"/>
                                <w:szCs w:val="14"/>
                              </w:rPr>
                              <w:t xml:space="preserve"> three tools (methodological approaches)</w:t>
                            </w:r>
                            <w:r w:rsidRPr="00A748CB">
                              <w:rPr>
                                <w:rFonts w:ascii="Arial" w:hAnsi="Arial" w:cs="Arial"/>
                                <w:sz w:val="14"/>
                                <w:szCs w:val="14"/>
                              </w:rPr>
                              <w:t>:</w:t>
                            </w:r>
                            <w:r w:rsidR="0073588F" w:rsidRPr="00A748CB">
                              <w:rPr>
                                <w:rFonts w:ascii="Arial" w:hAnsi="Arial" w:cs="Arial"/>
                                <w:sz w:val="14"/>
                                <w:szCs w:val="14"/>
                              </w:rPr>
                              <w:t xml:space="preserve"> </w:t>
                            </w:r>
                            <w:r w:rsidR="00D2118A" w:rsidRPr="00A748CB">
                              <w:rPr>
                                <w:rFonts w:ascii="Arial" w:hAnsi="Arial" w:cs="Arial"/>
                                <w:bCs/>
                                <w:sz w:val="14"/>
                                <w:szCs w:val="14"/>
                              </w:rPr>
                              <w:t xml:space="preserve">scenarios, tipping-points, and adaptation pathways (which requires ordering various possible measures in time) </w:t>
                            </w:r>
                            <w:r w:rsidR="00D2118A" w:rsidRPr="00A748CB">
                              <w:rPr>
                                <w:rFonts w:ascii="Arial" w:hAnsi="Arial" w:cs="Arial"/>
                                <w:sz w:val="14"/>
                                <w:szCs w:val="14"/>
                              </w:rPr>
                              <w:t>(</w:t>
                            </w:r>
                            <w:proofErr w:type="spellStart"/>
                            <w:r w:rsidR="00D2118A" w:rsidRPr="00A748CB">
                              <w:rPr>
                                <w:rFonts w:ascii="Arial" w:hAnsi="Arial" w:cs="Arial"/>
                                <w:color w:val="7F7F7F" w:themeColor="text1" w:themeTint="80"/>
                                <w:sz w:val="14"/>
                                <w:szCs w:val="14"/>
                              </w:rPr>
                              <w:t>Restemeyer</w:t>
                            </w:r>
                            <w:proofErr w:type="spellEnd"/>
                            <w:r w:rsidR="00D2118A" w:rsidRPr="00A748CB">
                              <w:rPr>
                                <w:rFonts w:ascii="Arial" w:hAnsi="Arial" w:cs="Arial"/>
                                <w:color w:val="7F7F7F" w:themeColor="text1" w:themeTint="80"/>
                                <w:sz w:val="14"/>
                                <w:szCs w:val="14"/>
                              </w:rPr>
                              <w:t xml:space="preserve"> et al. 2017, p.</w:t>
                            </w:r>
                            <w:r w:rsidR="00FD6A11" w:rsidRPr="00A748CB">
                              <w:rPr>
                                <w:rFonts w:ascii="Arial" w:hAnsi="Arial" w:cs="Arial"/>
                                <w:color w:val="7F7F7F" w:themeColor="text1" w:themeTint="80"/>
                                <w:sz w:val="14"/>
                                <w:szCs w:val="14"/>
                              </w:rPr>
                              <w:t>923</w:t>
                            </w:r>
                            <w:r w:rsidR="00CA34D1" w:rsidRPr="00A748CB">
                              <w:rPr>
                                <w:rFonts w:ascii="Arial" w:hAnsi="Arial" w:cs="Arial"/>
                                <w:sz w:val="14"/>
                                <w:szCs w:val="14"/>
                              </w:rPr>
                              <w:t>).</w:t>
                            </w:r>
                          </w:p>
                          <w:p w14:paraId="7A294EF6" w14:textId="116890F7" w:rsidR="00E9136E" w:rsidRPr="00A748CB" w:rsidRDefault="00E9136E" w:rsidP="007D2351">
                            <w:pPr>
                              <w:pStyle w:val="TEXTBODY"/>
                              <w:spacing w:line="240" w:lineRule="auto"/>
                              <w:rPr>
                                <w:rFonts w:ascii="Arial" w:hAnsi="Arial" w:cs="Arial"/>
                                <w:sz w:val="14"/>
                                <w:szCs w:val="14"/>
                              </w:rPr>
                            </w:pPr>
                            <w:r w:rsidRPr="00A748CB">
                              <w:rPr>
                                <w:rFonts w:ascii="Arial" w:hAnsi="Arial" w:cs="Arial"/>
                                <w:sz w:val="14"/>
                                <w:szCs w:val="14"/>
                              </w:rPr>
                              <w:t xml:space="preserve">Drawing on their analysis of the Dutch DP and its ADM approach, the authors demonstrate that </w:t>
                            </w:r>
                            <w:r w:rsidRPr="00A748CB">
                              <w:rPr>
                                <w:rFonts w:ascii="Arial" w:eastAsiaTheme="minorHAnsi" w:hAnsi="Arial" w:cs="Arial"/>
                                <w:sz w:val="14"/>
                                <w:szCs w:val="14"/>
                                <w:lang w:eastAsia="en-US"/>
                              </w:rPr>
                              <w:t xml:space="preserve">Dutch policymakers </w:t>
                            </w:r>
                            <w:r w:rsidR="007D2351" w:rsidRPr="00A748CB">
                              <w:rPr>
                                <w:rFonts w:ascii="Arial" w:eastAsiaTheme="minorHAnsi" w:hAnsi="Arial" w:cs="Arial"/>
                                <w:sz w:val="14"/>
                                <w:szCs w:val="14"/>
                                <w:lang w:eastAsia="en-US"/>
                              </w:rPr>
                              <w:t>face</w:t>
                            </w:r>
                            <w:r w:rsidRPr="00A748CB">
                              <w:rPr>
                                <w:rFonts w:ascii="Arial" w:eastAsiaTheme="minorHAnsi" w:hAnsi="Arial" w:cs="Arial"/>
                                <w:sz w:val="14"/>
                                <w:szCs w:val="14"/>
                                <w:lang w:eastAsia="en-US"/>
                              </w:rPr>
                              <w:t xml:space="preserve"> a dilemma between </w:t>
                            </w:r>
                            <w:r w:rsidRPr="00A748CB">
                              <w:rPr>
                                <w:rFonts w:ascii="Arial" w:eastAsiaTheme="minorHAnsi" w:hAnsi="Arial" w:cs="Arial"/>
                                <w:i/>
                                <w:iCs/>
                                <w:sz w:val="14"/>
                                <w:szCs w:val="14"/>
                                <w:lang w:eastAsia="en-US"/>
                              </w:rPr>
                              <w:t>adaptability and the urge to control</w:t>
                            </w:r>
                            <w:r w:rsidRPr="00A748CB">
                              <w:rPr>
                                <w:rFonts w:ascii="Arial" w:eastAsiaTheme="minorHAnsi" w:hAnsi="Arial" w:cs="Arial"/>
                                <w:sz w:val="14"/>
                                <w:szCs w:val="14"/>
                                <w:lang w:eastAsia="en-US"/>
                              </w:rPr>
                              <w:t xml:space="preserve">. To overcome it, the authors suggest a stronger focus on monitoring and learning to strengthen the adaptability of long-term policies, as well as a stronger engagement of local stakeholders </w:t>
                            </w:r>
                            <w:r w:rsidRPr="00A748CB">
                              <w:rPr>
                                <w:rFonts w:ascii="Arial" w:hAnsi="Arial" w:cs="Arial"/>
                                <w:sz w:val="14"/>
                                <w:szCs w:val="14"/>
                              </w:rPr>
                              <w:t>(</w:t>
                            </w:r>
                            <w:proofErr w:type="spellStart"/>
                            <w:r w:rsidRPr="00A748CB">
                              <w:rPr>
                                <w:rFonts w:ascii="Arial" w:hAnsi="Arial" w:cs="Arial"/>
                                <w:color w:val="7F7F7F" w:themeColor="text1" w:themeTint="80"/>
                                <w:sz w:val="14"/>
                                <w:szCs w:val="14"/>
                              </w:rPr>
                              <w:t>Restemeyer</w:t>
                            </w:r>
                            <w:proofErr w:type="spellEnd"/>
                            <w:r w:rsidRPr="00A748CB">
                              <w:rPr>
                                <w:rFonts w:ascii="Arial" w:hAnsi="Arial" w:cs="Arial"/>
                                <w:color w:val="7F7F7F" w:themeColor="text1" w:themeTint="80"/>
                                <w:sz w:val="14"/>
                                <w:szCs w:val="14"/>
                              </w:rPr>
                              <w:t xml:space="preserve"> et al. 2017, p.920</w:t>
                            </w:r>
                            <w:r w:rsidR="00AD4CED" w:rsidRPr="00A748CB">
                              <w:rPr>
                                <w:rFonts w:ascii="Arial" w:hAnsi="Arial" w:cs="Arial"/>
                                <w:color w:val="7F7F7F" w:themeColor="text1" w:themeTint="80"/>
                                <w:sz w:val="14"/>
                                <w:szCs w:val="14"/>
                              </w:rPr>
                              <w:t>, 935-936</w:t>
                            </w:r>
                            <w:r w:rsidRPr="00A748CB">
                              <w:rPr>
                                <w:rFonts w:ascii="Arial" w:hAnsi="Arial" w:cs="Arial"/>
                                <w:sz w:val="14"/>
                                <w:szCs w:val="14"/>
                              </w:rPr>
                              <w:t>).</w:t>
                            </w:r>
                          </w:p>
                          <w:p w14:paraId="37E181EC" w14:textId="77777777" w:rsidR="007D2351" w:rsidRPr="00A748CB" w:rsidRDefault="007D2351" w:rsidP="007D2351">
                            <w:pPr>
                              <w:pStyle w:val="TEXTBODY"/>
                              <w:spacing w:line="240" w:lineRule="auto"/>
                              <w:rPr>
                                <w:rFonts w:ascii="Arial" w:hAnsi="Arial" w:cs="Arial"/>
                                <w:sz w:val="14"/>
                                <w:szCs w:val="14"/>
                              </w:rPr>
                            </w:pPr>
                          </w:p>
                          <w:p w14:paraId="53049194" w14:textId="77777777" w:rsidR="00CA34D1" w:rsidRPr="00A748CB" w:rsidRDefault="00CA34D1" w:rsidP="007D2351">
                            <w:pPr>
                              <w:pStyle w:val="TEXTBODY"/>
                              <w:spacing w:line="240" w:lineRule="auto"/>
                              <w:jc w:val="left"/>
                              <w:rPr>
                                <w:rFonts w:ascii="Arial" w:hAnsi="Arial" w:cs="Arial"/>
                                <w:sz w:val="14"/>
                                <w:szCs w:val="14"/>
                              </w:rPr>
                            </w:pPr>
                          </w:p>
                          <w:p w14:paraId="35758BC9" w14:textId="77777777" w:rsidR="00A61A74" w:rsidRPr="00A748CB" w:rsidRDefault="00A61A74" w:rsidP="007D2351">
                            <w:pPr>
                              <w:pStyle w:val="TEXTBODY"/>
                              <w:spacing w:line="240" w:lineRule="auto"/>
                              <w:jc w:val="left"/>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C1CB5C" id="_x0000_s1035" type="#_x0000_t202" style="position:absolute;left:0;text-align:left;margin-left:52.5pt;margin-top:1.3pt;width:492.1pt;height:333.75pt;z-index:-2506716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" fillcolor="#dce6f2" stroked="f">
                <v:textbox>
                  <w:txbxContent>
                    <w:p w14:paraId="28F2B8C9" w14:textId="18497545" w:rsidR="00A61A74" w:rsidRPr="00A748CB" w:rsidRDefault="00A61A74" w:rsidP="007D2351">
                      <w:pPr>
                        <w:pStyle w:val="TEXTBODY"/>
                        <w:spacing w:after="0" w:line="240" w:lineRule="auto"/>
                        <w:jc w:val="left"/>
                        <w:rPr>
                          <w:rFonts w:ascii="Arial" w:hAnsi="Arial" w:cs="Arial"/>
                          <w:b/>
                          <w:bCs/>
                          <w:i/>
                          <w:iCs/>
                          <w:sz w:val="14"/>
                          <w:szCs w:val="14"/>
                        </w:rPr>
                      </w:pPr>
                      <w:r w:rsidRPr="00A748CB">
                        <w:rPr>
                          <w:rFonts w:ascii="Arial" w:hAnsi="Arial" w:cs="Arial"/>
                          <w:b/>
                          <w:bCs/>
                          <w:sz w:val="14"/>
                          <w:szCs w:val="14"/>
                        </w:rPr>
                        <w:t>BOX</w:t>
                      </w:r>
                      <w:r w:rsidR="00F25FD8" w:rsidRPr="00A748CB">
                        <w:rPr>
                          <w:rFonts w:ascii="Arial" w:hAnsi="Arial" w:cs="Arial"/>
                          <w:b/>
                          <w:bCs/>
                          <w:sz w:val="14"/>
                          <w:szCs w:val="14"/>
                        </w:rPr>
                        <w:t>.</w:t>
                      </w:r>
                      <w:r w:rsidRPr="00A748CB">
                        <w:rPr>
                          <w:rFonts w:ascii="Arial" w:hAnsi="Arial" w:cs="Arial"/>
                          <w:b/>
                          <w:bCs/>
                          <w:sz w:val="14"/>
                          <w:szCs w:val="14"/>
                        </w:rPr>
                        <w:t xml:space="preserve"> Theoretical grounds of </w:t>
                      </w:r>
                      <w:r w:rsidRPr="00A748CB">
                        <w:rPr>
                          <w:rFonts w:ascii="Arial" w:hAnsi="Arial" w:cs="Arial"/>
                          <w:b/>
                          <w:bCs/>
                          <w:i/>
                          <w:iCs/>
                          <w:sz w:val="14"/>
                          <w:szCs w:val="14"/>
                        </w:rPr>
                        <w:t>Adaptive Planning approaches</w:t>
                      </w:r>
                      <w:r w:rsidR="00CA34D1" w:rsidRPr="00A748CB">
                        <w:rPr>
                          <w:rFonts w:ascii="Arial" w:hAnsi="Arial" w:cs="Arial"/>
                          <w:b/>
                          <w:bCs/>
                          <w:i/>
                          <w:iCs/>
                          <w:sz w:val="14"/>
                          <w:szCs w:val="14"/>
                        </w:rPr>
                        <w:t xml:space="preserve"> </w:t>
                      </w:r>
                    </w:p>
                    <w:p w14:paraId="46C3663A" w14:textId="77777777" w:rsidR="00A61A74" w:rsidRPr="00A748CB" w:rsidRDefault="00A61A74" w:rsidP="007D2351">
                      <w:pPr>
                        <w:pStyle w:val="TEXTBODY"/>
                        <w:spacing w:after="0" w:line="240" w:lineRule="auto"/>
                        <w:jc w:val="left"/>
                        <w:rPr>
                          <w:rFonts w:ascii="Arial" w:hAnsi="Arial" w:cs="Arial"/>
                          <w:b/>
                          <w:bCs/>
                          <w:sz w:val="14"/>
                          <w:szCs w:val="14"/>
                        </w:rPr>
                      </w:pPr>
                    </w:p>
                    <w:p w14:paraId="1988A9D6" w14:textId="6F7FCEF9" w:rsidR="00E435AA" w:rsidRPr="00A748CB" w:rsidRDefault="00A61A74" w:rsidP="00A748CB">
                      <w:pPr>
                        <w:pStyle w:val="TEXTBODY"/>
                        <w:spacing w:line="240" w:lineRule="auto"/>
                        <w:jc w:val="left"/>
                        <w:rPr>
                          <w:rFonts w:ascii="Arial" w:hAnsi="Arial" w:cs="Arial"/>
                          <w:sz w:val="14"/>
                          <w:szCs w:val="14"/>
                        </w:rPr>
                      </w:pPr>
                      <w:r w:rsidRPr="00A748CB">
                        <w:rPr>
                          <w:rFonts w:ascii="Arial" w:hAnsi="Arial" w:cs="Arial"/>
                          <w:sz w:val="14"/>
                          <w:szCs w:val="14"/>
                        </w:rPr>
                        <w:t xml:space="preserve">In the light of the </w:t>
                      </w:r>
                      <w:r w:rsidRPr="00A748CB">
                        <w:rPr>
                          <w:rFonts w:ascii="Arial" w:hAnsi="Arial" w:cs="Arial"/>
                          <w:b/>
                          <w:bCs/>
                          <w:i/>
                          <w:iCs/>
                          <w:sz w:val="14"/>
                          <w:szCs w:val="14"/>
                        </w:rPr>
                        <w:t>Adaptive Planning paradigm</w:t>
                      </w:r>
                      <w:r w:rsidRPr="00A748CB">
                        <w:rPr>
                          <w:rFonts w:ascii="Arial" w:hAnsi="Arial" w:cs="Arial"/>
                          <w:b/>
                          <w:bCs/>
                          <w:sz w:val="14"/>
                          <w:szCs w:val="14"/>
                        </w:rPr>
                        <w:t>,</w:t>
                      </w:r>
                      <w:r w:rsidRPr="00A748CB">
                        <w:rPr>
                          <w:rFonts w:ascii="Arial" w:hAnsi="Arial" w:cs="Arial"/>
                          <w:sz w:val="14"/>
                          <w:szCs w:val="14"/>
                        </w:rPr>
                        <w:t xml:space="preserve"> under deep uncertainties about future changes, a planner must develop a ‘</w:t>
                      </w:r>
                      <w:r w:rsidRPr="00A748CB">
                        <w:rPr>
                          <w:rFonts w:ascii="Arial" w:hAnsi="Arial" w:cs="Arial"/>
                          <w:i/>
                          <w:iCs/>
                          <w:sz w:val="14"/>
                          <w:szCs w:val="14"/>
                        </w:rPr>
                        <w:t>dynamic adaptive plan/policy</w:t>
                      </w:r>
                      <w:r w:rsidRPr="00A748CB">
                        <w:rPr>
                          <w:rFonts w:ascii="Arial" w:hAnsi="Arial" w:cs="Arial"/>
                          <w:sz w:val="14"/>
                          <w:szCs w:val="14"/>
                        </w:rPr>
                        <w:t>’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xml:space="preserve"> et al. 2014, p.2</w:t>
                      </w:r>
                      <w:r w:rsidRPr="00A748CB">
                        <w:rPr>
                          <w:rFonts w:ascii="Arial" w:hAnsi="Arial" w:cs="Arial"/>
                          <w:sz w:val="14"/>
                          <w:szCs w:val="14"/>
                        </w:rPr>
                        <w:t xml:space="preserve">). </w:t>
                      </w:r>
                    </w:p>
                    <w:p w14:paraId="27D675F3" w14:textId="15364FE9" w:rsidR="00E435AA" w:rsidRPr="00A748CB" w:rsidRDefault="00A61A74" w:rsidP="007D2351">
                      <w:pPr>
                        <w:pStyle w:val="TEXTBODY"/>
                        <w:spacing w:line="240" w:lineRule="auto"/>
                        <w:ind w:left="567"/>
                        <w:jc w:val="left"/>
                        <w:rPr>
                          <w:rFonts w:ascii="Arial" w:hAnsi="Arial" w:cs="Arial"/>
                          <w:sz w:val="14"/>
                          <w:szCs w:val="14"/>
                        </w:rPr>
                      </w:pPr>
                      <w:r w:rsidRPr="00A748CB">
                        <w:rPr>
                          <w:rFonts w:ascii="Arial" w:hAnsi="Arial" w:cs="Arial"/>
                          <w:sz w:val="14"/>
                          <w:szCs w:val="14"/>
                        </w:rPr>
                        <w:t xml:space="preserve">The APs approach is defined as a (methodological) </w:t>
                      </w:r>
                      <w:r w:rsidRPr="00A748CB">
                        <w:rPr>
                          <w:rFonts w:ascii="Arial" w:hAnsi="Arial" w:cs="Arial"/>
                          <w:b/>
                          <w:bCs/>
                          <w:i/>
                          <w:iCs/>
                          <w:sz w:val="14"/>
                          <w:szCs w:val="14"/>
                        </w:rPr>
                        <w:t>approach for exploring and sequencing a set of possible actions</w:t>
                      </w:r>
                      <w:r w:rsidRPr="00A748CB">
                        <w:rPr>
                          <w:rFonts w:ascii="Arial" w:hAnsi="Arial" w:cs="Arial"/>
                          <w:i/>
                          <w:iCs/>
                          <w:sz w:val="14"/>
                          <w:szCs w:val="14"/>
                        </w:rPr>
                        <w:t xml:space="preserve"> </w:t>
                      </w:r>
                      <w:r w:rsidRPr="00A748CB">
                        <w:rPr>
                          <w:rFonts w:ascii="Arial" w:hAnsi="Arial" w:cs="Arial"/>
                          <w:sz w:val="14"/>
                          <w:szCs w:val="14"/>
                        </w:rPr>
                        <w:t>(i.e. a set of possible measures)</w:t>
                      </w:r>
                      <w:r w:rsidRPr="00A748CB">
                        <w:rPr>
                          <w:rFonts w:ascii="Arial" w:hAnsi="Arial" w:cs="Arial"/>
                          <w:i/>
                          <w:iCs/>
                          <w:sz w:val="14"/>
                          <w:szCs w:val="14"/>
                        </w:rPr>
                        <w:t xml:space="preserve"> based on alternative external developments over time</w:t>
                      </w:r>
                      <w:r w:rsidRPr="00A748CB">
                        <w:rPr>
                          <w:rFonts w:ascii="Arial" w:hAnsi="Arial" w:cs="Arial"/>
                          <w:sz w:val="14"/>
                          <w:szCs w:val="14"/>
                        </w:rPr>
                        <w:t xml:space="preserve"> (</w:t>
                      </w:r>
                      <w:proofErr w:type="spellStart"/>
                      <w:r w:rsidRPr="00A748CB">
                        <w:rPr>
                          <w:rFonts w:ascii="Arial" w:hAnsi="Arial" w:cs="Arial"/>
                          <w:color w:val="595959" w:themeColor="text1" w:themeTint="A6"/>
                          <w:sz w:val="14"/>
                          <w:szCs w:val="14"/>
                        </w:rPr>
                        <w:t>Haasnoot</w:t>
                      </w:r>
                      <w:proofErr w:type="spellEnd"/>
                      <w:r w:rsidRPr="00A748CB">
                        <w:rPr>
                          <w:rFonts w:ascii="Arial" w:hAnsi="Arial" w:cs="Arial"/>
                          <w:color w:val="595959" w:themeColor="text1" w:themeTint="A6"/>
                          <w:sz w:val="14"/>
                          <w:szCs w:val="14"/>
                        </w:rPr>
                        <w:t xml:space="preserve"> et al. 2013, p.485</w:t>
                      </w:r>
                      <w:r w:rsidRPr="00A748CB">
                        <w:rPr>
                          <w:rFonts w:ascii="Arial" w:hAnsi="Arial" w:cs="Arial"/>
                          <w:sz w:val="14"/>
                          <w:szCs w:val="14"/>
                        </w:rPr>
                        <w:t xml:space="preserve">). </w:t>
                      </w:r>
                      <w:proofErr w:type="spellStart"/>
                      <w:r w:rsidRPr="00A748CB">
                        <w:rPr>
                          <w:rFonts w:ascii="Arial" w:hAnsi="Arial" w:cs="Arial"/>
                          <w:color w:val="7F7F7F" w:themeColor="text1" w:themeTint="80"/>
                          <w:sz w:val="14"/>
                          <w:szCs w:val="14"/>
                        </w:rPr>
                        <w:t>Haasnoot</w:t>
                      </w:r>
                      <w:proofErr w:type="spellEnd"/>
                      <w:r w:rsidRPr="00A748CB">
                        <w:rPr>
                          <w:rFonts w:ascii="Arial" w:hAnsi="Arial" w:cs="Arial"/>
                          <w:color w:val="7F7F7F" w:themeColor="text1" w:themeTint="80"/>
                          <w:sz w:val="14"/>
                          <w:szCs w:val="14"/>
                        </w:rPr>
                        <w:t xml:space="preserve"> et al. (2012, 2013) </w:t>
                      </w:r>
                      <w:r w:rsidRPr="00A748CB">
                        <w:rPr>
                          <w:rFonts w:ascii="Arial" w:hAnsi="Arial" w:cs="Arial"/>
                          <w:sz w:val="14"/>
                          <w:szCs w:val="14"/>
                        </w:rPr>
                        <w:t xml:space="preserve">and </w:t>
                      </w:r>
                      <w:r w:rsidRPr="00A748CB">
                        <w:rPr>
                          <w:rFonts w:ascii="Arial" w:hAnsi="Arial" w:cs="Arial"/>
                          <w:color w:val="7F7F7F" w:themeColor="text1" w:themeTint="80"/>
                          <w:sz w:val="14"/>
                          <w:szCs w:val="14"/>
                        </w:rPr>
                        <w:t xml:space="preserve">Walker et al. (2013) </w:t>
                      </w:r>
                      <w:r w:rsidRPr="00A748CB">
                        <w:rPr>
                          <w:rFonts w:ascii="Arial" w:hAnsi="Arial" w:cs="Arial"/>
                          <w:sz w:val="14"/>
                          <w:szCs w:val="14"/>
                        </w:rPr>
                        <w:t xml:space="preserve">place the APs within family of Adaptive Planning approaches. The APs offers a methodological approach for designing a </w:t>
                      </w:r>
                      <w:r w:rsidRPr="00A748CB">
                        <w:rPr>
                          <w:rFonts w:ascii="Arial" w:hAnsi="Arial" w:cs="Arial"/>
                          <w:i/>
                          <w:iCs/>
                          <w:sz w:val="14"/>
                          <w:szCs w:val="14"/>
                        </w:rPr>
                        <w:t>dynamic adaptive plan</w:t>
                      </w:r>
                      <w:r w:rsidRPr="00A748CB">
                        <w:rPr>
                          <w:rFonts w:ascii="Arial" w:hAnsi="Arial" w:cs="Arial"/>
                          <w:sz w:val="14"/>
                          <w:szCs w:val="14"/>
                        </w:rPr>
                        <w:t xml:space="preserve"> that is both </w:t>
                      </w:r>
                      <w:r w:rsidRPr="00A748CB">
                        <w:rPr>
                          <w:rFonts w:ascii="Arial" w:hAnsi="Arial" w:cs="Arial"/>
                          <w:i/>
                          <w:iCs/>
                          <w:sz w:val="14"/>
                          <w:szCs w:val="14"/>
                        </w:rPr>
                        <w:t>robust</w:t>
                      </w:r>
                      <w:r w:rsidRPr="00A748CB">
                        <w:rPr>
                          <w:rFonts w:ascii="Arial" w:hAnsi="Arial" w:cs="Arial"/>
                          <w:sz w:val="14"/>
                          <w:szCs w:val="14"/>
                        </w:rPr>
                        <w:t xml:space="preserve"> and </w:t>
                      </w:r>
                      <w:r w:rsidRPr="00A748CB">
                        <w:rPr>
                          <w:rFonts w:ascii="Arial" w:hAnsi="Arial" w:cs="Arial"/>
                          <w:i/>
                          <w:iCs/>
                          <w:sz w:val="14"/>
                          <w:szCs w:val="14"/>
                        </w:rPr>
                        <w:t>adaptive</w:t>
                      </w:r>
                      <w:r w:rsidRPr="00A748CB">
                        <w:rPr>
                          <w:rFonts w:ascii="Arial" w:hAnsi="Arial" w:cs="Arial"/>
                          <w:sz w:val="14"/>
                          <w:szCs w:val="14"/>
                        </w:rPr>
                        <w:t xml:space="preserve"> under uncertain future change.</w:t>
                      </w:r>
                    </w:p>
                    <w:p w14:paraId="58747D26" w14:textId="77777777" w:rsidR="004E78FB" w:rsidRPr="00A748CB" w:rsidRDefault="004E78FB" w:rsidP="000F50EB">
                      <w:pPr>
                        <w:pStyle w:val="TEXTBODY"/>
                        <w:numPr>
                          <w:ilvl w:val="0"/>
                          <w:numId w:val="78"/>
                        </w:numPr>
                        <w:spacing w:after="60" w:line="240" w:lineRule="auto"/>
                        <w:ind w:left="284" w:hanging="284"/>
                        <w:rPr>
                          <w:rFonts w:ascii="Arial" w:hAnsi="Arial" w:cs="Arial"/>
                          <w:sz w:val="14"/>
                          <w:szCs w:val="14"/>
                        </w:rPr>
                      </w:pPr>
                      <w:r w:rsidRPr="00A748CB">
                        <w:rPr>
                          <w:rFonts w:ascii="Arial" w:hAnsi="Arial" w:cs="Arial"/>
                          <w:sz w:val="14"/>
                          <w:szCs w:val="14"/>
                        </w:rPr>
                        <w:t xml:space="preserve">In an Adaptive Planning approach, </w:t>
                      </w:r>
                      <w:r w:rsidRPr="00A748CB">
                        <w:rPr>
                          <w:rFonts w:ascii="Arial" w:hAnsi="Arial" w:cs="Arial"/>
                          <w:i/>
                          <w:iCs/>
                          <w:sz w:val="14"/>
                          <w:szCs w:val="14"/>
                        </w:rPr>
                        <w:t xml:space="preserve">flexibility </w:t>
                      </w:r>
                      <w:r w:rsidRPr="00A748CB">
                        <w:rPr>
                          <w:rFonts w:ascii="Arial" w:hAnsi="Arial" w:cs="Arial"/>
                          <w:sz w:val="14"/>
                          <w:szCs w:val="14"/>
                        </w:rPr>
                        <w:t xml:space="preserve">is a characteristic of the general plan / strategy, which enables it to deal with uncertain future changes, in specific, decisions and actions in the near future should </w:t>
                      </w:r>
                      <w:r w:rsidRPr="00A748CB">
                        <w:rPr>
                          <w:rFonts w:ascii="Arial" w:hAnsi="Arial" w:cs="Arial"/>
                          <w:b/>
                          <w:bCs/>
                          <w:sz w:val="14"/>
                          <w:szCs w:val="14"/>
                          <w:u w:val="thick"/>
                        </w:rPr>
                        <w:t>not foreclose future options (to act differently, to switch of action or to add actions)</w:t>
                      </w:r>
                      <w:r w:rsidRPr="00A748CB">
                        <w:rPr>
                          <w:rFonts w:ascii="Arial" w:hAnsi="Arial" w:cs="Arial"/>
                          <w:sz w:val="14"/>
                          <w:szCs w:val="14"/>
                          <w:u w:val="thick"/>
                        </w:rPr>
                        <w:t xml:space="preserve"> </w:t>
                      </w:r>
                      <w:r w:rsidRPr="00A748CB">
                        <w:rPr>
                          <w:rFonts w:ascii="Arial" w:hAnsi="Arial" w:cs="Arial"/>
                          <w:sz w:val="14"/>
                          <w:szCs w:val="14"/>
                        </w:rPr>
                        <w:t>if climatic and socioeconomic changes demand so, and, on the other hand, developments occurring in the near future should not foreclose future adaptation options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xml:space="preserve"> et al. 2014, p.16</w:t>
                      </w:r>
                      <w:r w:rsidRPr="00A748CB">
                        <w:rPr>
                          <w:rFonts w:ascii="Arial" w:hAnsi="Arial" w:cs="Arial"/>
                          <w:sz w:val="14"/>
                          <w:szCs w:val="14"/>
                        </w:rPr>
                        <w:t xml:space="preserve">). </w:t>
                      </w:r>
                    </w:p>
                    <w:p w14:paraId="07F1F240" w14:textId="77777777" w:rsidR="004E78FB" w:rsidRPr="00A748CB" w:rsidRDefault="004E78FB" w:rsidP="000F50EB">
                      <w:pPr>
                        <w:pStyle w:val="TEXTBODY"/>
                        <w:numPr>
                          <w:ilvl w:val="0"/>
                          <w:numId w:val="78"/>
                        </w:numPr>
                        <w:spacing w:after="60" w:line="240" w:lineRule="auto"/>
                        <w:ind w:left="284" w:hanging="284"/>
                        <w:rPr>
                          <w:rFonts w:ascii="Arial" w:hAnsi="Arial" w:cs="Arial"/>
                          <w:sz w:val="14"/>
                          <w:szCs w:val="14"/>
                        </w:rPr>
                      </w:pPr>
                      <w:r w:rsidRPr="00A748CB">
                        <w:rPr>
                          <w:rFonts w:ascii="Arial" w:hAnsi="Arial" w:cs="Arial"/>
                          <w:sz w:val="14"/>
                          <w:szCs w:val="14"/>
                        </w:rPr>
                        <w:t xml:space="preserve">The development of </w:t>
                      </w:r>
                      <w:r w:rsidRPr="00A748CB">
                        <w:rPr>
                          <w:rFonts w:ascii="Arial" w:hAnsi="Arial" w:cs="Arial"/>
                          <w:i/>
                          <w:iCs/>
                          <w:sz w:val="14"/>
                          <w:szCs w:val="14"/>
                        </w:rPr>
                        <w:t>flexible strategies</w:t>
                      </w:r>
                      <w:r w:rsidRPr="00A748CB">
                        <w:rPr>
                          <w:rFonts w:ascii="Arial" w:hAnsi="Arial" w:cs="Arial"/>
                          <w:sz w:val="14"/>
                          <w:szCs w:val="14"/>
                        </w:rPr>
                        <w:t xml:space="preserve"> implies finding (</w:t>
                      </w:r>
                      <w:r w:rsidRPr="00A748CB">
                        <w:rPr>
                          <w:rFonts w:ascii="Arial" w:hAnsi="Arial" w:cs="Arial"/>
                          <w:i/>
                          <w:iCs/>
                          <w:sz w:val="14"/>
                          <w:szCs w:val="14"/>
                        </w:rPr>
                        <w:t>flexible</w:t>
                      </w:r>
                      <w:r w:rsidRPr="00A748CB">
                        <w:rPr>
                          <w:rFonts w:ascii="Arial" w:hAnsi="Arial" w:cs="Arial"/>
                          <w:sz w:val="14"/>
                          <w:szCs w:val="14"/>
                        </w:rPr>
                        <w:t>) measures that do not block future strategies (or further measures that might be necessary) and avoiding irreversible measures (namely over- and under-investments) as far as possible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xml:space="preserve"> and Reeder 2011, p.1, 2</w:t>
                      </w:r>
                      <w:r w:rsidRPr="00A748CB">
                        <w:rPr>
                          <w:rFonts w:ascii="Arial" w:hAnsi="Arial" w:cs="Arial"/>
                          <w:sz w:val="14"/>
                          <w:szCs w:val="14"/>
                        </w:rPr>
                        <w:t>).</w:t>
                      </w:r>
                    </w:p>
                    <w:p w14:paraId="67E733C0" w14:textId="77777777" w:rsidR="004E78FB" w:rsidRPr="00A748CB" w:rsidRDefault="004E78FB" w:rsidP="000F50EB">
                      <w:pPr>
                        <w:pStyle w:val="TEXTBODY"/>
                        <w:numPr>
                          <w:ilvl w:val="0"/>
                          <w:numId w:val="78"/>
                        </w:numPr>
                        <w:spacing w:after="60" w:line="240" w:lineRule="auto"/>
                        <w:ind w:left="284" w:hanging="284"/>
                        <w:rPr>
                          <w:rFonts w:ascii="Arial" w:hAnsi="Arial" w:cs="Arial"/>
                          <w:sz w:val="14"/>
                          <w:szCs w:val="14"/>
                        </w:rPr>
                      </w:pPr>
                      <w:r w:rsidRPr="00A748CB">
                        <w:rPr>
                          <w:rFonts w:ascii="Arial" w:hAnsi="Arial" w:cs="Arial"/>
                          <w:sz w:val="14"/>
                          <w:szCs w:val="14"/>
                        </w:rPr>
                        <w:t>The flexibility of a plan / strategy</w:t>
                      </w:r>
                      <w:r w:rsidRPr="00A748CB">
                        <w:rPr>
                          <w:rFonts w:ascii="Arial" w:hAnsi="Arial" w:cs="Arial"/>
                          <w:i/>
                          <w:iCs/>
                          <w:sz w:val="14"/>
                          <w:szCs w:val="14"/>
                        </w:rPr>
                        <w:t xml:space="preserve"> </w:t>
                      </w:r>
                      <w:r w:rsidRPr="00A748CB">
                        <w:rPr>
                          <w:rFonts w:ascii="Arial" w:hAnsi="Arial" w:cs="Arial"/>
                          <w:sz w:val="14"/>
                          <w:szCs w:val="14"/>
                        </w:rPr>
                        <w:t>can be increased</w:t>
                      </w:r>
                      <w:r w:rsidRPr="00A748CB">
                        <w:rPr>
                          <w:rFonts w:ascii="Arial" w:hAnsi="Arial" w:cs="Arial"/>
                          <w:i/>
                          <w:iCs/>
                          <w:sz w:val="14"/>
                          <w:szCs w:val="14"/>
                        </w:rPr>
                        <w:t xml:space="preserve"> ‘if measures can be implemented stepwise, or if there is the possibility of switching to other measures</w:t>
                      </w:r>
                      <w:r w:rsidRPr="00A748CB">
                        <w:rPr>
                          <w:rFonts w:ascii="Arial" w:hAnsi="Arial" w:cs="Arial"/>
                          <w:sz w:val="14"/>
                          <w:szCs w:val="14"/>
                        </w:rPr>
                        <w:t>’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xml:space="preserve"> et al. 2014, p.18</w:t>
                      </w:r>
                      <w:r w:rsidRPr="00A748CB">
                        <w:rPr>
                          <w:rFonts w:ascii="Arial" w:hAnsi="Arial" w:cs="Arial"/>
                          <w:sz w:val="14"/>
                          <w:szCs w:val="14"/>
                        </w:rPr>
                        <w:t>).</w:t>
                      </w:r>
                    </w:p>
                    <w:p w14:paraId="2BB936ED" w14:textId="77777777" w:rsidR="004E78FB" w:rsidRPr="00A748CB" w:rsidRDefault="004E78FB" w:rsidP="000F50EB">
                      <w:pPr>
                        <w:pStyle w:val="TEXTBODY"/>
                        <w:numPr>
                          <w:ilvl w:val="0"/>
                          <w:numId w:val="78"/>
                        </w:numPr>
                        <w:spacing w:after="60" w:line="240" w:lineRule="auto"/>
                        <w:ind w:left="284" w:hanging="284"/>
                        <w:rPr>
                          <w:rFonts w:ascii="Arial" w:hAnsi="Arial" w:cs="Arial"/>
                          <w:sz w:val="14"/>
                          <w:szCs w:val="14"/>
                        </w:rPr>
                      </w:pPr>
                      <w:r w:rsidRPr="00A748CB">
                        <w:rPr>
                          <w:rFonts w:ascii="Arial" w:hAnsi="Arial" w:cs="Arial"/>
                          <w:sz w:val="14"/>
                          <w:szCs w:val="14"/>
                        </w:rPr>
                        <w:t>The flexibility of a</w:t>
                      </w:r>
                      <w:r w:rsidRPr="00A748CB">
                        <w:rPr>
                          <w:rFonts w:ascii="Arial" w:hAnsi="Arial" w:cs="Arial"/>
                          <w:i/>
                          <w:iCs/>
                          <w:sz w:val="14"/>
                          <w:szCs w:val="14"/>
                        </w:rPr>
                        <w:t xml:space="preserve"> strategy </w:t>
                      </w:r>
                      <w:r w:rsidRPr="00A748CB">
                        <w:rPr>
                          <w:rFonts w:ascii="Arial" w:hAnsi="Arial" w:cs="Arial"/>
                          <w:sz w:val="14"/>
                          <w:szCs w:val="14"/>
                        </w:rPr>
                        <w:t>can be increased</w:t>
                      </w:r>
                      <w:r w:rsidRPr="00A748CB">
                        <w:rPr>
                          <w:rFonts w:ascii="Arial" w:hAnsi="Arial" w:cs="Arial"/>
                          <w:i/>
                          <w:iCs/>
                          <w:sz w:val="14"/>
                          <w:szCs w:val="14"/>
                        </w:rPr>
                        <w:t xml:space="preserve"> if measures can be implemented stepwise </w:t>
                      </w:r>
                      <w:r w:rsidRPr="00A748CB">
                        <w:rPr>
                          <w:rFonts w:ascii="Arial" w:hAnsi="Arial" w:cs="Arial"/>
                          <w:sz w:val="14"/>
                          <w:szCs w:val="14"/>
                        </w:rPr>
                        <w:t>(</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xml:space="preserve"> et al. 2014, p.18)</w:t>
                      </w:r>
                      <w:r w:rsidRPr="00A748CB">
                        <w:rPr>
                          <w:rFonts w:ascii="Arial" w:hAnsi="Arial" w:cs="Arial"/>
                          <w:sz w:val="14"/>
                          <w:szCs w:val="14"/>
                        </w:rPr>
                        <w:t xml:space="preserve">; </w:t>
                      </w:r>
                      <w:r w:rsidRPr="00A748CB">
                        <w:rPr>
                          <w:rFonts w:ascii="Arial" w:eastAsiaTheme="minorHAnsi" w:hAnsi="Arial" w:cs="Arial"/>
                          <w:sz w:val="14"/>
                          <w:szCs w:val="14"/>
                          <w:lang w:eastAsia="en-US"/>
                        </w:rPr>
                        <w:t xml:space="preserve">a phased implementation of various smaller projects is also one way of increasing </w:t>
                      </w:r>
                      <w:r w:rsidRPr="00A748CB">
                        <w:rPr>
                          <w:rFonts w:ascii="Arial" w:eastAsiaTheme="minorHAnsi" w:hAnsi="Arial" w:cs="Arial"/>
                          <w:i/>
                          <w:iCs/>
                          <w:sz w:val="14"/>
                          <w:szCs w:val="14"/>
                          <w:lang w:eastAsia="en-US"/>
                        </w:rPr>
                        <w:t>robustness</w:t>
                      </w:r>
                      <w:r w:rsidRPr="00A748CB">
                        <w:rPr>
                          <w:rFonts w:ascii="Arial" w:eastAsiaTheme="minorHAnsi" w:hAnsi="Arial" w:cs="Arial"/>
                          <w:sz w:val="14"/>
                          <w:szCs w:val="14"/>
                          <w:lang w:eastAsia="en-US"/>
                        </w:rPr>
                        <w:t xml:space="preserve"> (</w:t>
                      </w:r>
                      <w:proofErr w:type="spellStart"/>
                      <w:r w:rsidRPr="00A748CB">
                        <w:rPr>
                          <w:rFonts w:ascii="Arial" w:eastAsiaTheme="minorHAnsi" w:hAnsi="Arial" w:cs="Arial"/>
                          <w:color w:val="7F7F7F" w:themeColor="text1" w:themeTint="80"/>
                          <w:sz w:val="14"/>
                          <w:szCs w:val="14"/>
                          <w:lang w:eastAsia="en-US"/>
                        </w:rPr>
                        <w:t>Jeuken</w:t>
                      </w:r>
                      <w:proofErr w:type="spellEnd"/>
                      <w:r w:rsidRPr="00A748CB">
                        <w:rPr>
                          <w:rFonts w:ascii="Arial" w:eastAsiaTheme="minorHAnsi" w:hAnsi="Arial" w:cs="Arial"/>
                          <w:color w:val="7F7F7F" w:themeColor="text1" w:themeTint="80"/>
                          <w:sz w:val="14"/>
                          <w:szCs w:val="14"/>
                          <w:lang w:eastAsia="en-US"/>
                        </w:rPr>
                        <w:t xml:space="preserve"> et al. 2014, p.15</w:t>
                      </w:r>
                      <w:r w:rsidRPr="00A748CB">
                        <w:rPr>
                          <w:rFonts w:ascii="Arial" w:eastAsiaTheme="minorHAnsi" w:hAnsi="Arial" w:cs="Arial"/>
                          <w:sz w:val="14"/>
                          <w:szCs w:val="14"/>
                          <w:lang w:eastAsia="en-US"/>
                        </w:rPr>
                        <w:t>)</w:t>
                      </w:r>
                      <w:r w:rsidRPr="00A748CB">
                        <w:rPr>
                          <w:rFonts w:ascii="Arial" w:hAnsi="Arial" w:cs="Arial"/>
                          <w:sz w:val="14"/>
                          <w:szCs w:val="14"/>
                        </w:rPr>
                        <w:t>.</w:t>
                      </w:r>
                    </w:p>
                    <w:p w14:paraId="7B7CE455" w14:textId="77777777" w:rsidR="004E78FB" w:rsidRPr="00A748CB" w:rsidRDefault="004E78FB" w:rsidP="000F50EB">
                      <w:pPr>
                        <w:pStyle w:val="TEXTBODY"/>
                        <w:numPr>
                          <w:ilvl w:val="0"/>
                          <w:numId w:val="78"/>
                        </w:numPr>
                        <w:spacing w:after="60" w:line="240" w:lineRule="auto"/>
                        <w:ind w:left="284" w:hanging="284"/>
                        <w:rPr>
                          <w:rFonts w:ascii="Arial" w:hAnsi="Arial" w:cs="Arial"/>
                          <w:sz w:val="14"/>
                          <w:szCs w:val="14"/>
                        </w:rPr>
                      </w:pPr>
                      <w:r w:rsidRPr="00A748CB">
                        <w:rPr>
                          <w:rFonts w:ascii="Arial" w:hAnsi="Arial" w:cs="Arial"/>
                          <w:sz w:val="14"/>
                          <w:szCs w:val="14"/>
                        </w:rPr>
                        <w:t xml:space="preserve">To devise </w:t>
                      </w:r>
                      <w:r w:rsidRPr="00A748CB">
                        <w:rPr>
                          <w:rFonts w:ascii="Arial" w:hAnsi="Arial" w:cs="Arial"/>
                          <w:i/>
                          <w:iCs/>
                          <w:sz w:val="14"/>
                          <w:szCs w:val="14"/>
                        </w:rPr>
                        <w:t>flexible strategies</w:t>
                      </w:r>
                      <w:r w:rsidRPr="00A748CB">
                        <w:rPr>
                          <w:rFonts w:ascii="Arial" w:hAnsi="Arial" w:cs="Arial"/>
                          <w:sz w:val="14"/>
                          <w:szCs w:val="14"/>
                        </w:rPr>
                        <w:t xml:space="preserve"> (and cope with uncertainty and complexity), it is necessary to ‘</w:t>
                      </w:r>
                      <w:r w:rsidRPr="00A748CB">
                        <w:rPr>
                          <w:rFonts w:ascii="Arial" w:hAnsi="Arial" w:cs="Arial"/>
                          <w:i/>
                          <w:iCs/>
                          <w:sz w:val="14"/>
                          <w:szCs w:val="14"/>
                        </w:rPr>
                        <w:t>envision and link possible short-term decisions and long-term options for adaptation and their timing across relevant interfering policy-domains</w:t>
                      </w:r>
                      <w:r w:rsidRPr="00A748CB">
                        <w:rPr>
                          <w:rFonts w:ascii="Arial" w:hAnsi="Arial" w:cs="Arial"/>
                          <w:sz w:val="14"/>
                          <w:szCs w:val="14"/>
                        </w:rPr>
                        <w:t>’</w:t>
                      </w:r>
                      <w:r w:rsidRPr="00A748CB">
                        <w:rPr>
                          <w:rFonts w:ascii="Arial" w:hAnsi="Arial" w:cs="Arial"/>
                          <w:color w:val="00B050"/>
                          <w:sz w:val="14"/>
                          <w:szCs w:val="14"/>
                        </w:rPr>
                        <w:t xml:space="preserve"> </w:t>
                      </w:r>
                      <w:r w:rsidRPr="00A748CB">
                        <w:rPr>
                          <w:rFonts w:ascii="Arial" w:hAnsi="Arial" w:cs="Arial"/>
                          <w:sz w:val="14"/>
                          <w:szCs w:val="14"/>
                        </w:rPr>
                        <w:t>(</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xml:space="preserve"> et al. 2014, p.17</w:t>
                      </w:r>
                      <w:r w:rsidRPr="00A748CB">
                        <w:rPr>
                          <w:rFonts w:ascii="Arial" w:hAnsi="Arial" w:cs="Arial"/>
                          <w:sz w:val="14"/>
                          <w:szCs w:val="14"/>
                        </w:rPr>
                        <w:t>).</w:t>
                      </w:r>
                    </w:p>
                    <w:p w14:paraId="0150809A" w14:textId="77777777" w:rsidR="004E78FB" w:rsidRPr="00A748CB" w:rsidRDefault="004E78FB" w:rsidP="000F50EB">
                      <w:pPr>
                        <w:pStyle w:val="TEXTBODY"/>
                        <w:numPr>
                          <w:ilvl w:val="0"/>
                          <w:numId w:val="78"/>
                        </w:numPr>
                        <w:spacing w:after="60" w:line="240" w:lineRule="auto"/>
                        <w:ind w:left="284" w:hanging="284"/>
                        <w:rPr>
                          <w:rFonts w:ascii="Arial" w:eastAsiaTheme="minorHAnsi" w:hAnsi="Arial" w:cs="Arial"/>
                          <w:sz w:val="14"/>
                          <w:szCs w:val="14"/>
                          <w:lang w:eastAsia="en-US"/>
                        </w:rPr>
                      </w:pPr>
                      <w:r w:rsidRPr="00A748CB">
                        <w:rPr>
                          <w:rFonts w:ascii="Arial" w:eastAsiaTheme="minorHAnsi" w:hAnsi="Arial" w:cs="Arial"/>
                          <w:sz w:val="14"/>
                          <w:szCs w:val="14"/>
                          <w:lang w:eastAsia="en-US"/>
                        </w:rPr>
                        <w:t xml:space="preserve">A large heterogeneity of measures, and some ‘planned redundancy’ in solutions, help to increase the robustness and resilience of the FRM system (the risk of failure is distributed over many elements of </w:t>
                      </w:r>
                      <w:r w:rsidRPr="000A40A4">
                        <w:rPr>
                          <w:rFonts w:ascii="Arial" w:eastAsiaTheme="minorHAnsi" w:hAnsi="Arial" w:cs="Arial"/>
                          <w:sz w:val="14"/>
                          <w:szCs w:val="14"/>
                          <w:lang w:eastAsia="en-US"/>
                        </w:rPr>
                        <w:t>the</w:t>
                      </w:r>
                      <w:r w:rsidRPr="00A748CB">
                        <w:rPr>
                          <w:rFonts w:ascii="Arial" w:eastAsiaTheme="minorHAnsi" w:hAnsi="Arial" w:cs="Arial"/>
                          <w:sz w:val="14"/>
                          <w:szCs w:val="14"/>
                          <w:lang w:eastAsia="en-US"/>
                        </w:rPr>
                        <w:t xml:space="preserve"> system, thus, if one solution fails, the whole system does not fail) (</w:t>
                      </w:r>
                      <w:proofErr w:type="spellStart"/>
                      <w:r w:rsidRPr="00A748CB">
                        <w:rPr>
                          <w:rFonts w:ascii="Arial" w:eastAsiaTheme="minorHAnsi" w:hAnsi="Arial" w:cs="Arial"/>
                          <w:color w:val="7F7F7F" w:themeColor="text1" w:themeTint="80"/>
                          <w:sz w:val="14"/>
                          <w:szCs w:val="14"/>
                          <w:lang w:eastAsia="en-US"/>
                        </w:rPr>
                        <w:t>Jeuken</w:t>
                      </w:r>
                      <w:proofErr w:type="spellEnd"/>
                      <w:r w:rsidRPr="00A748CB">
                        <w:rPr>
                          <w:rFonts w:ascii="Arial" w:eastAsiaTheme="minorHAnsi" w:hAnsi="Arial" w:cs="Arial"/>
                          <w:color w:val="7F7F7F" w:themeColor="text1" w:themeTint="80"/>
                          <w:sz w:val="14"/>
                          <w:szCs w:val="14"/>
                          <w:lang w:eastAsia="en-US"/>
                        </w:rPr>
                        <w:t xml:space="preserve"> et al. 2014, p.15</w:t>
                      </w:r>
                      <w:r w:rsidRPr="00A748CB">
                        <w:rPr>
                          <w:rFonts w:ascii="Arial" w:eastAsiaTheme="minorHAnsi" w:hAnsi="Arial" w:cs="Arial"/>
                          <w:sz w:val="14"/>
                          <w:szCs w:val="14"/>
                          <w:lang w:eastAsia="en-US"/>
                        </w:rPr>
                        <w:t>).</w:t>
                      </w:r>
                    </w:p>
                    <w:p w14:paraId="086240D5" w14:textId="77777777" w:rsidR="004E78FB" w:rsidRPr="00A748CB" w:rsidRDefault="004E78FB" w:rsidP="000F50EB">
                      <w:pPr>
                        <w:pStyle w:val="TEXTBODY"/>
                        <w:numPr>
                          <w:ilvl w:val="0"/>
                          <w:numId w:val="78"/>
                        </w:numPr>
                        <w:spacing w:line="240" w:lineRule="auto"/>
                        <w:ind w:left="284" w:hanging="284"/>
                        <w:rPr>
                          <w:rFonts w:ascii="Arial" w:hAnsi="Arial" w:cs="Arial"/>
                          <w:sz w:val="14"/>
                          <w:szCs w:val="14"/>
                        </w:rPr>
                      </w:pPr>
                      <w:r w:rsidRPr="00A748CB">
                        <w:rPr>
                          <w:rFonts w:ascii="Arial" w:hAnsi="Arial" w:cs="Arial"/>
                          <w:sz w:val="14"/>
                          <w:szCs w:val="14"/>
                        </w:rPr>
                        <w:t xml:space="preserve">In the implementation of an </w:t>
                      </w:r>
                      <w:r w:rsidRPr="00A748CB">
                        <w:rPr>
                          <w:rFonts w:ascii="Arial" w:hAnsi="Arial" w:cs="Arial"/>
                          <w:i/>
                          <w:iCs/>
                          <w:sz w:val="14"/>
                          <w:szCs w:val="14"/>
                        </w:rPr>
                        <w:t>adaptive plan</w:t>
                      </w:r>
                      <w:r w:rsidRPr="00A748CB">
                        <w:rPr>
                          <w:rFonts w:ascii="Arial" w:hAnsi="Arial" w:cs="Arial"/>
                          <w:sz w:val="14"/>
                          <w:szCs w:val="14"/>
                        </w:rPr>
                        <w:t>, decisions in the short-term should be used to implement first ‘low-regret actions’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xml:space="preserve"> et al. 2018, p.19</w:t>
                      </w:r>
                      <w:r w:rsidRPr="00A748CB">
                        <w:rPr>
                          <w:rFonts w:ascii="Arial" w:hAnsi="Arial" w:cs="Arial"/>
                          <w:sz w:val="14"/>
                          <w:szCs w:val="14"/>
                        </w:rPr>
                        <w:t xml:space="preserve">). </w:t>
                      </w:r>
                      <w:proofErr w:type="spellStart"/>
                      <w:r w:rsidRPr="00A748CB">
                        <w:rPr>
                          <w:rFonts w:ascii="Arial" w:hAnsi="Arial" w:cs="Arial"/>
                          <w:color w:val="7F7F7F" w:themeColor="text1" w:themeTint="80"/>
                          <w:sz w:val="14"/>
                          <w:szCs w:val="14"/>
                        </w:rPr>
                        <w:t>Restemeyer</w:t>
                      </w:r>
                      <w:proofErr w:type="spellEnd"/>
                      <w:r w:rsidRPr="00A748CB">
                        <w:rPr>
                          <w:rFonts w:ascii="Arial" w:hAnsi="Arial" w:cs="Arial"/>
                          <w:color w:val="7F7F7F" w:themeColor="text1" w:themeTint="80"/>
                          <w:sz w:val="14"/>
                          <w:szCs w:val="14"/>
                        </w:rPr>
                        <w:t xml:space="preserve"> et al. </w:t>
                      </w:r>
                      <w:r w:rsidRPr="00A748CB">
                        <w:rPr>
                          <w:rFonts w:ascii="Arial" w:hAnsi="Arial" w:cs="Arial"/>
                          <w:sz w:val="14"/>
                          <w:szCs w:val="14"/>
                        </w:rPr>
                        <w:t>argue that p</w:t>
                      </w:r>
                      <w:r w:rsidRPr="00A748CB">
                        <w:rPr>
                          <w:rFonts w:ascii="Arial" w:hAnsi="Arial" w:cs="Arial"/>
                          <w:iCs/>
                          <w:sz w:val="14"/>
                          <w:szCs w:val="14"/>
                        </w:rPr>
                        <w:t>rioritizing measures that prevent lock-</w:t>
                      </w:r>
                      <w:proofErr w:type="gramStart"/>
                      <w:r w:rsidRPr="00A748CB">
                        <w:rPr>
                          <w:rFonts w:ascii="Arial" w:hAnsi="Arial" w:cs="Arial"/>
                          <w:iCs/>
                          <w:sz w:val="14"/>
                          <w:szCs w:val="14"/>
                        </w:rPr>
                        <w:t>ins  a</w:t>
                      </w:r>
                      <w:proofErr w:type="gramEnd"/>
                      <w:r w:rsidRPr="00A748CB">
                        <w:rPr>
                          <w:rFonts w:ascii="Arial" w:hAnsi="Arial" w:cs="Arial"/>
                          <w:iCs/>
                          <w:sz w:val="14"/>
                          <w:szCs w:val="14"/>
                        </w:rPr>
                        <w:t xml:space="preserve"> condition for making a strategy more ‘adaptive’ </w:t>
                      </w:r>
                      <w:r w:rsidRPr="00A748CB">
                        <w:rPr>
                          <w:rFonts w:ascii="Arial" w:hAnsi="Arial" w:cs="Arial"/>
                          <w:bCs/>
                          <w:sz w:val="14"/>
                          <w:szCs w:val="14"/>
                        </w:rPr>
                        <w:t>(</w:t>
                      </w:r>
                      <w:proofErr w:type="spellStart"/>
                      <w:r w:rsidRPr="00A748CB">
                        <w:rPr>
                          <w:rFonts w:ascii="Arial" w:hAnsi="Arial" w:cs="Arial"/>
                          <w:bCs/>
                          <w:color w:val="7F7F7F" w:themeColor="text1" w:themeTint="80"/>
                          <w:sz w:val="14"/>
                          <w:szCs w:val="14"/>
                        </w:rPr>
                        <w:t>Restemeyer</w:t>
                      </w:r>
                      <w:proofErr w:type="spellEnd"/>
                      <w:r w:rsidRPr="00A748CB">
                        <w:rPr>
                          <w:rFonts w:ascii="Arial" w:hAnsi="Arial" w:cs="Arial"/>
                          <w:bCs/>
                          <w:color w:val="7F7F7F" w:themeColor="text1" w:themeTint="80"/>
                          <w:sz w:val="14"/>
                          <w:szCs w:val="14"/>
                        </w:rPr>
                        <w:t xml:space="preserve"> et al. 2017</w:t>
                      </w:r>
                      <w:r w:rsidRPr="00A748CB">
                        <w:rPr>
                          <w:rFonts w:ascii="Arial" w:hAnsi="Arial" w:cs="Arial"/>
                          <w:bCs/>
                          <w:sz w:val="14"/>
                          <w:szCs w:val="14"/>
                        </w:rPr>
                        <w:t>).</w:t>
                      </w:r>
                    </w:p>
                    <w:p w14:paraId="3EFFBE73" w14:textId="77777777" w:rsidR="00E9136E" w:rsidRPr="00A748CB" w:rsidRDefault="00E9446C" w:rsidP="007D2351">
                      <w:pPr>
                        <w:pStyle w:val="TEXTBODY"/>
                        <w:spacing w:line="240" w:lineRule="auto"/>
                        <w:rPr>
                          <w:rFonts w:ascii="Arial" w:hAnsi="Arial" w:cs="Arial"/>
                          <w:sz w:val="14"/>
                          <w:szCs w:val="14"/>
                        </w:rPr>
                      </w:pPr>
                      <w:r w:rsidRPr="00A748CB">
                        <w:rPr>
                          <w:rFonts w:ascii="Arial" w:hAnsi="Arial" w:cs="Arial"/>
                          <w:sz w:val="14"/>
                          <w:szCs w:val="14"/>
                        </w:rPr>
                        <w:t xml:space="preserve">Drawing on insights and literature on resilience, adaptive planning and governance, </w:t>
                      </w:r>
                      <w:proofErr w:type="spellStart"/>
                      <w:r w:rsidRPr="00A748CB">
                        <w:rPr>
                          <w:rFonts w:ascii="Arial" w:hAnsi="Arial" w:cs="Arial"/>
                          <w:color w:val="7F7F7F" w:themeColor="text1" w:themeTint="80"/>
                          <w:sz w:val="14"/>
                          <w:szCs w:val="14"/>
                        </w:rPr>
                        <w:t>Restemeyer</w:t>
                      </w:r>
                      <w:proofErr w:type="spellEnd"/>
                      <w:r w:rsidRPr="00A748CB">
                        <w:rPr>
                          <w:rFonts w:ascii="Arial" w:hAnsi="Arial" w:cs="Arial"/>
                          <w:color w:val="7F7F7F" w:themeColor="text1" w:themeTint="80"/>
                          <w:sz w:val="14"/>
                          <w:szCs w:val="14"/>
                        </w:rPr>
                        <w:t xml:space="preserve"> et al. </w:t>
                      </w:r>
                      <w:r w:rsidRPr="00A748CB">
                        <w:rPr>
                          <w:rFonts w:ascii="Arial" w:hAnsi="Arial" w:cs="Arial"/>
                          <w:sz w:val="14"/>
                          <w:szCs w:val="14"/>
                        </w:rPr>
                        <w:t xml:space="preserve">have defined (proposed) these 3 </w:t>
                      </w:r>
                      <w:proofErr w:type="gramStart"/>
                      <w:r w:rsidRPr="00A748CB">
                        <w:rPr>
                          <w:rFonts w:ascii="Arial" w:hAnsi="Arial" w:cs="Arial"/>
                          <w:sz w:val="14"/>
                          <w:szCs w:val="14"/>
                        </w:rPr>
                        <w:t>theoretically-defined</w:t>
                      </w:r>
                      <w:proofErr w:type="gramEnd"/>
                      <w:r w:rsidRPr="00A748CB">
                        <w:rPr>
                          <w:rFonts w:ascii="Arial" w:hAnsi="Arial" w:cs="Arial"/>
                          <w:sz w:val="14"/>
                          <w:szCs w:val="14"/>
                        </w:rPr>
                        <w:t xml:space="preserve"> conditions for making a long-term FRM policy / plan more </w:t>
                      </w:r>
                      <w:r w:rsidRPr="00A748CB">
                        <w:rPr>
                          <w:rFonts w:ascii="Arial" w:hAnsi="Arial" w:cs="Arial"/>
                          <w:i/>
                          <w:iCs/>
                          <w:sz w:val="14"/>
                          <w:szCs w:val="14"/>
                        </w:rPr>
                        <w:t>adaptive</w:t>
                      </w:r>
                      <w:r w:rsidRPr="00A748CB">
                        <w:rPr>
                          <w:rFonts w:ascii="Arial" w:hAnsi="Arial" w:cs="Arial"/>
                          <w:color w:val="0070C0"/>
                          <w:sz w:val="14"/>
                          <w:szCs w:val="14"/>
                        </w:rPr>
                        <w:t xml:space="preserve"> </w:t>
                      </w:r>
                      <w:r w:rsidRPr="00A748CB">
                        <w:rPr>
                          <w:rFonts w:ascii="Arial" w:hAnsi="Arial" w:cs="Arial"/>
                          <w:sz w:val="14"/>
                          <w:szCs w:val="14"/>
                        </w:rPr>
                        <w:t>(</w:t>
                      </w:r>
                      <w:proofErr w:type="spellStart"/>
                      <w:r w:rsidRPr="00A748CB">
                        <w:rPr>
                          <w:rFonts w:ascii="Arial" w:hAnsi="Arial" w:cs="Arial"/>
                          <w:color w:val="7F7F7F" w:themeColor="text1" w:themeTint="80"/>
                          <w:sz w:val="14"/>
                          <w:szCs w:val="14"/>
                        </w:rPr>
                        <w:t>Restemeyer</w:t>
                      </w:r>
                      <w:proofErr w:type="spellEnd"/>
                      <w:r w:rsidRPr="00A748CB">
                        <w:rPr>
                          <w:rFonts w:ascii="Arial" w:hAnsi="Arial" w:cs="Arial"/>
                          <w:color w:val="7F7F7F" w:themeColor="text1" w:themeTint="80"/>
                          <w:sz w:val="14"/>
                          <w:szCs w:val="14"/>
                        </w:rPr>
                        <w:t xml:space="preserve"> et al. 2017, p.921, 935</w:t>
                      </w:r>
                      <w:r w:rsidRPr="00A748CB">
                        <w:rPr>
                          <w:rFonts w:ascii="Arial" w:hAnsi="Arial" w:cs="Arial"/>
                          <w:sz w:val="14"/>
                          <w:szCs w:val="14"/>
                        </w:rPr>
                        <w:t xml:space="preserve">). </w:t>
                      </w:r>
                      <w:proofErr w:type="spellStart"/>
                      <w:r w:rsidR="00CA34D1" w:rsidRPr="00A748CB">
                        <w:rPr>
                          <w:rFonts w:ascii="Arial" w:hAnsi="Arial" w:cs="Arial"/>
                          <w:color w:val="7F7F7F" w:themeColor="text1" w:themeTint="80"/>
                          <w:sz w:val="14"/>
                          <w:szCs w:val="14"/>
                        </w:rPr>
                        <w:t>Restemeyer</w:t>
                      </w:r>
                      <w:proofErr w:type="spellEnd"/>
                      <w:r w:rsidR="00CA34D1" w:rsidRPr="00A748CB">
                        <w:rPr>
                          <w:rFonts w:ascii="Arial" w:hAnsi="Arial" w:cs="Arial"/>
                          <w:color w:val="7F7F7F" w:themeColor="text1" w:themeTint="80"/>
                          <w:sz w:val="14"/>
                          <w:szCs w:val="14"/>
                        </w:rPr>
                        <w:t xml:space="preserve"> et al. </w:t>
                      </w:r>
                      <w:r w:rsidR="009B7456" w:rsidRPr="00A748CB">
                        <w:rPr>
                          <w:rFonts w:ascii="Arial" w:hAnsi="Arial" w:cs="Arial"/>
                          <w:sz w:val="14"/>
                          <w:szCs w:val="14"/>
                        </w:rPr>
                        <w:t>argue</w:t>
                      </w:r>
                      <w:r w:rsidR="00CA34D1" w:rsidRPr="00A748CB">
                        <w:rPr>
                          <w:rFonts w:ascii="Arial" w:hAnsi="Arial" w:cs="Arial"/>
                          <w:sz w:val="14"/>
                          <w:szCs w:val="14"/>
                        </w:rPr>
                        <w:t xml:space="preserve"> that </w:t>
                      </w:r>
                      <w:r w:rsidR="00CA34D1" w:rsidRPr="00A748CB">
                        <w:rPr>
                          <w:rFonts w:ascii="Arial" w:hAnsi="Arial" w:cs="Arial"/>
                          <w:b/>
                          <w:bCs/>
                          <w:sz w:val="14"/>
                          <w:szCs w:val="14"/>
                        </w:rPr>
                        <w:t>th</w:t>
                      </w:r>
                      <w:r w:rsidR="009B7456" w:rsidRPr="00A748CB">
                        <w:rPr>
                          <w:rFonts w:ascii="Arial" w:hAnsi="Arial" w:cs="Arial"/>
                          <w:b/>
                          <w:bCs/>
                          <w:sz w:val="14"/>
                          <w:szCs w:val="14"/>
                        </w:rPr>
                        <w:t>ree</w:t>
                      </w:r>
                      <w:r w:rsidR="00CA34D1" w:rsidRPr="00A748CB">
                        <w:rPr>
                          <w:rFonts w:ascii="Arial" w:hAnsi="Arial" w:cs="Arial"/>
                          <w:b/>
                          <w:bCs/>
                          <w:sz w:val="14"/>
                          <w:szCs w:val="14"/>
                        </w:rPr>
                        <w:t xml:space="preserve"> conditions</w:t>
                      </w:r>
                      <w:r w:rsidR="009B7456" w:rsidRPr="00A748CB">
                        <w:rPr>
                          <w:rFonts w:ascii="Arial" w:hAnsi="Arial" w:cs="Arial"/>
                          <w:b/>
                          <w:bCs/>
                          <w:sz w:val="14"/>
                          <w:szCs w:val="14"/>
                        </w:rPr>
                        <w:t>/points</w:t>
                      </w:r>
                      <w:r w:rsidR="00CA34D1" w:rsidRPr="00A748CB">
                        <w:rPr>
                          <w:rFonts w:ascii="Arial" w:hAnsi="Arial" w:cs="Arial"/>
                          <w:b/>
                          <w:bCs/>
                          <w:sz w:val="14"/>
                          <w:szCs w:val="14"/>
                        </w:rPr>
                        <w:t xml:space="preserve"> </w:t>
                      </w:r>
                      <w:r w:rsidR="009B7456" w:rsidRPr="00A748CB">
                        <w:rPr>
                          <w:rFonts w:ascii="Arial" w:hAnsi="Arial" w:cs="Arial"/>
                          <w:b/>
                          <w:bCs/>
                          <w:sz w:val="14"/>
                          <w:szCs w:val="14"/>
                        </w:rPr>
                        <w:t xml:space="preserve">are </w:t>
                      </w:r>
                      <w:r w:rsidR="00CA34D1" w:rsidRPr="00A748CB">
                        <w:rPr>
                          <w:rFonts w:ascii="Arial" w:hAnsi="Arial" w:cs="Arial"/>
                          <w:b/>
                          <w:bCs/>
                          <w:sz w:val="14"/>
                          <w:szCs w:val="14"/>
                        </w:rPr>
                        <w:t>necessary</w:t>
                      </w:r>
                      <w:r w:rsidR="009B7456" w:rsidRPr="00A748CB">
                        <w:rPr>
                          <w:rFonts w:ascii="Arial" w:hAnsi="Arial" w:cs="Arial"/>
                          <w:b/>
                          <w:bCs/>
                          <w:sz w:val="14"/>
                          <w:szCs w:val="14"/>
                        </w:rPr>
                        <w:t xml:space="preserve"> and crucial</w:t>
                      </w:r>
                      <w:r w:rsidR="00CA34D1" w:rsidRPr="00A748CB">
                        <w:rPr>
                          <w:rFonts w:ascii="Arial" w:hAnsi="Arial" w:cs="Arial"/>
                          <w:b/>
                          <w:bCs/>
                          <w:sz w:val="14"/>
                          <w:szCs w:val="14"/>
                        </w:rPr>
                        <w:t xml:space="preserve"> for making long-term plans / policies ‘</w:t>
                      </w:r>
                      <w:r w:rsidR="00CA34D1" w:rsidRPr="00A748CB">
                        <w:rPr>
                          <w:rFonts w:ascii="Arial" w:hAnsi="Arial" w:cs="Arial"/>
                          <w:b/>
                          <w:bCs/>
                          <w:i/>
                          <w:iCs/>
                          <w:sz w:val="14"/>
                          <w:szCs w:val="14"/>
                        </w:rPr>
                        <w:t>adaptive</w:t>
                      </w:r>
                      <w:r w:rsidR="00CA34D1" w:rsidRPr="00A748CB">
                        <w:rPr>
                          <w:rFonts w:ascii="Arial" w:hAnsi="Arial" w:cs="Arial"/>
                          <w:b/>
                          <w:bCs/>
                          <w:sz w:val="14"/>
                          <w:szCs w:val="14"/>
                        </w:rPr>
                        <w:t>’</w:t>
                      </w:r>
                      <w:r w:rsidR="009B7456" w:rsidRPr="00A748CB">
                        <w:rPr>
                          <w:rFonts w:ascii="Arial" w:hAnsi="Arial" w:cs="Arial"/>
                          <w:sz w:val="14"/>
                          <w:szCs w:val="14"/>
                        </w:rPr>
                        <w:t xml:space="preserve">: (a) </w:t>
                      </w:r>
                      <w:r w:rsidR="009B7456" w:rsidRPr="00A748CB">
                        <w:rPr>
                          <w:rFonts w:ascii="Arial" w:hAnsi="Arial" w:cs="Arial"/>
                          <w:i/>
                          <w:sz w:val="14"/>
                          <w:szCs w:val="14"/>
                        </w:rPr>
                        <w:t>an agile governance process</w:t>
                      </w:r>
                      <w:r w:rsidR="009B7456" w:rsidRPr="00A748CB">
                        <w:rPr>
                          <w:rFonts w:ascii="Arial" w:hAnsi="Arial" w:cs="Arial"/>
                          <w:sz w:val="14"/>
                          <w:szCs w:val="14"/>
                        </w:rPr>
                        <w:t xml:space="preserve"> (</w:t>
                      </w:r>
                      <w:r w:rsidR="0073588F" w:rsidRPr="00A748CB">
                        <w:rPr>
                          <w:rFonts w:ascii="Arial" w:hAnsi="Arial" w:cs="Arial"/>
                          <w:sz w:val="14"/>
                          <w:szCs w:val="14"/>
                        </w:rPr>
                        <w:t>this implies</w:t>
                      </w:r>
                      <w:r w:rsidR="009B7456" w:rsidRPr="00A748CB">
                        <w:rPr>
                          <w:rFonts w:ascii="Arial" w:hAnsi="Arial" w:cs="Arial"/>
                          <w:sz w:val="14"/>
                          <w:szCs w:val="14"/>
                        </w:rPr>
                        <w:t xml:space="preserve"> </w:t>
                      </w:r>
                      <w:r w:rsidR="0073588F" w:rsidRPr="00A748CB">
                        <w:rPr>
                          <w:rFonts w:ascii="Arial" w:hAnsi="Arial" w:cs="Arial"/>
                          <w:sz w:val="14"/>
                          <w:szCs w:val="14"/>
                        </w:rPr>
                        <w:t xml:space="preserve">multi-level, multi-sector, and multi-actor governance arrangements that foster learning, i.e. </w:t>
                      </w:r>
                      <w:r w:rsidR="009B7456" w:rsidRPr="00A748CB">
                        <w:rPr>
                          <w:rFonts w:ascii="Arial" w:hAnsi="Arial" w:cs="Arial"/>
                          <w:sz w:val="14"/>
                          <w:szCs w:val="14"/>
                        </w:rPr>
                        <w:t>learning-oriented governance arrangement</w:t>
                      </w:r>
                      <w:r w:rsidR="0073588F" w:rsidRPr="00A748CB">
                        <w:rPr>
                          <w:rFonts w:ascii="Arial" w:hAnsi="Arial" w:cs="Arial"/>
                          <w:sz w:val="14"/>
                          <w:szCs w:val="14"/>
                        </w:rPr>
                        <w:t xml:space="preserve">s, as well as </w:t>
                      </w:r>
                      <w:r w:rsidR="0073588F" w:rsidRPr="00A748CB">
                        <w:rPr>
                          <w:rFonts w:ascii="Arial" w:hAnsi="Arial" w:cs="Arial"/>
                          <w:i/>
                          <w:iCs/>
                          <w:sz w:val="14"/>
                          <w:szCs w:val="14"/>
                        </w:rPr>
                        <w:t>capacity to steer towards a desired direction</w:t>
                      </w:r>
                      <w:r w:rsidR="009B7456" w:rsidRPr="00A748CB">
                        <w:rPr>
                          <w:rFonts w:ascii="Arial" w:hAnsi="Arial" w:cs="Arial"/>
                          <w:sz w:val="14"/>
                          <w:szCs w:val="14"/>
                        </w:rPr>
                        <w:t xml:space="preserve"> and </w:t>
                      </w:r>
                      <w:r w:rsidR="009B7456" w:rsidRPr="00A748CB">
                        <w:rPr>
                          <w:rFonts w:ascii="Arial" w:hAnsi="Arial" w:cs="Arial"/>
                          <w:i/>
                          <w:iCs/>
                          <w:sz w:val="14"/>
                          <w:szCs w:val="14"/>
                        </w:rPr>
                        <w:t>capacity to adjust based on new insights)</w:t>
                      </w:r>
                      <w:r w:rsidR="009B7456" w:rsidRPr="00A748CB">
                        <w:rPr>
                          <w:rFonts w:ascii="Arial" w:hAnsi="Arial" w:cs="Arial"/>
                          <w:sz w:val="14"/>
                          <w:szCs w:val="14"/>
                        </w:rPr>
                        <w:t xml:space="preserve">; </w:t>
                      </w:r>
                      <w:r w:rsidR="009B7456" w:rsidRPr="00A748CB">
                        <w:rPr>
                          <w:rFonts w:ascii="Arial" w:hAnsi="Arial" w:cs="Arial"/>
                          <w:b/>
                          <w:bCs/>
                          <w:sz w:val="14"/>
                          <w:szCs w:val="14"/>
                        </w:rPr>
                        <w:t xml:space="preserve">(b) make </w:t>
                      </w:r>
                      <w:r w:rsidR="009B7456" w:rsidRPr="00A748CB">
                        <w:rPr>
                          <w:rFonts w:ascii="Arial" w:hAnsi="Arial" w:cs="Arial"/>
                          <w:b/>
                          <w:bCs/>
                          <w:i/>
                          <w:iCs/>
                          <w:sz w:val="14"/>
                          <w:szCs w:val="14"/>
                        </w:rPr>
                        <w:t>flexible strategies and plans</w:t>
                      </w:r>
                      <w:r w:rsidR="009B7456" w:rsidRPr="00A748CB">
                        <w:rPr>
                          <w:rStyle w:val="Refdenotaderodap"/>
                          <w:rFonts w:ascii="Arial" w:hAnsi="Arial" w:cs="Arial"/>
                          <w:sz w:val="14"/>
                          <w:szCs w:val="14"/>
                        </w:rPr>
                        <w:t>.</w:t>
                      </w:r>
                      <w:r w:rsidR="009B7456" w:rsidRPr="00A748CB">
                        <w:rPr>
                          <w:rFonts w:ascii="Arial" w:hAnsi="Arial" w:cs="Arial"/>
                          <w:sz w:val="14"/>
                          <w:szCs w:val="14"/>
                        </w:rPr>
                        <w:t xml:space="preserve">; and (c) </w:t>
                      </w:r>
                      <w:r w:rsidR="0073588F" w:rsidRPr="00A748CB">
                        <w:rPr>
                          <w:rFonts w:ascii="Arial" w:hAnsi="Arial" w:cs="Arial"/>
                          <w:sz w:val="14"/>
                          <w:szCs w:val="14"/>
                        </w:rPr>
                        <w:t>prioritize</w:t>
                      </w:r>
                      <w:r w:rsidR="009B7456" w:rsidRPr="00A748CB">
                        <w:rPr>
                          <w:rFonts w:ascii="Arial" w:hAnsi="Arial" w:cs="Arial"/>
                          <w:sz w:val="14"/>
                          <w:szCs w:val="14"/>
                        </w:rPr>
                        <w:t xml:space="preserve"> measures that </w:t>
                      </w:r>
                      <w:r w:rsidR="0073588F" w:rsidRPr="00A748CB">
                        <w:rPr>
                          <w:rFonts w:ascii="Arial" w:hAnsi="Arial" w:cs="Arial"/>
                          <w:sz w:val="14"/>
                          <w:szCs w:val="14"/>
                        </w:rPr>
                        <w:t>prevent</w:t>
                      </w:r>
                      <w:r w:rsidR="009B7456" w:rsidRPr="00A748CB">
                        <w:rPr>
                          <w:rFonts w:ascii="Arial" w:hAnsi="Arial" w:cs="Arial"/>
                          <w:sz w:val="14"/>
                          <w:szCs w:val="14"/>
                        </w:rPr>
                        <w:t xml:space="preserve"> lock-ins</w:t>
                      </w:r>
                      <w:r w:rsidR="009B7456" w:rsidRPr="00A748CB">
                        <w:rPr>
                          <w:rFonts w:ascii="Arial" w:hAnsi="Arial" w:cs="Arial"/>
                          <w:color w:val="0070C0"/>
                          <w:sz w:val="14"/>
                          <w:szCs w:val="14"/>
                        </w:rPr>
                        <w:t xml:space="preserve"> </w:t>
                      </w:r>
                      <w:r w:rsidR="009B7456" w:rsidRPr="00A748CB">
                        <w:rPr>
                          <w:rFonts w:ascii="Arial" w:hAnsi="Arial" w:cs="Arial"/>
                          <w:sz w:val="14"/>
                          <w:szCs w:val="14"/>
                        </w:rPr>
                        <w:t>(</w:t>
                      </w:r>
                      <w:proofErr w:type="spellStart"/>
                      <w:r w:rsidR="009B7456" w:rsidRPr="00A748CB">
                        <w:rPr>
                          <w:rFonts w:ascii="Arial" w:hAnsi="Arial" w:cs="Arial"/>
                          <w:color w:val="7F7F7F" w:themeColor="text1" w:themeTint="80"/>
                          <w:sz w:val="14"/>
                          <w:szCs w:val="14"/>
                        </w:rPr>
                        <w:t>Restemeyer</w:t>
                      </w:r>
                      <w:proofErr w:type="spellEnd"/>
                      <w:r w:rsidR="009B7456" w:rsidRPr="00A748CB">
                        <w:rPr>
                          <w:rFonts w:ascii="Arial" w:hAnsi="Arial" w:cs="Arial"/>
                          <w:color w:val="7F7F7F" w:themeColor="text1" w:themeTint="80"/>
                          <w:sz w:val="14"/>
                          <w:szCs w:val="14"/>
                        </w:rPr>
                        <w:t xml:space="preserve"> et al. 2017, p.922</w:t>
                      </w:r>
                      <w:r w:rsidR="00FD6A11" w:rsidRPr="00A748CB">
                        <w:rPr>
                          <w:rFonts w:ascii="Arial" w:hAnsi="Arial" w:cs="Arial"/>
                          <w:color w:val="7F7F7F" w:themeColor="text1" w:themeTint="80"/>
                          <w:sz w:val="14"/>
                          <w:szCs w:val="14"/>
                        </w:rPr>
                        <w:t>-925</w:t>
                      </w:r>
                      <w:r w:rsidR="0073588F" w:rsidRPr="00A748CB">
                        <w:rPr>
                          <w:rFonts w:ascii="Arial" w:hAnsi="Arial" w:cs="Arial"/>
                          <w:color w:val="7F7F7F" w:themeColor="text1" w:themeTint="80"/>
                          <w:sz w:val="14"/>
                          <w:szCs w:val="14"/>
                        </w:rPr>
                        <w:t>,</w:t>
                      </w:r>
                      <w:r w:rsidR="009B7456" w:rsidRPr="00A748CB">
                        <w:rPr>
                          <w:rFonts w:ascii="Arial" w:hAnsi="Arial" w:cs="Arial"/>
                          <w:color w:val="7F7F7F" w:themeColor="text1" w:themeTint="80"/>
                          <w:sz w:val="14"/>
                          <w:szCs w:val="14"/>
                        </w:rPr>
                        <w:t xml:space="preserve"> 935</w:t>
                      </w:r>
                      <w:r w:rsidR="009B7456" w:rsidRPr="00A748CB">
                        <w:rPr>
                          <w:rFonts w:ascii="Arial" w:hAnsi="Arial" w:cs="Arial"/>
                          <w:sz w:val="14"/>
                          <w:szCs w:val="14"/>
                        </w:rPr>
                        <w:t>).</w:t>
                      </w:r>
                      <w:r w:rsidR="00FD6A11" w:rsidRPr="00A748CB">
                        <w:rPr>
                          <w:rFonts w:ascii="Arial" w:hAnsi="Arial" w:cs="Arial"/>
                          <w:sz w:val="14"/>
                          <w:szCs w:val="14"/>
                        </w:rPr>
                        <w:t xml:space="preserve"> </w:t>
                      </w:r>
                      <w:r w:rsidR="0073588F" w:rsidRPr="00A748CB">
                        <w:rPr>
                          <w:rFonts w:ascii="Arial" w:hAnsi="Arial" w:cs="Arial"/>
                          <w:sz w:val="14"/>
                          <w:szCs w:val="14"/>
                        </w:rPr>
                        <w:t xml:space="preserve">According to </w:t>
                      </w:r>
                      <w:proofErr w:type="spellStart"/>
                      <w:r w:rsidR="0073588F" w:rsidRPr="00A748CB">
                        <w:rPr>
                          <w:rFonts w:ascii="Arial" w:hAnsi="Arial" w:cs="Arial"/>
                          <w:color w:val="7F7F7F" w:themeColor="text1" w:themeTint="80"/>
                          <w:sz w:val="14"/>
                          <w:szCs w:val="14"/>
                        </w:rPr>
                        <w:t>Restemeyer</w:t>
                      </w:r>
                      <w:proofErr w:type="spellEnd"/>
                      <w:r w:rsidR="0073588F" w:rsidRPr="00A748CB">
                        <w:rPr>
                          <w:rFonts w:ascii="Arial" w:hAnsi="Arial" w:cs="Arial"/>
                          <w:color w:val="7F7F7F" w:themeColor="text1" w:themeTint="80"/>
                          <w:sz w:val="14"/>
                          <w:szCs w:val="14"/>
                        </w:rPr>
                        <w:t xml:space="preserve"> et al</w:t>
                      </w:r>
                      <w:r w:rsidR="0073588F" w:rsidRPr="00A748CB">
                        <w:rPr>
                          <w:rFonts w:ascii="Arial" w:hAnsi="Arial" w:cs="Arial"/>
                          <w:sz w:val="14"/>
                          <w:szCs w:val="14"/>
                        </w:rPr>
                        <w:t xml:space="preserve">., </w:t>
                      </w:r>
                      <w:r w:rsidRPr="00A748CB">
                        <w:rPr>
                          <w:rFonts w:ascii="Arial" w:hAnsi="Arial" w:cs="Arial"/>
                          <w:sz w:val="14"/>
                          <w:szCs w:val="14"/>
                        </w:rPr>
                        <w:t xml:space="preserve">for making long-term plans </w:t>
                      </w:r>
                      <w:r w:rsidRPr="00A748CB">
                        <w:rPr>
                          <w:rFonts w:ascii="Arial" w:hAnsi="Arial" w:cs="Arial"/>
                          <w:i/>
                          <w:iCs/>
                          <w:sz w:val="14"/>
                          <w:szCs w:val="14"/>
                        </w:rPr>
                        <w:t>adaptive</w:t>
                      </w:r>
                      <w:r w:rsidRPr="00A748CB">
                        <w:rPr>
                          <w:rFonts w:ascii="Arial" w:hAnsi="Arial" w:cs="Arial"/>
                          <w:sz w:val="14"/>
                          <w:szCs w:val="14"/>
                        </w:rPr>
                        <w:t xml:space="preserve">, and, especially, for creating </w:t>
                      </w:r>
                      <w:r w:rsidRPr="00A748CB">
                        <w:rPr>
                          <w:rFonts w:ascii="Arial" w:hAnsi="Arial" w:cs="Arial"/>
                          <w:i/>
                          <w:iCs/>
                          <w:sz w:val="14"/>
                          <w:szCs w:val="14"/>
                        </w:rPr>
                        <w:t>flexible strategies and plans</w:t>
                      </w:r>
                      <w:r w:rsidRPr="00A748CB">
                        <w:rPr>
                          <w:rFonts w:ascii="Arial" w:hAnsi="Arial" w:cs="Arial"/>
                          <w:sz w:val="14"/>
                          <w:szCs w:val="14"/>
                        </w:rPr>
                        <w:t>:</w:t>
                      </w:r>
                      <w:r w:rsidRPr="00A748CB">
                        <w:rPr>
                          <w:rFonts w:ascii="Arial" w:hAnsi="Arial" w:cs="Arial"/>
                          <w:bCs/>
                          <w:sz w:val="14"/>
                          <w:szCs w:val="14"/>
                        </w:rPr>
                        <w:t xml:space="preserve"> </w:t>
                      </w:r>
                      <w:r w:rsidRPr="00A748CB">
                        <w:rPr>
                          <w:rFonts w:ascii="Arial" w:hAnsi="Arial" w:cs="Arial"/>
                          <w:sz w:val="14"/>
                          <w:szCs w:val="14"/>
                        </w:rPr>
                        <w:t xml:space="preserve">recent </w:t>
                      </w:r>
                      <w:r w:rsidR="0073588F" w:rsidRPr="00A748CB">
                        <w:rPr>
                          <w:rFonts w:ascii="Arial" w:hAnsi="Arial" w:cs="Arial"/>
                          <w:sz w:val="14"/>
                          <w:szCs w:val="14"/>
                        </w:rPr>
                        <w:t xml:space="preserve">literature </w:t>
                      </w:r>
                      <w:r w:rsidR="00FD6A11" w:rsidRPr="00A748CB">
                        <w:rPr>
                          <w:rFonts w:ascii="Arial" w:hAnsi="Arial" w:cs="Arial"/>
                          <w:sz w:val="14"/>
                          <w:szCs w:val="14"/>
                        </w:rPr>
                        <w:t>indicates</w:t>
                      </w:r>
                      <w:r w:rsidR="0073588F" w:rsidRPr="00A748CB">
                        <w:rPr>
                          <w:rFonts w:ascii="Arial" w:hAnsi="Arial" w:cs="Arial"/>
                          <w:sz w:val="14"/>
                          <w:szCs w:val="14"/>
                        </w:rPr>
                        <w:t xml:space="preserve"> three tools (methodological approaches)</w:t>
                      </w:r>
                      <w:r w:rsidRPr="00A748CB">
                        <w:rPr>
                          <w:rFonts w:ascii="Arial" w:hAnsi="Arial" w:cs="Arial"/>
                          <w:sz w:val="14"/>
                          <w:szCs w:val="14"/>
                        </w:rPr>
                        <w:t>:</w:t>
                      </w:r>
                      <w:r w:rsidR="0073588F" w:rsidRPr="00A748CB">
                        <w:rPr>
                          <w:rFonts w:ascii="Arial" w:hAnsi="Arial" w:cs="Arial"/>
                          <w:sz w:val="14"/>
                          <w:szCs w:val="14"/>
                        </w:rPr>
                        <w:t xml:space="preserve"> </w:t>
                      </w:r>
                      <w:r w:rsidR="00D2118A" w:rsidRPr="00A748CB">
                        <w:rPr>
                          <w:rFonts w:ascii="Arial" w:hAnsi="Arial" w:cs="Arial"/>
                          <w:bCs/>
                          <w:sz w:val="14"/>
                          <w:szCs w:val="14"/>
                        </w:rPr>
                        <w:t xml:space="preserve">scenarios, tipping-points, and adaptation pathways (which requires ordering various possible measures in time) </w:t>
                      </w:r>
                      <w:r w:rsidR="00D2118A" w:rsidRPr="00A748CB">
                        <w:rPr>
                          <w:rFonts w:ascii="Arial" w:hAnsi="Arial" w:cs="Arial"/>
                          <w:sz w:val="14"/>
                          <w:szCs w:val="14"/>
                        </w:rPr>
                        <w:t>(</w:t>
                      </w:r>
                      <w:proofErr w:type="spellStart"/>
                      <w:r w:rsidR="00D2118A" w:rsidRPr="00A748CB">
                        <w:rPr>
                          <w:rFonts w:ascii="Arial" w:hAnsi="Arial" w:cs="Arial"/>
                          <w:color w:val="7F7F7F" w:themeColor="text1" w:themeTint="80"/>
                          <w:sz w:val="14"/>
                          <w:szCs w:val="14"/>
                        </w:rPr>
                        <w:t>Restemeyer</w:t>
                      </w:r>
                      <w:proofErr w:type="spellEnd"/>
                      <w:r w:rsidR="00D2118A" w:rsidRPr="00A748CB">
                        <w:rPr>
                          <w:rFonts w:ascii="Arial" w:hAnsi="Arial" w:cs="Arial"/>
                          <w:color w:val="7F7F7F" w:themeColor="text1" w:themeTint="80"/>
                          <w:sz w:val="14"/>
                          <w:szCs w:val="14"/>
                        </w:rPr>
                        <w:t xml:space="preserve"> et al. 2017, p.</w:t>
                      </w:r>
                      <w:r w:rsidR="00FD6A11" w:rsidRPr="00A748CB">
                        <w:rPr>
                          <w:rFonts w:ascii="Arial" w:hAnsi="Arial" w:cs="Arial"/>
                          <w:color w:val="7F7F7F" w:themeColor="text1" w:themeTint="80"/>
                          <w:sz w:val="14"/>
                          <w:szCs w:val="14"/>
                        </w:rPr>
                        <w:t>923</w:t>
                      </w:r>
                      <w:r w:rsidR="00CA34D1" w:rsidRPr="00A748CB">
                        <w:rPr>
                          <w:rFonts w:ascii="Arial" w:hAnsi="Arial" w:cs="Arial"/>
                          <w:sz w:val="14"/>
                          <w:szCs w:val="14"/>
                        </w:rPr>
                        <w:t>).</w:t>
                      </w:r>
                    </w:p>
                    <w:p w14:paraId="7A294EF6" w14:textId="116890F7" w:rsidR="00E9136E" w:rsidRPr="00A748CB" w:rsidRDefault="00E9136E" w:rsidP="007D2351">
                      <w:pPr>
                        <w:pStyle w:val="TEXTBODY"/>
                        <w:spacing w:line="240" w:lineRule="auto"/>
                        <w:rPr>
                          <w:rFonts w:ascii="Arial" w:hAnsi="Arial" w:cs="Arial"/>
                          <w:sz w:val="14"/>
                          <w:szCs w:val="14"/>
                        </w:rPr>
                      </w:pPr>
                      <w:r w:rsidRPr="00A748CB">
                        <w:rPr>
                          <w:rFonts w:ascii="Arial" w:hAnsi="Arial" w:cs="Arial"/>
                          <w:sz w:val="14"/>
                          <w:szCs w:val="14"/>
                        </w:rPr>
                        <w:t xml:space="preserve">Drawing on their analysis of the Dutch DP and its ADM approach, the authors demonstrate that </w:t>
                      </w:r>
                      <w:r w:rsidRPr="00A748CB">
                        <w:rPr>
                          <w:rFonts w:ascii="Arial" w:eastAsiaTheme="minorHAnsi" w:hAnsi="Arial" w:cs="Arial"/>
                          <w:sz w:val="14"/>
                          <w:szCs w:val="14"/>
                          <w:lang w:eastAsia="en-US"/>
                        </w:rPr>
                        <w:t xml:space="preserve">Dutch policymakers </w:t>
                      </w:r>
                      <w:r w:rsidR="007D2351" w:rsidRPr="00A748CB">
                        <w:rPr>
                          <w:rFonts w:ascii="Arial" w:eastAsiaTheme="minorHAnsi" w:hAnsi="Arial" w:cs="Arial"/>
                          <w:sz w:val="14"/>
                          <w:szCs w:val="14"/>
                          <w:lang w:eastAsia="en-US"/>
                        </w:rPr>
                        <w:t>face</w:t>
                      </w:r>
                      <w:r w:rsidRPr="00A748CB">
                        <w:rPr>
                          <w:rFonts w:ascii="Arial" w:eastAsiaTheme="minorHAnsi" w:hAnsi="Arial" w:cs="Arial"/>
                          <w:sz w:val="14"/>
                          <w:szCs w:val="14"/>
                          <w:lang w:eastAsia="en-US"/>
                        </w:rPr>
                        <w:t xml:space="preserve"> a dilemma between </w:t>
                      </w:r>
                      <w:r w:rsidRPr="00A748CB">
                        <w:rPr>
                          <w:rFonts w:ascii="Arial" w:eastAsiaTheme="minorHAnsi" w:hAnsi="Arial" w:cs="Arial"/>
                          <w:i/>
                          <w:iCs/>
                          <w:sz w:val="14"/>
                          <w:szCs w:val="14"/>
                          <w:lang w:eastAsia="en-US"/>
                        </w:rPr>
                        <w:t>adaptability and the urge to control</w:t>
                      </w:r>
                      <w:r w:rsidRPr="00A748CB">
                        <w:rPr>
                          <w:rFonts w:ascii="Arial" w:eastAsiaTheme="minorHAnsi" w:hAnsi="Arial" w:cs="Arial"/>
                          <w:sz w:val="14"/>
                          <w:szCs w:val="14"/>
                          <w:lang w:eastAsia="en-US"/>
                        </w:rPr>
                        <w:t xml:space="preserve">. To overcome it, the authors suggest a stronger focus on monitoring and learning to strengthen the adaptability of long-term policies, as well as a stronger engagement of local stakeholders </w:t>
                      </w:r>
                      <w:r w:rsidRPr="00A748CB">
                        <w:rPr>
                          <w:rFonts w:ascii="Arial" w:hAnsi="Arial" w:cs="Arial"/>
                          <w:sz w:val="14"/>
                          <w:szCs w:val="14"/>
                        </w:rPr>
                        <w:t>(</w:t>
                      </w:r>
                      <w:proofErr w:type="spellStart"/>
                      <w:r w:rsidRPr="00A748CB">
                        <w:rPr>
                          <w:rFonts w:ascii="Arial" w:hAnsi="Arial" w:cs="Arial"/>
                          <w:color w:val="7F7F7F" w:themeColor="text1" w:themeTint="80"/>
                          <w:sz w:val="14"/>
                          <w:szCs w:val="14"/>
                        </w:rPr>
                        <w:t>Restemeyer</w:t>
                      </w:r>
                      <w:proofErr w:type="spellEnd"/>
                      <w:r w:rsidRPr="00A748CB">
                        <w:rPr>
                          <w:rFonts w:ascii="Arial" w:hAnsi="Arial" w:cs="Arial"/>
                          <w:color w:val="7F7F7F" w:themeColor="text1" w:themeTint="80"/>
                          <w:sz w:val="14"/>
                          <w:szCs w:val="14"/>
                        </w:rPr>
                        <w:t xml:space="preserve"> et al. 2017, p.920</w:t>
                      </w:r>
                      <w:r w:rsidR="00AD4CED" w:rsidRPr="00A748CB">
                        <w:rPr>
                          <w:rFonts w:ascii="Arial" w:hAnsi="Arial" w:cs="Arial"/>
                          <w:color w:val="7F7F7F" w:themeColor="text1" w:themeTint="80"/>
                          <w:sz w:val="14"/>
                          <w:szCs w:val="14"/>
                        </w:rPr>
                        <w:t>, 935-936</w:t>
                      </w:r>
                      <w:r w:rsidRPr="00A748CB">
                        <w:rPr>
                          <w:rFonts w:ascii="Arial" w:hAnsi="Arial" w:cs="Arial"/>
                          <w:sz w:val="14"/>
                          <w:szCs w:val="14"/>
                        </w:rPr>
                        <w:t>).</w:t>
                      </w:r>
                    </w:p>
                    <w:p w14:paraId="37E181EC" w14:textId="77777777" w:rsidR="007D2351" w:rsidRPr="00A748CB" w:rsidRDefault="007D2351" w:rsidP="007D2351">
                      <w:pPr>
                        <w:pStyle w:val="TEXTBODY"/>
                        <w:spacing w:line="240" w:lineRule="auto"/>
                        <w:rPr>
                          <w:rFonts w:ascii="Arial" w:hAnsi="Arial" w:cs="Arial"/>
                          <w:sz w:val="14"/>
                          <w:szCs w:val="14"/>
                        </w:rPr>
                      </w:pPr>
                    </w:p>
                    <w:p w14:paraId="53049194" w14:textId="77777777" w:rsidR="00CA34D1" w:rsidRPr="00A748CB" w:rsidRDefault="00CA34D1" w:rsidP="007D2351">
                      <w:pPr>
                        <w:pStyle w:val="TEXTBODY"/>
                        <w:spacing w:line="240" w:lineRule="auto"/>
                        <w:jc w:val="left"/>
                        <w:rPr>
                          <w:rFonts w:ascii="Arial" w:hAnsi="Arial" w:cs="Arial"/>
                          <w:sz w:val="14"/>
                          <w:szCs w:val="14"/>
                        </w:rPr>
                      </w:pPr>
                    </w:p>
                    <w:p w14:paraId="35758BC9" w14:textId="77777777" w:rsidR="00A61A74" w:rsidRPr="00A748CB" w:rsidRDefault="00A61A74" w:rsidP="007D2351">
                      <w:pPr>
                        <w:pStyle w:val="TEXTBODY"/>
                        <w:spacing w:line="240" w:lineRule="auto"/>
                        <w:jc w:val="left"/>
                        <w:rPr>
                          <w:rFonts w:ascii="Arial" w:hAnsi="Arial" w:cs="Arial"/>
                          <w:sz w:val="14"/>
                          <w:szCs w:val="14"/>
                        </w:rPr>
                      </w:pPr>
                    </w:p>
                  </w:txbxContent>
                </v:textbox>
                <w10:wrap anchorx="page"/>
              </v:shape>
            </w:pict>
          </mc:Fallback>
        </mc:AlternateContent>
      </w:r>
    </w:p>
    <w:p w14:paraId="5CAB0486" w14:textId="18575506" w:rsidR="00A61A74" w:rsidRPr="009B720F" w:rsidRDefault="00A61A74" w:rsidP="00E74925">
      <w:pPr>
        <w:pStyle w:val="TEXTBODY"/>
        <w:spacing w:line="276" w:lineRule="auto"/>
        <w:rPr>
          <w:bCs/>
          <w:szCs w:val="22"/>
        </w:rPr>
      </w:pPr>
    </w:p>
    <w:p w14:paraId="5E1D6684" w14:textId="77777777" w:rsidR="00A61A74" w:rsidRPr="009B720F" w:rsidRDefault="00A61A74" w:rsidP="00E74925">
      <w:pPr>
        <w:pStyle w:val="TEXTBODY"/>
        <w:spacing w:line="276" w:lineRule="auto"/>
        <w:rPr>
          <w:bCs/>
          <w:strike/>
          <w:szCs w:val="22"/>
        </w:rPr>
      </w:pPr>
    </w:p>
    <w:p w14:paraId="34B1F635" w14:textId="77777777" w:rsidR="00A61A74" w:rsidRPr="009B720F" w:rsidRDefault="00A61A74" w:rsidP="00E74925">
      <w:pPr>
        <w:pStyle w:val="TEXTBODY"/>
        <w:spacing w:line="276" w:lineRule="auto"/>
        <w:rPr>
          <w:bCs/>
          <w:strike/>
          <w:szCs w:val="22"/>
        </w:rPr>
      </w:pPr>
    </w:p>
    <w:p w14:paraId="678C9BF7" w14:textId="77777777" w:rsidR="00A61A74" w:rsidRPr="009B720F" w:rsidRDefault="00A61A74" w:rsidP="00E74925">
      <w:pPr>
        <w:pStyle w:val="TEXTBODY"/>
        <w:spacing w:line="276" w:lineRule="auto"/>
        <w:rPr>
          <w:bCs/>
          <w:strike/>
          <w:szCs w:val="22"/>
        </w:rPr>
      </w:pPr>
    </w:p>
    <w:p w14:paraId="25F396EB" w14:textId="77777777" w:rsidR="00A61A74" w:rsidRPr="009B720F" w:rsidRDefault="00A61A74" w:rsidP="00E74925">
      <w:pPr>
        <w:pStyle w:val="TEXTBODY"/>
        <w:spacing w:line="276" w:lineRule="auto"/>
        <w:rPr>
          <w:bCs/>
          <w:strike/>
          <w:szCs w:val="22"/>
        </w:rPr>
      </w:pPr>
    </w:p>
    <w:p w14:paraId="2597CFC3" w14:textId="77777777" w:rsidR="00A61A74" w:rsidRPr="009B720F" w:rsidRDefault="00A61A74" w:rsidP="00E74925">
      <w:pPr>
        <w:pStyle w:val="TEXTBODY"/>
        <w:spacing w:line="276" w:lineRule="auto"/>
        <w:rPr>
          <w:bCs/>
          <w:strike/>
          <w:szCs w:val="22"/>
        </w:rPr>
      </w:pPr>
    </w:p>
    <w:p w14:paraId="3FA486F4" w14:textId="77777777" w:rsidR="00A61A74" w:rsidRPr="009B720F" w:rsidRDefault="00A61A74" w:rsidP="00E74925">
      <w:pPr>
        <w:pStyle w:val="TEXTBODY"/>
        <w:spacing w:line="276" w:lineRule="auto"/>
        <w:rPr>
          <w:bCs/>
          <w:strike/>
          <w:szCs w:val="22"/>
        </w:rPr>
      </w:pPr>
    </w:p>
    <w:p w14:paraId="3BE12D3C" w14:textId="77777777" w:rsidR="00A61A74" w:rsidRPr="009B720F" w:rsidRDefault="00A61A74" w:rsidP="00E74925">
      <w:pPr>
        <w:pStyle w:val="TEXTBODY"/>
        <w:spacing w:line="276" w:lineRule="auto"/>
        <w:rPr>
          <w:bCs/>
          <w:strike/>
          <w:szCs w:val="22"/>
        </w:rPr>
      </w:pPr>
    </w:p>
    <w:p w14:paraId="0393BF72" w14:textId="77777777" w:rsidR="00A61A74" w:rsidRPr="009B720F" w:rsidRDefault="00A61A74" w:rsidP="00E74925">
      <w:pPr>
        <w:pStyle w:val="TEXTBODY"/>
        <w:spacing w:line="276" w:lineRule="auto"/>
        <w:rPr>
          <w:bCs/>
          <w:strike/>
          <w:szCs w:val="22"/>
        </w:rPr>
      </w:pPr>
    </w:p>
    <w:p w14:paraId="43336CD4" w14:textId="77777777" w:rsidR="00A61A74" w:rsidRPr="009B720F" w:rsidRDefault="00A61A74" w:rsidP="00E74925">
      <w:pPr>
        <w:pStyle w:val="TEXTBODY"/>
        <w:spacing w:line="276" w:lineRule="auto"/>
        <w:rPr>
          <w:bCs/>
          <w:strike/>
          <w:szCs w:val="22"/>
        </w:rPr>
      </w:pPr>
    </w:p>
    <w:p w14:paraId="6A263BE1" w14:textId="77777777" w:rsidR="00A61A74" w:rsidRPr="009B720F" w:rsidRDefault="00A61A74" w:rsidP="00E74925">
      <w:pPr>
        <w:pStyle w:val="TEXTBODY"/>
        <w:spacing w:line="276" w:lineRule="auto"/>
        <w:rPr>
          <w:bCs/>
          <w:strike/>
          <w:szCs w:val="22"/>
        </w:rPr>
      </w:pPr>
    </w:p>
    <w:p w14:paraId="20CEDC38" w14:textId="77777777" w:rsidR="00CA34D1" w:rsidRPr="009B720F" w:rsidRDefault="00CA34D1" w:rsidP="00E74925">
      <w:pPr>
        <w:pStyle w:val="TEXTBODY"/>
        <w:spacing w:line="276" w:lineRule="auto"/>
        <w:rPr>
          <w:bCs/>
          <w:highlight w:val="green"/>
        </w:rPr>
      </w:pPr>
    </w:p>
    <w:p w14:paraId="34DF40E4" w14:textId="5F4CCB21" w:rsidR="00CA34D1" w:rsidRPr="009B720F" w:rsidRDefault="00CA34D1" w:rsidP="00E74925">
      <w:pPr>
        <w:pStyle w:val="TEXTBODY"/>
        <w:spacing w:line="276" w:lineRule="auto"/>
        <w:rPr>
          <w:bCs/>
          <w:highlight w:val="green"/>
        </w:rPr>
      </w:pPr>
    </w:p>
    <w:p w14:paraId="079C10FE" w14:textId="267DEF1F" w:rsidR="00CA34D1" w:rsidRPr="009B720F" w:rsidRDefault="00CA34D1" w:rsidP="00E74925">
      <w:pPr>
        <w:pStyle w:val="TEXTBODY"/>
        <w:spacing w:line="276" w:lineRule="auto"/>
        <w:rPr>
          <w:bCs/>
          <w:highlight w:val="green"/>
        </w:rPr>
      </w:pPr>
    </w:p>
    <w:p w14:paraId="26218738" w14:textId="11E864CF" w:rsidR="00CA34D1" w:rsidRPr="009B720F" w:rsidRDefault="00CA34D1" w:rsidP="00E74925">
      <w:pPr>
        <w:pStyle w:val="TEXTBODY"/>
        <w:spacing w:line="276" w:lineRule="auto"/>
        <w:rPr>
          <w:bCs/>
          <w:highlight w:val="green"/>
        </w:rPr>
      </w:pPr>
    </w:p>
    <w:p w14:paraId="7EECD08F" w14:textId="476C3F6C" w:rsidR="00CA34D1" w:rsidRPr="009B720F" w:rsidRDefault="00CA34D1" w:rsidP="00E74925">
      <w:pPr>
        <w:pStyle w:val="TEXTBODY"/>
        <w:spacing w:line="276" w:lineRule="auto"/>
        <w:rPr>
          <w:bCs/>
          <w:highlight w:val="green"/>
        </w:rPr>
      </w:pPr>
    </w:p>
    <w:p w14:paraId="7FDF451E" w14:textId="77777777" w:rsidR="000A40A4" w:rsidRDefault="000A40A4" w:rsidP="00E74925">
      <w:pPr>
        <w:pStyle w:val="TEXTBODY"/>
        <w:spacing w:line="276" w:lineRule="auto"/>
        <w:rPr>
          <w:bCs/>
        </w:rPr>
      </w:pPr>
    </w:p>
    <w:p w14:paraId="3F5914A4" w14:textId="77777777" w:rsidR="000A40A4" w:rsidRDefault="000A40A4" w:rsidP="00E74925">
      <w:pPr>
        <w:pStyle w:val="TEXTBODY"/>
        <w:spacing w:line="276" w:lineRule="auto"/>
        <w:rPr>
          <w:bCs/>
        </w:rPr>
      </w:pPr>
    </w:p>
    <w:p w14:paraId="0735E8E3" w14:textId="5779BE87" w:rsidR="0023760E" w:rsidRPr="009B720F" w:rsidRDefault="00A748CB" w:rsidP="00E74925">
      <w:pPr>
        <w:pStyle w:val="TEXTBODY"/>
        <w:spacing w:line="276" w:lineRule="auto"/>
        <w:rPr>
          <w:bCs/>
          <w:highlight w:val="green"/>
        </w:rPr>
      </w:pPr>
      <w:r w:rsidRPr="009B720F">
        <w:rPr>
          <w:bCs/>
          <w:noProof/>
        </w:rPr>
        <mc:AlternateContent>
          <mc:Choice Requires="wps">
            <w:drawing>
              <wp:anchor distT="45720" distB="45720" distL="114300" distR="114300" simplePos="0" relativeHeight="252646912" behindDoc="1" locked="0" layoutInCell="1" allowOverlap="1" wp14:anchorId="2C06170F" wp14:editId="42A4E1C2">
                <wp:simplePos x="0" y="0"/>
                <wp:positionH relativeFrom="page">
                  <wp:posOffset>666750</wp:posOffset>
                </wp:positionH>
                <wp:positionV relativeFrom="paragraph">
                  <wp:posOffset>194310</wp:posOffset>
                </wp:positionV>
                <wp:extent cx="6249670" cy="2257425"/>
                <wp:effectExtent l="0" t="0" r="0" b="9525"/>
                <wp:wrapNone/>
                <wp:docPr id="15417507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9670" cy="2257425"/>
                        </a:xfrm>
                        <a:prstGeom prst="rect">
                          <a:avLst/>
                        </a:prstGeom>
                        <a:solidFill>
                          <a:srgbClr val="4F81BD">
                            <a:lumMod val="20000"/>
                            <a:lumOff val="80000"/>
                          </a:srgbClr>
                        </a:solidFill>
                        <a:ln w="9525">
                          <a:noFill/>
                          <a:miter lim="800000"/>
                          <a:headEnd/>
                          <a:tailEnd/>
                        </a:ln>
                      </wps:spPr>
                      <wps:txbx>
                        <w:txbxContent>
                          <w:p w14:paraId="06F57E9E" w14:textId="4ABDE36C" w:rsidR="00AD4CED" w:rsidRPr="00A748CB" w:rsidRDefault="00AD4CED" w:rsidP="00AD4CED">
                            <w:pPr>
                              <w:pStyle w:val="TEXTBODY"/>
                              <w:spacing w:line="240" w:lineRule="auto"/>
                              <w:rPr>
                                <w:rFonts w:ascii="Arial" w:hAnsi="Arial" w:cs="Arial"/>
                                <w:sz w:val="14"/>
                                <w:szCs w:val="14"/>
                              </w:rPr>
                            </w:pPr>
                            <w:bookmarkStart w:id="125" w:name="_Hlk140229987"/>
                            <w:r w:rsidRPr="00A748CB">
                              <w:rPr>
                                <w:rFonts w:ascii="Arial" w:hAnsi="Arial" w:cs="Arial"/>
                                <w:sz w:val="14"/>
                                <w:szCs w:val="14"/>
                              </w:rPr>
                              <w:t xml:space="preserve">As underlined </w:t>
                            </w:r>
                            <w:r w:rsidRPr="00A748CB">
                              <w:rPr>
                                <w:rFonts w:ascii="Arial" w:hAnsi="Arial" w:cs="Arial"/>
                                <w:b/>
                                <w:bCs/>
                                <w:sz w:val="14"/>
                                <w:szCs w:val="14"/>
                              </w:rPr>
                              <w:t xml:space="preserve">by </w:t>
                            </w:r>
                            <w:proofErr w:type="spellStart"/>
                            <w:r w:rsidRPr="00A748CB">
                              <w:rPr>
                                <w:rFonts w:ascii="Arial" w:hAnsi="Arial" w:cs="Arial"/>
                                <w:b/>
                                <w:bCs/>
                                <w:color w:val="7F7F7F" w:themeColor="text1" w:themeTint="80"/>
                                <w:sz w:val="14"/>
                                <w:szCs w:val="14"/>
                              </w:rPr>
                              <w:t>Restemeyer</w:t>
                            </w:r>
                            <w:proofErr w:type="spellEnd"/>
                            <w:r w:rsidRPr="00A748CB">
                              <w:rPr>
                                <w:rFonts w:ascii="Arial" w:hAnsi="Arial" w:cs="Arial"/>
                                <w:b/>
                                <w:bCs/>
                                <w:color w:val="7F7F7F" w:themeColor="text1" w:themeTint="80"/>
                                <w:sz w:val="14"/>
                                <w:szCs w:val="14"/>
                              </w:rPr>
                              <w:t xml:space="preserve"> et al. (2017</w:t>
                            </w:r>
                            <w:r w:rsidRPr="00A748CB">
                              <w:rPr>
                                <w:rFonts w:ascii="Arial" w:hAnsi="Arial" w:cs="Arial"/>
                                <w:b/>
                                <w:bCs/>
                                <w:sz w:val="14"/>
                                <w:szCs w:val="14"/>
                              </w:rPr>
                              <w:t>)</w:t>
                            </w:r>
                            <w:r w:rsidRPr="00A748CB">
                              <w:rPr>
                                <w:rFonts w:ascii="Arial" w:hAnsi="Arial" w:cs="Arial"/>
                                <w:sz w:val="14"/>
                                <w:szCs w:val="14"/>
                              </w:rPr>
                              <w:t xml:space="preserve">, a key-question that remains is </w:t>
                            </w:r>
                            <w:r w:rsidRPr="00A748CB">
                              <w:rPr>
                                <w:rFonts w:ascii="Arial" w:hAnsi="Arial" w:cs="Arial"/>
                                <w:i/>
                                <w:iCs/>
                                <w:sz w:val="14"/>
                                <w:szCs w:val="14"/>
                              </w:rPr>
                              <w:t xml:space="preserve">how to make long-term policies adaptive so that they </w:t>
                            </w:r>
                            <w:proofErr w:type="gramStart"/>
                            <w:r w:rsidRPr="00A748CB">
                              <w:rPr>
                                <w:rFonts w:ascii="Arial" w:hAnsi="Arial" w:cs="Arial"/>
                                <w:i/>
                                <w:iCs/>
                                <w:sz w:val="14"/>
                                <w:szCs w:val="14"/>
                              </w:rPr>
                              <w:t>are able to</w:t>
                            </w:r>
                            <w:proofErr w:type="gramEnd"/>
                            <w:r w:rsidRPr="00A748CB">
                              <w:rPr>
                                <w:rFonts w:ascii="Arial" w:hAnsi="Arial" w:cs="Arial"/>
                                <w:i/>
                                <w:iCs/>
                                <w:sz w:val="14"/>
                                <w:szCs w:val="14"/>
                              </w:rPr>
                              <w:t xml:space="preserve"> deal with uncertainties and changing circumstances</w:t>
                            </w:r>
                            <w:r w:rsidRPr="00A748CB">
                              <w:rPr>
                                <w:rFonts w:ascii="Arial" w:hAnsi="Arial" w:cs="Arial"/>
                                <w:sz w:val="14"/>
                                <w:szCs w:val="14"/>
                              </w:rPr>
                              <w:t xml:space="preserve"> (</w:t>
                            </w:r>
                            <w:proofErr w:type="spellStart"/>
                            <w:r w:rsidRPr="00A748CB">
                              <w:rPr>
                                <w:rFonts w:ascii="Arial" w:hAnsi="Arial" w:cs="Arial"/>
                                <w:color w:val="7F7F7F" w:themeColor="text1" w:themeTint="80"/>
                                <w:sz w:val="14"/>
                                <w:szCs w:val="14"/>
                              </w:rPr>
                              <w:t>Restemeyer</w:t>
                            </w:r>
                            <w:proofErr w:type="spellEnd"/>
                            <w:r w:rsidRPr="00A748CB">
                              <w:rPr>
                                <w:rFonts w:ascii="Arial" w:hAnsi="Arial" w:cs="Arial"/>
                                <w:color w:val="7F7F7F" w:themeColor="text1" w:themeTint="80"/>
                                <w:sz w:val="14"/>
                                <w:szCs w:val="14"/>
                              </w:rPr>
                              <w:t xml:space="preserve"> et al. 2017, p.920</w:t>
                            </w:r>
                            <w:r w:rsidRPr="00A748CB">
                              <w:rPr>
                                <w:rFonts w:ascii="Arial" w:hAnsi="Arial" w:cs="Arial"/>
                                <w:sz w:val="14"/>
                                <w:szCs w:val="14"/>
                              </w:rPr>
                              <w:t xml:space="preserve">).  As noted by the authors, in recent years, various authors have called for </w:t>
                            </w:r>
                            <w:r w:rsidRPr="00A748CB">
                              <w:rPr>
                                <w:rFonts w:ascii="Arial" w:hAnsi="Arial" w:cs="Arial"/>
                                <w:i/>
                                <w:iCs/>
                                <w:sz w:val="14"/>
                                <w:szCs w:val="14"/>
                              </w:rPr>
                              <w:t>adaptive planning and management approach</w:t>
                            </w:r>
                            <w:r w:rsidRPr="00A748CB">
                              <w:rPr>
                                <w:rFonts w:ascii="Arial" w:eastAsiaTheme="minorHAnsi" w:hAnsi="Arial" w:cs="Arial"/>
                                <w:color w:val="000000"/>
                                <w:sz w:val="14"/>
                                <w:szCs w:val="14"/>
                                <w:lang w:eastAsia="en-US"/>
                              </w:rPr>
                              <w:t xml:space="preserve"> (e.g. </w:t>
                            </w:r>
                            <w:r w:rsidRPr="000A40A4">
                              <w:rPr>
                                <w:rFonts w:ascii="Arial" w:eastAsiaTheme="minorHAnsi" w:hAnsi="Arial" w:cs="Arial"/>
                                <w:color w:val="7F7F7F" w:themeColor="text1" w:themeTint="80"/>
                                <w:sz w:val="14"/>
                                <w:szCs w:val="14"/>
                                <w:lang w:eastAsia="en-US"/>
                              </w:rPr>
                              <w:t xml:space="preserve">Holling 1978; Folke et al. 2005; Pahl-Wostl 2006; Wilkinson 2011b; Innes and Booher 2010, </w:t>
                            </w:r>
                            <w:r w:rsidRPr="000A40A4">
                              <w:rPr>
                                <w:rFonts w:ascii="Arial" w:eastAsiaTheme="minorHAnsi" w:hAnsi="Arial" w:cs="Arial"/>
                                <w:i/>
                                <w:iCs/>
                                <w:color w:val="7F7F7F" w:themeColor="text1" w:themeTint="80"/>
                                <w:sz w:val="14"/>
                                <w:szCs w:val="14"/>
                                <w:lang w:eastAsia="en-US"/>
                              </w:rPr>
                              <w:t>in</w:t>
                            </w:r>
                            <w:r w:rsidRPr="000A40A4">
                              <w:rPr>
                                <w:rFonts w:ascii="Arial" w:eastAsiaTheme="minorHAnsi" w:hAnsi="Arial" w:cs="Arial"/>
                                <w:color w:val="7F7F7F" w:themeColor="text1" w:themeTint="80"/>
                                <w:sz w:val="14"/>
                                <w:szCs w:val="14"/>
                                <w:lang w:eastAsia="en-US"/>
                              </w:rPr>
                              <w:t xml:space="preserve"> </w:t>
                            </w:r>
                            <w:proofErr w:type="spellStart"/>
                            <w:r w:rsidRPr="000A40A4">
                              <w:rPr>
                                <w:rFonts w:ascii="Arial" w:eastAsiaTheme="minorHAnsi" w:hAnsi="Arial" w:cs="Arial"/>
                                <w:color w:val="7F7F7F" w:themeColor="text1" w:themeTint="80"/>
                                <w:sz w:val="14"/>
                                <w:szCs w:val="14"/>
                                <w:lang w:eastAsia="en-US"/>
                              </w:rPr>
                              <w:t>Restemeyer</w:t>
                            </w:r>
                            <w:proofErr w:type="spellEnd"/>
                            <w:r w:rsidRPr="000A40A4">
                              <w:rPr>
                                <w:rFonts w:ascii="Arial" w:eastAsiaTheme="minorHAnsi" w:hAnsi="Arial" w:cs="Arial"/>
                                <w:color w:val="7F7F7F" w:themeColor="text1" w:themeTint="80"/>
                                <w:sz w:val="14"/>
                                <w:szCs w:val="14"/>
                                <w:lang w:eastAsia="en-US"/>
                              </w:rPr>
                              <w:t xml:space="preserve"> et al. 2017, p.921</w:t>
                            </w:r>
                            <w:r w:rsidRPr="00A748CB">
                              <w:rPr>
                                <w:rFonts w:ascii="Arial" w:eastAsiaTheme="minorHAnsi" w:hAnsi="Arial" w:cs="Arial"/>
                                <w:color w:val="000000"/>
                                <w:sz w:val="14"/>
                                <w:szCs w:val="14"/>
                                <w:lang w:eastAsia="en-US"/>
                              </w:rPr>
                              <w:t xml:space="preserve">), </w:t>
                            </w:r>
                            <w:r w:rsidR="00E82F5D" w:rsidRPr="00A748CB">
                              <w:rPr>
                                <w:rFonts w:ascii="Arial" w:eastAsiaTheme="minorHAnsi" w:hAnsi="Arial" w:cs="Arial"/>
                                <w:color w:val="000000"/>
                                <w:sz w:val="14"/>
                                <w:szCs w:val="14"/>
                                <w:lang w:eastAsia="en-US"/>
                              </w:rPr>
                              <w:t xml:space="preserve">however, </w:t>
                            </w:r>
                            <w:r w:rsidRPr="00A748CB">
                              <w:rPr>
                                <w:rFonts w:ascii="Arial" w:eastAsiaTheme="minorHAnsi" w:hAnsi="Arial" w:cs="Arial"/>
                                <w:color w:val="000000"/>
                                <w:sz w:val="14"/>
                                <w:szCs w:val="14"/>
                                <w:lang w:eastAsia="en-US"/>
                              </w:rPr>
                              <w:t>what this means (in practice) for elaborating long-term policies has only recently been put on the research agenda (</w:t>
                            </w:r>
                            <w:r w:rsidRPr="000A40A4">
                              <w:rPr>
                                <w:rFonts w:ascii="Arial" w:eastAsiaTheme="minorHAnsi" w:hAnsi="Arial" w:cs="Arial"/>
                                <w:color w:val="7F7F7F" w:themeColor="text1" w:themeTint="80"/>
                                <w:sz w:val="14"/>
                                <w:szCs w:val="14"/>
                                <w:lang w:eastAsia="en-US"/>
                              </w:rPr>
                              <w:t xml:space="preserve">Reeder and Ranger 2011; Walker et al. 2013; </w:t>
                            </w:r>
                            <w:proofErr w:type="spellStart"/>
                            <w:r w:rsidRPr="000A40A4">
                              <w:rPr>
                                <w:rFonts w:ascii="Arial" w:eastAsiaTheme="minorHAnsi" w:hAnsi="Arial" w:cs="Arial"/>
                                <w:color w:val="7F7F7F" w:themeColor="text1" w:themeTint="80"/>
                                <w:sz w:val="14"/>
                                <w:szCs w:val="14"/>
                                <w:lang w:eastAsia="en-US"/>
                              </w:rPr>
                              <w:t>Haasnoot</w:t>
                            </w:r>
                            <w:proofErr w:type="spellEnd"/>
                            <w:r w:rsidRPr="000A40A4">
                              <w:rPr>
                                <w:rFonts w:ascii="Arial" w:eastAsiaTheme="minorHAnsi" w:hAnsi="Arial" w:cs="Arial"/>
                                <w:color w:val="7F7F7F" w:themeColor="text1" w:themeTint="80"/>
                                <w:sz w:val="14"/>
                                <w:szCs w:val="14"/>
                                <w:lang w:eastAsia="en-US"/>
                              </w:rPr>
                              <w:t xml:space="preserve"> et al. 2013</w:t>
                            </w:r>
                            <w:r w:rsidRPr="00A748CB">
                              <w:rPr>
                                <w:rFonts w:ascii="Arial" w:eastAsiaTheme="minorHAnsi" w:hAnsi="Arial" w:cs="Arial"/>
                                <w:color w:val="000000"/>
                                <w:sz w:val="14"/>
                                <w:szCs w:val="14"/>
                                <w:lang w:eastAsia="en-US"/>
                              </w:rPr>
                              <w:t xml:space="preserve">); in addition, the focus has been mainly on techniques and tools to make strategies more flexible (e.g. ‘adaptation pathways’, see </w:t>
                            </w:r>
                            <w:proofErr w:type="spellStart"/>
                            <w:r w:rsidRPr="000A40A4">
                              <w:rPr>
                                <w:rFonts w:ascii="Arial" w:eastAsiaTheme="minorHAnsi" w:hAnsi="Arial" w:cs="Arial"/>
                                <w:color w:val="7F7F7F" w:themeColor="text1" w:themeTint="80"/>
                                <w:sz w:val="14"/>
                                <w:szCs w:val="14"/>
                                <w:lang w:eastAsia="en-US"/>
                              </w:rPr>
                              <w:t>Haasnoot</w:t>
                            </w:r>
                            <w:proofErr w:type="spellEnd"/>
                            <w:r w:rsidRPr="000A40A4">
                              <w:rPr>
                                <w:rFonts w:ascii="Arial" w:eastAsiaTheme="minorHAnsi" w:hAnsi="Arial" w:cs="Arial"/>
                                <w:color w:val="7F7F7F" w:themeColor="text1" w:themeTint="80"/>
                                <w:sz w:val="14"/>
                                <w:szCs w:val="14"/>
                                <w:lang w:eastAsia="en-US"/>
                              </w:rPr>
                              <w:t xml:space="preserve"> et al. 2013</w:t>
                            </w:r>
                            <w:r w:rsidRPr="00A748CB">
                              <w:rPr>
                                <w:rFonts w:ascii="Arial" w:eastAsiaTheme="minorHAnsi" w:hAnsi="Arial" w:cs="Arial"/>
                                <w:color w:val="000000"/>
                                <w:sz w:val="14"/>
                                <w:szCs w:val="14"/>
                                <w:lang w:eastAsia="en-US"/>
                              </w:rPr>
                              <w:t xml:space="preserve">), without paying much attention to the underlying conditions required for achieving adaptability (and making </w:t>
                            </w:r>
                            <w:r w:rsidR="00E82F5D" w:rsidRPr="00A748CB">
                              <w:rPr>
                                <w:rFonts w:ascii="Arial" w:eastAsiaTheme="minorHAnsi" w:hAnsi="Arial" w:cs="Arial"/>
                                <w:color w:val="000000"/>
                                <w:sz w:val="14"/>
                                <w:szCs w:val="14"/>
                                <w:lang w:eastAsia="en-US"/>
                              </w:rPr>
                              <w:t>an adaptive policy/plan)</w:t>
                            </w:r>
                            <w:r w:rsidRPr="00A748CB">
                              <w:rPr>
                                <w:rFonts w:ascii="Arial" w:eastAsiaTheme="minorHAnsi" w:hAnsi="Arial" w:cs="Arial"/>
                                <w:color w:val="000000"/>
                                <w:sz w:val="14"/>
                                <w:szCs w:val="14"/>
                                <w:lang w:eastAsia="en-US"/>
                              </w:rPr>
                              <w:t xml:space="preserve">, </w:t>
                            </w:r>
                            <w:r w:rsidR="00E82F5D" w:rsidRPr="00A748CB">
                              <w:rPr>
                                <w:rFonts w:ascii="Arial" w:eastAsiaTheme="minorHAnsi" w:hAnsi="Arial" w:cs="Arial"/>
                                <w:color w:val="000000"/>
                                <w:sz w:val="14"/>
                                <w:szCs w:val="14"/>
                                <w:lang w:eastAsia="en-US"/>
                              </w:rPr>
                              <w:t>namely in</w:t>
                            </w:r>
                            <w:r w:rsidRPr="00A748CB">
                              <w:rPr>
                                <w:rFonts w:ascii="Arial" w:eastAsiaTheme="minorHAnsi" w:hAnsi="Arial" w:cs="Arial"/>
                                <w:color w:val="000000"/>
                                <w:sz w:val="14"/>
                                <w:szCs w:val="14"/>
                                <w:lang w:eastAsia="en-US"/>
                              </w:rPr>
                              <w:t xml:space="preserve"> the content of strategies and the governance process in which strategies are made and implemented. </w:t>
                            </w:r>
                            <w:proofErr w:type="spellStart"/>
                            <w:r w:rsidR="00E82F5D" w:rsidRPr="00A748CB">
                              <w:rPr>
                                <w:rFonts w:ascii="Arial" w:eastAsiaTheme="minorHAnsi" w:hAnsi="Arial" w:cs="Arial"/>
                                <w:color w:val="7F7F7F" w:themeColor="text1" w:themeTint="80"/>
                                <w:sz w:val="14"/>
                                <w:szCs w:val="14"/>
                                <w:lang w:eastAsia="en-US"/>
                              </w:rPr>
                              <w:t>Restemeyer</w:t>
                            </w:r>
                            <w:proofErr w:type="spellEnd"/>
                            <w:r w:rsidR="00E82F5D" w:rsidRPr="00A748CB">
                              <w:rPr>
                                <w:rFonts w:ascii="Arial" w:eastAsiaTheme="minorHAnsi" w:hAnsi="Arial" w:cs="Arial"/>
                                <w:color w:val="7F7F7F" w:themeColor="text1" w:themeTint="80"/>
                                <w:sz w:val="14"/>
                                <w:szCs w:val="14"/>
                                <w:lang w:eastAsia="en-US"/>
                              </w:rPr>
                              <w:t xml:space="preserve"> et al. (2017), </w:t>
                            </w:r>
                            <w:r w:rsidR="00E82F5D" w:rsidRPr="00A748CB">
                              <w:rPr>
                                <w:rFonts w:ascii="Arial" w:eastAsiaTheme="minorHAnsi" w:hAnsi="Arial" w:cs="Arial"/>
                                <w:color w:val="000000"/>
                                <w:sz w:val="14"/>
                                <w:szCs w:val="14"/>
                                <w:lang w:eastAsia="en-US"/>
                              </w:rPr>
                              <w:t xml:space="preserve">in their paper, sought to address this issue, by defining three </w:t>
                            </w:r>
                            <w:proofErr w:type="gramStart"/>
                            <w:r w:rsidR="00E82F5D" w:rsidRPr="00A748CB">
                              <w:rPr>
                                <w:rFonts w:ascii="Arial" w:eastAsiaTheme="minorHAnsi" w:hAnsi="Arial" w:cs="Arial"/>
                                <w:color w:val="000000"/>
                                <w:sz w:val="14"/>
                                <w:szCs w:val="14"/>
                                <w:lang w:eastAsia="en-US"/>
                              </w:rPr>
                              <w:t>theoretically-based</w:t>
                            </w:r>
                            <w:proofErr w:type="gramEnd"/>
                            <w:r w:rsidR="00E82F5D" w:rsidRPr="00A748CB">
                              <w:rPr>
                                <w:rFonts w:ascii="Arial" w:eastAsiaTheme="minorHAnsi" w:hAnsi="Arial" w:cs="Arial"/>
                                <w:color w:val="000000"/>
                                <w:sz w:val="14"/>
                                <w:szCs w:val="14"/>
                                <w:lang w:eastAsia="en-US"/>
                              </w:rPr>
                              <w:t xml:space="preserve"> conditions / points for making long-term policies </w:t>
                            </w:r>
                            <w:r w:rsidR="00E82F5D" w:rsidRPr="00A748CB">
                              <w:rPr>
                                <w:rFonts w:ascii="Arial" w:eastAsiaTheme="minorHAnsi" w:hAnsi="Arial" w:cs="Arial"/>
                                <w:i/>
                                <w:iCs/>
                                <w:color w:val="000000"/>
                                <w:sz w:val="14"/>
                                <w:szCs w:val="14"/>
                                <w:lang w:eastAsia="en-US"/>
                              </w:rPr>
                              <w:t>more adaptive</w:t>
                            </w:r>
                            <w:r w:rsidR="00E82F5D" w:rsidRPr="00A748CB">
                              <w:rPr>
                                <w:rFonts w:ascii="Arial" w:eastAsiaTheme="minorHAnsi" w:hAnsi="Arial" w:cs="Arial"/>
                                <w:color w:val="000000"/>
                                <w:sz w:val="14"/>
                                <w:szCs w:val="14"/>
                                <w:lang w:eastAsia="en-US"/>
                              </w:rPr>
                              <w:t xml:space="preserve"> </w:t>
                            </w:r>
                            <w:r w:rsidR="00E82F5D" w:rsidRPr="00A748CB">
                              <w:rPr>
                                <w:rFonts w:ascii="Arial" w:hAnsi="Arial" w:cs="Arial"/>
                                <w:sz w:val="14"/>
                                <w:szCs w:val="14"/>
                              </w:rPr>
                              <w:t>(</w:t>
                            </w:r>
                            <w:proofErr w:type="spellStart"/>
                            <w:r w:rsidR="00E82F5D" w:rsidRPr="00A748CB">
                              <w:rPr>
                                <w:rFonts w:ascii="Arial" w:hAnsi="Arial" w:cs="Arial"/>
                                <w:color w:val="7F7F7F" w:themeColor="text1" w:themeTint="80"/>
                                <w:sz w:val="14"/>
                                <w:szCs w:val="14"/>
                              </w:rPr>
                              <w:t>Restemeyer</w:t>
                            </w:r>
                            <w:proofErr w:type="spellEnd"/>
                            <w:r w:rsidR="00E82F5D" w:rsidRPr="00A748CB">
                              <w:rPr>
                                <w:rFonts w:ascii="Arial" w:hAnsi="Arial" w:cs="Arial"/>
                                <w:color w:val="7F7F7F" w:themeColor="text1" w:themeTint="80"/>
                                <w:sz w:val="14"/>
                                <w:szCs w:val="14"/>
                              </w:rPr>
                              <w:t xml:space="preserve"> et al. 2017, p.921</w:t>
                            </w:r>
                            <w:r w:rsidR="00E82F5D" w:rsidRPr="00A748CB">
                              <w:rPr>
                                <w:rFonts w:ascii="Arial" w:hAnsi="Arial" w:cs="Arial"/>
                                <w:sz w:val="14"/>
                                <w:szCs w:val="14"/>
                              </w:rPr>
                              <w:t xml:space="preserve">).  </w:t>
                            </w:r>
                            <w:bookmarkEnd w:id="125"/>
                          </w:p>
                          <w:p w14:paraId="2199BA12" w14:textId="0BE7F1CA" w:rsidR="00E82F5D" w:rsidRPr="00A748CB" w:rsidRDefault="00E82F5D" w:rsidP="00A109C8">
                            <w:pPr>
                              <w:autoSpaceDE w:val="0"/>
                              <w:autoSpaceDN w:val="0"/>
                              <w:adjustRightInd w:val="0"/>
                              <w:spacing w:after="0" w:line="240" w:lineRule="auto"/>
                              <w:jc w:val="left"/>
                              <w:rPr>
                                <w:rFonts w:eastAsiaTheme="minorHAnsi" w:cs="Arial"/>
                                <w:sz w:val="14"/>
                                <w:szCs w:val="14"/>
                                <w:lang w:eastAsia="en-US"/>
                              </w:rPr>
                            </w:pPr>
                            <w:proofErr w:type="spellStart"/>
                            <w:r w:rsidRPr="00A748CB">
                              <w:rPr>
                                <w:rFonts w:eastAsiaTheme="minorHAnsi" w:cs="Arial"/>
                                <w:color w:val="7F7F7F" w:themeColor="text1" w:themeTint="80"/>
                                <w:sz w:val="14"/>
                                <w:szCs w:val="14"/>
                                <w:lang w:eastAsia="en-US"/>
                              </w:rPr>
                              <w:t>Restemeyer</w:t>
                            </w:r>
                            <w:proofErr w:type="spellEnd"/>
                            <w:r w:rsidRPr="00A748CB">
                              <w:rPr>
                                <w:rFonts w:eastAsiaTheme="minorHAnsi" w:cs="Arial"/>
                                <w:color w:val="7F7F7F" w:themeColor="text1" w:themeTint="80"/>
                                <w:sz w:val="14"/>
                                <w:szCs w:val="14"/>
                                <w:lang w:eastAsia="en-US"/>
                              </w:rPr>
                              <w:t xml:space="preserve"> et al. (2017) </w:t>
                            </w:r>
                            <w:r w:rsidRPr="00A748CB">
                              <w:rPr>
                                <w:rFonts w:eastAsiaTheme="minorHAnsi" w:cs="Arial"/>
                                <w:color w:val="000000"/>
                                <w:sz w:val="14"/>
                                <w:szCs w:val="14"/>
                                <w:lang w:eastAsia="en-US"/>
                              </w:rPr>
                              <w:t>also draw some lessons for planning research and practice: 1) it is necessary to investigate ways to embed learning and monitoring in the policy process (before developing strategies),</w:t>
                            </w:r>
                            <w:r w:rsidR="008929FD" w:rsidRPr="00A748CB">
                              <w:rPr>
                                <w:rFonts w:eastAsiaTheme="minorHAnsi" w:cs="Arial"/>
                                <w:color w:val="000000"/>
                                <w:sz w:val="14"/>
                                <w:szCs w:val="14"/>
                                <w:lang w:eastAsia="en-US"/>
                              </w:rPr>
                              <w:t xml:space="preserve"> </w:t>
                            </w:r>
                            <w:r w:rsidRPr="00A748CB">
                              <w:rPr>
                                <w:rFonts w:eastAsiaTheme="minorHAnsi" w:cs="Arial"/>
                                <w:color w:val="000000"/>
                                <w:sz w:val="14"/>
                                <w:szCs w:val="14"/>
                                <w:lang w:eastAsia="en-US"/>
                              </w:rPr>
                              <w:t>‘collaborative monitoring’ might be a possible way forwards, but further research is necessary to define and detail such approach; 2) among the techniques and tools to make strategies more flexible, the Adaptation Pathways and Tipping points have been suggested by various authors</w:t>
                            </w:r>
                            <w:r w:rsidR="00A109C8" w:rsidRPr="00A748CB">
                              <w:rPr>
                                <w:rFonts w:eastAsiaTheme="minorHAnsi" w:cs="Arial"/>
                                <w:color w:val="000000"/>
                                <w:sz w:val="14"/>
                                <w:szCs w:val="14"/>
                                <w:lang w:eastAsia="en-US"/>
                              </w:rPr>
                              <w:t xml:space="preserve"> </w:t>
                            </w:r>
                            <w:r w:rsidRPr="00A748CB">
                              <w:rPr>
                                <w:rFonts w:eastAsiaTheme="minorHAnsi" w:cs="Arial"/>
                                <w:color w:val="000000"/>
                                <w:sz w:val="14"/>
                                <w:szCs w:val="14"/>
                                <w:lang w:eastAsia="en-US"/>
                              </w:rPr>
                              <w:t>(</w:t>
                            </w:r>
                            <w:r w:rsidR="00A109C8" w:rsidRPr="00A748CB">
                              <w:rPr>
                                <w:rFonts w:eastAsiaTheme="minorHAnsi" w:cs="Arial"/>
                                <w:color w:val="000000"/>
                                <w:sz w:val="14"/>
                                <w:szCs w:val="14"/>
                                <w:lang w:eastAsia="en-US"/>
                              </w:rPr>
                              <w:t xml:space="preserve">e.g. </w:t>
                            </w:r>
                            <w:r w:rsidRPr="000A40A4">
                              <w:rPr>
                                <w:rFonts w:eastAsiaTheme="minorHAnsi" w:cs="Arial"/>
                                <w:color w:val="7F7F7F" w:themeColor="text1" w:themeTint="80"/>
                                <w:sz w:val="14"/>
                                <w:szCs w:val="14"/>
                                <w:lang w:eastAsia="en-US"/>
                              </w:rPr>
                              <w:t xml:space="preserve">Reeder and Ranger 2011; </w:t>
                            </w:r>
                            <w:r w:rsidR="00A109C8" w:rsidRPr="000A40A4">
                              <w:rPr>
                                <w:rFonts w:eastAsiaTheme="minorHAnsi" w:cs="Arial"/>
                                <w:color w:val="7F7F7F" w:themeColor="text1" w:themeTint="80"/>
                                <w:sz w:val="14"/>
                                <w:szCs w:val="14"/>
                                <w:lang w:eastAsia="en-US"/>
                              </w:rPr>
                              <w:t>Walker et al.</w:t>
                            </w:r>
                            <w:r w:rsidRPr="000A40A4">
                              <w:rPr>
                                <w:rFonts w:eastAsiaTheme="minorHAnsi" w:cs="Arial"/>
                                <w:color w:val="7F7F7F" w:themeColor="text1" w:themeTint="80"/>
                                <w:sz w:val="14"/>
                                <w:szCs w:val="14"/>
                                <w:lang w:eastAsia="en-US"/>
                              </w:rPr>
                              <w:t xml:space="preserve"> 2013; </w:t>
                            </w:r>
                            <w:proofErr w:type="spellStart"/>
                            <w:r w:rsidRPr="000A40A4">
                              <w:rPr>
                                <w:rFonts w:eastAsiaTheme="minorHAnsi" w:cs="Arial"/>
                                <w:color w:val="7F7F7F" w:themeColor="text1" w:themeTint="80"/>
                                <w:sz w:val="14"/>
                                <w:szCs w:val="14"/>
                                <w:lang w:eastAsia="en-US"/>
                              </w:rPr>
                              <w:t>Haasnoot</w:t>
                            </w:r>
                            <w:proofErr w:type="spellEnd"/>
                            <w:r w:rsidR="00A109C8" w:rsidRPr="000A40A4">
                              <w:rPr>
                                <w:rFonts w:eastAsiaTheme="minorHAnsi" w:cs="Arial"/>
                                <w:color w:val="7F7F7F" w:themeColor="text1" w:themeTint="80"/>
                                <w:sz w:val="14"/>
                                <w:szCs w:val="14"/>
                                <w:lang w:eastAsia="en-US"/>
                              </w:rPr>
                              <w:t xml:space="preserve"> </w:t>
                            </w:r>
                            <w:r w:rsidRPr="000A40A4">
                              <w:rPr>
                                <w:rFonts w:eastAsiaTheme="minorHAnsi" w:cs="Arial"/>
                                <w:color w:val="7F7F7F" w:themeColor="text1" w:themeTint="80"/>
                                <w:sz w:val="14"/>
                                <w:szCs w:val="14"/>
                                <w:lang w:eastAsia="en-US"/>
                              </w:rPr>
                              <w:t>et al. 2013</w:t>
                            </w:r>
                            <w:r w:rsidRPr="00A748CB">
                              <w:rPr>
                                <w:rFonts w:eastAsiaTheme="minorHAnsi" w:cs="Arial"/>
                                <w:color w:val="000000"/>
                                <w:sz w:val="14"/>
                                <w:szCs w:val="14"/>
                                <w:lang w:eastAsia="en-US"/>
                              </w:rPr>
                              <w:t>) a</w:t>
                            </w:r>
                            <w:r w:rsidR="00A109C8" w:rsidRPr="00A748CB">
                              <w:rPr>
                                <w:rFonts w:eastAsiaTheme="minorHAnsi" w:cs="Arial"/>
                                <w:color w:val="000000"/>
                                <w:sz w:val="14"/>
                                <w:szCs w:val="14"/>
                                <w:lang w:eastAsia="en-US"/>
                              </w:rPr>
                              <w:t xml:space="preserve">s being </w:t>
                            </w:r>
                            <w:r w:rsidRPr="00A748CB">
                              <w:rPr>
                                <w:rFonts w:eastAsiaTheme="minorHAnsi" w:cs="Arial"/>
                                <w:color w:val="000000"/>
                                <w:sz w:val="14"/>
                                <w:szCs w:val="14"/>
                                <w:lang w:eastAsia="en-US"/>
                              </w:rPr>
                              <w:t>useful to think about the long</w:t>
                            </w:r>
                            <w:r w:rsidR="00A109C8" w:rsidRPr="00A748CB">
                              <w:rPr>
                                <w:rFonts w:eastAsiaTheme="minorHAnsi" w:cs="Arial"/>
                                <w:color w:val="000000"/>
                                <w:sz w:val="14"/>
                                <w:szCs w:val="14"/>
                                <w:lang w:eastAsia="en-US"/>
                              </w:rPr>
                              <w:t>-</w:t>
                            </w:r>
                            <w:r w:rsidRPr="00A748CB">
                              <w:rPr>
                                <w:rFonts w:eastAsiaTheme="minorHAnsi" w:cs="Arial"/>
                                <w:color w:val="000000"/>
                                <w:sz w:val="14"/>
                                <w:szCs w:val="14"/>
                                <w:lang w:eastAsia="en-US"/>
                              </w:rPr>
                              <w:t xml:space="preserve">run, but </w:t>
                            </w:r>
                            <w:r w:rsidR="00A109C8" w:rsidRPr="00A748CB">
                              <w:rPr>
                                <w:rFonts w:eastAsiaTheme="minorHAnsi" w:cs="Arial"/>
                                <w:color w:val="000000"/>
                                <w:sz w:val="14"/>
                                <w:szCs w:val="14"/>
                                <w:lang w:eastAsia="en-US"/>
                              </w:rPr>
                              <w:t xml:space="preserve">they are still quire </w:t>
                            </w:r>
                            <w:r w:rsidRPr="00A748CB">
                              <w:rPr>
                                <w:rFonts w:eastAsiaTheme="minorHAnsi" w:cs="Arial"/>
                                <w:color w:val="000000"/>
                                <w:sz w:val="14"/>
                                <w:szCs w:val="14"/>
                                <w:lang w:eastAsia="en-US"/>
                              </w:rPr>
                              <w:t>complex and</w:t>
                            </w:r>
                            <w:r w:rsidR="00A109C8" w:rsidRPr="00A748CB">
                              <w:rPr>
                                <w:rFonts w:eastAsiaTheme="minorHAnsi" w:cs="Arial"/>
                                <w:color w:val="000000"/>
                                <w:sz w:val="14"/>
                                <w:szCs w:val="14"/>
                                <w:lang w:eastAsia="en-US"/>
                              </w:rPr>
                              <w:t xml:space="preserve"> </w:t>
                            </w:r>
                            <w:r w:rsidRPr="00A748CB">
                              <w:rPr>
                                <w:rFonts w:eastAsiaTheme="minorHAnsi" w:cs="Arial"/>
                                <w:color w:val="000000"/>
                                <w:sz w:val="14"/>
                                <w:szCs w:val="14"/>
                                <w:lang w:eastAsia="en-US"/>
                              </w:rPr>
                              <w:t xml:space="preserve">abstract for policymaking on a national and regional </w:t>
                            </w:r>
                            <w:r w:rsidR="00A109C8" w:rsidRPr="00A748CB">
                              <w:rPr>
                                <w:rFonts w:eastAsiaTheme="minorHAnsi" w:cs="Arial"/>
                                <w:color w:val="000000"/>
                                <w:sz w:val="14"/>
                                <w:szCs w:val="14"/>
                                <w:lang w:eastAsia="en-US"/>
                              </w:rPr>
                              <w:t>scale, and de</w:t>
                            </w:r>
                            <w:r w:rsidRPr="00A748CB">
                              <w:rPr>
                                <w:rFonts w:eastAsiaTheme="minorHAnsi" w:cs="Arial"/>
                                <w:color w:val="000000"/>
                                <w:sz w:val="14"/>
                                <w:szCs w:val="14"/>
                                <w:lang w:eastAsia="en-US"/>
                              </w:rPr>
                              <w:t>veloping</w:t>
                            </w:r>
                            <w:r w:rsidR="00A109C8" w:rsidRPr="00A748CB">
                              <w:rPr>
                                <w:rFonts w:eastAsiaTheme="minorHAnsi" w:cs="Arial"/>
                                <w:color w:val="000000"/>
                                <w:sz w:val="14"/>
                                <w:szCs w:val="14"/>
                                <w:lang w:eastAsia="en-US"/>
                              </w:rPr>
                              <w:t xml:space="preserve"> </w:t>
                            </w:r>
                            <w:r w:rsidRPr="00A748CB">
                              <w:rPr>
                                <w:rFonts w:eastAsiaTheme="minorHAnsi" w:cs="Arial"/>
                                <w:color w:val="000000"/>
                                <w:sz w:val="14"/>
                                <w:szCs w:val="14"/>
                                <w:lang w:eastAsia="en-US"/>
                              </w:rPr>
                              <w:t xml:space="preserve">adaptation pathways on a local scale </w:t>
                            </w:r>
                            <w:r w:rsidR="00A109C8" w:rsidRPr="00A748CB">
                              <w:rPr>
                                <w:rFonts w:eastAsiaTheme="minorHAnsi" w:cs="Arial"/>
                                <w:color w:val="000000"/>
                                <w:sz w:val="14"/>
                                <w:szCs w:val="14"/>
                                <w:lang w:eastAsia="en-US"/>
                              </w:rPr>
                              <w:t>seems</w:t>
                            </w:r>
                            <w:r w:rsidRPr="00A748CB">
                              <w:rPr>
                                <w:rFonts w:eastAsiaTheme="minorHAnsi" w:cs="Arial"/>
                                <w:color w:val="000000"/>
                                <w:sz w:val="14"/>
                                <w:szCs w:val="14"/>
                                <w:lang w:eastAsia="en-US"/>
                              </w:rPr>
                              <w:t xml:space="preserve"> more feasible</w:t>
                            </w:r>
                            <w:r w:rsidR="00A109C8" w:rsidRPr="00A748CB">
                              <w:rPr>
                                <w:rFonts w:eastAsiaTheme="minorHAnsi" w:cs="Arial"/>
                                <w:color w:val="000000"/>
                                <w:sz w:val="14"/>
                                <w:szCs w:val="14"/>
                                <w:lang w:eastAsia="en-US"/>
                              </w:rPr>
                              <w:t xml:space="preserve"> (e.g.</w:t>
                            </w:r>
                            <w:r w:rsidRPr="00A748CB">
                              <w:rPr>
                                <w:rFonts w:eastAsiaTheme="minorHAnsi" w:cs="Arial"/>
                                <w:color w:val="000000"/>
                                <w:sz w:val="14"/>
                                <w:szCs w:val="14"/>
                                <w:lang w:eastAsia="en-US"/>
                              </w:rPr>
                              <w:t xml:space="preserve"> specific</w:t>
                            </w:r>
                            <w:r w:rsidR="00A109C8" w:rsidRPr="00A748CB">
                              <w:rPr>
                                <w:rFonts w:eastAsiaTheme="minorHAnsi" w:cs="Arial"/>
                                <w:color w:val="000000"/>
                                <w:sz w:val="14"/>
                                <w:szCs w:val="14"/>
                                <w:lang w:eastAsia="en-US"/>
                              </w:rPr>
                              <w:t xml:space="preserve"> </w:t>
                            </w:r>
                            <w:r w:rsidRPr="00A748CB">
                              <w:rPr>
                                <w:rFonts w:eastAsiaTheme="minorHAnsi" w:cs="Arial"/>
                                <w:color w:val="000000"/>
                                <w:sz w:val="14"/>
                                <w:szCs w:val="14"/>
                                <w:lang w:eastAsia="en-US"/>
                              </w:rPr>
                              <w:t xml:space="preserve">measures can be discussed in depth and better </w:t>
                            </w:r>
                            <w:r w:rsidR="00A109C8" w:rsidRPr="00A748CB">
                              <w:rPr>
                                <w:rFonts w:eastAsiaTheme="minorHAnsi" w:cs="Arial"/>
                                <w:color w:val="000000"/>
                                <w:sz w:val="14"/>
                                <w:szCs w:val="14"/>
                                <w:lang w:eastAsia="en-US"/>
                              </w:rPr>
                              <w:t>suited to</w:t>
                            </w:r>
                            <w:r w:rsidRPr="00A748CB">
                              <w:rPr>
                                <w:rFonts w:eastAsiaTheme="minorHAnsi" w:cs="Arial"/>
                                <w:color w:val="000000"/>
                                <w:sz w:val="14"/>
                                <w:szCs w:val="14"/>
                                <w:lang w:eastAsia="en-US"/>
                              </w:rPr>
                              <w:t xml:space="preserve"> the physical, social</w:t>
                            </w:r>
                            <w:r w:rsidR="00A109C8" w:rsidRPr="00A748CB">
                              <w:rPr>
                                <w:rFonts w:eastAsiaTheme="minorHAnsi" w:cs="Arial"/>
                                <w:color w:val="000000"/>
                                <w:sz w:val="14"/>
                                <w:szCs w:val="14"/>
                                <w:lang w:eastAsia="en-US"/>
                              </w:rPr>
                              <w:t xml:space="preserve"> </w:t>
                            </w:r>
                            <w:r w:rsidRPr="00A748CB">
                              <w:rPr>
                                <w:rFonts w:eastAsiaTheme="minorHAnsi" w:cs="Arial"/>
                                <w:color w:val="000000"/>
                                <w:sz w:val="14"/>
                                <w:szCs w:val="14"/>
                                <w:lang w:eastAsia="en-US"/>
                              </w:rPr>
                              <w:t xml:space="preserve">and political </w:t>
                            </w:r>
                            <w:r w:rsidR="00A109C8" w:rsidRPr="00A748CB">
                              <w:rPr>
                                <w:rFonts w:eastAsiaTheme="minorHAnsi" w:cs="Arial"/>
                                <w:color w:val="000000"/>
                                <w:sz w:val="14"/>
                                <w:szCs w:val="14"/>
                                <w:lang w:eastAsia="en-US"/>
                              </w:rPr>
                              <w:t xml:space="preserve">context); 3) it is very difficult </w:t>
                            </w:r>
                            <w:r w:rsidRPr="00A748CB">
                              <w:rPr>
                                <w:rFonts w:eastAsiaTheme="minorHAnsi" w:cs="Arial"/>
                                <w:color w:val="000000"/>
                                <w:sz w:val="14"/>
                                <w:szCs w:val="14"/>
                                <w:lang w:eastAsia="en-US"/>
                              </w:rPr>
                              <w:t>to prioritise measures</w:t>
                            </w:r>
                            <w:r w:rsidR="00A109C8" w:rsidRPr="00A748CB">
                              <w:rPr>
                                <w:rFonts w:eastAsiaTheme="minorHAnsi" w:cs="Arial"/>
                                <w:color w:val="000000"/>
                                <w:sz w:val="14"/>
                                <w:szCs w:val="14"/>
                                <w:lang w:eastAsia="en-US"/>
                              </w:rPr>
                              <w:t xml:space="preserve"> </w:t>
                            </w:r>
                            <w:r w:rsidRPr="00A748CB">
                              <w:rPr>
                                <w:rFonts w:eastAsiaTheme="minorHAnsi" w:cs="Arial"/>
                                <w:color w:val="000000"/>
                                <w:sz w:val="14"/>
                                <w:szCs w:val="14"/>
                                <w:lang w:eastAsia="en-US"/>
                              </w:rPr>
                              <w:t xml:space="preserve">that </w:t>
                            </w:r>
                            <w:r w:rsidR="00A109C8" w:rsidRPr="00A748CB">
                              <w:rPr>
                                <w:rFonts w:eastAsiaTheme="minorHAnsi" w:cs="Arial"/>
                                <w:color w:val="000000"/>
                                <w:sz w:val="14"/>
                                <w:szCs w:val="14"/>
                                <w:lang w:eastAsia="en-US"/>
                              </w:rPr>
                              <w:t>avoid</w:t>
                            </w:r>
                            <w:r w:rsidRPr="00A748CB">
                              <w:rPr>
                                <w:rFonts w:eastAsiaTheme="minorHAnsi" w:cs="Arial"/>
                                <w:color w:val="000000"/>
                                <w:sz w:val="14"/>
                                <w:szCs w:val="14"/>
                                <w:lang w:eastAsia="en-US"/>
                              </w:rPr>
                              <w:t xml:space="preserve"> lock-ins when the system is already </w:t>
                            </w:r>
                            <w:r w:rsidR="00A109C8" w:rsidRPr="00A748CB">
                              <w:rPr>
                                <w:rFonts w:eastAsiaTheme="minorHAnsi" w:cs="Arial"/>
                                <w:color w:val="000000"/>
                                <w:sz w:val="14"/>
                                <w:szCs w:val="14"/>
                                <w:lang w:eastAsia="en-US"/>
                              </w:rPr>
                              <w:t>in</w:t>
                            </w:r>
                            <w:r w:rsidRPr="00A748CB">
                              <w:rPr>
                                <w:rFonts w:eastAsiaTheme="minorHAnsi" w:cs="Arial"/>
                                <w:color w:val="000000"/>
                                <w:sz w:val="14"/>
                                <w:szCs w:val="14"/>
                                <w:lang w:eastAsia="en-US"/>
                              </w:rPr>
                              <w:t xml:space="preserve"> a lock-in</w:t>
                            </w:r>
                            <w:r w:rsidR="00A109C8" w:rsidRPr="00A748CB">
                              <w:rPr>
                                <w:rFonts w:eastAsiaTheme="minorHAnsi" w:cs="Arial"/>
                                <w:color w:val="000000"/>
                                <w:sz w:val="14"/>
                                <w:szCs w:val="14"/>
                                <w:lang w:eastAsia="en-US"/>
                              </w:rPr>
                              <w:t xml:space="preserve"> (as shown by the studied case), thus, it is important to find ways to minimize or overcome such lock-in; 4) the pre-existent institutional context matters much in the uptake of adaptive planning and management approaches and in the shift towards adaptability. </w:t>
                            </w:r>
                            <w:r w:rsidR="00A109C8" w:rsidRPr="00A748CB">
                              <w:rPr>
                                <w:rFonts w:eastAsiaTheme="minorHAnsi" w:cs="Arial"/>
                                <w:sz w:val="14"/>
                                <w:szCs w:val="14"/>
                                <w:lang w:eastAsia="en-US"/>
                              </w:rPr>
                              <w:t>The authors point out important issue</w:t>
                            </w:r>
                            <w:r w:rsidR="00A934D5" w:rsidRPr="00A748CB">
                              <w:rPr>
                                <w:rFonts w:eastAsiaTheme="minorHAnsi" w:cs="Arial"/>
                                <w:sz w:val="14"/>
                                <w:szCs w:val="14"/>
                                <w:lang w:eastAsia="en-US"/>
                              </w:rPr>
                              <w:t>s</w:t>
                            </w:r>
                            <w:r w:rsidR="00A109C8" w:rsidRPr="00A748CB">
                              <w:rPr>
                                <w:rFonts w:eastAsiaTheme="minorHAnsi" w:cs="Arial"/>
                                <w:sz w:val="14"/>
                                <w:szCs w:val="14"/>
                                <w:lang w:eastAsia="en-US"/>
                              </w:rPr>
                              <w:t xml:space="preserve"> for further research, namely: exploring </w:t>
                            </w:r>
                            <w:r w:rsidR="00A109C8" w:rsidRPr="00A748CB">
                              <w:rPr>
                                <w:rFonts w:eastAsiaTheme="minorHAnsi" w:cs="Arial"/>
                                <w:b/>
                                <w:bCs/>
                                <w:sz w:val="14"/>
                                <w:szCs w:val="14"/>
                                <w:lang w:eastAsia="en-US"/>
                              </w:rPr>
                              <w:t>how the adaptability discourse has unfolded in other (national) contexts</w:t>
                            </w:r>
                            <w:r w:rsidR="00A934D5" w:rsidRPr="00A748CB">
                              <w:rPr>
                                <w:rFonts w:eastAsiaTheme="minorHAnsi" w:cs="Arial"/>
                                <w:sz w:val="14"/>
                                <w:szCs w:val="14"/>
                                <w:lang w:eastAsia="en-US"/>
                              </w:rPr>
                              <w:t xml:space="preserve">, and </w:t>
                            </w:r>
                            <w:r w:rsidR="00A109C8" w:rsidRPr="00A748CB">
                              <w:rPr>
                                <w:rFonts w:eastAsiaTheme="minorHAnsi" w:cs="Arial"/>
                                <w:b/>
                                <w:bCs/>
                                <w:sz w:val="14"/>
                                <w:szCs w:val="14"/>
                                <w:lang w:eastAsia="en-US"/>
                              </w:rPr>
                              <w:t>which conditions and policy arrangements are advantageous or disadvantageous for applying an adaptive approach</w:t>
                            </w:r>
                            <w:r w:rsidR="00A109C8" w:rsidRPr="00A748CB">
                              <w:rPr>
                                <w:rFonts w:eastAsiaTheme="minorHAnsi" w:cs="Arial"/>
                                <w:sz w:val="14"/>
                                <w:szCs w:val="14"/>
                                <w:lang w:eastAsia="en-US"/>
                              </w:rPr>
                              <w:t xml:space="preserve"> (as moving </w:t>
                            </w:r>
                            <w:r w:rsidR="00A109C8" w:rsidRPr="00A748CB">
                              <w:rPr>
                                <w:rFonts w:eastAsiaTheme="minorHAnsi" w:cs="Arial"/>
                                <w:i/>
                                <w:iCs/>
                                <w:sz w:val="14"/>
                                <w:szCs w:val="14"/>
                                <w:lang w:eastAsia="en-US"/>
                              </w:rPr>
                              <w:t xml:space="preserve">adaptability </w:t>
                            </w:r>
                            <w:r w:rsidR="00A109C8" w:rsidRPr="00A748CB">
                              <w:rPr>
                                <w:rFonts w:eastAsiaTheme="minorHAnsi" w:cs="Arial"/>
                                <w:sz w:val="14"/>
                                <w:szCs w:val="14"/>
                                <w:lang w:eastAsia="en-US"/>
                              </w:rPr>
                              <w:t xml:space="preserve">from theory into practice is still key challenge for the future) </w:t>
                            </w:r>
                            <w:r w:rsidR="00A109C8" w:rsidRPr="00A748CB">
                              <w:rPr>
                                <w:rFonts w:cs="Arial"/>
                                <w:sz w:val="14"/>
                                <w:szCs w:val="14"/>
                              </w:rPr>
                              <w:t>(</w:t>
                            </w:r>
                            <w:proofErr w:type="spellStart"/>
                            <w:r w:rsidR="00A109C8" w:rsidRPr="00A748CB">
                              <w:rPr>
                                <w:rFonts w:cs="Arial"/>
                                <w:color w:val="7F7F7F" w:themeColor="text1" w:themeTint="80"/>
                                <w:sz w:val="14"/>
                                <w:szCs w:val="14"/>
                              </w:rPr>
                              <w:t>Restemeyer</w:t>
                            </w:r>
                            <w:proofErr w:type="spellEnd"/>
                            <w:r w:rsidR="00A109C8" w:rsidRPr="00A748CB">
                              <w:rPr>
                                <w:rFonts w:cs="Arial"/>
                                <w:color w:val="7F7F7F" w:themeColor="text1" w:themeTint="80"/>
                                <w:sz w:val="14"/>
                                <w:szCs w:val="14"/>
                              </w:rPr>
                              <w:t xml:space="preserve"> et al. 2017, p.936</w:t>
                            </w:r>
                            <w:r w:rsidR="00A109C8" w:rsidRPr="00A748CB">
                              <w:rPr>
                                <w:rFonts w:cs="Arial"/>
                                <w:sz w:val="14"/>
                                <w:szCs w:val="14"/>
                              </w:rPr>
                              <w:t xml:space="preserve">). </w:t>
                            </w:r>
                          </w:p>
                          <w:p w14:paraId="1E7F4EAC" w14:textId="77777777" w:rsidR="00AD4CED" w:rsidRPr="00A748CB" w:rsidRDefault="00AD4CED" w:rsidP="00AD4CED">
                            <w:pPr>
                              <w:pStyle w:val="TEXTBODY"/>
                              <w:spacing w:line="240" w:lineRule="auto"/>
                              <w:jc w:val="left"/>
                              <w:rPr>
                                <w:rFonts w:ascii="Arial" w:hAnsi="Arial" w:cs="Arial"/>
                                <w:sz w:val="14"/>
                                <w:szCs w:val="14"/>
                              </w:rPr>
                            </w:pPr>
                          </w:p>
                          <w:p w14:paraId="14F9F1D5" w14:textId="77777777" w:rsidR="00AD4CED" w:rsidRPr="00A748CB" w:rsidRDefault="00AD4CED" w:rsidP="00AD4CED">
                            <w:pPr>
                              <w:pStyle w:val="TEXTBODY"/>
                              <w:spacing w:line="240" w:lineRule="auto"/>
                              <w:jc w:val="left"/>
                              <w:rPr>
                                <w:rFonts w:ascii="Arial" w:hAnsi="Arial"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06170F" id="_x0000_s1036" type="#_x0000_t202" style="position:absolute;left:0;text-align:left;margin-left:52.5pt;margin-top:15.3pt;width:492.1pt;height:177.75pt;z-index:-2506695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" fillcolor="#dce6f2" stroked="f">
                <v:textbox>
                  <w:txbxContent>
                    <w:p w14:paraId="06F57E9E" w14:textId="4ABDE36C" w:rsidR="00AD4CED" w:rsidRPr="00A748CB" w:rsidRDefault="00AD4CED" w:rsidP="00AD4CED">
                      <w:pPr>
                        <w:pStyle w:val="TEXTBODY"/>
                        <w:spacing w:line="240" w:lineRule="auto"/>
                        <w:rPr>
                          <w:rFonts w:ascii="Arial" w:hAnsi="Arial" w:cs="Arial"/>
                          <w:sz w:val="14"/>
                          <w:szCs w:val="14"/>
                        </w:rPr>
                      </w:pPr>
                      <w:bookmarkStart w:id="126" w:name="_Hlk140229987"/>
                      <w:r w:rsidRPr="00A748CB">
                        <w:rPr>
                          <w:rFonts w:ascii="Arial" w:hAnsi="Arial" w:cs="Arial"/>
                          <w:sz w:val="14"/>
                          <w:szCs w:val="14"/>
                        </w:rPr>
                        <w:t xml:space="preserve">As underlined </w:t>
                      </w:r>
                      <w:r w:rsidRPr="00A748CB">
                        <w:rPr>
                          <w:rFonts w:ascii="Arial" w:hAnsi="Arial" w:cs="Arial"/>
                          <w:b/>
                          <w:bCs/>
                          <w:sz w:val="14"/>
                          <w:szCs w:val="14"/>
                        </w:rPr>
                        <w:t xml:space="preserve">by </w:t>
                      </w:r>
                      <w:proofErr w:type="spellStart"/>
                      <w:r w:rsidRPr="00A748CB">
                        <w:rPr>
                          <w:rFonts w:ascii="Arial" w:hAnsi="Arial" w:cs="Arial"/>
                          <w:b/>
                          <w:bCs/>
                          <w:color w:val="7F7F7F" w:themeColor="text1" w:themeTint="80"/>
                          <w:sz w:val="14"/>
                          <w:szCs w:val="14"/>
                        </w:rPr>
                        <w:t>Restemeyer</w:t>
                      </w:r>
                      <w:proofErr w:type="spellEnd"/>
                      <w:r w:rsidRPr="00A748CB">
                        <w:rPr>
                          <w:rFonts w:ascii="Arial" w:hAnsi="Arial" w:cs="Arial"/>
                          <w:b/>
                          <w:bCs/>
                          <w:color w:val="7F7F7F" w:themeColor="text1" w:themeTint="80"/>
                          <w:sz w:val="14"/>
                          <w:szCs w:val="14"/>
                        </w:rPr>
                        <w:t xml:space="preserve"> et al. (2017</w:t>
                      </w:r>
                      <w:r w:rsidRPr="00A748CB">
                        <w:rPr>
                          <w:rFonts w:ascii="Arial" w:hAnsi="Arial" w:cs="Arial"/>
                          <w:b/>
                          <w:bCs/>
                          <w:sz w:val="14"/>
                          <w:szCs w:val="14"/>
                        </w:rPr>
                        <w:t>)</w:t>
                      </w:r>
                      <w:r w:rsidRPr="00A748CB">
                        <w:rPr>
                          <w:rFonts w:ascii="Arial" w:hAnsi="Arial" w:cs="Arial"/>
                          <w:sz w:val="14"/>
                          <w:szCs w:val="14"/>
                        </w:rPr>
                        <w:t xml:space="preserve">, a key-question that remains is </w:t>
                      </w:r>
                      <w:r w:rsidRPr="00A748CB">
                        <w:rPr>
                          <w:rFonts w:ascii="Arial" w:hAnsi="Arial" w:cs="Arial"/>
                          <w:i/>
                          <w:iCs/>
                          <w:sz w:val="14"/>
                          <w:szCs w:val="14"/>
                        </w:rPr>
                        <w:t xml:space="preserve">how to make long-term policies adaptive so that they </w:t>
                      </w:r>
                      <w:proofErr w:type="gramStart"/>
                      <w:r w:rsidRPr="00A748CB">
                        <w:rPr>
                          <w:rFonts w:ascii="Arial" w:hAnsi="Arial" w:cs="Arial"/>
                          <w:i/>
                          <w:iCs/>
                          <w:sz w:val="14"/>
                          <w:szCs w:val="14"/>
                        </w:rPr>
                        <w:t>are able to</w:t>
                      </w:r>
                      <w:proofErr w:type="gramEnd"/>
                      <w:r w:rsidRPr="00A748CB">
                        <w:rPr>
                          <w:rFonts w:ascii="Arial" w:hAnsi="Arial" w:cs="Arial"/>
                          <w:i/>
                          <w:iCs/>
                          <w:sz w:val="14"/>
                          <w:szCs w:val="14"/>
                        </w:rPr>
                        <w:t xml:space="preserve"> deal with uncertainties and changing circumstances</w:t>
                      </w:r>
                      <w:r w:rsidRPr="00A748CB">
                        <w:rPr>
                          <w:rFonts w:ascii="Arial" w:hAnsi="Arial" w:cs="Arial"/>
                          <w:sz w:val="14"/>
                          <w:szCs w:val="14"/>
                        </w:rPr>
                        <w:t xml:space="preserve"> (</w:t>
                      </w:r>
                      <w:proofErr w:type="spellStart"/>
                      <w:r w:rsidRPr="00A748CB">
                        <w:rPr>
                          <w:rFonts w:ascii="Arial" w:hAnsi="Arial" w:cs="Arial"/>
                          <w:color w:val="7F7F7F" w:themeColor="text1" w:themeTint="80"/>
                          <w:sz w:val="14"/>
                          <w:szCs w:val="14"/>
                        </w:rPr>
                        <w:t>Restemeyer</w:t>
                      </w:r>
                      <w:proofErr w:type="spellEnd"/>
                      <w:r w:rsidRPr="00A748CB">
                        <w:rPr>
                          <w:rFonts w:ascii="Arial" w:hAnsi="Arial" w:cs="Arial"/>
                          <w:color w:val="7F7F7F" w:themeColor="text1" w:themeTint="80"/>
                          <w:sz w:val="14"/>
                          <w:szCs w:val="14"/>
                        </w:rPr>
                        <w:t xml:space="preserve"> et al. 2017, p.920</w:t>
                      </w:r>
                      <w:r w:rsidRPr="00A748CB">
                        <w:rPr>
                          <w:rFonts w:ascii="Arial" w:hAnsi="Arial" w:cs="Arial"/>
                          <w:sz w:val="14"/>
                          <w:szCs w:val="14"/>
                        </w:rPr>
                        <w:t xml:space="preserve">).  As noted by the authors, in recent years, various authors have called for </w:t>
                      </w:r>
                      <w:r w:rsidRPr="00A748CB">
                        <w:rPr>
                          <w:rFonts w:ascii="Arial" w:hAnsi="Arial" w:cs="Arial"/>
                          <w:i/>
                          <w:iCs/>
                          <w:sz w:val="14"/>
                          <w:szCs w:val="14"/>
                        </w:rPr>
                        <w:t>adaptive planning and management approach</w:t>
                      </w:r>
                      <w:r w:rsidRPr="00A748CB">
                        <w:rPr>
                          <w:rFonts w:ascii="Arial" w:eastAsiaTheme="minorHAnsi" w:hAnsi="Arial" w:cs="Arial"/>
                          <w:color w:val="000000"/>
                          <w:sz w:val="14"/>
                          <w:szCs w:val="14"/>
                          <w:lang w:eastAsia="en-US"/>
                        </w:rPr>
                        <w:t xml:space="preserve"> (e.g. </w:t>
                      </w:r>
                      <w:r w:rsidRPr="000A40A4">
                        <w:rPr>
                          <w:rFonts w:ascii="Arial" w:eastAsiaTheme="minorHAnsi" w:hAnsi="Arial" w:cs="Arial"/>
                          <w:color w:val="7F7F7F" w:themeColor="text1" w:themeTint="80"/>
                          <w:sz w:val="14"/>
                          <w:szCs w:val="14"/>
                          <w:lang w:eastAsia="en-US"/>
                        </w:rPr>
                        <w:t xml:space="preserve">Holling 1978; Folke et al. 2005; Pahl-Wostl 2006; Wilkinson 2011b; Innes and Booher 2010, </w:t>
                      </w:r>
                      <w:r w:rsidRPr="000A40A4">
                        <w:rPr>
                          <w:rFonts w:ascii="Arial" w:eastAsiaTheme="minorHAnsi" w:hAnsi="Arial" w:cs="Arial"/>
                          <w:i/>
                          <w:iCs/>
                          <w:color w:val="7F7F7F" w:themeColor="text1" w:themeTint="80"/>
                          <w:sz w:val="14"/>
                          <w:szCs w:val="14"/>
                          <w:lang w:eastAsia="en-US"/>
                        </w:rPr>
                        <w:t>in</w:t>
                      </w:r>
                      <w:r w:rsidRPr="000A40A4">
                        <w:rPr>
                          <w:rFonts w:ascii="Arial" w:eastAsiaTheme="minorHAnsi" w:hAnsi="Arial" w:cs="Arial"/>
                          <w:color w:val="7F7F7F" w:themeColor="text1" w:themeTint="80"/>
                          <w:sz w:val="14"/>
                          <w:szCs w:val="14"/>
                          <w:lang w:eastAsia="en-US"/>
                        </w:rPr>
                        <w:t xml:space="preserve"> </w:t>
                      </w:r>
                      <w:proofErr w:type="spellStart"/>
                      <w:r w:rsidRPr="000A40A4">
                        <w:rPr>
                          <w:rFonts w:ascii="Arial" w:eastAsiaTheme="minorHAnsi" w:hAnsi="Arial" w:cs="Arial"/>
                          <w:color w:val="7F7F7F" w:themeColor="text1" w:themeTint="80"/>
                          <w:sz w:val="14"/>
                          <w:szCs w:val="14"/>
                          <w:lang w:eastAsia="en-US"/>
                        </w:rPr>
                        <w:t>Restemeyer</w:t>
                      </w:r>
                      <w:proofErr w:type="spellEnd"/>
                      <w:r w:rsidRPr="000A40A4">
                        <w:rPr>
                          <w:rFonts w:ascii="Arial" w:eastAsiaTheme="minorHAnsi" w:hAnsi="Arial" w:cs="Arial"/>
                          <w:color w:val="7F7F7F" w:themeColor="text1" w:themeTint="80"/>
                          <w:sz w:val="14"/>
                          <w:szCs w:val="14"/>
                          <w:lang w:eastAsia="en-US"/>
                        </w:rPr>
                        <w:t xml:space="preserve"> et al. 2017, p.921</w:t>
                      </w:r>
                      <w:r w:rsidRPr="00A748CB">
                        <w:rPr>
                          <w:rFonts w:ascii="Arial" w:eastAsiaTheme="minorHAnsi" w:hAnsi="Arial" w:cs="Arial"/>
                          <w:color w:val="000000"/>
                          <w:sz w:val="14"/>
                          <w:szCs w:val="14"/>
                          <w:lang w:eastAsia="en-US"/>
                        </w:rPr>
                        <w:t xml:space="preserve">), </w:t>
                      </w:r>
                      <w:r w:rsidR="00E82F5D" w:rsidRPr="00A748CB">
                        <w:rPr>
                          <w:rFonts w:ascii="Arial" w:eastAsiaTheme="minorHAnsi" w:hAnsi="Arial" w:cs="Arial"/>
                          <w:color w:val="000000"/>
                          <w:sz w:val="14"/>
                          <w:szCs w:val="14"/>
                          <w:lang w:eastAsia="en-US"/>
                        </w:rPr>
                        <w:t xml:space="preserve">however, </w:t>
                      </w:r>
                      <w:r w:rsidRPr="00A748CB">
                        <w:rPr>
                          <w:rFonts w:ascii="Arial" w:eastAsiaTheme="minorHAnsi" w:hAnsi="Arial" w:cs="Arial"/>
                          <w:color w:val="000000"/>
                          <w:sz w:val="14"/>
                          <w:szCs w:val="14"/>
                          <w:lang w:eastAsia="en-US"/>
                        </w:rPr>
                        <w:t>what this means (in practice) for elaborating long-term policies has only recently been put on the research agenda (</w:t>
                      </w:r>
                      <w:r w:rsidRPr="000A40A4">
                        <w:rPr>
                          <w:rFonts w:ascii="Arial" w:eastAsiaTheme="minorHAnsi" w:hAnsi="Arial" w:cs="Arial"/>
                          <w:color w:val="7F7F7F" w:themeColor="text1" w:themeTint="80"/>
                          <w:sz w:val="14"/>
                          <w:szCs w:val="14"/>
                          <w:lang w:eastAsia="en-US"/>
                        </w:rPr>
                        <w:t xml:space="preserve">Reeder and Ranger 2011; Walker et al. 2013; </w:t>
                      </w:r>
                      <w:proofErr w:type="spellStart"/>
                      <w:r w:rsidRPr="000A40A4">
                        <w:rPr>
                          <w:rFonts w:ascii="Arial" w:eastAsiaTheme="minorHAnsi" w:hAnsi="Arial" w:cs="Arial"/>
                          <w:color w:val="7F7F7F" w:themeColor="text1" w:themeTint="80"/>
                          <w:sz w:val="14"/>
                          <w:szCs w:val="14"/>
                          <w:lang w:eastAsia="en-US"/>
                        </w:rPr>
                        <w:t>Haasnoot</w:t>
                      </w:r>
                      <w:proofErr w:type="spellEnd"/>
                      <w:r w:rsidRPr="000A40A4">
                        <w:rPr>
                          <w:rFonts w:ascii="Arial" w:eastAsiaTheme="minorHAnsi" w:hAnsi="Arial" w:cs="Arial"/>
                          <w:color w:val="7F7F7F" w:themeColor="text1" w:themeTint="80"/>
                          <w:sz w:val="14"/>
                          <w:szCs w:val="14"/>
                          <w:lang w:eastAsia="en-US"/>
                        </w:rPr>
                        <w:t xml:space="preserve"> et al. 2013</w:t>
                      </w:r>
                      <w:r w:rsidRPr="00A748CB">
                        <w:rPr>
                          <w:rFonts w:ascii="Arial" w:eastAsiaTheme="minorHAnsi" w:hAnsi="Arial" w:cs="Arial"/>
                          <w:color w:val="000000"/>
                          <w:sz w:val="14"/>
                          <w:szCs w:val="14"/>
                          <w:lang w:eastAsia="en-US"/>
                        </w:rPr>
                        <w:t xml:space="preserve">); in addition, the focus has been mainly on techniques and tools to make strategies more flexible (e.g. ‘adaptation pathways’, see </w:t>
                      </w:r>
                      <w:proofErr w:type="spellStart"/>
                      <w:r w:rsidRPr="000A40A4">
                        <w:rPr>
                          <w:rFonts w:ascii="Arial" w:eastAsiaTheme="minorHAnsi" w:hAnsi="Arial" w:cs="Arial"/>
                          <w:color w:val="7F7F7F" w:themeColor="text1" w:themeTint="80"/>
                          <w:sz w:val="14"/>
                          <w:szCs w:val="14"/>
                          <w:lang w:eastAsia="en-US"/>
                        </w:rPr>
                        <w:t>Haasnoot</w:t>
                      </w:r>
                      <w:proofErr w:type="spellEnd"/>
                      <w:r w:rsidRPr="000A40A4">
                        <w:rPr>
                          <w:rFonts w:ascii="Arial" w:eastAsiaTheme="minorHAnsi" w:hAnsi="Arial" w:cs="Arial"/>
                          <w:color w:val="7F7F7F" w:themeColor="text1" w:themeTint="80"/>
                          <w:sz w:val="14"/>
                          <w:szCs w:val="14"/>
                          <w:lang w:eastAsia="en-US"/>
                        </w:rPr>
                        <w:t xml:space="preserve"> et al. 2013</w:t>
                      </w:r>
                      <w:r w:rsidRPr="00A748CB">
                        <w:rPr>
                          <w:rFonts w:ascii="Arial" w:eastAsiaTheme="minorHAnsi" w:hAnsi="Arial" w:cs="Arial"/>
                          <w:color w:val="000000"/>
                          <w:sz w:val="14"/>
                          <w:szCs w:val="14"/>
                          <w:lang w:eastAsia="en-US"/>
                        </w:rPr>
                        <w:t xml:space="preserve">), without paying much attention to the underlying conditions required for achieving adaptability (and making </w:t>
                      </w:r>
                      <w:r w:rsidR="00E82F5D" w:rsidRPr="00A748CB">
                        <w:rPr>
                          <w:rFonts w:ascii="Arial" w:eastAsiaTheme="minorHAnsi" w:hAnsi="Arial" w:cs="Arial"/>
                          <w:color w:val="000000"/>
                          <w:sz w:val="14"/>
                          <w:szCs w:val="14"/>
                          <w:lang w:eastAsia="en-US"/>
                        </w:rPr>
                        <w:t>an adaptive policy/plan)</w:t>
                      </w:r>
                      <w:r w:rsidRPr="00A748CB">
                        <w:rPr>
                          <w:rFonts w:ascii="Arial" w:eastAsiaTheme="minorHAnsi" w:hAnsi="Arial" w:cs="Arial"/>
                          <w:color w:val="000000"/>
                          <w:sz w:val="14"/>
                          <w:szCs w:val="14"/>
                          <w:lang w:eastAsia="en-US"/>
                        </w:rPr>
                        <w:t xml:space="preserve">, </w:t>
                      </w:r>
                      <w:r w:rsidR="00E82F5D" w:rsidRPr="00A748CB">
                        <w:rPr>
                          <w:rFonts w:ascii="Arial" w:eastAsiaTheme="minorHAnsi" w:hAnsi="Arial" w:cs="Arial"/>
                          <w:color w:val="000000"/>
                          <w:sz w:val="14"/>
                          <w:szCs w:val="14"/>
                          <w:lang w:eastAsia="en-US"/>
                        </w:rPr>
                        <w:t>namely in</w:t>
                      </w:r>
                      <w:r w:rsidRPr="00A748CB">
                        <w:rPr>
                          <w:rFonts w:ascii="Arial" w:eastAsiaTheme="minorHAnsi" w:hAnsi="Arial" w:cs="Arial"/>
                          <w:color w:val="000000"/>
                          <w:sz w:val="14"/>
                          <w:szCs w:val="14"/>
                          <w:lang w:eastAsia="en-US"/>
                        </w:rPr>
                        <w:t xml:space="preserve"> the content of strategies and the governance process in which strategies are made and implemented. </w:t>
                      </w:r>
                      <w:proofErr w:type="spellStart"/>
                      <w:r w:rsidR="00E82F5D" w:rsidRPr="00A748CB">
                        <w:rPr>
                          <w:rFonts w:ascii="Arial" w:eastAsiaTheme="minorHAnsi" w:hAnsi="Arial" w:cs="Arial"/>
                          <w:color w:val="7F7F7F" w:themeColor="text1" w:themeTint="80"/>
                          <w:sz w:val="14"/>
                          <w:szCs w:val="14"/>
                          <w:lang w:eastAsia="en-US"/>
                        </w:rPr>
                        <w:t>Restemeyer</w:t>
                      </w:r>
                      <w:proofErr w:type="spellEnd"/>
                      <w:r w:rsidR="00E82F5D" w:rsidRPr="00A748CB">
                        <w:rPr>
                          <w:rFonts w:ascii="Arial" w:eastAsiaTheme="minorHAnsi" w:hAnsi="Arial" w:cs="Arial"/>
                          <w:color w:val="7F7F7F" w:themeColor="text1" w:themeTint="80"/>
                          <w:sz w:val="14"/>
                          <w:szCs w:val="14"/>
                          <w:lang w:eastAsia="en-US"/>
                        </w:rPr>
                        <w:t xml:space="preserve"> et al. (2017), </w:t>
                      </w:r>
                      <w:r w:rsidR="00E82F5D" w:rsidRPr="00A748CB">
                        <w:rPr>
                          <w:rFonts w:ascii="Arial" w:eastAsiaTheme="minorHAnsi" w:hAnsi="Arial" w:cs="Arial"/>
                          <w:color w:val="000000"/>
                          <w:sz w:val="14"/>
                          <w:szCs w:val="14"/>
                          <w:lang w:eastAsia="en-US"/>
                        </w:rPr>
                        <w:t xml:space="preserve">in their paper, sought to address this issue, by defining three </w:t>
                      </w:r>
                      <w:proofErr w:type="gramStart"/>
                      <w:r w:rsidR="00E82F5D" w:rsidRPr="00A748CB">
                        <w:rPr>
                          <w:rFonts w:ascii="Arial" w:eastAsiaTheme="minorHAnsi" w:hAnsi="Arial" w:cs="Arial"/>
                          <w:color w:val="000000"/>
                          <w:sz w:val="14"/>
                          <w:szCs w:val="14"/>
                          <w:lang w:eastAsia="en-US"/>
                        </w:rPr>
                        <w:t>theoretically-based</w:t>
                      </w:r>
                      <w:proofErr w:type="gramEnd"/>
                      <w:r w:rsidR="00E82F5D" w:rsidRPr="00A748CB">
                        <w:rPr>
                          <w:rFonts w:ascii="Arial" w:eastAsiaTheme="minorHAnsi" w:hAnsi="Arial" w:cs="Arial"/>
                          <w:color w:val="000000"/>
                          <w:sz w:val="14"/>
                          <w:szCs w:val="14"/>
                          <w:lang w:eastAsia="en-US"/>
                        </w:rPr>
                        <w:t xml:space="preserve"> conditions / points for making long-term policies </w:t>
                      </w:r>
                      <w:r w:rsidR="00E82F5D" w:rsidRPr="00A748CB">
                        <w:rPr>
                          <w:rFonts w:ascii="Arial" w:eastAsiaTheme="minorHAnsi" w:hAnsi="Arial" w:cs="Arial"/>
                          <w:i/>
                          <w:iCs/>
                          <w:color w:val="000000"/>
                          <w:sz w:val="14"/>
                          <w:szCs w:val="14"/>
                          <w:lang w:eastAsia="en-US"/>
                        </w:rPr>
                        <w:t>more adaptive</w:t>
                      </w:r>
                      <w:r w:rsidR="00E82F5D" w:rsidRPr="00A748CB">
                        <w:rPr>
                          <w:rFonts w:ascii="Arial" w:eastAsiaTheme="minorHAnsi" w:hAnsi="Arial" w:cs="Arial"/>
                          <w:color w:val="000000"/>
                          <w:sz w:val="14"/>
                          <w:szCs w:val="14"/>
                          <w:lang w:eastAsia="en-US"/>
                        </w:rPr>
                        <w:t xml:space="preserve"> </w:t>
                      </w:r>
                      <w:r w:rsidR="00E82F5D" w:rsidRPr="00A748CB">
                        <w:rPr>
                          <w:rFonts w:ascii="Arial" w:hAnsi="Arial" w:cs="Arial"/>
                          <w:sz w:val="14"/>
                          <w:szCs w:val="14"/>
                        </w:rPr>
                        <w:t>(</w:t>
                      </w:r>
                      <w:proofErr w:type="spellStart"/>
                      <w:r w:rsidR="00E82F5D" w:rsidRPr="00A748CB">
                        <w:rPr>
                          <w:rFonts w:ascii="Arial" w:hAnsi="Arial" w:cs="Arial"/>
                          <w:color w:val="7F7F7F" w:themeColor="text1" w:themeTint="80"/>
                          <w:sz w:val="14"/>
                          <w:szCs w:val="14"/>
                        </w:rPr>
                        <w:t>Restemeyer</w:t>
                      </w:r>
                      <w:proofErr w:type="spellEnd"/>
                      <w:r w:rsidR="00E82F5D" w:rsidRPr="00A748CB">
                        <w:rPr>
                          <w:rFonts w:ascii="Arial" w:hAnsi="Arial" w:cs="Arial"/>
                          <w:color w:val="7F7F7F" w:themeColor="text1" w:themeTint="80"/>
                          <w:sz w:val="14"/>
                          <w:szCs w:val="14"/>
                        </w:rPr>
                        <w:t xml:space="preserve"> et al. 2017, p.921</w:t>
                      </w:r>
                      <w:r w:rsidR="00E82F5D" w:rsidRPr="00A748CB">
                        <w:rPr>
                          <w:rFonts w:ascii="Arial" w:hAnsi="Arial" w:cs="Arial"/>
                          <w:sz w:val="14"/>
                          <w:szCs w:val="14"/>
                        </w:rPr>
                        <w:t xml:space="preserve">).  </w:t>
                      </w:r>
                      <w:bookmarkEnd w:id="126"/>
                    </w:p>
                    <w:p w14:paraId="2199BA12" w14:textId="0BE7F1CA" w:rsidR="00E82F5D" w:rsidRPr="00A748CB" w:rsidRDefault="00E82F5D" w:rsidP="00A109C8">
                      <w:pPr>
                        <w:autoSpaceDE w:val="0"/>
                        <w:autoSpaceDN w:val="0"/>
                        <w:adjustRightInd w:val="0"/>
                        <w:spacing w:after="0" w:line="240" w:lineRule="auto"/>
                        <w:jc w:val="left"/>
                        <w:rPr>
                          <w:rFonts w:eastAsiaTheme="minorHAnsi" w:cs="Arial"/>
                          <w:sz w:val="14"/>
                          <w:szCs w:val="14"/>
                          <w:lang w:eastAsia="en-US"/>
                        </w:rPr>
                      </w:pPr>
                      <w:proofErr w:type="spellStart"/>
                      <w:r w:rsidRPr="00A748CB">
                        <w:rPr>
                          <w:rFonts w:eastAsiaTheme="minorHAnsi" w:cs="Arial"/>
                          <w:color w:val="7F7F7F" w:themeColor="text1" w:themeTint="80"/>
                          <w:sz w:val="14"/>
                          <w:szCs w:val="14"/>
                          <w:lang w:eastAsia="en-US"/>
                        </w:rPr>
                        <w:t>Restemeyer</w:t>
                      </w:r>
                      <w:proofErr w:type="spellEnd"/>
                      <w:r w:rsidRPr="00A748CB">
                        <w:rPr>
                          <w:rFonts w:eastAsiaTheme="minorHAnsi" w:cs="Arial"/>
                          <w:color w:val="7F7F7F" w:themeColor="text1" w:themeTint="80"/>
                          <w:sz w:val="14"/>
                          <w:szCs w:val="14"/>
                          <w:lang w:eastAsia="en-US"/>
                        </w:rPr>
                        <w:t xml:space="preserve"> et al. (2017) </w:t>
                      </w:r>
                      <w:r w:rsidRPr="00A748CB">
                        <w:rPr>
                          <w:rFonts w:eastAsiaTheme="minorHAnsi" w:cs="Arial"/>
                          <w:color w:val="000000"/>
                          <w:sz w:val="14"/>
                          <w:szCs w:val="14"/>
                          <w:lang w:eastAsia="en-US"/>
                        </w:rPr>
                        <w:t>also draw some lessons for planning research and practice: 1) it is necessary to investigate ways to embed learning and monitoring in the policy process (before developing strategies),</w:t>
                      </w:r>
                      <w:r w:rsidR="008929FD" w:rsidRPr="00A748CB">
                        <w:rPr>
                          <w:rFonts w:eastAsiaTheme="minorHAnsi" w:cs="Arial"/>
                          <w:color w:val="000000"/>
                          <w:sz w:val="14"/>
                          <w:szCs w:val="14"/>
                          <w:lang w:eastAsia="en-US"/>
                        </w:rPr>
                        <w:t xml:space="preserve"> </w:t>
                      </w:r>
                      <w:r w:rsidRPr="00A748CB">
                        <w:rPr>
                          <w:rFonts w:eastAsiaTheme="minorHAnsi" w:cs="Arial"/>
                          <w:color w:val="000000"/>
                          <w:sz w:val="14"/>
                          <w:szCs w:val="14"/>
                          <w:lang w:eastAsia="en-US"/>
                        </w:rPr>
                        <w:t>‘collaborative monitoring’ might be a possible way forwards, but further research is necessary to define and detail such approach; 2) among the techniques and tools to make strategies more flexible, the Adaptation Pathways and Tipping points have been suggested by various authors</w:t>
                      </w:r>
                      <w:r w:rsidR="00A109C8" w:rsidRPr="00A748CB">
                        <w:rPr>
                          <w:rFonts w:eastAsiaTheme="minorHAnsi" w:cs="Arial"/>
                          <w:color w:val="000000"/>
                          <w:sz w:val="14"/>
                          <w:szCs w:val="14"/>
                          <w:lang w:eastAsia="en-US"/>
                        </w:rPr>
                        <w:t xml:space="preserve"> </w:t>
                      </w:r>
                      <w:r w:rsidRPr="00A748CB">
                        <w:rPr>
                          <w:rFonts w:eastAsiaTheme="minorHAnsi" w:cs="Arial"/>
                          <w:color w:val="000000"/>
                          <w:sz w:val="14"/>
                          <w:szCs w:val="14"/>
                          <w:lang w:eastAsia="en-US"/>
                        </w:rPr>
                        <w:t>(</w:t>
                      </w:r>
                      <w:r w:rsidR="00A109C8" w:rsidRPr="00A748CB">
                        <w:rPr>
                          <w:rFonts w:eastAsiaTheme="minorHAnsi" w:cs="Arial"/>
                          <w:color w:val="000000"/>
                          <w:sz w:val="14"/>
                          <w:szCs w:val="14"/>
                          <w:lang w:eastAsia="en-US"/>
                        </w:rPr>
                        <w:t xml:space="preserve">e.g. </w:t>
                      </w:r>
                      <w:r w:rsidRPr="000A40A4">
                        <w:rPr>
                          <w:rFonts w:eastAsiaTheme="minorHAnsi" w:cs="Arial"/>
                          <w:color w:val="7F7F7F" w:themeColor="text1" w:themeTint="80"/>
                          <w:sz w:val="14"/>
                          <w:szCs w:val="14"/>
                          <w:lang w:eastAsia="en-US"/>
                        </w:rPr>
                        <w:t xml:space="preserve">Reeder and Ranger 2011; </w:t>
                      </w:r>
                      <w:r w:rsidR="00A109C8" w:rsidRPr="000A40A4">
                        <w:rPr>
                          <w:rFonts w:eastAsiaTheme="minorHAnsi" w:cs="Arial"/>
                          <w:color w:val="7F7F7F" w:themeColor="text1" w:themeTint="80"/>
                          <w:sz w:val="14"/>
                          <w:szCs w:val="14"/>
                          <w:lang w:eastAsia="en-US"/>
                        </w:rPr>
                        <w:t>Walker et al.</w:t>
                      </w:r>
                      <w:r w:rsidRPr="000A40A4">
                        <w:rPr>
                          <w:rFonts w:eastAsiaTheme="minorHAnsi" w:cs="Arial"/>
                          <w:color w:val="7F7F7F" w:themeColor="text1" w:themeTint="80"/>
                          <w:sz w:val="14"/>
                          <w:szCs w:val="14"/>
                          <w:lang w:eastAsia="en-US"/>
                        </w:rPr>
                        <w:t xml:space="preserve"> 2013; </w:t>
                      </w:r>
                      <w:proofErr w:type="spellStart"/>
                      <w:r w:rsidRPr="000A40A4">
                        <w:rPr>
                          <w:rFonts w:eastAsiaTheme="minorHAnsi" w:cs="Arial"/>
                          <w:color w:val="7F7F7F" w:themeColor="text1" w:themeTint="80"/>
                          <w:sz w:val="14"/>
                          <w:szCs w:val="14"/>
                          <w:lang w:eastAsia="en-US"/>
                        </w:rPr>
                        <w:t>Haasnoot</w:t>
                      </w:r>
                      <w:proofErr w:type="spellEnd"/>
                      <w:r w:rsidR="00A109C8" w:rsidRPr="000A40A4">
                        <w:rPr>
                          <w:rFonts w:eastAsiaTheme="minorHAnsi" w:cs="Arial"/>
                          <w:color w:val="7F7F7F" w:themeColor="text1" w:themeTint="80"/>
                          <w:sz w:val="14"/>
                          <w:szCs w:val="14"/>
                          <w:lang w:eastAsia="en-US"/>
                        </w:rPr>
                        <w:t xml:space="preserve"> </w:t>
                      </w:r>
                      <w:r w:rsidRPr="000A40A4">
                        <w:rPr>
                          <w:rFonts w:eastAsiaTheme="minorHAnsi" w:cs="Arial"/>
                          <w:color w:val="7F7F7F" w:themeColor="text1" w:themeTint="80"/>
                          <w:sz w:val="14"/>
                          <w:szCs w:val="14"/>
                          <w:lang w:eastAsia="en-US"/>
                        </w:rPr>
                        <w:t>et al. 2013</w:t>
                      </w:r>
                      <w:r w:rsidRPr="00A748CB">
                        <w:rPr>
                          <w:rFonts w:eastAsiaTheme="minorHAnsi" w:cs="Arial"/>
                          <w:color w:val="000000"/>
                          <w:sz w:val="14"/>
                          <w:szCs w:val="14"/>
                          <w:lang w:eastAsia="en-US"/>
                        </w:rPr>
                        <w:t>) a</w:t>
                      </w:r>
                      <w:r w:rsidR="00A109C8" w:rsidRPr="00A748CB">
                        <w:rPr>
                          <w:rFonts w:eastAsiaTheme="minorHAnsi" w:cs="Arial"/>
                          <w:color w:val="000000"/>
                          <w:sz w:val="14"/>
                          <w:szCs w:val="14"/>
                          <w:lang w:eastAsia="en-US"/>
                        </w:rPr>
                        <w:t xml:space="preserve">s being </w:t>
                      </w:r>
                      <w:r w:rsidRPr="00A748CB">
                        <w:rPr>
                          <w:rFonts w:eastAsiaTheme="minorHAnsi" w:cs="Arial"/>
                          <w:color w:val="000000"/>
                          <w:sz w:val="14"/>
                          <w:szCs w:val="14"/>
                          <w:lang w:eastAsia="en-US"/>
                        </w:rPr>
                        <w:t>useful to think about the long</w:t>
                      </w:r>
                      <w:r w:rsidR="00A109C8" w:rsidRPr="00A748CB">
                        <w:rPr>
                          <w:rFonts w:eastAsiaTheme="minorHAnsi" w:cs="Arial"/>
                          <w:color w:val="000000"/>
                          <w:sz w:val="14"/>
                          <w:szCs w:val="14"/>
                          <w:lang w:eastAsia="en-US"/>
                        </w:rPr>
                        <w:t>-</w:t>
                      </w:r>
                      <w:r w:rsidRPr="00A748CB">
                        <w:rPr>
                          <w:rFonts w:eastAsiaTheme="minorHAnsi" w:cs="Arial"/>
                          <w:color w:val="000000"/>
                          <w:sz w:val="14"/>
                          <w:szCs w:val="14"/>
                          <w:lang w:eastAsia="en-US"/>
                        </w:rPr>
                        <w:t xml:space="preserve">run, but </w:t>
                      </w:r>
                      <w:r w:rsidR="00A109C8" w:rsidRPr="00A748CB">
                        <w:rPr>
                          <w:rFonts w:eastAsiaTheme="minorHAnsi" w:cs="Arial"/>
                          <w:color w:val="000000"/>
                          <w:sz w:val="14"/>
                          <w:szCs w:val="14"/>
                          <w:lang w:eastAsia="en-US"/>
                        </w:rPr>
                        <w:t xml:space="preserve">they are still quire </w:t>
                      </w:r>
                      <w:r w:rsidRPr="00A748CB">
                        <w:rPr>
                          <w:rFonts w:eastAsiaTheme="minorHAnsi" w:cs="Arial"/>
                          <w:color w:val="000000"/>
                          <w:sz w:val="14"/>
                          <w:szCs w:val="14"/>
                          <w:lang w:eastAsia="en-US"/>
                        </w:rPr>
                        <w:t>complex and</w:t>
                      </w:r>
                      <w:r w:rsidR="00A109C8" w:rsidRPr="00A748CB">
                        <w:rPr>
                          <w:rFonts w:eastAsiaTheme="minorHAnsi" w:cs="Arial"/>
                          <w:color w:val="000000"/>
                          <w:sz w:val="14"/>
                          <w:szCs w:val="14"/>
                          <w:lang w:eastAsia="en-US"/>
                        </w:rPr>
                        <w:t xml:space="preserve"> </w:t>
                      </w:r>
                      <w:r w:rsidRPr="00A748CB">
                        <w:rPr>
                          <w:rFonts w:eastAsiaTheme="minorHAnsi" w:cs="Arial"/>
                          <w:color w:val="000000"/>
                          <w:sz w:val="14"/>
                          <w:szCs w:val="14"/>
                          <w:lang w:eastAsia="en-US"/>
                        </w:rPr>
                        <w:t xml:space="preserve">abstract for policymaking on a national and regional </w:t>
                      </w:r>
                      <w:r w:rsidR="00A109C8" w:rsidRPr="00A748CB">
                        <w:rPr>
                          <w:rFonts w:eastAsiaTheme="minorHAnsi" w:cs="Arial"/>
                          <w:color w:val="000000"/>
                          <w:sz w:val="14"/>
                          <w:szCs w:val="14"/>
                          <w:lang w:eastAsia="en-US"/>
                        </w:rPr>
                        <w:t>scale, and de</w:t>
                      </w:r>
                      <w:r w:rsidRPr="00A748CB">
                        <w:rPr>
                          <w:rFonts w:eastAsiaTheme="minorHAnsi" w:cs="Arial"/>
                          <w:color w:val="000000"/>
                          <w:sz w:val="14"/>
                          <w:szCs w:val="14"/>
                          <w:lang w:eastAsia="en-US"/>
                        </w:rPr>
                        <w:t>veloping</w:t>
                      </w:r>
                      <w:r w:rsidR="00A109C8" w:rsidRPr="00A748CB">
                        <w:rPr>
                          <w:rFonts w:eastAsiaTheme="minorHAnsi" w:cs="Arial"/>
                          <w:color w:val="000000"/>
                          <w:sz w:val="14"/>
                          <w:szCs w:val="14"/>
                          <w:lang w:eastAsia="en-US"/>
                        </w:rPr>
                        <w:t xml:space="preserve"> </w:t>
                      </w:r>
                      <w:r w:rsidRPr="00A748CB">
                        <w:rPr>
                          <w:rFonts w:eastAsiaTheme="minorHAnsi" w:cs="Arial"/>
                          <w:color w:val="000000"/>
                          <w:sz w:val="14"/>
                          <w:szCs w:val="14"/>
                          <w:lang w:eastAsia="en-US"/>
                        </w:rPr>
                        <w:t xml:space="preserve">adaptation pathways on a local scale </w:t>
                      </w:r>
                      <w:r w:rsidR="00A109C8" w:rsidRPr="00A748CB">
                        <w:rPr>
                          <w:rFonts w:eastAsiaTheme="minorHAnsi" w:cs="Arial"/>
                          <w:color w:val="000000"/>
                          <w:sz w:val="14"/>
                          <w:szCs w:val="14"/>
                          <w:lang w:eastAsia="en-US"/>
                        </w:rPr>
                        <w:t>seems</w:t>
                      </w:r>
                      <w:r w:rsidRPr="00A748CB">
                        <w:rPr>
                          <w:rFonts w:eastAsiaTheme="minorHAnsi" w:cs="Arial"/>
                          <w:color w:val="000000"/>
                          <w:sz w:val="14"/>
                          <w:szCs w:val="14"/>
                          <w:lang w:eastAsia="en-US"/>
                        </w:rPr>
                        <w:t xml:space="preserve"> more feasible</w:t>
                      </w:r>
                      <w:r w:rsidR="00A109C8" w:rsidRPr="00A748CB">
                        <w:rPr>
                          <w:rFonts w:eastAsiaTheme="minorHAnsi" w:cs="Arial"/>
                          <w:color w:val="000000"/>
                          <w:sz w:val="14"/>
                          <w:szCs w:val="14"/>
                          <w:lang w:eastAsia="en-US"/>
                        </w:rPr>
                        <w:t xml:space="preserve"> (e.g.</w:t>
                      </w:r>
                      <w:r w:rsidRPr="00A748CB">
                        <w:rPr>
                          <w:rFonts w:eastAsiaTheme="minorHAnsi" w:cs="Arial"/>
                          <w:color w:val="000000"/>
                          <w:sz w:val="14"/>
                          <w:szCs w:val="14"/>
                          <w:lang w:eastAsia="en-US"/>
                        </w:rPr>
                        <w:t xml:space="preserve"> specific</w:t>
                      </w:r>
                      <w:r w:rsidR="00A109C8" w:rsidRPr="00A748CB">
                        <w:rPr>
                          <w:rFonts w:eastAsiaTheme="minorHAnsi" w:cs="Arial"/>
                          <w:color w:val="000000"/>
                          <w:sz w:val="14"/>
                          <w:szCs w:val="14"/>
                          <w:lang w:eastAsia="en-US"/>
                        </w:rPr>
                        <w:t xml:space="preserve"> </w:t>
                      </w:r>
                      <w:r w:rsidRPr="00A748CB">
                        <w:rPr>
                          <w:rFonts w:eastAsiaTheme="minorHAnsi" w:cs="Arial"/>
                          <w:color w:val="000000"/>
                          <w:sz w:val="14"/>
                          <w:szCs w:val="14"/>
                          <w:lang w:eastAsia="en-US"/>
                        </w:rPr>
                        <w:t xml:space="preserve">measures can be discussed in depth and better </w:t>
                      </w:r>
                      <w:r w:rsidR="00A109C8" w:rsidRPr="00A748CB">
                        <w:rPr>
                          <w:rFonts w:eastAsiaTheme="minorHAnsi" w:cs="Arial"/>
                          <w:color w:val="000000"/>
                          <w:sz w:val="14"/>
                          <w:szCs w:val="14"/>
                          <w:lang w:eastAsia="en-US"/>
                        </w:rPr>
                        <w:t>suited to</w:t>
                      </w:r>
                      <w:r w:rsidRPr="00A748CB">
                        <w:rPr>
                          <w:rFonts w:eastAsiaTheme="minorHAnsi" w:cs="Arial"/>
                          <w:color w:val="000000"/>
                          <w:sz w:val="14"/>
                          <w:szCs w:val="14"/>
                          <w:lang w:eastAsia="en-US"/>
                        </w:rPr>
                        <w:t xml:space="preserve"> the physical, social</w:t>
                      </w:r>
                      <w:r w:rsidR="00A109C8" w:rsidRPr="00A748CB">
                        <w:rPr>
                          <w:rFonts w:eastAsiaTheme="minorHAnsi" w:cs="Arial"/>
                          <w:color w:val="000000"/>
                          <w:sz w:val="14"/>
                          <w:szCs w:val="14"/>
                          <w:lang w:eastAsia="en-US"/>
                        </w:rPr>
                        <w:t xml:space="preserve"> </w:t>
                      </w:r>
                      <w:r w:rsidRPr="00A748CB">
                        <w:rPr>
                          <w:rFonts w:eastAsiaTheme="minorHAnsi" w:cs="Arial"/>
                          <w:color w:val="000000"/>
                          <w:sz w:val="14"/>
                          <w:szCs w:val="14"/>
                          <w:lang w:eastAsia="en-US"/>
                        </w:rPr>
                        <w:t xml:space="preserve">and political </w:t>
                      </w:r>
                      <w:r w:rsidR="00A109C8" w:rsidRPr="00A748CB">
                        <w:rPr>
                          <w:rFonts w:eastAsiaTheme="minorHAnsi" w:cs="Arial"/>
                          <w:color w:val="000000"/>
                          <w:sz w:val="14"/>
                          <w:szCs w:val="14"/>
                          <w:lang w:eastAsia="en-US"/>
                        </w:rPr>
                        <w:t xml:space="preserve">context); 3) it is very difficult </w:t>
                      </w:r>
                      <w:r w:rsidRPr="00A748CB">
                        <w:rPr>
                          <w:rFonts w:eastAsiaTheme="minorHAnsi" w:cs="Arial"/>
                          <w:color w:val="000000"/>
                          <w:sz w:val="14"/>
                          <w:szCs w:val="14"/>
                          <w:lang w:eastAsia="en-US"/>
                        </w:rPr>
                        <w:t>to prioritise measures</w:t>
                      </w:r>
                      <w:r w:rsidR="00A109C8" w:rsidRPr="00A748CB">
                        <w:rPr>
                          <w:rFonts w:eastAsiaTheme="minorHAnsi" w:cs="Arial"/>
                          <w:color w:val="000000"/>
                          <w:sz w:val="14"/>
                          <w:szCs w:val="14"/>
                          <w:lang w:eastAsia="en-US"/>
                        </w:rPr>
                        <w:t xml:space="preserve"> </w:t>
                      </w:r>
                      <w:r w:rsidRPr="00A748CB">
                        <w:rPr>
                          <w:rFonts w:eastAsiaTheme="minorHAnsi" w:cs="Arial"/>
                          <w:color w:val="000000"/>
                          <w:sz w:val="14"/>
                          <w:szCs w:val="14"/>
                          <w:lang w:eastAsia="en-US"/>
                        </w:rPr>
                        <w:t xml:space="preserve">that </w:t>
                      </w:r>
                      <w:r w:rsidR="00A109C8" w:rsidRPr="00A748CB">
                        <w:rPr>
                          <w:rFonts w:eastAsiaTheme="minorHAnsi" w:cs="Arial"/>
                          <w:color w:val="000000"/>
                          <w:sz w:val="14"/>
                          <w:szCs w:val="14"/>
                          <w:lang w:eastAsia="en-US"/>
                        </w:rPr>
                        <w:t>avoid</w:t>
                      </w:r>
                      <w:r w:rsidRPr="00A748CB">
                        <w:rPr>
                          <w:rFonts w:eastAsiaTheme="minorHAnsi" w:cs="Arial"/>
                          <w:color w:val="000000"/>
                          <w:sz w:val="14"/>
                          <w:szCs w:val="14"/>
                          <w:lang w:eastAsia="en-US"/>
                        </w:rPr>
                        <w:t xml:space="preserve"> lock-ins when the system is already </w:t>
                      </w:r>
                      <w:r w:rsidR="00A109C8" w:rsidRPr="00A748CB">
                        <w:rPr>
                          <w:rFonts w:eastAsiaTheme="minorHAnsi" w:cs="Arial"/>
                          <w:color w:val="000000"/>
                          <w:sz w:val="14"/>
                          <w:szCs w:val="14"/>
                          <w:lang w:eastAsia="en-US"/>
                        </w:rPr>
                        <w:t>in</w:t>
                      </w:r>
                      <w:r w:rsidRPr="00A748CB">
                        <w:rPr>
                          <w:rFonts w:eastAsiaTheme="minorHAnsi" w:cs="Arial"/>
                          <w:color w:val="000000"/>
                          <w:sz w:val="14"/>
                          <w:szCs w:val="14"/>
                          <w:lang w:eastAsia="en-US"/>
                        </w:rPr>
                        <w:t xml:space="preserve"> a lock-in</w:t>
                      </w:r>
                      <w:r w:rsidR="00A109C8" w:rsidRPr="00A748CB">
                        <w:rPr>
                          <w:rFonts w:eastAsiaTheme="minorHAnsi" w:cs="Arial"/>
                          <w:color w:val="000000"/>
                          <w:sz w:val="14"/>
                          <w:szCs w:val="14"/>
                          <w:lang w:eastAsia="en-US"/>
                        </w:rPr>
                        <w:t xml:space="preserve"> (as shown by the studied case), thus, it is important to find ways to minimize or overcome such lock-in; 4) the pre-existent institutional context matters much in the uptake of adaptive planning and management approaches and in the shift towards adaptability. </w:t>
                      </w:r>
                      <w:r w:rsidR="00A109C8" w:rsidRPr="00A748CB">
                        <w:rPr>
                          <w:rFonts w:eastAsiaTheme="minorHAnsi" w:cs="Arial"/>
                          <w:sz w:val="14"/>
                          <w:szCs w:val="14"/>
                          <w:lang w:eastAsia="en-US"/>
                        </w:rPr>
                        <w:t>The authors point out important issue</w:t>
                      </w:r>
                      <w:r w:rsidR="00A934D5" w:rsidRPr="00A748CB">
                        <w:rPr>
                          <w:rFonts w:eastAsiaTheme="minorHAnsi" w:cs="Arial"/>
                          <w:sz w:val="14"/>
                          <w:szCs w:val="14"/>
                          <w:lang w:eastAsia="en-US"/>
                        </w:rPr>
                        <w:t>s</w:t>
                      </w:r>
                      <w:r w:rsidR="00A109C8" w:rsidRPr="00A748CB">
                        <w:rPr>
                          <w:rFonts w:eastAsiaTheme="minorHAnsi" w:cs="Arial"/>
                          <w:sz w:val="14"/>
                          <w:szCs w:val="14"/>
                          <w:lang w:eastAsia="en-US"/>
                        </w:rPr>
                        <w:t xml:space="preserve"> for further research, namely: exploring </w:t>
                      </w:r>
                      <w:r w:rsidR="00A109C8" w:rsidRPr="00A748CB">
                        <w:rPr>
                          <w:rFonts w:eastAsiaTheme="minorHAnsi" w:cs="Arial"/>
                          <w:b/>
                          <w:bCs/>
                          <w:sz w:val="14"/>
                          <w:szCs w:val="14"/>
                          <w:lang w:eastAsia="en-US"/>
                        </w:rPr>
                        <w:t>how the adaptability discourse has unfolded in other (national) contexts</w:t>
                      </w:r>
                      <w:r w:rsidR="00A934D5" w:rsidRPr="00A748CB">
                        <w:rPr>
                          <w:rFonts w:eastAsiaTheme="minorHAnsi" w:cs="Arial"/>
                          <w:sz w:val="14"/>
                          <w:szCs w:val="14"/>
                          <w:lang w:eastAsia="en-US"/>
                        </w:rPr>
                        <w:t xml:space="preserve">, and </w:t>
                      </w:r>
                      <w:r w:rsidR="00A109C8" w:rsidRPr="00A748CB">
                        <w:rPr>
                          <w:rFonts w:eastAsiaTheme="minorHAnsi" w:cs="Arial"/>
                          <w:b/>
                          <w:bCs/>
                          <w:sz w:val="14"/>
                          <w:szCs w:val="14"/>
                          <w:lang w:eastAsia="en-US"/>
                        </w:rPr>
                        <w:t>which conditions and policy arrangements are advantageous or disadvantageous for applying an adaptive approach</w:t>
                      </w:r>
                      <w:r w:rsidR="00A109C8" w:rsidRPr="00A748CB">
                        <w:rPr>
                          <w:rFonts w:eastAsiaTheme="minorHAnsi" w:cs="Arial"/>
                          <w:sz w:val="14"/>
                          <w:szCs w:val="14"/>
                          <w:lang w:eastAsia="en-US"/>
                        </w:rPr>
                        <w:t xml:space="preserve"> (as moving </w:t>
                      </w:r>
                      <w:r w:rsidR="00A109C8" w:rsidRPr="00A748CB">
                        <w:rPr>
                          <w:rFonts w:eastAsiaTheme="minorHAnsi" w:cs="Arial"/>
                          <w:i/>
                          <w:iCs/>
                          <w:sz w:val="14"/>
                          <w:szCs w:val="14"/>
                          <w:lang w:eastAsia="en-US"/>
                        </w:rPr>
                        <w:t xml:space="preserve">adaptability </w:t>
                      </w:r>
                      <w:r w:rsidR="00A109C8" w:rsidRPr="00A748CB">
                        <w:rPr>
                          <w:rFonts w:eastAsiaTheme="minorHAnsi" w:cs="Arial"/>
                          <w:sz w:val="14"/>
                          <w:szCs w:val="14"/>
                          <w:lang w:eastAsia="en-US"/>
                        </w:rPr>
                        <w:t xml:space="preserve">from theory into practice is still key challenge for the future) </w:t>
                      </w:r>
                      <w:r w:rsidR="00A109C8" w:rsidRPr="00A748CB">
                        <w:rPr>
                          <w:rFonts w:cs="Arial"/>
                          <w:sz w:val="14"/>
                          <w:szCs w:val="14"/>
                        </w:rPr>
                        <w:t>(</w:t>
                      </w:r>
                      <w:proofErr w:type="spellStart"/>
                      <w:r w:rsidR="00A109C8" w:rsidRPr="00A748CB">
                        <w:rPr>
                          <w:rFonts w:cs="Arial"/>
                          <w:color w:val="7F7F7F" w:themeColor="text1" w:themeTint="80"/>
                          <w:sz w:val="14"/>
                          <w:szCs w:val="14"/>
                        </w:rPr>
                        <w:t>Restemeyer</w:t>
                      </w:r>
                      <w:proofErr w:type="spellEnd"/>
                      <w:r w:rsidR="00A109C8" w:rsidRPr="00A748CB">
                        <w:rPr>
                          <w:rFonts w:cs="Arial"/>
                          <w:color w:val="7F7F7F" w:themeColor="text1" w:themeTint="80"/>
                          <w:sz w:val="14"/>
                          <w:szCs w:val="14"/>
                        </w:rPr>
                        <w:t xml:space="preserve"> et al. 2017, p.936</w:t>
                      </w:r>
                      <w:r w:rsidR="00A109C8" w:rsidRPr="00A748CB">
                        <w:rPr>
                          <w:rFonts w:cs="Arial"/>
                          <w:sz w:val="14"/>
                          <w:szCs w:val="14"/>
                        </w:rPr>
                        <w:t xml:space="preserve">). </w:t>
                      </w:r>
                    </w:p>
                    <w:p w14:paraId="1E7F4EAC" w14:textId="77777777" w:rsidR="00AD4CED" w:rsidRPr="00A748CB" w:rsidRDefault="00AD4CED" w:rsidP="00AD4CED">
                      <w:pPr>
                        <w:pStyle w:val="TEXTBODY"/>
                        <w:spacing w:line="240" w:lineRule="auto"/>
                        <w:jc w:val="left"/>
                        <w:rPr>
                          <w:rFonts w:ascii="Arial" w:hAnsi="Arial" w:cs="Arial"/>
                          <w:sz w:val="14"/>
                          <w:szCs w:val="14"/>
                        </w:rPr>
                      </w:pPr>
                    </w:p>
                    <w:p w14:paraId="14F9F1D5" w14:textId="77777777" w:rsidR="00AD4CED" w:rsidRPr="00A748CB" w:rsidRDefault="00AD4CED" w:rsidP="00AD4CED">
                      <w:pPr>
                        <w:pStyle w:val="TEXTBODY"/>
                        <w:spacing w:line="240" w:lineRule="auto"/>
                        <w:jc w:val="left"/>
                        <w:rPr>
                          <w:rFonts w:ascii="Arial" w:hAnsi="Arial" w:cs="Arial"/>
                          <w:sz w:val="14"/>
                          <w:szCs w:val="14"/>
                        </w:rPr>
                      </w:pPr>
                    </w:p>
                  </w:txbxContent>
                </v:textbox>
                <w10:wrap anchorx="page"/>
              </v:shape>
            </w:pict>
          </mc:Fallback>
        </mc:AlternateContent>
      </w:r>
    </w:p>
    <w:p w14:paraId="3B97B0BC" w14:textId="1A328CC3" w:rsidR="0034350B" w:rsidRPr="009B720F" w:rsidRDefault="0034350B" w:rsidP="00E74925">
      <w:pPr>
        <w:pStyle w:val="TEXTBODY"/>
        <w:spacing w:line="276" w:lineRule="auto"/>
        <w:rPr>
          <w:bCs/>
          <w:highlight w:val="green"/>
        </w:rPr>
      </w:pPr>
    </w:p>
    <w:p w14:paraId="30FAC23D" w14:textId="76153187" w:rsidR="0034350B" w:rsidRPr="009B720F" w:rsidRDefault="0034350B" w:rsidP="00E74925">
      <w:pPr>
        <w:pStyle w:val="TEXTBODY"/>
        <w:spacing w:line="276" w:lineRule="auto"/>
        <w:rPr>
          <w:bCs/>
          <w:highlight w:val="green"/>
        </w:rPr>
      </w:pPr>
    </w:p>
    <w:p w14:paraId="3FAFF831" w14:textId="0DA1FA3E" w:rsidR="00CA34D1" w:rsidRPr="009B720F" w:rsidRDefault="00CA34D1" w:rsidP="00E74925">
      <w:pPr>
        <w:pStyle w:val="TEXTBODY"/>
        <w:spacing w:line="276" w:lineRule="auto"/>
        <w:rPr>
          <w:bCs/>
          <w:highlight w:val="green"/>
        </w:rPr>
      </w:pPr>
    </w:p>
    <w:p w14:paraId="349BFFEE" w14:textId="180F1844" w:rsidR="00AC1103" w:rsidRPr="009B720F" w:rsidRDefault="00AC1103" w:rsidP="00E74925">
      <w:pPr>
        <w:pStyle w:val="TEXTBODY"/>
        <w:spacing w:line="276" w:lineRule="auto"/>
        <w:rPr>
          <w:bCs/>
          <w:highlight w:val="green"/>
        </w:rPr>
      </w:pPr>
    </w:p>
    <w:p w14:paraId="0AB76A08" w14:textId="022D4E29" w:rsidR="00E43D5A" w:rsidRPr="009B720F" w:rsidRDefault="00E43D5A" w:rsidP="00E74925">
      <w:pPr>
        <w:pStyle w:val="TEXTBODY"/>
        <w:spacing w:line="276" w:lineRule="auto"/>
        <w:rPr>
          <w:bCs/>
          <w:highlight w:val="green"/>
        </w:rPr>
      </w:pPr>
    </w:p>
    <w:p w14:paraId="67E6B0E7" w14:textId="77777777" w:rsidR="00E43D5A" w:rsidRPr="009B720F" w:rsidRDefault="00E43D5A" w:rsidP="00E74925">
      <w:pPr>
        <w:pStyle w:val="TEXTBODY"/>
        <w:spacing w:line="276" w:lineRule="auto"/>
        <w:rPr>
          <w:bCs/>
          <w:highlight w:val="green"/>
        </w:rPr>
      </w:pPr>
    </w:p>
    <w:p w14:paraId="4CE1134B" w14:textId="678E9F5A" w:rsidR="008929FD" w:rsidRPr="009B720F" w:rsidRDefault="008929FD" w:rsidP="00E74925">
      <w:pPr>
        <w:pStyle w:val="TEXTBODY"/>
        <w:spacing w:line="276" w:lineRule="auto"/>
        <w:rPr>
          <w:bCs/>
        </w:rPr>
      </w:pPr>
    </w:p>
    <w:p w14:paraId="3A5E2AA6" w14:textId="575BFE2C" w:rsidR="008929FD" w:rsidRPr="009B720F" w:rsidRDefault="008929FD" w:rsidP="00E74925">
      <w:pPr>
        <w:pStyle w:val="TEXTBODY"/>
        <w:spacing w:line="276" w:lineRule="auto"/>
        <w:rPr>
          <w:bCs/>
        </w:rPr>
      </w:pPr>
    </w:p>
    <w:p w14:paraId="4932CD83" w14:textId="77777777" w:rsidR="00AC1103" w:rsidRDefault="00AC1103" w:rsidP="00E74925">
      <w:pPr>
        <w:pStyle w:val="TEXTBODY"/>
        <w:spacing w:line="276" w:lineRule="auto"/>
        <w:rPr>
          <w:bCs/>
          <w:highlight w:val="green"/>
        </w:rPr>
      </w:pPr>
    </w:p>
    <w:p w14:paraId="7636F226" w14:textId="77777777" w:rsidR="000A40A4" w:rsidRDefault="000A40A4" w:rsidP="00E74925">
      <w:pPr>
        <w:pStyle w:val="TEXTBODY"/>
        <w:spacing w:line="276" w:lineRule="auto"/>
        <w:rPr>
          <w:bCs/>
          <w:highlight w:val="green"/>
        </w:rPr>
      </w:pPr>
    </w:p>
    <w:p w14:paraId="272E892F" w14:textId="77777777" w:rsidR="000A40A4" w:rsidRPr="009B720F" w:rsidRDefault="000A40A4" w:rsidP="00E74925">
      <w:pPr>
        <w:pStyle w:val="TEXTBODY"/>
        <w:spacing w:line="276" w:lineRule="auto"/>
        <w:rPr>
          <w:bCs/>
          <w:highlight w:val="green"/>
        </w:rPr>
      </w:pPr>
    </w:p>
    <w:p w14:paraId="27340466" w14:textId="30827304" w:rsidR="00354CF8" w:rsidRPr="009B720F" w:rsidRDefault="00354CF8" w:rsidP="00E74925">
      <w:pPr>
        <w:pStyle w:val="Ttulo4"/>
        <w:spacing w:line="276" w:lineRule="auto"/>
        <w:rPr>
          <w:bCs/>
        </w:rPr>
      </w:pPr>
      <w:bookmarkStart w:id="127" w:name="_Hlk33633993"/>
      <w:bookmarkStart w:id="128" w:name="_Hlk140666788"/>
      <w:r w:rsidRPr="009B720F">
        <w:rPr>
          <w:bCs/>
        </w:rPr>
        <w:t xml:space="preserve">Key-element 4 </w:t>
      </w:r>
    </w:p>
    <w:p w14:paraId="1650D805" w14:textId="667A9766" w:rsidR="002E12F1" w:rsidRPr="00A748CB" w:rsidRDefault="00005E32" w:rsidP="00E74925">
      <w:pPr>
        <w:pStyle w:val="TEXTBODY"/>
        <w:spacing w:line="276" w:lineRule="auto"/>
        <w:rPr>
          <w:bCs/>
        </w:rPr>
      </w:pPr>
      <w:bookmarkStart w:id="129" w:name="_Hlk141366341"/>
      <w:r w:rsidRPr="00A748CB">
        <w:rPr>
          <w:bCs/>
          <w:noProof/>
        </w:rPr>
        <w:t>As an</w:t>
      </w:r>
      <w:r w:rsidRPr="00A748CB">
        <w:rPr>
          <w:bCs/>
        </w:rPr>
        <w:t xml:space="preserve"> adaptive approach, </w:t>
      </w:r>
      <w:r w:rsidR="004D507F" w:rsidRPr="00A748CB">
        <w:rPr>
          <w:bCs/>
        </w:rPr>
        <w:t>ADM</w:t>
      </w:r>
      <w:r w:rsidRPr="00A748CB">
        <w:rPr>
          <w:bCs/>
        </w:rPr>
        <w:t xml:space="preserve"> entails </w:t>
      </w:r>
      <w:r w:rsidR="004D507F" w:rsidRPr="00A748CB">
        <w:rPr>
          <w:bCs/>
        </w:rPr>
        <w:t xml:space="preserve">monitoring, revaluation, and adaptation: </w:t>
      </w:r>
      <w:r w:rsidRPr="00A748CB">
        <w:rPr>
          <w:bCs/>
        </w:rPr>
        <w:t>ADM</w:t>
      </w:r>
      <w:r w:rsidR="004D507F" w:rsidRPr="00A748CB">
        <w:rPr>
          <w:bCs/>
        </w:rPr>
        <w:t xml:space="preserve"> requires </w:t>
      </w:r>
      <w:r w:rsidRPr="00A748CB">
        <w:rPr>
          <w:bCs/>
        </w:rPr>
        <w:t>an ongoing</w:t>
      </w:r>
      <w:r w:rsidR="004D507F" w:rsidRPr="00A748CB">
        <w:rPr>
          <w:bCs/>
        </w:rPr>
        <w:t xml:space="preserve"> monitoring of external conditions (climatic and socioeconomic changes), of implemented and planned strategies, and the (re)evaluation of strategies (applied or planned) to check if they are proceeding as expected or if it is necessary to adjust them (their </w:t>
      </w:r>
      <w:r w:rsidR="004D507F" w:rsidRPr="00A748CB">
        <w:rPr>
          <w:bCs/>
          <w:i/>
          <w:iCs/>
        </w:rPr>
        <w:t>pace</w:t>
      </w:r>
      <w:r w:rsidR="004D507F" w:rsidRPr="00A748CB">
        <w:rPr>
          <w:bCs/>
        </w:rPr>
        <w:t xml:space="preserve">, </w:t>
      </w:r>
      <w:r w:rsidR="004D507F" w:rsidRPr="00A748CB">
        <w:rPr>
          <w:bCs/>
          <w:i/>
          <w:iCs/>
        </w:rPr>
        <w:t>direction</w:t>
      </w:r>
      <w:r w:rsidR="004D507F" w:rsidRPr="00A748CB">
        <w:rPr>
          <w:bCs/>
        </w:rPr>
        <w:t xml:space="preserve"> or </w:t>
      </w:r>
      <w:r w:rsidR="004D507F" w:rsidRPr="00A748CB">
        <w:rPr>
          <w:bCs/>
          <w:i/>
          <w:iCs/>
        </w:rPr>
        <w:t>content</w:t>
      </w:r>
      <w:r w:rsidR="004D507F" w:rsidRPr="00A748CB">
        <w:rPr>
          <w:bCs/>
        </w:rPr>
        <w:t>)</w:t>
      </w:r>
      <w:r w:rsidR="004D507F" w:rsidRPr="00A748CB">
        <w:rPr>
          <w:bCs/>
          <w:i/>
          <w:iCs/>
        </w:rPr>
        <w:t xml:space="preserve"> </w:t>
      </w:r>
      <w:r w:rsidR="004D507F" w:rsidRPr="00A748CB">
        <w:rPr>
          <w:bCs/>
        </w:rPr>
        <w:t>(</w:t>
      </w:r>
      <w:r w:rsidR="004D507F" w:rsidRPr="00A748CB">
        <w:rPr>
          <w:bCs/>
          <w:color w:val="7F7F7F" w:themeColor="text1" w:themeTint="80"/>
        </w:rPr>
        <w:t xml:space="preserve">DP 2016, p.6; 2014, </w:t>
      </w:r>
      <w:r w:rsidR="008656E1" w:rsidRPr="00A748CB">
        <w:rPr>
          <w:bCs/>
          <w:color w:val="7F7F7F" w:themeColor="text1" w:themeTint="80"/>
        </w:rPr>
        <w:t>p.</w:t>
      </w:r>
      <w:r w:rsidR="004D507F" w:rsidRPr="00A748CB">
        <w:rPr>
          <w:bCs/>
          <w:color w:val="7F7F7F" w:themeColor="text1" w:themeTint="80"/>
        </w:rPr>
        <w:t>149</w:t>
      </w:r>
      <w:r w:rsidR="004D507F" w:rsidRPr="00A748CB">
        <w:rPr>
          <w:bCs/>
        </w:rPr>
        <w:t>). As new insights into climatic, socioeconomic and technological changes arise, it might be necessary to adjust strategies (</w:t>
      </w:r>
      <w:r w:rsidR="004D507F" w:rsidRPr="00A748CB">
        <w:rPr>
          <w:bCs/>
          <w:color w:val="7F7F7F" w:themeColor="text1" w:themeTint="80"/>
        </w:rPr>
        <w:t>DP 2016, p.6</w:t>
      </w:r>
      <w:r w:rsidR="004D507F" w:rsidRPr="00A748CB">
        <w:rPr>
          <w:bCs/>
        </w:rPr>
        <w:t>). Monitoring is also needed to</w:t>
      </w:r>
      <w:r w:rsidR="004D507F" w:rsidRPr="00A748CB">
        <w:rPr>
          <w:rFonts w:cs="Arial"/>
          <w:bCs/>
          <w:szCs w:val="18"/>
        </w:rPr>
        <w:t xml:space="preserve"> detect when an ATP may be reached </w:t>
      </w:r>
      <w:r w:rsidR="004D507F" w:rsidRPr="00A748CB">
        <w:rPr>
          <w:bCs/>
        </w:rPr>
        <w:t xml:space="preserve">(this implies keeping track of external changes and effects of measures) </w:t>
      </w:r>
      <w:r w:rsidR="004D507F" w:rsidRPr="00A748CB">
        <w:rPr>
          <w:rFonts w:cs="Arial"/>
          <w:bCs/>
          <w:szCs w:val="18"/>
        </w:rPr>
        <w:t>(</w:t>
      </w:r>
      <w:proofErr w:type="spellStart"/>
      <w:r w:rsidR="004D507F" w:rsidRPr="00A748CB">
        <w:rPr>
          <w:rFonts w:cs="Arial"/>
          <w:bCs/>
          <w:color w:val="7F7F7F" w:themeColor="text1" w:themeTint="80"/>
          <w:szCs w:val="18"/>
        </w:rPr>
        <w:t>Restemeyer</w:t>
      </w:r>
      <w:proofErr w:type="spellEnd"/>
      <w:r w:rsidR="004D507F" w:rsidRPr="00A748CB">
        <w:rPr>
          <w:rFonts w:cs="Arial"/>
          <w:bCs/>
          <w:color w:val="7F7F7F" w:themeColor="text1" w:themeTint="80"/>
          <w:szCs w:val="18"/>
        </w:rPr>
        <w:t xml:space="preserve"> et al. 2017, p.931</w:t>
      </w:r>
      <w:r w:rsidR="004D507F" w:rsidRPr="00A748CB">
        <w:rPr>
          <w:rFonts w:cs="Arial"/>
          <w:bCs/>
          <w:szCs w:val="18"/>
        </w:rPr>
        <w:t>).</w:t>
      </w:r>
      <w:r w:rsidR="004D507F" w:rsidRPr="00A748CB">
        <w:rPr>
          <w:bCs/>
        </w:rPr>
        <w:t xml:space="preserve"> ADM </w:t>
      </w:r>
      <w:r w:rsidR="000963F0" w:rsidRPr="00A748CB">
        <w:rPr>
          <w:bCs/>
        </w:rPr>
        <w:t>involves</w:t>
      </w:r>
      <w:r w:rsidR="004D507F" w:rsidRPr="00A748CB">
        <w:rPr>
          <w:bCs/>
        </w:rPr>
        <w:t xml:space="preserve"> staying </w:t>
      </w:r>
      <w:r w:rsidR="004D507F" w:rsidRPr="00A748CB">
        <w:rPr>
          <w:bCs/>
          <w:i/>
          <w:iCs/>
        </w:rPr>
        <w:t>flexible</w:t>
      </w:r>
      <w:r w:rsidR="004D507F" w:rsidRPr="00A748CB">
        <w:rPr>
          <w:bCs/>
        </w:rPr>
        <w:t xml:space="preserve"> to be able to act on new conditions and insights (able to adapt to change) (</w:t>
      </w:r>
      <w:r w:rsidR="004D507F" w:rsidRPr="00A748CB">
        <w:rPr>
          <w:bCs/>
          <w:color w:val="7F7F7F" w:themeColor="text1" w:themeTint="80"/>
        </w:rPr>
        <w:t>DP 2014, p.7</w:t>
      </w:r>
      <w:r w:rsidR="004D507F" w:rsidRPr="00A748CB">
        <w:rPr>
          <w:bCs/>
        </w:rPr>
        <w:t>), which requires</w:t>
      </w:r>
      <w:r w:rsidR="004D507F" w:rsidRPr="00A748CB">
        <w:rPr>
          <w:bCs/>
          <w:color w:val="00B050"/>
        </w:rPr>
        <w:t xml:space="preserve"> </w:t>
      </w:r>
      <w:r w:rsidR="004D507F" w:rsidRPr="00A748CB">
        <w:rPr>
          <w:bCs/>
          <w:i/>
          <w:iCs/>
        </w:rPr>
        <w:t xml:space="preserve">looking ahead to the taskings that are facing us, setting down the measures required in </w:t>
      </w:r>
      <w:r w:rsidR="004D507F" w:rsidRPr="00A748CB">
        <w:rPr>
          <w:bCs/>
          <w:i/>
          <w:iCs/>
        </w:rPr>
        <w:lastRenderedPageBreak/>
        <w:t>concert</w:t>
      </w:r>
      <w:r w:rsidR="000963F0" w:rsidRPr="00A748CB">
        <w:rPr>
          <w:bCs/>
        </w:rPr>
        <w:t xml:space="preserve"> (by </w:t>
      </w:r>
      <w:r w:rsidR="000963F0" w:rsidRPr="00A748CB">
        <w:rPr>
          <w:bCs/>
          <w:i/>
          <w:iCs/>
        </w:rPr>
        <w:t>keeping option open</w:t>
      </w:r>
      <w:r w:rsidR="000963F0" w:rsidRPr="00A748CB">
        <w:rPr>
          <w:bCs/>
        </w:rPr>
        <w:t>)</w:t>
      </w:r>
      <w:r w:rsidR="00AA5DFD" w:rsidRPr="00A748CB">
        <w:rPr>
          <w:bCs/>
        </w:rPr>
        <w:t xml:space="preserve">, and </w:t>
      </w:r>
      <w:r w:rsidR="004D507F" w:rsidRPr="00A748CB">
        <w:rPr>
          <w:bCs/>
        </w:rPr>
        <w:t xml:space="preserve">also </w:t>
      </w:r>
      <w:r w:rsidR="004D507F" w:rsidRPr="00A748CB">
        <w:rPr>
          <w:bCs/>
          <w:i/>
          <w:iCs/>
        </w:rPr>
        <w:t>persistently checking whether we are working at the right pace and in the proper direction</w:t>
      </w:r>
      <w:r w:rsidR="004D507F" w:rsidRPr="00A748CB">
        <w:rPr>
          <w:bCs/>
        </w:rPr>
        <w:t xml:space="preserve">, </w:t>
      </w:r>
      <w:r w:rsidR="000963F0" w:rsidRPr="00A748CB">
        <w:rPr>
          <w:bCs/>
        </w:rPr>
        <w:t>and,</w:t>
      </w:r>
      <w:r w:rsidR="000963F0" w:rsidRPr="00A748CB">
        <w:rPr>
          <w:bCs/>
          <w:i/>
          <w:iCs/>
        </w:rPr>
        <w:t xml:space="preserve"> if need be, adjusting our strategies in time</w:t>
      </w:r>
      <w:r w:rsidR="000963F0" w:rsidRPr="00A748CB">
        <w:rPr>
          <w:bCs/>
        </w:rPr>
        <w:t xml:space="preserve"> (i.e. </w:t>
      </w:r>
      <w:r w:rsidR="004D507F" w:rsidRPr="00A748CB">
        <w:rPr>
          <w:bCs/>
        </w:rPr>
        <w:t xml:space="preserve">adjusting the </w:t>
      </w:r>
      <w:r w:rsidR="00345A51" w:rsidRPr="00A748CB">
        <w:rPr>
          <w:bCs/>
        </w:rPr>
        <w:t xml:space="preserve">pace or </w:t>
      </w:r>
      <w:r w:rsidR="004D507F" w:rsidRPr="00A748CB">
        <w:rPr>
          <w:bCs/>
        </w:rPr>
        <w:t>course, if necessary, as changes or new knowledge arise</w:t>
      </w:r>
      <w:r w:rsidR="000963F0" w:rsidRPr="00A748CB">
        <w:rPr>
          <w:bCs/>
        </w:rPr>
        <w:t>)</w:t>
      </w:r>
      <w:r w:rsidR="004D507F" w:rsidRPr="00A748CB">
        <w:rPr>
          <w:bCs/>
        </w:rPr>
        <w:t xml:space="preserve"> (</w:t>
      </w:r>
      <w:r w:rsidR="004D507F" w:rsidRPr="00A748CB">
        <w:rPr>
          <w:bCs/>
          <w:color w:val="7F7F7F" w:themeColor="text1" w:themeTint="80"/>
        </w:rPr>
        <w:t xml:space="preserve">DP 2018, p.13; </w:t>
      </w:r>
      <w:r w:rsidR="000963F0" w:rsidRPr="00A748CB">
        <w:rPr>
          <w:bCs/>
          <w:color w:val="7F7F7F" w:themeColor="text1" w:themeTint="80"/>
        </w:rPr>
        <w:t>2017, p.7</w:t>
      </w:r>
      <w:r w:rsidR="00345A51" w:rsidRPr="00A748CB">
        <w:rPr>
          <w:bCs/>
          <w:color w:val="7F7F7F" w:themeColor="text1" w:themeTint="80"/>
        </w:rPr>
        <w:t>, 13</w:t>
      </w:r>
      <w:r w:rsidR="000963F0" w:rsidRPr="00A748CB">
        <w:rPr>
          <w:bCs/>
          <w:color w:val="7F7F7F" w:themeColor="text1" w:themeTint="80"/>
        </w:rPr>
        <w:t xml:space="preserve">; </w:t>
      </w:r>
      <w:r w:rsidR="004D507F" w:rsidRPr="00A748CB">
        <w:rPr>
          <w:bCs/>
          <w:color w:val="7F7F7F" w:themeColor="text1" w:themeTint="80"/>
        </w:rPr>
        <w:t>2016, p.6</w:t>
      </w:r>
      <w:r w:rsidR="004D507F" w:rsidRPr="00A748CB">
        <w:rPr>
          <w:bCs/>
        </w:rPr>
        <w:t xml:space="preserve">). ADM </w:t>
      </w:r>
      <w:r w:rsidR="000963F0" w:rsidRPr="00A748CB">
        <w:rPr>
          <w:bCs/>
        </w:rPr>
        <w:t>not only</w:t>
      </w:r>
      <w:r w:rsidR="00D309D2" w:rsidRPr="00A748CB">
        <w:rPr>
          <w:bCs/>
        </w:rPr>
        <w:t xml:space="preserve"> requires</w:t>
      </w:r>
      <w:r w:rsidR="004D507F" w:rsidRPr="00A748CB">
        <w:rPr>
          <w:bCs/>
        </w:rPr>
        <w:t xml:space="preserve"> anticipating future circumstances while choosing </w:t>
      </w:r>
      <w:r w:rsidR="004D507F" w:rsidRPr="00A748CB">
        <w:rPr>
          <w:bCs/>
          <w:i/>
          <w:iCs/>
        </w:rPr>
        <w:t>what, when</w:t>
      </w:r>
      <w:r w:rsidR="004D507F" w:rsidRPr="00A748CB">
        <w:rPr>
          <w:bCs/>
        </w:rPr>
        <w:t xml:space="preserve"> and </w:t>
      </w:r>
      <w:r w:rsidR="004D507F" w:rsidRPr="00A748CB">
        <w:rPr>
          <w:bCs/>
          <w:i/>
          <w:iCs/>
        </w:rPr>
        <w:t xml:space="preserve">where </w:t>
      </w:r>
      <w:r w:rsidR="004D507F" w:rsidRPr="00A748CB">
        <w:rPr>
          <w:bCs/>
        </w:rPr>
        <w:t xml:space="preserve">measures to implement, but also </w:t>
      </w:r>
      <w:r w:rsidR="004D507F" w:rsidRPr="00A748CB">
        <w:rPr>
          <w:bCs/>
          <w:i/>
          <w:iCs/>
        </w:rPr>
        <w:t xml:space="preserve">adjusting strategies periodically </w:t>
      </w:r>
      <w:r w:rsidR="004D507F" w:rsidRPr="00A748CB">
        <w:rPr>
          <w:bCs/>
        </w:rPr>
        <w:t xml:space="preserve">based on new knowledge, </w:t>
      </w:r>
      <w:r w:rsidR="00D309D2" w:rsidRPr="00A748CB">
        <w:rPr>
          <w:bCs/>
        </w:rPr>
        <w:t xml:space="preserve">and this </w:t>
      </w:r>
      <w:r w:rsidR="004D507F" w:rsidRPr="00A748CB">
        <w:rPr>
          <w:bCs/>
        </w:rPr>
        <w:t xml:space="preserve">implies </w:t>
      </w:r>
      <w:r w:rsidR="004D507F" w:rsidRPr="00A748CB">
        <w:rPr>
          <w:bCs/>
          <w:i/>
          <w:iCs/>
        </w:rPr>
        <w:t xml:space="preserve">a clear view of the possibilities for the future at all times </w:t>
      </w:r>
      <w:r w:rsidR="00D309D2" w:rsidRPr="00A748CB">
        <w:rPr>
          <w:bCs/>
        </w:rPr>
        <w:t>and</w:t>
      </w:r>
      <w:r w:rsidR="004D507F" w:rsidRPr="00A748CB">
        <w:rPr>
          <w:bCs/>
        </w:rPr>
        <w:t xml:space="preserve"> ongoing monitoring and </w:t>
      </w:r>
      <w:r w:rsidR="000963F0" w:rsidRPr="00A748CB">
        <w:rPr>
          <w:bCs/>
        </w:rPr>
        <w:t xml:space="preserve">regular </w:t>
      </w:r>
      <w:r w:rsidR="004D507F" w:rsidRPr="00A748CB">
        <w:rPr>
          <w:bCs/>
        </w:rPr>
        <w:t xml:space="preserve">evaluation </w:t>
      </w:r>
      <w:r w:rsidR="00D309D2" w:rsidRPr="00A748CB">
        <w:rPr>
          <w:bCs/>
        </w:rPr>
        <w:t xml:space="preserve">– </w:t>
      </w:r>
      <w:r w:rsidR="00D309D2" w:rsidRPr="00A748CB">
        <w:rPr>
          <w:bCs/>
          <w:i/>
          <w:iCs/>
        </w:rPr>
        <w:t>monitoring and evaluation are essential to know in good time when the strategy has to change and when other measures that have already been prepared should be put into effect</w:t>
      </w:r>
      <w:r w:rsidR="00D309D2" w:rsidRPr="00A748CB">
        <w:rPr>
          <w:bCs/>
        </w:rPr>
        <w:t xml:space="preserve"> </w:t>
      </w:r>
      <w:r w:rsidR="004D507F" w:rsidRPr="00A748CB">
        <w:rPr>
          <w:bCs/>
        </w:rPr>
        <w:t>(</w:t>
      </w:r>
      <w:r w:rsidR="004D507F" w:rsidRPr="00A748CB">
        <w:rPr>
          <w:bCs/>
          <w:color w:val="7F7F7F" w:themeColor="text1" w:themeTint="80"/>
        </w:rPr>
        <w:t xml:space="preserve">DP </w:t>
      </w:r>
      <w:r w:rsidR="000963F0" w:rsidRPr="00A748CB">
        <w:rPr>
          <w:bCs/>
          <w:color w:val="7F7F7F" w:themeColor="text1" w:themeTint="80"/>
        </w:rPr>
        <w:t>2014, p.13</w:t>
      </w:r>
      <w:r w:rsidR="004D507F" w:rsidRPr="00A748CB">
        <w:rPr>
          <w:rFonts w:cs="Arial"/>
          <w:bCs/>
        </w:rPr>
        <w:t>).</w:t>
      </w:r>
      <w:r w:rsidR="004D507F" w:rsidRPr="00A748CB">
        <w:rPr>
          <w:bCs/>
        </w:rPr>
        <w:t xml:space="preserve"> </w:t>
      </w:r>
      <w:r w:rsidR="002E12F1" w:rsidRPr="00A748CB">
        <w:rPr>
          <w:bCs/>
        </w:rPr>
        <w:t xml:space="preserve">In DP, ADM </w:t>
      </w:r>
      <w:r w:rsidR="007F6A8A" w:rsidRPr="00A748CB">
        <w:rPr>
          <w:bCs/>
        </w:rPr>
        <w:t>required a proper</w:t>
      </w:r>
      <w:r w:rsidR="002E12F1" w:rsidRPr="00A748CB">
        <w:rPr>
          <w:bCs/>
        </w:rPr>
        <w:t xml:space="preserve"> monitoring of changes and developments (namely climatic and socioeconomic developments), of new insights, and of implemented measures (</w:t>
      </w:r>
      <w:r w:rsidR="007F6A8A" w:rsidRPr="00A748CB">
        <w:rPr>
          <w:bCs/>
        </w:rPr>
        <w:t xml:space="preserve">i.e. of </w:t>
      </w:r>
      <w:r w:rsidR="007F6A8A" w:rsidRPr="00A748CB">
        <w:rPr>
          <w:bCs/>
          <w:i/>
          <w:iCs/>
        </w:rPr>
        <w:t>what we are doing and what results this yields</w:t>
      </w:r>
      <w:r w:rsidR="007F6A8A" w:rsidRPr="00A748CB">
        <w:rPr>
          <w:bCs/>
        </w:rPr>
        <w:t xml:space="preserve">, that is, </w:t>
      </w:r>
      <w:r w:rsidR="002E12F1" w:rsidRPr="00A748CB">
        <w:rPr>
          <w:bCs/>
          <w:i/>
          <w:iCs/>
        </w:rPr>
        <w:t>what is being done</w:t>
      </w:r>
      <w:r w:rsidR="007F6A8A" w:rsidRPr="00A748CB">
        <w:rPr>
          <w:bCs/>
          <w:i/>
          <w:iCs/>
        </w:rPr>
        <w:t xml:space="preserve">, </w:t>
      </w:r>
      <w:r w:rsidR="002E12F1" w:rsidRPr="00A748CB">
        <w:rPr>
          <w:bCs/>
          <w:i/>
          <w:iCs/>
        </w:rPr>
        <w:t>with what effects</w:t>
      </w:r>
      <w:r w:rsidR="002E12F1" w:rsidRPr="00A748CB">
        <w:rPr>
          <w:bCs/>
        </w:rPr>
        <w:t xml:space="preserve">), and, based </w:t>
      </w:r>
      <w:r w:rsidR="007F6A8A" w:rsidRPr="00A748CB">
        <w:rPr>
          <w:bCs/>
        </w:rPr>
        <w:t>thereon</w:t>
      </w:r>
      <w:r w:rsidR="002E12F1" w:rsidRPr="00A748CB">
        <w:rPr>
          <w:bCs/>
        </w:rPr>
        <w:t xml:space="preserve">, a regular </w:t>
      </w:r>
      <w:r w:rsidR="007F6A8A" w:rsidRPr="00A748CB">
        <w:rPr>
          <w:bCs/>
        </w:rPr>
        <w:t>(re)</w:t>
      </w:r>
      <w:r w:rsidR="002E12F1" w:rsidRPr="00A748CB">
        <w:rPr>
          <w:bCs/>
        </w:rPr>
        <w:t>evaluation of the strategies followed (implemented and planned)</w:t>
      </w:r>
      <w:r w:rsidR="007F6A8A" w:rsidRPr="00A748CB">
        <w:rPr>
          <w:bCs/>
        </w:rPr>
        <w:t xml:space="preserve"> </w:t>
      </w:r>
      <w:r w:rsidR="002E12F1" w:rsidRPr="00A748CB">
        <w:rPr>
          <w:bCs/>
        </w:rPr>
        <w:t>(</w:t>
      </w:r>
      <w:r w:rsidR="002E12F1" w:rsidRPr="00A748CB">
        <w:rPr>
          <w:bCs/>
          <w:color w:val="7F7F7F" w:themeColor="text1" w:themeTint="80"/>
        </w:rPr>
        <w:t xml:space="preserve">DP 2014, p.149; </w:t>
      </w:r>
      <w:r w:rsidR="002E12F1" w:rsidRPr="00A748CB">
        <w:rPr>
          <w:rFonts w:cs="Arial"/>
          <w:bCs/>
          <w:color w:val="7F7F7F" w:themeColor="text1" w:themeTint="80"/>
        </w:rPr>
        <w:t>2016, p.6</w:t>
      </w:r>
      <w:r w:rsidR="002E12F1" w:rsidRPr="00A748CB">
        <w:rPr>
          <w:bCs/>
        </w:rPr>
        <w:t xml:space="preserve">). </w:t>
      </w:r>
    </w:p>
    <w:p w14:paraId="6C32B87A" w14:textId="2B2FB8C3" w:rsidR="004D507F" w:rsidRPr="00A748CB" w:rsidRDefault="004D507F" w:rsidP="00E74925">
      <w:pPr>
        <w:pStyle w:val="TEXTBODY"/>
        <w:spacing w:line="276" w:lineRule="auto"/>
        <w:rPr>
          <w:bCs/>
        </w:rPr>
      </w:pPr>
      <w:r w:rsidRPr="00A748CB">
        <w:rPr>
          <w:bCs/>
        </w:rPr>
        <w:t xml:space="preserve">Overall, </w:t>
      </w:r>
      <w:r w:rsidR="001A0F1D" w:rsidRPr="00A748CB">
        <w:rPr>
          <w:bCs/>
        </w:rPr>
        <w:t xml:space="preserve">in the DP, </w:t>
      </w:r>
      <w:r w:rsidRPr="00A748CB">
        <w:rPr>
          <w:bCs/>
        </w:rPr>
        <w:t xml:space="preserve">ADM </w:t>
      </w:r>
      <w:r w:rsidR="001A0F1D" w:rsidRPr="00A748CB">
        <w:rPr>
          <w:bCs/>
        </w:rPr>
        <w:t>required</w:t>
      </w:r>
      <w:r w:rsidRPr="00A748CB">
        <w:rPr>
          <w:bCs/>
        </w:rPr>
        <w:t xml:space="preserve"> </w:t>
      </w:r>
      <w:r w:rsidR="004919B9" w:rsidRPr="00A748CB">
        <w:rPr>
          <w:bCs/>
        </w:rPr>
        <w:t xml:space="preserve">the </w:t>
      </w:r>
      <w:r w:rsidRPr="00A748CB">
        <w:rPr>
          <w:bCs/>
        </w:rPr>
        <w:t xml:space="preserve">monitoring changes </w:t>
      </w:r>
      <w:r w:rsidR="001A0F1D" w:rsidRPr="00A748CB">
        <w:rPr>
          <w:bCs/>
        </w:rPr>
        <w:t xml:space="preserve">or </w:t>
      </w:r>
      <w:r w:rsidRPr="00A748CB">
        <w:rPr>
          <w:bCs/>
        </w:rPr>
        <w:t>developments</w:t>
      </w:r>
      <w:r w:rsidR="001A0F1D" w:rsidRPr="00A748CB">
        <w:rPr>
          <w:bCs/>
        </w:rPr>
        <w:t>, new knowledge,</w:t>
      </w:r>
      <w:r w:rsidRPr="00A748CB">
        <w:rPr>
          <w:bCs/>
        </w:rPr>
        <w:t xml:space="preserve"> and effects of measures, and the regular reassess</w:t>
      </w:r>
      <w:r w:rsidR="001A0F1D" w:rsidRPr="00A748CB">
        <w:rPr>
          <w:bCs/>
        </w:rPr>
        <w:t>ing/reviewing</w:t>
      </w:r>
      <w:r w:rsidRPr="00A748CB">
        <w:rPr>
          <w:bCs/>
        </w:rPr>
        <w:t xml:space="preserve"> the Plan </w:t>
      </w:r>
      <w:r w:rsidR="001A0F1D" w:rsidRPr="00A748CB">
        <w:rPr>
          <w:bCs/>
        </w:rPr>
        <w:t xml:space="preserve">– </w:t>
      </w:r>
      <w:r w:rsidRPr="00A748CB">
        <w:rPr>
          <w:bCs/>
        </w:rPr>
        <w:t xml:space="preserve">its </w:t>
      </w:r>
      <w:r w:rsidR="001A0F1D" w:rsidRPr="00A748CB">
        <w:rPr>
          <w:bCs/>
        </w:rPr>
        <w:t>S</w:t>
      </w:r>
      <w:r w:rsidRPr="00A748CB">
        <w:rPr>
          <w:bCs/>
        </w:rPr>
        <w:t>trategies</w:t>
      </w:r>
      <w:r w:rsidR="001A0F1D" w:rsidRPr="00A748CB">
        <w:rPr>
          <w:bCs/>
        </w:rPr>
        <w:t xml:space="preserve"> (</w:t>
      </w:r>
      <w:r w:rsidRPr="00A748CB">
        <w:rPr>
          <w:bCs/>
        </w:rPr>
        <w:t>planned or implemented</w:t>
      </w:r>
      <w:r w:rsidR="001A0F1D" w:rsidRPr="00A748CB">
        <w:rPr>
          <w:bCs/>
        </w:rPr>
        <w:t>), their measures, or their schedule –</w:t>
      </w:r>
      <w:r w:rsidRPr="00A748CB">
        <w:rPr>
          <w:bCs/>
        </w:rPr>
        <w:t xml:space="preserve"> and </w:t>
      </w:r>
      <w:r w:rsidR="001A0F1D" w:rsidRPr="00A748CB">
        <w:rPr>
          <w:bCs/>
        </w:rPr>
        <w:t xml:space="preserve">adapting / </w:t>
      </w:r>
      <w:r w:rsidRPr="00A748CB">
        <w:rPr>
          <w:bCs/>
        </w:rPr>
        <w:t>adjust</w:t>
      </w:r>
      <w:r w:rsidR="001A0F1D" w:rsidRPr="00A748CB">
        <w:rPr>
          <w:bCs/>
        </w:rPr>
        <w:t>ing them</w:t>
      </w:r>
      <w:r w:rsidRPr="00A748CB">
        <w:rPr>
          <w:bCs/>
        </w:rPr>
        <w:t xml:space="preserve"> if changes</w:t>
      </w:r>
      <w:r w:rsidR="001A0F1D" w:rsidRPr="00A748CB">
        <w:rPr>
          <w:bCs/>
        </w:rPr>
        <w:t xml:space="preserve"> or new insights</w:t>
      </w:r>
      <w:r w:rsidRPr="00A748CB">
        <w:rPr>
          <w:bCs/>
        </w:rPr>
        <w:t xml:space="preserve"> prompt so (</w:t>
      </w:r>
      <w:r w:rsidRPr="00A748CB">
        <w:rPr>
          <w:bCs/>
          <w:color w:val="7F7F7F" w:themeColor="text1" w:themeTint="80"/>
        </w:rPr>
        <w:t>DP 2016, p.59</w:t>
      </w:r>
      <w:r w:rsidR="001A0F1D" w:rsidRPr="00A748CB">
        <w:rPr>
          <w:bCs/>
          <w:color w:val="7F7F7F" w:themeColor="text1" w:themeTint="80"/>
        </w:rPr>
        <w:t>, 11</w:t>
      </w:r>
      <w:r w:rsidRPr="00A748CB">
        <w:rPr>
          <w:bCs/>
        </w:rPr>
        <w:t xml:space="preserve">).  </w:t>
      </w:r>
    </w:p>
    <w:p w14:paraId="6BA7A210" w14:textId="48702CE3" w:rsidR="003F3AF1" w:rsidRPr="00A748CB" w:rsidRDefault="003F3AF1" w:rsidP="00E74925">
      <w:pPr>
        <w:pStyle w:val="TEXTBODY"/>
        <w:spacing w:line="276" w:lineRule="auto"/>
        <w:rPr>
          <w:bCs/>
        </w:rPr>
      </w:pPr>
      <w:r w:rsidRPr="00A748CB">
        <w:rPr>
          <w:rFonts w:cs="Arial"/>
          <w:bCs/>
        </w:rPr>
        <w:t xml:space="preserve">The ADM </w:t>
      </w:r>
      <w:r w:rsidRPr="000A40A4">
        <w:rPr>
          <w:rFonts w:cs="Arial"/>
          <w:bCs/>
        </w:rPr>
        <w:t xml:space="preserve">cycle </w:t>
      </w:r>
      <w:r w:rsidRPr="00A748CB">
        <w:rPr>
          <w:rFonts w:cs="Arial"/>
          <w:bCs/>
        </w:rPr>
        <w:t xml:space="preserve">presupposes the existence of a monitoring and evaluation system and </w:t>
      </w:r>
      <w:r w:rsidR="00D210BE" w:rsidRPr="00A748CB">
        <w:rPr>
          <w:rFonts w:cs="Arial"/>
          <w:bCs/>
        </w:rPr>
        <w:t xml:space="preserve">a </w:t>
      </w:r>
      <w:r w:rsidR="003F214D" w:rsidRPr="00A748CB">
        <w:rPr>
          <w:rFonts w:cs="Arial"/>
          <w:bCs/>
          <w:i/>
          <w:iCs/>
        </w:rPr>
        <w:t xml:space="preserve">joint </w:t>
      </w:r>
      <w:r w:rsidRPr="00A748CB">
        <w:rPr>
          <w:rFonts w:cs="Arial"/>
          <w:bCs/>
          <w:i/>
          <w:iCs/>
        </w:rPr>
        <w:t xml:space="preserve">learning </w:t>
      </w:r>
      <w:r w:rsidR="00D210BE" w:rsidRPr="00A748CB">
        <w:rPr>
          <w:rFonts w:cs="Arial"/>
          <w:bCs/>
          <w:i/>
          <w:iCs/>
        </w:rPr>
        <w:t>process</w:t>
      </w:r>
      <w:r w:rsidR="00D210BE" w:rsidRPr="00A748CB">
        <w:rPr>
          <w:rFonts w:cs="Arial"/>
          <w:bCs/>
        </w:rPr>
        <w:t xml:space="preserve"> </w:t>
      </w:r>
      <w:r w:rsidRPr="00A748CB">
        <w:rPr>
          <w:rFonts w:cs="Arial"/>
          <w:bCs/>
        </w:rPr>
        <w:t xml:space="preserve">– </w:t>
      </w:r>
      <w:r w:rsidR="00D210BE" w:rsidRPr="00A748CB">
        <w:rPr>
          <w:rFonts w:cs="Arial"/>
          <w:bCs/>
        </w:rPr>
        <w:t xml:space="preserve">and </w:t>
      </w:r>
      <w:r w:rsidR="003F214D" w:rsidRPr="00A748CB">
        <w:rPr>
          <w:rFonts w:cs="Arial"/>
          <w:bCs/>
        </w:rPr>
        <w:t xml:space="preserve">the DP’s ADM </w:t>
      </w:r>
      <w:r w:rsidR="00D210BE" w:rsidRPr="00A748CB">
        <w:rPr>
          <w:rFonts w:cs="Arial"/>
          <w:bCs/>
        </w:rPr>
        <w:t>requires</w:t>
      </w:r>
      <w:r w:rsidRPr="00A748CB">
        <w:rPr>
          <w:bCs/>
        </w:rPr>
        <w:t xml:space="preserve"> </w:t>
      </w:r>
      <w:r w:rsidR="003F214D" w:rsidRPr="00A748CB">
        <w:rPr>
          <w:bCs/>
        </w:rPr>
        <w:t>reviewing choices, strategies and plans, and adapting/adjusting them</w:t>
      </w:r>
      <w:r w:rsidRPr="00A748CB">
        <w:rPr>
          <w:bCs/>
          <w:i/>
          <w:iCs/>
        </w:rPr>
        <w:t xml:space="preserve"> </w:t>
      </w:r>
      <w:r w:rsidRPr="00A748CB">
        <w:rPr>
          <w:bCs/>
        </w:rPr>
        <w:t>if this is prompted by changes or new insights (</w:t>
      </w:r>
      <w:r w:rsidRPr="00A748CB">
        <w:rPr>
          <w:bCs/>
          <w:color w:val="7F7F7F" w:themeColor="text1" w:themeTint="80"/>
        </w:rPr>
        <w:t>DP 2016, p.</w:t>
      </w:r>
      <w:r w:rsidR="003F214D" w:rsidRPr="00A748CB">
        <w:rPr>
          <w:bCs/>
          <w:color w:val="7F7F7F" w:themeColor="text1" w:themeTint="80"/>
        </w:rPr>
        <w:t xml:space="preserve">59, </w:t>
      </w:r>
      <w:r w:rsidR="00D210BE" w:rsidRPr="00A748CB">
        <w:rPr>
          <w:bCs/>
          <w:color w:val="7F7F7F" w:themeColor="text1" w:themeTint="80"/>
        </w:rPr>
        <w:t xml:space="preserve">11, 61, </w:t>
      </w:r>
      <w:r w:rsidRPr="00A748CB">
        <w:rPr>
          <w:bCs/>
          <w:color w:val="7F7F7F" w:themeColor="text1" w:themeTint="80"/>
        </w:rPr>
        <w:t>6</w:t>
      </w:r>
      <w:r w:rsidRPr="00A748CB">
        <w:rPr>
          <w:bCs/>
        </w:rPr>
        <w:t>). Such monitoring and revaluation system should observe how climatic, physical, and socioeconomic conditions are changing, and ensure that ‘</w:t>
      </w:r>
      <w:r w:rsidRPr="00A748CB">
        <w:rPr>
          <w:bCs/>
          <w:i/>
          <w:iCs/>
        </w:rPr>
        <w:t>response to these changes is an adaptive one’</w:t>
      </w:r>
      <w:r w:rsidRPr="00A748CB">
        <w:rPr>
          <w:bCs/>
        </w:rPr>
        <w:t xml:space="preserve"> (</w:t>
      </w:r>
      <w:r w:rsidRPr="00A748CB">
        <w:rPr>
          <w:bCs/>
          <w:color w:val="7F7F7F" w:themeColor="text1" w:themeTint="80"/>
        </w:rPr>
        <w:t>DP 2014, p.9</w:t>
      </w:r>
      <w:r w:rsidRPr="00A748CB">
        <w:rPr>
          <w:bCs/>
        </w:rPr>
        <w:t>). Monitoring and evaluation are necessary to ‘</w:t>
      </w:r>
      <w:r w:rsidRPr="00A748CB">
        <w:rPr>
          <w:bCs/>
          <w:i/>
          <w:iCs/>
        </w:rPr>
        <w:t>know in good time when the strategy has to change and when other measures that have already been prepared should be put into effect</w:t>
      </w:r>
      <w:r w:rsidRPr="00A748CB">
        <w:rPr>
          <w:bCs/>
        </w:rPr>
        <w:t>’ (</w:t>
      </w:r>
      <w:r w:rsidRPr="00A748CB">
        <w:rPr>
          <w:bCs/>
          <w:color w:val="7F7F7F" w:themeColor="text1" w:themeTint="80"/>
        </w:rPr>
        <w:t>DP 2014, p.13</w:t>
      </w:r>
      <w:r w:rsidRPr="00A748CB">
        <w:rPr>
          <w:bCs/>
        </w:rPr>
        <w:t>).</w:t>
      </w:r>
    </w:p>
    <w:p w14:paraId="41170B8C" w14:textId="61FAC950" w:rsidR="004D5D51" w:rsidRPr="00A748CB" w:rsidRDefault="004D5D51" w:rsidP="00E74925">
      <w:pPr>
        <w:pStyle w:val="TEXTBODY"/>
        <w:numPr>
          <w:ilvl w:val="0"/>
          <w:numId w:val="80"/>
        </w:numPr>
        <w:spacing w:line="276" w:lineRule="auto"/>
        <w:ind w:left="426" w:hanging="284"/>
        <w:rPr>
          <w:bCs/>
        </w:rPr>
      </w:pPr>
      <w:r w:rsidRPr="00A748CB">
        <w:rPr>
          <w:bCs/>
        </w:rPr>
        <w:t xml:space="preserve">As a </w:t>
      </w:r>
      <w:r w:rsidRPr="00A748CB">
        <w:rPr>
          <w:bCs/>
          <w:i/>
          <w:iCs/>
        </w:rPr>
        <w:t>flexible</w:t>
      </w:r>
      <w:r w:rsidRPr="00A748CB">
        <w:rPr>
          <w:bCs/>
          <w:i/>
          <w:iCs/>
          <w:color w:val="C00000"/>
        </w:rPr>
        <w:t xml:space="preserve"> </w:t>
      </w:r>
      <w:r w:rsidRPr="00A748CB">
        <w:rPr>
          <w:bCs/>
          <w:i/>
          <w:iCs/>
        </w:rPr>
        <w:t>approach</w:t>
      </w:r>
      <w:r w:rsidRPr="00A748CB">
        <w:rPr>
          <w:bCs/>
        </w:rPr>
        <w:t>, ADM requires continuous monitoring and evaluation (</w:t>
      </w:r>
      <w:r w:rsidRPr="00A748CB">
        <w:rPr>
          <w:bCs/>
          <w:color w:val="7F7F7F" w:themeColor="text1" w:themeTint="80"/>
        </w:rPr>
        <w:t>Zevenbergen et al. 2018, p.6</w:t>
      </w:r>
      <w:r w:rsidRPr="00A748CB">
        <w:rPr>
          <w:bCs/>
        </w:rPr>
        <w:t xml:space="preserve">). As noted by </w:t>
      </w:r>
      <w:r w:rsidRPr="00A748CB">
        <w:rPr>
          <w:bCs/>
          <w:color w:val="7F7F7F" w:themeColor="text1" w:themeTint="80"/>
        </w:rPr>
        <w:t>Zevenbergen et al.</w:t>
      </w:r>
      <w:r w:rsidRPr="00A748CB">
        <w:rPr>
          <w:bCs/>
        </w:rPr>
        <w:t xml:space="preserve">, in a </w:t>
      </w:r>
      <w:r w:rsidRPr="00A748CB">
        <w:rPr>
          <w:bCs/>
          <w:i/>
          <w:iCs/>
        </w:rPr>
        <w:t>flexible adaptive (management) approach</w:t>
      </w:r>
      <w:r w:rsidRPr="00A748CB">
        <w:rPr>
          <w:bCs/>
        </w:rPr>
        <w:t>, flexibility</w:t>
      </w:r>
      <w:r w:rsidRPr="00A748CB">
        <w:rPr>
          <w:bCs/>
          <w:i/>
          <w:iCs/>
        </w:rPr>
        <w:t xml:space="preserve"> </w:t>
      </w:r>
      <w:r w:rsidRPr="00A748CB">
        <w:rPr>
          <w:bCs/>
        </w:rPr>
        <w:t xml:space="preserve">depends on the </w:t>
      </w:r>
      <w:r w:rsidRPr="00A748CB">
        <w:rPr>
          <w:bCs/>
          <w:i/>
        </w:rPr>
        <w:t>capacity of the decision-makers to learn from the arrival of new information and their willingness and ability to revise investment decisions based upon that learning</w:t>
      </w:r>
      <w:r w:rsidRPr="00A748CB">
        <w:rPr>
          <w:bCs/>
          <w:iCs/>
        </w:rPr>
        <w:t xml:space="preserve"> </w:t>
      </w:r>
      <w:r w:rsidRPr="00A748CB">
        <w:rPr>
          <w:bCs/>
        </w:rPr>
        <w:t>(</w:t>
      </w:r>
      <w:r w:rsidRPr="00A748CB">
        <w:rPr>
          <w:bCs/>
          <w:color w:val="7F7F7F" w:themeColor="text1" w:themeTint="80"/>
        </w:rPr>
        <w:t>Zevenbergen et al. 2018, p.1</w:t>
      </w:r>
      <w:r w:rsidRPr="00A748CB">
        <w:rPr>
          <w:bCs/>
        </w:rPr>
        <w:t xml:space="preserve">). </w:t>
      </w:r>
    </w:p>
    <w:p w14:paraId="755E845A" w14:textId="0412F62C" w:rsidR="00FC28D6" w:rsidRPr="00A748CB" w:rsidRDefault="00A748CB" w:rsidP="00E74925">
      <w:pPr>
        <w:pStyle w:val="TEXTBODY"/>
        <w:numPr>
          <w:ilvl w:val="0"/>
          <w:numId w:val="80"/>
        </w:numPr>
        <w:spacing w:line="276" w:lineRule="auto"/>
        <w:ind w:left="426" w:hanging="284"/>
        <w:rPr>
          <w:bCs/>
        </w:rPr>
      </w:pPr>
      <w:r w:rsidRPr="00A748CB">
        <w:rPr>
          <w:bCs/>
        </w:rPr>
        <w:t xml:space="preserve">The </w:t>
      </w:r>
      <w:r w:rsidR="00356843" w:rsidRPr="00A748CB">
        <w:rPr>
          <w:bCs/>
        </w:rPr>
        <w:t xml:space="preserve">DP’s ADM approach is </w:t>
      </w:r>
      <w:r w:rsidR="00356843" w:rsidRPr="00A748CB">
        <w:rPr>
          <w:bCs/>
          <w:i/>
          <w:iCs/>
        </w:rPr>
        <w:t>flexible</w:t>
      </w:r>
      <w:r w:rsidR="00356843" w:rsidRPr="00A748CB">
        <w:rPr>
          <w:bCs/>
        </w:rPr>
        <w:t xml:space="preserve"> enough to adapt the plan / strategy to unexpected or changing conditions and opportunities that might arise, and, at the same time, able to support the planning of investments in the short- and mid-term under deep uncertainty about future changes (</w:t>
      </w:r>
      <w:r w:rsidR="005C558F" w:rsidRPr="00A748CB">
        <w:rPr>
          <w:bCs/>
          <w:color w:val="7F7F7F" w:themeColor="text1" w:themeTint="80"/>
        </w:rPr>
        <w:t>Brugge and Bruggeman 2019</w:t>
      </w:r>
      <w:r w:rsidR="00356843" w:rsidRPr="00A748CB">
        <w:rPr>
          <w:bCs/>
          <w:color w:val="7F7F7F" w:themeColor="text1" w:themeTint="80"/>
        </w:rPr>
        <w:t>, p.1</w:t>
      </w:r>
      <w:r w:rsidR="00356843" w:rsidRPr="00A748CB">
        <w:rPr>
          <w:bCs/>
        </w:rPr>
        <w:t>).</w:t>
      </w:r>
    </w:p>
    <w:p w14:paraId="5393E6CB" w14:textId="77777777" w:rsidR="005F35F7" w:rsidRPr="009B720F" w:rsidRDefault="00FC28D6" w:rsidP="00E74925">
      <w:pPr>
        <w:pStyle w:val="TEXTBODY"/>
        <w:numPr>
          <w:ilvl w:val="0"/>
          <w:numId w:val="80"/>
        </w:numPr>
        <w:spacing w:line="276" w:lineRule="auto"/>
        <w:ind w:left="426" w:hanging="284"/>
        <w:rPr>
          <w:bCs/>
        </w:rPr>
      </w:pPr>
      <w:r w:rsidRPr="00A748CB">
        <w:rPr>
          <w:bCs/>
        </w:rPr>
        <w:t xml:space="preserve">In the DP, the </w:t>
      </w:r>
      <w:r w:rsidR="00D210BE" w:rsidRPr="00A748CB">
        <w:rPr>
          <w:bCs/>
        </w:rPr>
        <w:t xml:space="preserve">ADM approach requires the monitoring of changes and </w:t>
      </w:r>
      <w:r w:rsidRPr="00A748CB">
        <w:rPr>
          <w:bCs/>
        </w:rPr>
        <w:t xml:space="preserve">their </w:t>
      </w:r>
      <w:r w:rsidR="00D210BE" w:rsidRPr="00A748CB">
        <w:rPr>
          <w:bCs/>
        </w:rPr>
        <w:t xml:space="preserve">effects, </w:t>
      </w:r>
      <w:proofErr w:type="gramStart"/>
      <w:r w:rsidR="00D210BE" w:rsidRPr="00A748CB">
        <w:rPr>
          <w:bCs/>
        </w:rPr>
        <w:t>and,</w:t>
      </w:r>
      <w:proofErr w:type="gramEnd"/>
      <w:r w:rsidR="00D210BE" w:rsidRPr="00A748CB">
        <w:rPr>
          <w:bCs/>
        </w:rPr>
        <w:t xml:space="preserve"> based on it, the</w:t>
      </w:r>
      <w:r w:rsidR="00D210BE" w:rsidRPr="009B720F">
        <w:rPr>
          <w:bCs/>
        </w:rPr>
        <w:t xml:space="preserve"> regular evaluation of the strategies followed (and new insights must be used in </w:t>
      </w:r>
      <w:r w:rsidRPr="009B720F">
        <w:rPr>
          <w:bCs/>
        </w:rPr>
        <w:t xml:space="preserve">such </w:t>
      </w:r>
      <w:r w:rsidR="00D210BE" w:rsidRPr="009B720F">
        <w:rPr>
          <w:bCs/>
        </w:rPr>
        <w:t xml:space="preserve">revaluation) </w:t>
      </w:r>
      <w:r w:rsidRPr="009B720F">
        <w:rPr>
          <w:bCs/>
        </w:rPr>
        <w:t>(</w:t>
      </w:r>
      <w:r w:rsidRPr="009B720F">
        <w:rPr>
          <w:bCs/>
          <w:color w:val="7F7F7F" w:themeColor="text1" w:themeTint="80"/>
        </w:rPr>
        <w:t>Petersen and Bloemen 2015, p.225</w:t>
      </w:r>
      <w:r w:rsidRPr="009B720F">
        <w:rPr>
          <w:bCs/>
        </w:rPr>
        <w:t xml:space="preserve">). </w:t>
      </w:r>
      <w:r w:rsidR="00D210BE" w:rsidRPr="009B720F">
        <w:rPr>
          <w:bCs/>
        </w:rPr>
        <w:t xml:space="preserve">As noted by </w:t>
      </w:r>
      <w:r w:rsidR="00D210BE" w:rsidRPr="009B720F">
        <w:rPr>
          <w:bCs/>
          <w:color w:val="7F7F7F" w:themeColor="text1" w:themeTint="80"/>
        </w:rPr>
        <w:t>Petersen and Bloemen</w:t>
      </w:r>
      <w:r w:rsidR="00D210BE" w:rsidRPr="009B720F">
        <w:rPr>
          <w:bCs/>
        </w:rPr>
        <w:t xml:space="preserve">, ADM is based on an approach of </w:t>
      </w:r>
      <w:r w:rsidR="00D210BE" w:rsidRPr="009B720F">
        <w:rPr>
          <w:bCs/>
          <w:i/>
          <w:iCs/>
        </w:rPr>
        <w:t>Planned Adaptation</w:t>
      </w:r>
      <w:r w:rsidR="00D210BE" w:rsidRPr="009B720F">
        <w:rPr>
          <w:bCs/>
        </w:rPr>
        <w:t xml:space="preserve"> that implies two components in a policy-making process: commitment to submit the plan to ongoing revaluation, and systematic effort to use new information in that revaluation</w:t>
      </w:r>
      <w:r w:rsidRPr="009B720F">
        <w:rPr>
          <w:bCs/>
        </w:rPr>
        <w:t xml:space="preserve"> (</w:t>
      </w:r>
      <w:r w:rsidRPr="009B720F">
        <w:rPr>
          <w:bCs/>
          <w:color w:val="7F7F7F" w:themeColor="text1" w:themeTint="80"/>
        </w:rPr>
        <w:t>Petersen and Bloemen 2015, p.222</w:t>
      </w:r>
      <w:r w:rsidRPr="009B720F">
        <w:rPr>
          <w:bCs/>
        </w:rPr>
        <w:t>).</w:t>
      </w:r>
      <w:r w:rsidR="00D210BE" w:rsidRPr="009B720F">
        <w:rPr>
          <w:bCs/>
        </w:rPr>
        <w:t xml:space="preserve"> A policy-programme should</w:t>
      </w:r>
      <w:r w:rsidR="00D210BE" w:rsidRPr="009B720F">
        <w:rPr>
          <w:bCs/>
          <w:i/>
          <w:iCs/>
        </w:rPr>
        <w:t xml:space="preserve"> ‘plan for future changes in knowledge, by producing new knowledge and revising rules at regular intervals</w:t>
      </w:r>
      <w:r w:rsidR="00D210BE" w:rsidRPr="009B720F">
        <w:rPr>
          <w:bCs/>
        </w:rPr>
        <w:t>’ (</w:t>
      </w:r>
      <w:r w:rsidR="00D210BE" w:rsidRPr="009B720F">
        <w:rPr>
          <w:bCs/>
          <w:color w:val="7F7F7F" w:themeColor="text1" w:themeTint="80"/>
        </w:rPr>
        <w:t>Petersen and Bloemen 2015</w:t>
      </w:r>
      <w:r w:rsidRPr="009B720F">
        <w:rPr>
          <w:bCs/>
          <w:color w:val="7F7F7F" w:themeColor="text1" w:themeTint="80"/>
        </w:rPr>
        <w:t>, p.221, 223</w:t>
      </w:r>
      <w:r w:rsidR="00D210BE" w:rsidRPr="009B720F">
        <w:rPr>
          <w:bCs/>
        </w:rPr>
        <w:t>).</w:t>
      </w:r>
      <w:r w:rsidRPr="009B720F">
        <w:rPr>
          <w:bCs/>
        </w:rPr>
        <w:t xml:space="preserve"> </w:t>
      </w:r>
      <w:r w:rsidR="00D210BE" w:rsidRPr="009B720F">
        <w:rPr>
          <w:rFonts w:eastAsiaTheme="minorHAnsi"/>
          <w:bCs/>
          <w:lang w:eastAsia="en-US"/>
        </w:rPr>
        <w:t xml:space="preserve">By introducing its monitoring and evaluation programme, the DP </w:t>
      </w:r>
      <w:r w:rsidRPr="009B720F">
        <w:rPr>
          <w:rFonts w:eastAsiaTheme="minorHAnsi"/>
          <w:bCs/>
          <w:lang w:eastAsia="en-US"/>
        </w:rPr>
        <w:t>safeguarded future</w:t>
      </w:r>
      <w:r w:rsidR="00D210BE" w:rsidRPr="009B720F">
        <w:rPr>
          <w:rFonts w:eastAsiaTheme="minorHAnsi"/>
          <w:bCs/>
          <w:lang w:eastAsia="en-US"/>
        </w:rPr>
        <w:t xml:space="preserve"> revisions of the new approach (ADM) and of its </w:t>
      </w:r>
      <w:r w:rsidR="00D210BE" w:rsidRPr="009B720F">
        <w:rPr>
          <w:rFonts w:eastAsiaTheme="minorHAnsi"/>
          <w:bCs/>
          <w:i/>
          <w:iCs/>
          <w:lang w:eastAsia="en-US"/>
        </w:rPr>
        <w:t>Strategies</w:t>
      </w:r>
      <w:r w:rsidR="00D210BE" w:rsidRPr="009B720F">
        <w:rPr>
          <w:rFonts w:eastAsiaTheme="minorHAnsi"/>
          <w:bCs/>
          <w:lang w:eastAsia="en-US"/>
        </w:rPr>
        <w:t>, at regular intervals, and brings science, engineering</w:t>
      </w:r>
      <w:r w:rsidRPr="009B720F">
        <w:rPr>
          <w:rFonts w:eastAsiaTheme="minorHAnsi"/>
          <w:bCs/>
          <w:lang w:eastAsia="en-US"/>
        </w:rPr>
        <w:t xml:space="preserve">, </w:t>
      </w:r>
      <w:r w:rsidR="00D210BE" w:rsidRPr="009B720F">
        <w:rPr>
          <w:rFonts w:eastAsiaTheme="minorHAnsi"/>
          <w:bCs/>
          <w:lang w:eastAsia="en-US"/>
        </w:rPr>
        <w:t xml:space="preserve">and public policy closer </w:t>
      </w:r>
      <w:r w:rsidRPr="009B720F">
        <w:rPr>
          <w:rFonts w:eastAsiaTheme="minorHAnsi"/>
          <w:bCs/>
          <w:lang w:eastAsia="en-US"/>
        </w:rPr>
        <w:t>(</w:t>
      </w:r>
      <w:r w:rsidRPr="009B720F">
        <w:rPr>
          <w:rFonts w:eastAsiaTheme="minorHAnsi"/>
          <w:bCs/>
          <w:color w:val="7F7F7F" w:themeColor="text1" w:themeTint="80"/>
          <w:lang w:eastAsia="en-US"/>
        </w:rPr>
        <w:t>Petersen and Bloemen 2015, p.222</w:t>
      </w:r>
      <w:r w:rsidRPr="009B720F">
        <w:rPr>
          <w:rFonts w:eastAsiaTheme="minorHAnsi"/>
          <w:bCs/>
          <w:lang w:eastAsia="en-US"/>
        </w:rPr>
        <w:t xml:space="preserve">). </w:t>
      </w:r>
    </w:p>
    <w:p w14:paraId="4F4EC562" w14:textId="6ADE5BF1" w:rsidR="00D210BE" w:rsidRPr="00F8219A" w:rsidRDefault="00F8219A" w:rsidP="00F8219A">
      <w:pPr>
        <w:pStyle w:val="TEXTBODY"/>
        <w:numPr>
          <w:ilvl w:val="0"/>
          <w:numId w:val="80"/>
        </w:numPr>
        <w:spacing w:line="276" w:lineRule="auto"/>
        <w:ind w:left="426" w:hanging="284"/>
        <w:rPr>
          <w:bCs/>
        </w:rPr>
      </w:pPr>
      <w:r w:rsidRPr="009B720F">
        <w:rPr>
          <w:bCs/>
          <w:noProof/>
        </w:rPr>
        <mc:AlternateContent>
          <mc:Choice Requires="wps">
            <w:drawing>
              <wp:anchor distT="45720" distB="45720" distL="114300" distR="114300" simplePos="0" relativeHeight="252695040" behindDoc="1" locked="0" layoutInCell="1" allowOverlap="1" wp14:anchorId="55A1A42E" wp14:editId="722B0402">
                <wp:simplePos x="0" y="0"/>
                <wp:positionH relativeFrom="margin">
                  <wp:posOffset>89667</wp:posOffset>
                </wp:positionH>
                <wp:positionV relativeFrom="paragraph">
                  <wp:posOffset>984184</wp:posOffset>
                </wp:positionV>
                <wp:extent cx="6257925" cy="2305050"/>
                <wp:effectExtent l="0" t="0" r="9525" b="0"/>
                <wp:wrapNone/>
                <wp:docPr id="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7925" cy="2305050"/>
                        </a:xfrm>
                        <a:prstGeom prst="rect">
                          <a:avLst/>
                        </a:prstGeom>
                        <a:solidFill>
                          <a:sysClr val="window" lastClr="FFFFFF">
                            <a:lumMod val="85000"/>
                          </a:sysClr>
                        </a:solidFill>
                        <a:ln w="9525">
                          <a:noFill/>
                          <a:miter lim="800000"/>
                          <a:headEnd/>
                          <a:tailEnd/>
                        </a:ln>
                      </wps:spPr>
                      <wps:txbx>
                        <w:txbxContent>
                          <w:p w14:paraId="4C3D0831" w14:textId="4A02455F" w:rsidR="008656E1" w:rsidRPr="00A748CB" w:rsidRDefault="008656E1" w:rsidP="008656E1">
                            <w:pPr>
                              <w:pStyle w:val="TEXTBODY"/>
                              <w:spacing w:line="240" w:lineRule="auto"/>
                              <w:jc w:val="left"/>
                              <w:rPr>
                                <w:rFonts w:ascii="Arial" w:hAnsi="Arial" w:cs="Arial"/>
                                <w:b/>
                                <w:bCs/>
                                <w:sz w:val="14"/>
                                <w:szCs w:val="14"/>
                              </w:rPr>
                            </w:pPr>
                            <w:r w:rsidRPr="00A748CB">
                              <w:rPr>
                                <w:rFonts w:ascii="Arial" w:hAnsi="Arial" w:cs="Arial"/>
                                <w:b/>
                                <w:bCs/>
                                <w:sz w:val="14"/>
                                <w:szCs w:val="14"/>
                              </w:rPr>
                              <w:t xml:space="preserve">The role of monitoring and reassessment </w:t>
                            </w:r>
                            <w:r w:rsidR="004D5D51" w:rsidRPr="00A748CB">
                              <w:rPr>
                                <w:rFonts w:ascii="Arial" w:hAnsi="Arial" w:cs="Arial"/>
                                <w:b/>
                                <w:bCs/>
                                <w:sz w:val="14"/>
                                <w:szCs w:val="14"/>
                              </w:rPr>
                              <w:t xml:space="preserve">(evaluation) </w:t>
                            </w:r>
                            <w:r w:rsidRPr="00A748CB">
                              <w:rPr>
                                <w:rFonts w:ascii="Arial" w:hAnsi="Arial" w:cs="Arial"/>
                                <w:b/>
                                <w:bCs/>
                                <w:sz w:val="14"/>
                                <w:szCs w:val="14"/>
                              </w:rPr>
                              <w:t xml:space="preserve">within the general ADM </w:t>
                            </w:r>
                            <w:r w:rsidR="004D5D51" w:rsidRPr="00A748CB">
                              <w:rPr>
                                <w:rFonts w:ascii="Arial" w:hAnsi="Arial" w:cs="Arial"/>
                                <w:b/>
                                <w:bCs/>
                                <w:sz w:val="14"/>
                                <w:szCs w:val="14"/>
                              </w:rPr>
                              <w:t xml:space="preserve">approach and </w:t>
                            </w:r>
                            <w:r w:rsidRPr="00A748CB">
                              <w:rPr>
                                <w:rFonts w:ascii="Arial" w:hAnsi="Arial" w:cs="Arial"/>
                                <w:b/>
                                <w:bCs/>
                                <w:sz w:val="14"/>
                                <w:szCs w:val="14"/>
                              </w:rPr>
                              <w:t>process</w:t>
                            </w:r>
                          </w:p>
                          <w:p w14:paraId="5C701A9D" w14:textId="5D64D3E9" w:rsidR="008656E1" w:rsidRPr="006D630A" w:rsidRDefault="008656E1" w:rsidP="008656E1">
                            <w:pPr>
                              <w:pStyle w:val="TEXTBODY"/>
                              <w:spacing w:line="240" w:lineRule="auto"/>
                              <w:jc w:val="left"/>
                              <w:rPr>
                                <w:rFonts w:ascii="Arial" w:hAnsi="Arial" w:cs="Arial"/>
                                <w:sz w:val="14"/>
                                <w:szCs w:val="14"/>
                              </w:rPr>
                            </w:pPr>
                            <w:r w:rsidRPr="00A748CB">
                              <w:rPr>
                                <w:rFonts w:ascii="Arial" w:hAnsi="Arial" w:cs="Arial"/>
                                <w:sz w:val="14"/>
                                <w:szCs w:val="14"/>
                              </w:rPr>
                              <w:t xml:space="preserve">As illustrated in the ADM process (illustrated in a diagram, for example, by </w:t>
                            </w:r>
                            <w:proofErr w:type="spellStart"/>
                            <w:r w:rsidR="005C558F" w:rsidRPr="00A748CB">
                              <w:rPr>
                                <w:rFonts w:ascii="Arial" w:hAnsi="Arial" w:cs="Arial"/>
                                <w:color w:val="7F7F7F" w:themeColor="text1" w:themeTint="80"/>
                                <w:sz w:val="14"/>
                                <w:szCs w:val="14"/>
                              </w:rPr>
                              <w:t>Deltares</w:t>
                            </w:r>
                            <w:proofErr w:type="spellEnd"/>
                            <w:r w:rsidR="005C558F" w:rsidRPr="00A748CB">
                              <w:rPr>
                                <w:rFonts w:ascii="Arial" w:hAnsi="Arial" w:cs="Arial"/>
                                <w:color w:val="7F7F7F" w:themeColor="text1" w:themeTint="80"/>
                                <w:sz w:val="14"/>
                                <w:szCs w:val="14"/>
                              </w:rPr>
                              <w:t xml:space="preserve"> 2018</w:t>
                            </w:r>
                            <w:r w:rsidRPr="00A748CB">
                              <w:rPr>
                                <w:rFonts w:ascii="Arial" w:hAnsi="Arial" w:cs="Arial"/>
                                <w:sz w:val="14"/>
                                <w:szCs w:val="14"/>
                              </w:rPr>
                              <w:t xml:space="preserve">), </w:t>
                            </w:r>
                            <w:r w:rsidRPr="00A748CB">
                              <w:rPr>
                                <w:rFonts w:ascii="Arial" w:hAnsi="Arial" w:cs="Arial"/>
                                <w:b/>
                                <w:bCs/>
                                <w:sz w:val="14"/>
                                <w:szCs w:val="14"/>
                              </w:rPr>
                              <w:t xml:space="preserve">Step 4 </w:t>
                            </w:r>
                            <w:r w:rsidRPr="00A748CB">
                              <w:rPr>
                                <w:rFonts w:ascii="Arial" w:hAnsi="Arial" w:cs="Arial"/>
                                <w:sz w:val="14"/>
                                <w:szCs w:val="14"/>
                              </w:rPr>
                              <w:t>requires the specification of</w:t>
                            </w:r>
                            <w:r w:rsidRPr="00A748CB">
                              <w:rPr>
                                <w:rFonts w:ascii="Arial" w:hAnsi="Arial" w:cs="Arial"/>
                                <w:color w:val="C00000"/>
                                <w:sz w:val="14"/>
                                <w:szCs w:val="14"/>
                              </w:rPr>
                              <w:t xml:space="preserve"> </w:t>
                            </w:r>
                            <w:r w:rsidRPr="00A748CB">
                              <w:rPr>
                                <w:rFonts w:ascii="Arial" w:hAnsi="Arial" w:cs="Arial"/>
                                <w:sz w:val="14"/>
                                <w:szCs w:val="14"/>
                              </w:rPr>
                              <w:t>indicators (signposts) and triggers (critical values at which it is necessary to activate actions, or make adjustments or change of measure; triggers act as warning signals for the implementation of actions or reassessment of the plan, and must be monitored) (</w:t>
                            </w:r>
                            <w:proofErr w:type="spellStart"/>
                            <w:r w:rsidR="00A748CB" w:rsidRPr="00A748CB">
                              <w:rPr>
                                <w:rFonts w:ascii="Arial" w:hAnsi="Arial" w:cs="Arial"/>
                                <w:color w:val="7F7F7F" w:themeColor="text1" w:themeTint="80"/>
                                <w:sz w:val="14"/>
                                <w:szCs w:val="14"/>
                              </w:rPr>
                              <w:t>Deltares</w:t>
                            </w:r>
                            <w:proofErr w:type="spellEnd"/>
                            <w:r w:rsidR="00A748CB" w:rsidRPr="00A748CB">
                              <w:rPr>
                                <w:rFonts w:ascii="Arial" w:hAnsi="Arial" w:cs="Arial"/>
                                <w:color w:val="7F7F7F" w:themeColor="text1" w:themeTint="80"/>
                                <w:sz w:val="14"/>
                                <w:szCs w:val="14"/>
                              </w:rPr>
                              <w:t xml:space="preserve"> 2018</w:t>
                            </w:r>
                            <w:r w:rsidRPr="00A748CB">
                              <w:rPr>
                                <w:rFonts w:ascii="Arial" w:hAnsi="Arial" w:cs="Arial"/>
                                <w:color w:val="7F7F7F" w:themeColor="text1" w:themeTint="80"/>
                                <w:sz w:val="14"/>
                                <w:szCs w:val="14"/>
                              </w:rPr>
                              <w:t xml:space="preserve">, p.2-3;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xml:space="preserve"> et al. 2014, p.4-5; </w:t>
                            </w:r>
                            <w:proofErr w:type="spellStart"/>
                            <w:r w:rsidRPr="00A748CB">
                              <w:rPr>
                                <w:rFonts w:ascii="Arial" w:hAnsi="Arial" w:cs="Arial"/>
                                <w:color w:val="7F7F7F" w:themeColor="text1" w:themeTint="80"/>
                                <w:sz w:val="14"/>
                                <w:szCs w:val="14"/>
                              </w:rPr>
                              <w:t>Haasnoot</w:t>
                            </w:r>
                            <w:proofErr w:type="spellEnd"/>
                            <w:r w:rsidRPr="00A748CB">
                              <w:rPr>
                                <w:rFonts w:ascii="Arial" w:hAnsi="Arial" w:cs="Arial"/>
                                <w:color w:val="7F7F7F" w:themeColor="text1" w:themeTint="80"/>
                                <w:sz w:val="14"/>
                                <w:szCs w:val="14"/>
                              </w:rPr>
                              <w:t xml:space="preserve"> and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Marchand and Ludwig 2014; Brugge and Bruggeman, p.4-5</w:t>
                            </w:r>
                            <w:r w:rsidRPr="00A748CB">
                              <w:rPr>
                                <w:rFonts w:ascii="Arial" w:hAnsi="Arial" w:cs="Arial"/>
                                <w:sz w:val="14"/>
                                <w:szCs w:val="14"/>
                              </w:rPr>
                              <w:t xml:space="preserve">). Thus, </w:t>
                            </w:r>
                            <w:r w:rsidRPr="00A748CB">
                              <w:rPr>
                                <w:rFonts w:ascii="Arial" w:hAnsi="Arial" w:cs="Arial"/>
                                <w:b/>
                                <w:bCs/>
                                <w:sz w:val="14"/>
                                <w:szCs w:val="14"/>
                              </w:rPr>
                              <w:t>Step 4b</w:t>
                            </w:r>
                            <w:r w:rsidRPr="00A748CB">
                              <w:rPr>
                                <w:rFonts w:ascii="Arial" w:hAnsi="Arial" w:cs="Arial"/>
                                <w:sz w:val="14"/>
                                <w:szCs w:val="14"/>
                              </w:rPr>
                              <w:t xml:space="preserve"> implies the definition of a </w:t>
                            </w:r>
                            <w:r w:rsidRPr="00A748CB">
                              <w:rPr>
                                <w:rFonts w:ascii="Arial" w:hAnsi="Arial" w:cs="Arial"/>
                                <w:bCs/>
                                <w:sz w:val="14"/>
                                <w:szCs w:val="14"/>
                              </w:rPr>
                              <w:t>monitoring system</w:t>
                            </w:r>
                            <w:r w:rsidRPr="00A748CB">
                              <w:rPr>
                                <w:rFonts w:ascii="Arial" w:hAnsi="Arial" w:cs="Arial"/>
                                <w:sz w:val="14"/>
                                <w:szCs w:val="14"/>
                              </w:rPr>
                              <w:t xml:space="preserve"> that collects information on indicators and triggers (</w:t>
                            </w:r>
                            <w:proofErr w:type="spellStart"/>
                            <w:r w:rsidRPr="00A748CB">
                              <w:rPr>
                                <w:rFonts w:ascii="Arial" w:hAnsi="Arial" w:cs="Arial"/>
                                <w:color w:val="7F7F7F" w:themeColor="text1" w:themeTint="80"/>
                                <w:sz w:val="14"/>
                                <w:szCs w:val="14"/>
                              </w:rPr>
                              <w:t>Haasnoot</w:t>
                            </w:r>
                            <w:proofErr w:type="spellEnd"/>
                            <w:r w:rsidRPr="00A748CB">
                              <w:rPr>
                                <w:rFonts w:ascii="Arial" w:hAnsi="Arial" w:cs="Arial"/>
                                <w:color w:val="7F7F7F" w:themeColor="text1" w:themeTint="80"/>
                                <w:sz w:val="14"/>
                                <w:szCs w:val="14"/>
                              </w:rPr>
                              <w:t xml:space="preserve"> and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sz w:val="14"/>
                                <w:szCs w:val="14"/>
                              </w:rPr>
                              <w:t>) and mechanisms to adjust the plan (e.g. its strategies) if necessary (</w:t>
                            </w:r>
                            <w:proofErr w:type="spellStart"/>
                            <w:r w:rsidR="00A748CB" w:rsidRPr="00A748CB">
                              <w:rPr>
                                <w:rFonts w:ascii="Arial" w:hAnsi="Arial" w:cs="Arial"/>
                                <w:color w:val="7F7F7F" w:themeColor="text1" w:themeTint="80"/>
                                <w:sz w:val="14"/>
                                <w:szCs w:val="14"/>
                              </w:rPr>
                              <w:t>Deltares</w:t>
                            </w:r>
                            <w:proofErr w:type="spellEnd"/>
                            <w:r w:rsidR="00A748CB" w:rsidRPr="00A748CB">
                              <w:rPr>
                                <w:rFonts w:ascii="Arial" w:hAnsi="Arial" w:cs="Arial"/>
                                <w:color w:val="7F7F7F" w:themeColor="text1" w:themeTint="80"/>
                                <w:sz w:val="14"/>
                                <w:szCs w:val="14"/>
                              </w:rPr>
                              <w:t xml:space="preserve"> 2018</w:t>
                            </w:r>
                            <w:r w:rsidRPr="00A748CB">
                              <w:rPr>
                                <w:rFonts w:ascii="Arial" w:hAnsi="Arial" w:cs="Arial"/>
                                <w:color w:val="7F7F7F" w:themeColor="text1" w:themeTint="80"/>
                                <w:sz w:val="14"/>
                                <w:szCs w:val="14"/>
                              </w:rPr>
                              <w:t>, p.2-3</w:t>
                            </w:r>
                            <w:r w:rsidRPr="00A748CB">
                              <w:rPr>
                                <w:rFonts w:ascii="Arial" w:hAnsi="Arial" w:cs="Arial"/>
                                <w:sz w:val="14"/>
                                <w:szCs w:val="14"/>
                              </w:rPr>
                              <w:t xml:space="preserve">): in specific, </w:t>
                            </w:r>
                            <w:r w:rsidRPr="00A748CB">
                              <w:rPr>
                                <w:rFonts w:ascii="Arial" w:hAnsi="Arial" w:cs="Arial"/>
                                <w:b/>
                                <w:sz w:val="14"/>
                                <w:szCs w:val="14"/>
                              </w:rPr>
                              <w:t>Step 4b</w:t>
                            </w:r>
                            <w:r w:rsidRPr="00A748CB">
                              <w:rPr>
                                <w:rFonts w:ascii="Arial" w:hAnsi="Arial" w:cs="Arial"/>
                                <w:sz w:val="14"/>
                                <w:szCs w:val="14"/>
                              </w:rPr>
                              <w:t xml:space="preserve"> implies the </w:t>
                            </w:r>
                            <w:r w:rsidRPr="00A748CB">
                              <w:rPr>
                                <w:rFonts w:ascii="Arial" w:hAnsi="Arial" w:cs="Arial"/>
                                <w:b/>
                                <w:bCs/>
                                <w:sz w:val="14"/>
                                <w:szCs w:val="14"/>
                              </w:rPr>
                              <w:t>definition of a monitoring and evaluation system that</w:t>
                            </w:r>
                            <w:r w:rsidRPr="00A748CB">
                              <w:rPr>
                                <w:rFonts w:ascii="Arial" w:hAnsi="Arial" w:cs="Arial"/>
                                <w:sz w:val="14"/>
                                <w:szCs w:val="14"/>
                              </w:rPr>
                              <w:t xml:space="preserve"> specifies ‘triggers’ (critical points beyond which it is necessary to make adjustments to the strategy or shift to another measure) and ‘preparatory actions’ (required to enable long-term options, e.g. adjustments in rules / legislation, research, spatial reservations, etc.) </w:t>
                            </w:r>
                            <w:r w:rsidRPr="006D630A">
                              <w:rPr>
                                <w:rFonts w:ascii="Arial" w:hAnsi="Arial" w:cs="Arial"/>
                                <w:sz w:val="14"/>
                                <w:szCs w:val="14"/>
                              </w:rPr>
                              <w:t>(</w:t>
                            </w:r>
                            <w:proofErr w:type="spellStart"/>
                            <w:r w:rsidRPr="006D630A">
                              <w:rPr>
                                <w:rFonts w:ascii="Arial" w:hAnsi="Arial" w:cs="Arial"/>
                                <w:color w:val="7F7F7F" w:themeColor="text1" w:themeTint="80"/>
                                <w:sz w:val="14"/>
                                <w:szCs w:val="14"/>
                              </w:rPr>
                              <w:t>Gersonius</w:t>
                            </w:r>
                            <w:proofErr w:type="spellEnd"/>
                            <w:r w:rsidRPr="006D630A">
                              <w:rPr>
                                <w:rFonts w:ascii="Arial" w:hAnsi="Arial" w:cs="Arial"/>
                                <w:color w:val="7F7F7F" w:themeColor="text1" w:themeTint="80"/>
                                <w:sz w:val="14"/>
                                <w:szCs w:val="14"/>
                              </w:rPr>
                              <w:t xml:space="preserve"> et al. 2016, p.204-206</w:t>
                            </w:r>
                            <w:r w:rsidRPr="006D630A">
                              <w:rPr>
                                <w:rFonts w:ascii="Arial" w:hAnsi="Arial" w:cs="Arial"/>
                                <w:sz w:val="14"/>
                                <w:szCs w:val="14"/>
                              </w:rPr>
                              <w:t xml:space="preserve">). </w:t>
                            </w:r>
                          </w:p>
                          <w:p w14:paraId="1BB62338" w14:textId="0283654E" w:rsidR="008656E1" w:rsidRPr="00A748CB" w:rsidRDefault="008656E1" w:rsidP="008656E1">
                            <w:pPr>
                              <w:pStyle w:val="TEXTBODY"/>
                              <w:spacing w:line="240" w:lineRule="auto"/>
                              <w:jc w:val="left"/>
                              <w:rPr>
                                <w:rFonts w:ascii="Arial" w:hAnsi="Arial" w:cs="Arial"/>
                                <w:color w:val="C00000"/>
                                <w:sz w:val="14"/>
                                <w:szCs w:val="14"/>
                              </w:rPr>
                            </w:pPr>
                            <w:r w:rsidRPr="00A748CB">
                              <w:rPr>
                                <w:rFonts w:ascii="Arial" w:hAnsi="Arial" w:cs="Arial"/>
                                <w:sz w:val="14"/>
                                <w:szCs w:val="14"/>
                              </w:rPr>
                              <w:t xml:space="preserve">Moreover, in the ADM process, </w:t>
                            </w:r>
                            <w:r w:rsidRPr="00A748CB">
                              <w:rPr>
                                <w:rFonts w:ascii="Arial" w:hAnsi="Arial" w:cs="Arial"/>
                                <w:b/>
                                <w:bCs/>
                                <w:sz w:val="14"/>
                                <w:szCs w:val="14"/>
                              </w:rPr>
                              <w:t>Step 6</w:t>
                            </w:r>
                            <w:r w:rsidRPr="00A748CB">
                              <w:rPr>
                                <w:rFonts w:ascii="Arial" w:hAnsi="Arial" w:cs="Arial"/>
                                <w:sz w:val="14"/>
                                <w:szCs w:val="14"/>
                              </w:rPr>
                              <w:t xml:space="preserve"> consists of the monitoring and evaluation of external changes, implemented measures, and progresses in knowledge, and the reassessment of the Plan, and, if necessary, its review (</w:t>
                            </w:r>
                            <w:proofErr w:type="spellStart"/>
                            <w:r w:rsidRPr="00A748CB">
                              <w:rPr>
                                <w:rFonts w:ascii="Arial" w:hAnsi="Arial" w:cs="Arial"/>
                                <w:color w:val="7F7F7F" w:themeColor="text1" w:themeTint="80"/>
                                <w:sz w:val="14"/>
                                <w:szCs w:val="14"/>
                              </w:rPr>
                              <w:t>Haasnoot</w:t>
                            </w:r>
                            <w:proofErr w:type="spellEnd"/>
                            <w:r w:rsidRPr="00A748CB">
                              <w:rPr>
                                <w:rFonts w:ascii="Arial" w:hAnsi="Arial" w:cs="Arial"/>
                                <w:color w:val="7F7F7F" w:themeColor="text1" w:themeTint="80"/>
                                <w:sz w:val="14"/>
                                <w:szCs w:val="14"/>
                              </w:rPr>
                              <w:t xml:space="preserve"> and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sz w:val="14"/>
                                <w:szCs w:val="14"/>
                              </w:rPr>
                              <w:t>); this requires a monitoring and evaluation system to keep track of climatic and socioeconomic developments, and assess if and when it is necessary to review or adjust the plan (e.g. change its strategies or measures) (</w:t>
                            </w:r>
                            <w:proofErr w:type="spellStart"/>
                            <w:r w:rsidR="00A748CB" w:rsidRPr="00A748CB">
                              <w:rPr>
                                <w:rFonts w:ascii="Arial" w:hAnsi="Arial" w:cs="Arial"/>
                                <w:color w:val="7F7F7F" w:themeColor="text1" w:themeTint="80"/>
                                <w:sz w:val="14"/>
                                <w:szCs w:val="14"/>
                              </w:rPr>
                              <w:t>Deltares</w:t>
                            </w:r>
                            <w:proofErr w:type="spellEnd"/>
                            <w:r w:rsidR="00A748CB" w:rsidRPr="00A748CB">
                              <w:rPr>
                                <w:rFonts w:ascii="Arial" w:hAnsi="Arial" w:cs="Arial"/>
                                <w:color w:val="7F7F7F" w:themeColor="text1" w:themeTint="80"/>
                                <w:sz w:val="14"/>
                                <w:szCs w:val="14"/>
                              </w:rPr>
                              <w:t xml:space="preserve"> 2018</w:t>
                            </w:r>
                            <w:r w:rsidRPr="00A748CB">
                              <w:rPr>
                                <w:rFonts w:ascii="Arial" w:hAnsi="Arial" w:cs="Arial"/>
                                <w:color w:val="7F7F7F" w:themeColor="text1" w:themeTint="80"/>
                                <w:sz w:val="14"/>
                                <w:szCs w:val="14"/>
                              </w:rPr>
                              <w:t>, p.2-3</w:t>
                            </w:r>
                            <w:r w:rsidRPr="00A748CB">
                              <w:rPr>
                                <w:rFonts w:ascii="Arial" w:hAnsi="Arial" w:cs="Arial"/>
                                <w:sz w:val="14"/>
                                <w:szCs w:val="14"/>
                              </w:rPr>
                              <w:t>). At this step, the monitoring and evaluation system must keep track of climatic, physical, and socioeconomic trends and developments, namely, to identify when it is necessary to adjust a strategy (e.g. to shift from a measure to another) (</w:t>
                            </w:r>
                            <w:proofErr w:type="spellStart"/>
                            <w:r w:rsidR="00A748CB" w:rsidRPr="00A748CB">
                              <w:rPr>
                                <w:rFonts w:ascii="Arial" w:hAnsi="Arial" w:cs="Arial"/>
                                <w:color w:val="7F7F7F" w:themeColor="text1" w:themeTint="80"/>
                                <w:sz w:val="14"/>
                                <w:szCs w:val="14"/>
                              </w:rPr>
                              <w:t>Deltares</w:t>
                            </w:r>
                            <w:proofErr w:type="spellEnd"/>
                            <w:r w:rsidR="00A748CB" w:rsidRPr="00A748CB">
                              <w:rPr>
                                <w:rFonts w:ascii="Arial" w:hAnsi="Arial" w:cs="Arial"/>
                                <w:color w:val="7F7F7F" w:themeColor="text1" w:themeTint="80"/>
                                <w:sz w:val="14"/>
                                <w:szCs w:val="14"/>
                              </w:rPr>
                              <w:t xml:space="preserve"> 2018</w:t>
                            </w:r>
                            <w:r w:rsidRPr="00A748CB">
                              <w:rPr>
                                <w:rFonts w:ascii="Arial" w:hAnsi="Arial" w:cs="Arial"/>
                                <w:color w:val="7F7F7F" w:themeColor="text1" w:themeTint="80"/>
                                <w:sz w:val="14"/>
                                <w:szCs w:val="14"/>
                              </w:rPr>
                              <w:t>, p.5</w:t>
                            </w:r>
                            <w:r w:rsidRPr="00A748CB">
                              <w:rPr>
                                <w:rFonts w:ascii="Arial" w:hAnsi="Arial" w:cs="Arial"/>
                                <w:sz w:val="14"/>
                                <w:szCs w:val="14"/>
                              </w:rPr>
                              <w:t>). Variables that may induce to triggers must be monitored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xml:space="preserve"> et al. 2014, p. 4</w:t>
                            </w:r>
                            <w:r w:rsidRPr="00A748CB">
                              <w:rPr>
                                <w:rFonts w:ascii="Arial" w:hAnsi="Arial" w:cs="Arial"/>
                                <w:sz w:val="14"/>
                                <w:szCs w:val="14"/>
                              </w:rPr>
                              <w:t xml:space="preserve">). </w:t>
                            </w:r>
                            <w:r w:rsidRPr="00A748CB">
                              <w:rPr>
                                <w:rFonts w:ascii="Arial" w:hAnsi="Arial" w:cs="Arial"/>
                                <w:b/>
                                <w:bCs/>
                                <w:sz w:val="14"/>
                                <w:szCs w:val="14"/>
                              </w:rPr>
                              <w:t>In this step</w:t>
                            </w:r>
                            <w:r w:rsidRPr="00A748CB">
                              <w:rPr>
                                <w:rFonts w:ascii="Arial" w:hAnsi="Arial" w:cs="Arial"/>
                                <w:sz w:val="14"/>
                                <w:szCs w:val="14"/>
                              </w:rPr>
                              <w:t>, the</w:t>
                            </w:r>
                            <w:r w:rsidRPr="00A748CB">
                              <w:rPr>
                                <w:rFonts w:ascii="Arial" w:hAnsi="Arial" w:cs="Arial"/>
                                <w:b/>
                                <w:sz w:val="14"/>
                                <w:szCs w:val="14"/>
                              </w:rPr>
                              <w:t xml:space="preserve"> </w:t>
                            </w:r>
                            <w:r w:rsidRPr="00A748CB">
                              <w:rPr>
                                <w:rFonts w:ascii="Arial" w:hAnsi="Arial" w:cs="Arial"/>
                                <w:sz w:val="14"/>
                                <w:szCs w:val="14"/>
                              </w:rPr>
                              <w:t>monitoring and evaluation system is conducted: it tracks climatic and socioeconomic changes relevant for adapting the plan’s strategies or measures, e.g. for anticipating / delaying the implementation of measures; e.g. if SLR unfolds at a faster rate than expected and a tipping-point is expected to be reached earlier, it may be necessary to implement a measure earlier than projected (if SLR evolves slower, then, the measure can be delayed) (</w:t>
                            </w:r>
                            <w:r w:rsidRPr="00A748CB">
                              <w:rPr>
                                <w:rFonts w:ascii="Arial" w:hAnsi="Arial" w:cs="Arial"/>
                                <w:color w:val="7F7F7F" w:themeColor="text1" w:themeTint="80"/>
                                <w:sz w:val="14"/>
                                <w:szCs w:val="14"/>
                              </w:rPr>
                              <w:t>Brugge and Bruggeman, p.4-5</w:t>
                            </w:r>
                            <w:r w:rsidRPr="00A748CB">
                              <w:rPr>
                                <w:rFonts w:ascii="Arial" w:hAnsi="Arial" w:cs="Arial"/>
                                <w:sz w:val="14"/>
                                <w:szCs w:val="14"/>
                              </w:rPr>
                              <w:t>).</w:t>
                            </w:r>
                            <w:r w:rsidRPr="00A748CB">
                              <w:rPr>
                                <w:rFonts w:ascii="Arial" w:hAnsi="Arial" w:cs="Arial"/>
                                <w:color w:val="C00000"/>
                                <w:sz w:val="14"/>
                                <w:szCs w:val="14"/>
                              </w:rPr>
                              <w:t xml:space="preserve"> </w:t>
                            </w:r>
                            <w:r w:rsidRPr="00A748CB">
                              <w:rPr>
                                <w:rFonts w:ascii="Arial" w:hAnsi="Arial" w:cs="Arial"/>
                                <w:sz w:val="14"/>
                                <w:szCs w:val="14"/>
                              </w:rPr>
                              <w:t>The monitoring system indicates the rate and direction of risks and their implications for adjusting the plan, it allows the adjustment of the plan - its measures or their timing (</w:t>
                            </w:r>
                            <w:r w:rsidRPr="00A748CB">
                              <w:rPr>
                                <w:rFonts w:ascii="Arial" w:hAnsi="Arial" w:cs="Arial"/>
                                <w:color w:val="7F7F7F" w:themeColor="text1" w:themeTint="80"/>
                                <w:sz w:val="14"/>
                                <w:szCs w:val="14"/>
                              </w:rPr>
                              <w:t>Brugge and Bruggeman, p.4-5</w:t>
                            </w:r>
                            <w:r w:rsidRPr="00A748CB">
                              <w:rPr>
                                <w:rFonts w:ascii="Arial" w:hAnsi="Arial" w:cs="Arial"/>
                                <w:sz w:val="14"/>
                                <w:szCs w:val="14"/>
                              </w:rPr>
                              <w:t>).</w:t>
                            </w:r>
                            <w:r w:rsidRPr="00A748CB">
                              <w:rPr>
                                <w:rFonts w:ascii="Arial" w:hAnsi="Arial" w:cs="Arial"/>
                                <w:color w:val="C00000"/>
                                <w:sz w:val="14"/>
                                <w:szCs w:val="14"/>
                              </w:rPr>
                              <w:t xml:space="preserve"> </w:t>
                            </w:r>
                            <w:r w:rsidR="00A748CB" w:rsidRPr="00A748CB">
                              <w:rPr>
                                <w:rFonts w:ascii="Arial" w:hAnsi="Arial" w:cs="Arial"/>
                                <w:color w:val="C00000"/>
                                <w:sz w:val="14"/>
                                <w:szCs w:val="14"/>
                              </w:rPr>
                              <w:t xml:space="preserve"> </w:t>
                            </w:r>
                            <w:r w:rsidRPr="00A748CB">
                              <w:rPr>
                                <w:rFonts w:ascii="Arial" w:hAnsi="Arial" w:cs="Arial"/>
                                <w:b/>
                                <w:bCs/>
                                <w:sz w:val="14"/>
                                <w:szCs w:val="14"/>
                              </w:rPr>
                              <w:t>Step 6</w:t>
                            </w:r>
                            <w:r w:rsidRPr="00A748CB">
                              <w:rPr>
                                <w:rFonts w:ascii="Arial" w:hAnsi="Arial" w:cs="Arial"/>
                                <w:sz w:val="14"/>
                                <w:szCs w:val="14"/>
                              </w:rPr>
                              <w:t xml:space="preserve"> is essential to allow a real adaptive planning and management. </w:t>
                            </w:r>
                          </w:p>
                          <w:p w14:paraId="6E612292" w14:textId="77777777" w:rsidR="004D5D51" w:rsidRPr="00A748CB" w:rsidRDefault="004D5D51" w:rsidP="008656E1">
                            <w:pPr>
                              <w:pStyle w:val="TEXTBODY"/>
                              <w:spacing w:line="240" w:lineRule="auto"/>
                              <w:jc w:val="left"/>
                              <w:rPr>
                                <w:rFonts w:ascii="Arial" w:hAnsi="Arial" w:cs="Arial"/>
                                <w:sz w:val="14"/>
                                <w:szCs w:val="14"/>
                              </w:rPr>
                            </w:pPr>
                          </w:p>
                          <w:p w14:paraId="3571EE71" w14:textId="77777777" w:rsidR="008656E1" w:rsidRPr="00A748CB" w:rsidRDefault="008656E1" w:rsidP="008656E1">
                            <w:pPr>
                              <w:spacing w:line="240" w:lineRule="auto"/>
                              <w:jc w:val="left"/>
                              <w:rPr>
                                <w:rFonts w:cs="Arial"/>
                                <w:sz w:val="14"/>
                                <w:szCs w:val="14"/>
                              </w:rPr>
                            </w:pPr>
                          </w:p>
                          <w:p w14:paraId="6ED52962" w14:textId="77777777" w:rsidR="008656E1" w:rsidRPr="00A748CB" w:rsidRDefault="008656E1" w:rsidP="008656E1">
                            <w:pPr>
                              <w:spacing w:line="240" w:lineRule="auto"/>
                              <w:jc w:val="left"/>
                              <w:rPr>
                                <w:rFonts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A1A42E" id="Text Box 2" o:spid="_x0000_s1037" type="#_x0000_t202" style="position:absolute;left:0;text-align:left;margin-left:7.05pt;margin-top:77.5pt;width:492.75pt;height:181.5pt;z-index:-2506214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" fillcolor="#d9d9d9" stroked="f">
                <v:textbox>
                  <w:txbxContent>
                    <w:p w14:paraId="4C3D0831" w14:textId="4A02455F" w:rsidR="008656E1" w:rsidRPr="00A748CB" w:rsidRDefault="008656E1" w:rsidP="008656E1">
                      <w:pPr>
                        <w:pStyle w:val="TEXTBODY"/>
                        <w:spacing w:line="240" w:lineRule="auto"/>
                        <w:jc w:val="left"/>
                        <w:rPr>
                          <w:rFonts w:ascii="Arial" w:hAnsi="Arial" w:cs="Arial"/>
                          <w:b/>
                          <w:bCs/>
                          <w:sz w:val="14"/>
                          <w:szCs w:val="14"/>
                        </w:rPr>
                      </w:pPr>
                      <w:r w:rsidRPr="00A748CB">
                        <w:rPr>
                          <w:rFonts w:ascii="Arial" w:hAnsi="Arial" w:cs="Arial"/>
                          <w:b/>
                          <w:bCs/>
                          <w:sz w:val="14"/>
                          <w:szCs w:val="14"/>
                        </w:rPr>
                        <w:t xml:space="preserve">The role of monitoring and reassessment </w:t>
                      </w:r>
                      <w:r w:rsidR="004D5D51" w:rsidRPr="00A748CB">
                        <w:rPr>
                          <w:rFonts w:ascii="Arial" w:hAnsi="Arial" w:cs="Arial"/>
                          <w:b/>
                          <w:bCs/>
                          <w:sz w:val="14"/>
                          <w:szCs w:val="14"/>
                        </w:rPr>
                        <w:t xml:space="preserve">(evaluation) </w:t>
                      </w:r>
                      <w:r w:rsidRPr="00A748CB">
                        <w:rPr>
                          <w:rFonts w:ascii="Arial" w:hAnsi="Arial" w:cs="Arial"/>
                          <w:b/>
                          <w:bCs/>
                          <w:sz w:val="14"/>
                          <w:szCs w:val="14"/>
                        </w:rPr>
                        <w:t xml:space="preserve">within the general ADM </w:t>
                      </w:r>
                      <w:r w:rsidR="004D5D51" w:rsidRPr="00A748CB">
                        <w:rPr>
                          <w:rFonts w:ascii="Arial" w:hAnsi="Arial" w:cs="Arial"/>
                          <w:b/>
                          <w:bCs/>
                          <w:sz w:val="14"/>
                          <w:szCs w:val="14"/>
                        </w:rPr>
                        <w:t xml:space="preserve">approach and </w:t>
                      </w:r>
                      <w:r w:rsidRPr="00A748CB">
                        <w:rPr>
                          <w:rFonts w:ascii="Arial" w:hAnsi="Arial" w:cs="Arial"/>
                          <w:b/>
                          <w:bCs/>
                          <w:sz w:val="14"/>
                          <w:szCs w:val="14"/>
                        </w:rPr>
                        <w:t>process</w:t>
                      </w:r>
                    </w:p>
                    <w:p w14:paraId="5C701A9D" w14:textId="5D64D3E9" w:rsidR="008656E1" w:rsidRPr="006D630A" w:rsidRDefault="008656E1" w:rsidP="008656E1">
                      <w:pPr>
                        <w:pStyle w:val="TEXTBODY"/>
                        <w:spacing w:line="240" w:lineRule="auto"/>
                        <w:jc w:val="left"/>
                        <w:rPr>
                          <w:rFonts w:ascii="Arial" w:hAnsi="Arial" w:cs="Arial"/>
                          <w:sz w:val="14"/>
                          <w:szCs w:val="14"/>
                        </w:rPr>
                      </w:pPr>
                      <w:r w:rsidRPr="00A748CB">
                        <w:rPr>
                          <w:rFonts w:ascii="Arial" w:hAnsi="Arial" w:cs="Arial"/>
                          <w:sz w:val="14"/>
                          <w:szCs w:val="14"/>
                        </w:rPr>
                        <w:t xml:space="preserve">As illustrated in the ADM process (illustrated in a diagram, for example, by </w:t>
                      </w:r>
                      <w:proofErr w:type="spellStart"/>
                      <w:r w:rsidR="005C558F" w:rsidRPr="00A748CB">
                        <w:rPr>
                          <w:rFonts w:ascii="Arial" w:hAnsi="Arial" w:cs="Arial"/>
                          <w:color w:val="7F7F7F" w:themeColor="text1" w:themeTint="80"/>
                          <w:sz w:val="14"/>
                          <w:szCs w:val="14"/>
                        </w:rPr>
                        <w:t>Deltares</w:t>
                      </w:r>
                      <w:proofErr w:type="spellEnd"/>
                      <w:r w:rsidR="005C558F" w:rsidRPr="00A748CB">
                        <w:rPr>
                          <w:rFonts w:ascii="Arial" w:hAnsi="Arial" w:cs="Arial"/>
                          <w:color w:val="7F7F7F" w:themeColor="text1" w:themeTint="80"/>
                          <w:sz w:val="14"/>
                          <w:szCs w:val="14"/>
                        </w:rPr>
                        <w:t xml:space="preserve"> 2018</w:t>
                      </w:r>
                      <w:r w:rsidRPr="00A748CB">
                        <w:rPr>
                          <w:rFonts w:ascii="Arial" w:hAnsi="Arial" w:cs="Arial"/>
                          <w:sz w:val="14"/>
                          <w:szCs w:val="14"/>
                        </w:rPr>
                        <w:t xml:space="preserve">), </w:t>
                      </w:r>
                      <w:r w:rsidRPr="00A748CB">
                        <w:rPr>
                          <w:rFonts w:ascii="Arial" w:hAnsi="Arial" w:cs="Arial"/>
                          <w:b/>
                          <w:bCs/>
                          <w:sz w:val="14"/>
                          <w:szCs w:val="14"/>
                        </w:rPr>
                        <w:t xml:space="preserve">Step 4 </w:t>
                      </w:r>
                      <w:r w:rsidRPr="00A748CB">
                        <w:rPr>
                          <w:rFonts w:ascii="Arial" w:hAnsi="Arial" w:cs="Arial"/>
                          <w:sz w:val="14"/>
                          <w:szCs w:val="14"/>
                        </w:rPr>
                        <w:t>requires the specification of</w:t>
                      </w:r>
                      <w:r w:rsidRPr="00A748CB">
                        <w:rPr>
                          <w:rFonts w:ascii="Arial" w:hAnsi="Arial" w:cs="Arial"/>
                          <w:color w:val="C00000"/>
                          <w:sz w:val="14"/>
                          <w:szCs w:val="14"/>
                        </w:rPr>
                        <w:t xml:space="preserve"> </w:t>
                      </w:r>
                      <w:r w:rsidRPr="00A748CB">
                        <w:rPr>
                          <w:rFonts w:ascii="Arial" w:hAnsi="Arial" w:cs="Arial"/>
                          <w:sz w:val="14"/>
                          <w:szCs w:val="14"/>
                        </w:rPr>
                        <w:t>indicators (signposts) and triggers (critical values at which it is necessary to activate actions, or make adjustments or change of measure; triggers act as warning signals for the implementation of actions or reassessment of the plan, and must be monitored) (</w:t>
                      </w:r>
                      <w:proofErr w:type="spellStart"/>
                      <w:r w:rsidR="00A748CB" w:rsidRPr="00A748CB">
                        <w:rPr>
                          <w:rFonts w:ascii="Arial" w:hAnsi="Arial" w:cs="Arial"/>
                          <w:color w:val="7F7F7F" w:themeColor="text1" w:themeTint="80"/>
                          <w:sz w:val="14"/>
                          <w:szCs w:val="14"/>
                        </w:rPr>
                        <w:t>Deltares</w:t>
                      </w:r>
                      <w:proofErr w:type="spellEnd"/>
                      <w:r w:rsidR="00A748CB" w:rsidRPr="00A748CB">
                        <w:rPr>
                          <w:rFonts w:ascii="Arial" w:hAnsi="Arial" w:cs="Arial"/>
                          <w:color w:val="7F7F7F" w:themeColor="text1" w:themeTint="80"/>
                          <w:sz w:val="14"/>
                          <w:szCs w:val="14"/>
                        </w:rPr>
                        <w:t xml:space="preserve"> 2018</w:t>
                      </w:r>
                      <w:r w:rsidRPr="00A748CB">
                        <w:rPr>
                          <w:rFonts w:ascii="Arial" w:hAnsi="Arial" w:cs="Arial"/>
                          <w:color w:val="7F7F7F" w:themeColor="text1" w:themeTint="80"/>
                          <w:sz w:val="14"/>
                          <w:szCs w:val="14"/>
                        </w:rPr>
                        <w:t xml:space="preserve">, p.2-3;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xml:space="preserve"> et al. 2014, p.4-5; </w:t>
                      </w:r>
                      <w:proofErr w:type="spellStart"/>
                      <w:r w:rsidRPr="00A748CB">
                        <w:rPr>
                          <w:rFonts w:ascii="Arial" w:hAnsi="Arial" w:cs="Arial"/>
                          <w:color w:val="7F7F7F" w:themeColor="text1" w:themeTint="80"/>
                          <w:sz w:val="14"/>
                          <w:szCs w:val="14"/>
                        </w:rPr>
                        <w:t>Haasnoot</w:t>
                      </w:r>
                      <w:proofErr w:type="spellEnd"/>
                      <w:r w:rsidRPr="00A748CB">
                        <w:rPr>
                          <w:rFonts w:ascii="Arial" w:hAnsi="Arial" w:cs="Arial"/>
                          <w:color w:val="7F7F7F" w:themeColor="text1" w:themeTint="80"/>
                          <w:sz w:val="14"/>
                          <w:szCs w:val="14"/>
                        </w:rPr>
                        <w:t xml:space="preserve"> and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Marchand and Ludwig 2014; Brugge and Bruggeman, p.4-5</w:t>
                      </w:r>
                      <w:r w:rsidRPr="00A748CB">
                        <w:rPr>
                          <w:rFonts w:ascii="Arial" w:hAnsi="Arial" w:cs="Arial"/>
                          <w:sz w:val="14"/>
                          <w:szCs w:val="14"/>
                        </w:rPr>
                        <w:t xml:space="preserve">). Thus, </w:t>
                      </w:r>
                      <w:r w:rsidRPr="00A748CB">
                        <w:rPr>
                          <w:rFonts w:ascii="Arial" w:hAnsi="Arial" w:cs="Arial"/>
                          <w:b/>
                          <w:bCs/>
                          <w:sz w:val="14"/>
                          <w:szCs w:val="14"/>
                        </w:rPr>
                        <w:t>Step 4b</w:t>
                      </w:r>
                      <w:r w:rsidRPr="00A748CB">
                        <w:rPr>
                          <w:rFonts w:ascii="Arial" w:hAnsi="Arial" w:cs="Arial"/>
                          <w:sz w:val="14"/>
                          <w:szCs w:val="14"/>
                        </w:rPr>
                        <w:t xml:space="preserve"> implies the definition of a </w:t>
                      </w:r>
                      <w:r w:rsidRPr="00A748CB">
                        <w:rPr>
                          <w:rFonts w:ascii="Arial" w:hAnsi="Arial" w:cs="Arial"/>
                          <w:bCs/>
                          <w:sz w:val="14"/>
                          <w:szCs w:val="14"/>
                        </w:rPr>
                        <w:t>monitoring system</w:t>
                      </w:r>
                      <w:r w:rsidRPr="00A748CB">
                        <w:rPr>
                          <w:rFonts w:ascii="Arial" w:hAnsi="Arial" w:cs="Arial"/>
                          <w:sz w:val="14"/>
                          <w:szCs w:val="14"/>
                        </w:rPr>
                        <w:t xml:space="preserve"> that collects information on indicators and triggers (</w:t>
                      </w:r>
                      <w:proofErr w:type="spellStart"/>
                      <w:r w:rsidRPr="00A748CB">
                        <w:rPr>
                          <w:rFonts w:ascii="Arial" w:hAnsi="Arial" w:cs="Arial"/>
                          <w:color w:val="7F7F7F" w:themeColor="text1" w:themeTint="80"/>
                          <w:sz w:val="14"/>
                          <w:szCs w:val="14"/>
                        </w:rPr>
                        <w:t>Haasnoot</w:t>
                      </w:r>
                      <w:proofErr w:type="spellEnd"/>
                      <w:r w:rsidRPr="00A748CB">
                        <w:rPr>
                          <w:rFonts w:ascii="Arial" w:hAnsi="Arial" w:cs="Arial"/>
                          <w:color w:val="7F7F7F" w:themeColor="text1" w:themeTint="80"/>
                          <w:sz w:val="14"/>
                          <w:szCs w:val="14"/>
                        </w:rPr>
                        <w:t xml:space="preserve"> and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sz w:val="14"/>
                          <w:szCs w:val="14"/>
                        </w:rPr>
                        <w:t>) and mechanisms to adjust the plan (e.g. its strategies) if necessary (</w:t>
                      </w:r>
                      <w:proofErr w:type="spellStart"/>
                      <w:r w:rsidR="00A748CB" w:rsidRPr="00A748CB">
                        <w:rPr>
                          <w:rFonts w:ascii="Arial" w:hAnsi="Arial" w:cs="Arial"/>
                          <w:color w:val="7F7F7F" w:themeColor="text1" w:themeTint="80"/>
                          <w:sz w:val="14"/>
                          <w:szCs w:val="14"/>
                        </w:rPr>
                        <w:t>Deltares</w:t>
                      </w:r>
                      <w:proofErr w:type="spellEnd"/>
                      <w:r w:rsidR="00A748CB" w:rsidRPr="00A748CB">
                        <w:rPr>
                          <w:rFonts w:ascii="Arial" w:hAnsi="Arial" w:cs="Arial"/>
                          <w:color w:val="7F7F7F" w:themeColor="text1" w:themeTint="80"/>
                          <w:sz w:val="14"/>
                          <w:szCs w:val="14"/>
                        </w:rPr>
                        <w:t xml:space="preserve"> 2018</w:t>
                      </w:r>
                      <w:r w:rsidRPr="00A748CB">
                        <w:rPr>
                          <w:rFonts w:ascii="Arial" w:hAnsi="Arial" w:cs="Arial"/>
                          <w:color w:val="7F7F7F" w:themeColor="text1" w:themeTint="80"/>
                          <w:sz w:val="14"/>
                          <w:szCs w:val="14"/>
                        </w:rPr>
                        <w:t>, p.2-3</w:t>
                      </w:r>
                      <w:r w:rsidRPr="00A748CB">
                        <w:rPr>
                          <w:rFonts w:ascii="Arial" w:hAnsi="Arial" w:cs="Arial"/>
                          <w:sz w:val="14"/>
                          <w:szCs w:val="14"/>
                        </w:rPr>
                        <w:t xml:space="preserve">): in specific, </w:t>
                      </w:r>
                      <w:r w:rsidRPr="00A748CB">
                        <w:rPr>
                          <w:rFonts w:ascii="Arial" w:hAnsi="Arial" w:cs="Arial"/>
                          <w:b/>
                          <w:sz w:val="14"/>
                          <w:szCs w:val="14"/>
                        </w:rPr>
                        <w:t>Step 4b</w:t>
                      </w:r>
                      <w:r w:rsidRPr="00A748CB">
                        <w:rPr>
                          <w:rFonts w:ascii="Arial" w:hAnsi="Arial" w:cs="Arial"/>
                          <w:sz w:val="14"/>
                          <w:szCs w:val="14"/>
                        </w:rPr>
                        <w:t xml:space="preserve"> implies the </w:t>
                      </w:r>
                      <w:r w:rsidRPr="00A748CB">
                        <w:rPr>
                          <w:rFonts w:ascii="Arial" w:hAnsi="Arial" w:cs="Arial"/>
                          <w:b/>
                          <w:bCs/>
                          <w:sz w:val="14"/>
                          <w:szCs w:val="14"/>
                        </w:rPr>
                        <w:t>definition of a monitoring and evaluation system that</w:t>
                      </w:r>
                      <w:r w:rsidRPr="00A748CB">
                        <w:rPr>
                          <w:rFonts w:ascii="Arial" w:hAnsi="Arial" w:cs="Arial"/>
                          <w:sz w:val="14"/>
                          <w:szCs w:val="14"/>
                        </w:rPr>
                        <w:t xml:space="preserve"> specifies ‘triggers’ (critical points beyond which it is necessary to make adjustments to the strategy or shift to another measure) and ‘preparatory actions’ (required to enable long-term options, e.g. adjustments in rules / legislation, research, spatial reservations, etc.) </w:t>
                      </w:r>
                      <w:r w:rsidRPr="006D630A">
                        <w:rPr>
                          <w:rFonts w:ascii="Arial" w:hAnsi="Arial" w:cs="Arial"/>
                          <w:sz w:val="14"/>
                          <w:szCs w:val="14"/>
                        </w:rPr>
                        <w:t>(</w:t>
                      </w:r>
                      <w:proofErr w:type="spellStart"/>
                      <w:r w:rsidRPr="006D630A">
                        <w:rPr>
                          <w:rFonts w:ascii="Arial" w:hAnsi="Arial" w:cs="Arial"/>
                          <w:color w:val="7F7F7F" w:themeColor="text1" w:themeTint="80"/>
                          <w:sz w:val="14"/>
                          <w:szCs w:val="14"/>
                        </w:rPr>
                        <w:t>Gersonius</w:t>
                      </w:r>
                      <w:proofErr w:type="spellEnd"/>
                      <w:r w:rsidRPr="006D630A">
                        <w:rPr>
                          <w:rFonts w:ascii="Arial" w:hAnsi="Arial" w:cs="Arial"/>
                          <w:color w:val="7F7F7F" w:themeColor="text1" w:themeTint="80"/>
                          <w:sz w:val="14"/>
                          <w:szCs w:val="14"/>
                        </w:rPr>
                        <w:t xml:space="preserve"> et al. 2016, p.204-206</w:t>
                      </w:r>
                      <w:r w:rsidRPr="006D630A">
                        <w:rPr>
                          <w:rFonts w:ascii="Arial" w:hAnsi="Arial" w:cs="Arial"/>
                          <w:sz w:val="14"/>
                          <w:szCs w:val="14"/>
                        </w:rPr>
                        <w:t xml:space="preserve">). </w:t>
                      </w:r>
                    </w:p>
                    <w:p w14:paraId="1BB62338" w14:textId="0283654E" w:rsidR="008656E1" w:rsidRPr="00A748CB" w:rsidRDefault="008656E1" w:rsidP="008656E1">
                      <w:pPr>
                        <w:pStyle w:val="TEXTBODY"/>
                        <w:spacing w:line="240" w:lineRule="auto"/>
                        <w:jc w:val="left"/>
                        <w:rPr>
                          <w:rFonts w:ascii="Arial" w:hAnsi="Arial" w:cs="Arial"/>
                          <w:color w:val="C00000"/>
                          <w:sz w:val="14"/>
                          <w:szCs w:val="14"/>
                        </w:rPr>
                      </w:pPr>
                      <w:r w:rsidRPr="00A748CB">
                        <w:rPr>
                          <w:rFonts w:ascii="Arial" w:hAnsi="Arial" w:cs="Arial"/>
                          <w:sz w:val="14"/>
                          <w:szCs w:val="14"/>
                        </w:rPr>
                        <w:t xml:space="preserve">Moreover, in the ADM process, </w:t>
                      </w:r>
                      <w:r w:rsidRPr="00A748CB">
                        <w:rPr>
                          <w:rFonts w:ascii="Arial" w:hAnsi="Arial" w:cs="Arial"/>
                          <w:b/>
                          <w:bCs/>
                          <w:sz w:val="14"/>
                          <w:szCs w:val="14"/>
                        </w:rPr>
                        <w:t>Step 6</w:t>
                      </w:r>
                      <w:r w:rsidRPr="00A748CB">
                        <w:rPr>
                          <w:rFonts w:ascii="Arial" w:hAnsi="Arial" w:cs="Arial"/>
                          <w:sz w:val="14"/>
                          <w:szCs w:val="14"/>
                        </w:rPr>
                        <w:t xml:space="preserve"> consists of the monitoring and evaluation of external changes, implemented measures, and progresses in knowledge, and the reassessment of the Plan, and, if necessary, its review (</w:t>
                      </w:r>
                      <w:proofErr w:type="spellStart"/>
                      <w:r w:rsidRPr="00A748CB">
                        <w:rPr>
                          <w:rFonts w:ascii="Arial" w:hAnsi="Arial" w:cs="Arial"/>
                          <w:color w:val="7F7F7F" w:themeColor="text1" w:themeTint="80"/>
                          <w:sz w:val="14"/>
                          <w:szCs w:val="14"/>
                        </w:rPr>
                        <w:t>Haasnoot</w:t>
                      </w:r>
                      <w:proofErr w:type="spellEnd"/>
                      <w:r w:rsidRPr="00A748CB">
                        <w:rPr>
                          <w:rFonts w:ascii="Arial" w:hAnsi="Arial" w:cs="Arial"/>
                          <w:color w:val="7F7F7F" w:themeColor="text1" w:themeTint="80"/>
                          <w:sz w:val="14"/>
                          <w:szCs w:val="14"/>
                        </w:rPr>
                        <w:t xml:space="preserve"> and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sz w:val="14"/>
                          <w:szCs w:val="14"/>
                        </w:rPr>
                        <w:t>); this requires a monitoring and evaluation system to keep track of climatic and socioeconomic developments, and assess if and when it is necessary to review or adjust the plan (e.g. change its strategies or measures) (</w:t>
                      </w:r>
                      <w:proofErr w:type="spellStart"/>
                      <w:r w:rsidR="00A748CB" w:rsidRPr="00A748CB">
                        <w:rPr>
                          <w:rFonts w:ascii="Arial" w:hAnsi="Arial" w:cs="Arial"/>
                          <w:color w:val="7F7F7F" w:themeColor="text1" w:themeTint="80"/>
                          <w:sz w:val="14"/>
                          <w:szCs w:val="14"/>
                        </w:rPr>
                        <w:t>Deltares</w:t>
                      </w:r>
                      <w:proofErr w:type="spellEnd"/>
                      <w:r w:rsidR="00A748CB" w:rsidRPr="00A748CB">
                        <w:rPr>
                          <w:rFonts w:ascii="Arial" w:hAnsi="Arial" w:cs="Arial"/>
                          <w:color w:val="7F7F7F" w:themeColor="text1" w:themeTint="80"/>
                          <w:sz w:val="14"/>
                          <w:szCs w:val="14"/>
                        </w:rPr>
                        <w:t xml:space="preserve"> 2018</w:t>
                      </w:r>
                      <w:r w:rsidRPr="00A748CB">
                        <w:rPr>
                          <w:rFonts w:ascii="Arial" w:hAnsi="Arial" w:cs="Arial"/>
                          <w:color w:val="7F7F7F" w:themeColor="text1" w:themeTint="80"/>
                          <w:sz w:val="14"/>
                          <w:szCs w:val="14"/>
                        </w:rPr>
                        <w:t>, p.2-3</w:t>
                      </w:r>
                      <w:r w:rsidRPr="00A748CB">
                        <w:rPr>
                          <w:rFonts w:ascii="Arial" w:hAnsi="Arial" w:cs="Arial"/>
                          <w:sz w:val="14"/>
                          <w:szCs w:val="14"/>
                        </w:rPr>
                        <w:t>). At this step, the monitoring and evaluation system must keep track of climatic, physical, and socioeconomic trends and developments, namely, to identify when it is necessary to adjust a strategy (e.g. to shift from a measure to another) (</w:t>
                      </w:r>
                      <w:proofErr w:type="spellStart"/>
                      <w:r w:rsidR="00A748CB" w:rsidRPr="00A748CB">
                        <w:rPr>
                          <w:rFonts w:ascii="Arial" w:hAnsi="Arial" w:cs="Arial"/>
                          <w:color w:val="7F7F7F" w:themeColor="text1" w:themeTint="80"/>
                          <w:sz w:val="14"/>
                          <w:szCs w:val="14"/>
                        </w:rPr>
                        <w:t>Deltares</w:t>
                      </w:r>
                      <w:proofErr w:type="spellEnd"/>
                      <w:r w:rsidR="00A748CB" w:rsidRPr="00A748CB">
                        <w:rPr>
                          <w:rFonts w:ascii="Arial" w:hAnsi="Arial" w:cs="Arial"/>
                          <w:color w:val="7F7F7F" w:themeColor="text1" w:themeTint="80"/>
                          <w:sz w:val="14"/>
                          <w:szCs w:val="14"/>
                        </w:rPr>
                        <w:t xml:space="preserve"> 2018</w:t>
                      </w:r>
                      <w:r w:rsidRPr="00A748CB">
                        <w:rPr>
                          <w:rFonts w:ascii="Arial" w:hAnsi="Arial" w:cs="Arial"/>
                          <w:color w:val="7F7F7F" w:themeColor="text1" w:themeTint="80"/>
                          <w:sz w:val="14"/>
                          <w:szCs w:val="14"/>
                        </w:rPr>
                        <w:t>, p.5</w:t>
                      </w:r>
                      <w:r w:rsidRPr="00A748CB">
                        <w:rPr>
                          <w:rFonts w:ascii="Arial" w:hAnsi="Arial" w:cs="Arial"/>
                          <w:sz w:val="14"/>
                          <w:szCs w:val="14"/>
                        </w:rPr>
                        <w:t>). Variables that may induce to triggers must be monitored (</w:t>
                      </w:r>
                      <w:proofErr w:type="spellStart"/>
                      <w:r w:rsidRPr="00A748CB">
                        <w:rPr>
                          <w:rFonts w:ascii="Arial" w:hAnsi="Arial" w:cs="Arial"/>
                          <w:color w:val="7F7F7F" w:themeColor="text1" w:themeTint="80"/>
                          <w:sz w:val="14"/>
                          <w:szCs w:val="14"/>
                        </w:rPr>
                        <w:t>Jeuken</w:t>
                      </w:r>
                      <w:proofErr w:type="spellEnd"/>
                      <w:r w:rsidRPr="00A748CB">
                        <w:rPr>
                          <w:rFonts w:ascii="Arial" w:hAnsi="Arial" w:cs="Arial"/>
                          <w:color w:val="7F7F7F" w:themeColor="text1" w:themeTint="80"/>
                          <w:sz w:val="14"/>
                          <w:szCs w:val="14"/>
                        </w:rPr>
                        <w:t xml:space="preserve"> et al. 2014, p. 4</w:t>
                      </w:r>
                      <w:r w:rsidRPr="00A748CB">
                        <w:rPr>
                          <w:rFonts w:ascii="Arial" w:hAnsi="Arial" w:cs="Arial"/>
                          <w:sz w:val="14"/>
                          <w:szCs w:val="14"/>
                        </w:rPr>
                        <w:t xml:space="preserve">). </w:t>
                      </w:r>
                      <w:r w:rsidRPr="00A748CB">
                        <w:rPr>
                          <w:rFonts w:ascii="Arial" w:hAnsi="Arial" w:cs="Arial"/>
                          <w:b/>
                          <w:bCs/>
                          <w:sz w:val="14"/>
                          <w:szCs w:val="14"/>
                        </w:rPr>
                        <w:t>In this step</w:t>
                      </w:r>
                      <w:r w:rsidRPr="00A748CB">
                        <w:rPr>
                          <w:rFonts w:ascii="Arial" w:hAnsi="Arial" w:cs="Arial"/>
                          <w:sz w:val="14"/>
                          <w:szCs w:val="14"/>
                        </w:rPr>
                        <w:t>, the</w:t>
                      </w:r>
                      <w:r w:rsidRPr="00A748CB">
                        <w:rPr>
                          <w:rFonts w:ascii="Arial" w:hAnsi="Arial" w:cs="Arial"/>
                          <w:b/>
                          <w:sz w:val="14"/>
                          <w:szCs w:val="14"/>
                        </w:rPr>
                        <w:t xml:space="preserve"> </w:t>
                      </w:r>
                      <w:r w:rsidRPr="00A748CB">
                        <w:rPr>
                          <w:rFonts w:ascii="Arial" w:hAnsi="Arial" w:cs="Arial"/>
                          <w:sz w:val="14"/>
                          <w:szCs w:val="14"/>
                        </w:rPr>
                        <w:t>monitoring and evaluation system is conducted: it tracks climatic and socioeconomic changes relevant for adapting the plan’s strategies or measures, e.g. for anticipating / delaying the implementation of measures; e.g. if SLR unfolds at a faster rate than expected and a tipping-point is expected to be reached earlier, it may be necessary to implement a measure earlier than projected (if SLR evolves slower, then, the measure can be delayed) (</w:t>
                      </w:r>
                      <w:r w:rsidRPr="00A748CB">
                        <w:rPr>
                          <w:rFonts w:ascii="Arial" w:hAnsi="Arial" w:cs="Arial"/>
                          <w:color w:val="7F7F7F" w:themeColor="text1" w:themeTint="80"/>
                          <w:sz w:val="14"/>
                          <w:szCs w:val="14"/>
                        </w:rPr>
                        <w:t>Brugge and Bruggeman, p.4-5</w:t>
                      </w:r>
                      <w:r w:rsidRPr="00A748CB">
                        <w:rPr>
                          <w:rFonts w:ascii="Arial" w:hAnsi="Arial" w:cs="Arial"/>
                          <w:sz w:val="14"/>
                          <w:szCs w:val="14"/>
                        </w:rPr>
                        <w:t>).</w:t>
                      </w:r>
                      <w:r w:rsidRPr="00A748CB">
                        <w:rPr>
                          <w:rFonts w:ascii="Arial" w:hAnsi="Arial" w:cs="Arial"/>
                          <w:color w:val="C00000"/>
                          <w:sz w:val="14"/>
                          <w:szCs w:val="14"/>
                        </w:rPr>
                        <w:t xml:space="preserve"> </w:t>
                      </w:r>
                      <w:r w:rsidRPr="00A748CB">
                        <w:rPr>
                          <w:rFonts w:ascii="Arial" w:hAnsi="Arial" w:cs="Arial"/>
                          <w:sz w:val="14"/>
                          <w:szCs w:val="14"/>
                        </w:rPr>
                        <w:t>The monitoring system indicates the rate and direction of risks and their implications for adjusting the plan, it allows the adjustment of the plan - its measures or their timing (</w:t>
                      </w:r>
                      <w:r w:rsidRPr="00A748CB">
                        <w:rPr>
                          <w:rFonts w:ascii="Arial" w:hAnsi="Arial" w:cs="Arial"/>
                          <w:color w:val="7F7F7F" w:themeColor="text1" w:themeTint="80"/>
                          <w:sz w:val="14"/>
                          <w:szCs w:val="14"/>
                        </w:rPr>
                        <w:t>Brugge and Bruggeman, p.4-5</w:t>
                      </w:r>
                      <w:r w:rsidRPr="00A748CB">
                        <w:rPr>
                          <w:rFonts w:ascii="Arial" w:hAnsi="Arial" w:cs="Arial"/>
                          <w:sz w:val="14"/>
                          <w:szCs w:val="14"/>
                        </w:rPr>
                        <w:t>).</w:t>
                      </w:r>
                      <w:r w:rsidRPr="00A748CB">
                        <w:rPr>
                          <w:rFonts w:ascii="Arial" w:hAnsi="Arial" w:cs="Arial"/>
                          <w:color w:val="C00000"/>
                          <w:sz w:val="14"/>
                          <w:szCs w:val="14"/>
                        </w:rPr>
                        <w:t xml:space="preserve"> </w:t>
                      </w:r>
                      <w:r w:rsidR="00A748CB" w:rsidRPr="00A748CB">
                        <w:rPr>
                          <w:rFonts w:ascii="Arial" w:hAnsi="Arial" w:cs="Arial"/>
                          <w:color w:val="C00000"/>
                          <w:sz w:val="14"/>
                          <w:szCs w:val="14"/>
                        </w:rPr>
                        <w:t xml:space="preserve"> </w:t>
                      </w:r>
                      <w:r w:rsidRPr="00A748CB">
                        <w:rPr>
                          <w:rFonts w:ascii="Arial" w:hAnsi="Arial" w:cs="Arial"/>
                          <w:b/>
                          <w:bCs/>
                          <w:sz w:val="14"/>
                          <w:szCs w:val="14"/>
                        </w:rPr>
                        <w:t>Step 6</w:t>
                      </w:r>
                      <w:r w:rsidRPr="00A748CB">
                        <w:rPr>
                          <w:rFonts w:ascii="Arial" w:hAnsi="Arial" w:cs="Arial"/>
                          <w:sz w:val="14"/>
                          <w:szCs w:val="14"/>
                        </w:rPr>
                        <w:t xml:space="preserve"> is essential to allow a real adaptive planning and management. </w:t>
                      </w:r>
                    </w:p>
                    <w:p w14:paraId="6E612292" w14:textId="77777777" w:rsidR="004D5D51" w:rsidRPr="00A748CB" w:rsidRDefault="004D5D51" w:rsidP="008656E1">
                      <w:pPr>
                        <w:pStyle w:val="TEXTBODY"/>
                        <w:spacing w:line="240" w:lineRule="auto"/>
                        <w:jc w:val="left"/>
                        <w:rPr>
                          <w:rFonts w:ascii="Arial" w:hAnsi="Arial" w:cs="Arial"/>
                          <w:sz w:val="14"/>
                          <w:szCs w:val="14"/>
                        </w:rPr>
                      </w:pPr>
                    </w:p>
                    <w:p w14:paraId="3571EE71" w14:textId="77777777" w:rsidR="008656E1" w:rsidRPr="00A748CB" w:rsidRDefault="008656E1" w:rsidP="008656E1">
                      <w:pPr>
                        <w:spacing w:line="240" w:lineRule="auto"/>
                        <w:jc w:val="left"/>
                        <w:rPr>
                          <w:rFonts w:cs="Arial"/>
                          <w:sz w:val="14"/>
                          <w:szCs w:val="14"/>
                        </w:rPr>
                      </w:pPr>
                    </w:p>
                    <w:p w14:paraId="6ED52962" w14:textId="77777777" w:rsidR="008656E1" w:rsidRPr="00A748CB" w:rsidRDefault="008656E1" w:rsidP="008656E1">
                      <w:pPr>
                        <w:spacing w:line="240" w:lineRule="auto"/>
                        <w:jc w:val="left"/>
                        <w:rPr>
                          <w:rFonts w:cs="Arial"/>
                          <w:sz w:val="14"/>
                          <w:szCs w:val="14"/>
                        </w:rPr>
                      </w:pPr>
                    </w:p>
                  </w:txbxContent>
                </v:textbox>
                <w10:wrap anchorx="margin"/>
              </v:shape>
            </w:pict>
          </mc:Fallback>
        </mc:AlternateContent>
      </w:r>
      <w:r w:rsidR="005F35F7" w:rsidRPr="009B720F">
        <w:rPr>
          <w:bCs/>
        </w:rPr>
        <w:t>Overall, the DP’s ADM approach builds on ongoing monitoring, and on optimizing the system in relation to predefined goals (and goals tend to be seen as unchangeable, although the natural system is dynamic and complex) (</w:t>
      </w:r>
      <w:r w:rsidR="005F35F7" w:rsidRPr="009B720F">
        <w:rPr>
          <w:bCs/>
          <w:color w:val="7F7F7F" w:themeColor="text1" w:themeTint="80"/>
        </w:rPr>
        <w:t>Zandvoort et al. 2018, p.193, 190</w:t>
      </w:r>
      <w:r w:rsidR="005F35F7" w:rsidRPr="009B720F">
        <w:rPr>
          <w:bCs/>
        </w:rPr>
        <w:t>). Moreover, in the DP’s ADM, uncertain future changes, natural variability of the weather and climatic extremes, demanded a regular reassessment of strategies and measures (</w:t>
      </w:r>
      <w:r w:rsidR="005F35F7" w:rsidRPr="009B720F">
        <w:rPr>
          <w:bCs/>
          <w:color w:val="7F7F7F" w:themeColor="text1" w:themeTint="80"/>
        </w:rPr>
        <w:t>Zandvoort et al. 2018, p.192</w:t>
      </w:r>
      <w:r w:rsidR="005F35F7" w:rsidRPr="009B720F">
        <w:rPr>
          <w:bCs/>
        </w:rPr>
        <w:t>). In the DP, the evolution of climatic, physical, and socioeconomic changes / developments, and the progress of scientific insights, must be carefully monitored</w:t>
      </w:r>
      <w:r w:rsidR="005F35F7" w:rsidRPr="00505570">
        <w:rPr>
          <w:bCs/>
        </w:rPr>
        <w:t xml:space="preserve">, namely, to </w:t>
      </w:r>
      <w:r w:rsidR="005F35F7" w:rsidRPr="009B720F">
        <w:rPr>
          <w:bCs/>
        </w:rPr>
        <w:t>evaluate if measures should be taken earlier or postponed (</w:t>
      </w:r>
      <w:proofErr w:type="spellStart"/>
      <w:r w:rsidR="005F35F7" w:rsidRPr="009B720F">
        <w:rPr>
          <w:bCs/>
          <w:color w:val="7F7F7F" w:themeColor="text1" w:themeTint="80"/>
        </w:rPr>
        <w:t>Jeuken</w:t>
      </w:r>
      <w:proofErr w:type="spellEnd"/>
      <w:r w:rsidR="005F35F7" w:rsidRPr="009B720F">
        <w:rPr>
          <w:bCs/>
          <w:color w:val="7F7F7F" w:themeColor="text1" w:themeTint="80"/>
        </w:rPr>
        <w:t xml:space="preserve"> and Reeder 2011, p.7</w:t>
      </w:r>
      <w:r w:rsidR="005F35F7" w:rsidRPr="009B720F">
        <w:rPr>
          <w:bCs/>
        </w:rPr>
        <w:t xml:space="preserve">). </w:t>
      </w:r>
    </w:p>
    <w:p w14:paraId="3B9588E3" w14:textId="08AC983F" w:rsidR="004D5D51" w:rsidRPr="009B720F" w:rsidRDefault="004D5D51" w:rsidP="00E74925">
      <w:pPr>
        <w:pStyle w:val="TEXTBODY"/>
        <w:spacing w:line="276" w:lineRule="auto"/>
        <w:rPr>
          <w:bCs/>
        </w:rPr>
      </w:pPr>
    </w:p>
    <w:p w14:paraId="1530B807" w14:textId="4A0DCAB3" w:rsidR="004D5D51" w:rsidRPr="009B720F" w:rsidRDefault="004D5D51" w:rsidP="00E74925">
      <w:pPr>
        <w:pStyle w:val="TEXTBODY"/>
        <w:spacing w:line="276" w:lineRule="auto"/>
        <w:rPr>
          <w:bCs/>
        </w:rPr>
      </w:pPr>
    </w:p>
    <w:p w14:paraId="605F1E8D" w14:textId="1BBDAC16" w:rsidR="004D5D51" w:rsidRPr="009B720F" w:rsidRDefault="004D5D51" w:rsidP="00E74925">
      <w:pPr>
        <w:pStyle w:val="TEXTBODY"/>
        <w:spacing w:line="276" w:lineRule="auto"/>
        <w:rPr>
          <w:bCs/>
        </w:rPr>
      </w:pPr>
    </w:p>
    <w:p w14:paraId="495B1F04" w14:textId="662BD2E3" w:rsidR="004D5D51" w:rsidRPr="009B720F" w:rsidRDefault="004D5D51" w:rsidP="00E74925">
      <w:pPr>
        <w:pStyle w:val="TEXTBODY"/>
        <w:spacing w:line="276" w:lineRule="auto"/>
        <w:rPr>
          <w:bCs/>
        </w:rPr>
      </w:pPr>
    </w:p>
    <w:p w14:paraId="6CDA8BBB" w14:textId="7E63AB0C" w:rsidR="008656E1" w:rsidRPr="009B720F" w:rsidRDefault="008656E1" w:rsidP="00E74925">
      <w:pPr>
        <w:pStyle w:val="TEXTBODY"/>
        <w:spacing w:line="276" w:lineRule="auto"/>
        <w:rPr>
          <w:bCs/>
        </w:rPr>
      </w:pPr>
    </w:p>
    <w:p w14:paraId="172F70D3" w14:textId="65A74E53" w:rsidR="008656E1" w:rsidRPr="009B720F" w:rsidRDefault="008656E1" w:rsidP="00E74925">
      <w:pPr>
        <w:pStyle w:val="TEXTBODY"/>
        <w:spacing w:line="276" w:lineRule="auto"/>
        <w:rPr>
          <w:bCs/>
        </w:rPr>
      </w:pPr>
    </w:p>
    <w:p w14:paraId="12080893" w14:textId="5AEE837C" w:rsidR="008656E1" w:rsidRPr="009B720F" w:rsidRDefault="008656E1" w:rsidP="00E74925">
      <w:pPr>
        <w:pStyle w:val="TEXTBODY"/>
        <w:spacing w:line="276" w:lineRule="auto"/>
        <w:rPr>
          <w:bCs/>
        </w:rPr>
      </w:pPr>
    </w:p>
    <w:p w14:paraId="593DB289" w14:textId="1A9F26BB" w:rsidR="008656E1" w:rsidRPr="009B720F" w:rsidRDefault="008656E1" w:rsidP="00E74925">
      <w:pPr>
        <w:pStyle w:val="TEXTBODY"/>
        <w:spacing w:line="276" w:lineRule="auto"/>
        <w:rPr>
          <w:bCs/>
        </w:rPr>
      </w:pPr>
    </w:p>
    <w:p w14:paraId="2EF72862" w14:textId="1E23CE0B" w:rsidR="008656E1" w:rsidRPr="009B720F" w:rsidRDefault="008656E1" w:rsidP="00E74925">
      <w:pPr>
        <w:pStyle w:val="TEXTBODY"/>
        <w:spacing w:line="276" w:lineRule="auto"/>
        <w:rPr>
          <w:bCs/>
        </w:rPr>
      </w:pPr>
    </w:p>
    <w:p w14:paraId="41AC0DE4" w14:textId="6E07060F" w:rsidR="00E21F28" w:rsidRPr="009B720F" w:rsidRDefault="00033E5F" w:rsidP="00E74925">
      <w:pPr>
        <w:pStyle w:val="TEXTBODY"/>
        <w:spacing w:line="276" w:lineRule="auto"/>
        <w:rPr>
          <w:bCs/>
        </w:rPr>
      </w:pPr>
      <w:r w:rsidRPr="00A748CB">
        <w:rPr>
          <w:bCs/>
        </w:rPr>
        <w:lastRenderedPageBreak/>
        <w:t>Since</w:t>
      </w:r>
      <w:r w:rsidR="00E21F28" w:rsidRPr="00A748CB">
        <w:rPr>
          <w:bCs/>
        </w:rPr>
        <w:t xml:space="preserve"> 201</w:t>
      </w:r>
      <w:r w:rsidRPr="00A748CB">
        <w:rPr>
          <w:bCs/>
        </w:rPr>
        <w:t>5</w:t>
      </w:r>
      <w:r w:rsidR="00E21F28" w:rsidRPr="00A748CB">
        <w:rPr>
          <w:bCs/>
        </w:rPr>
        <w:t xml:space="preserve">, the DP has developed </w:t>
      </w:r>
      <w:r w:rsidRPr="00A748CB">
        <w:rPr>
          <w:bCs/>
        </w:rPr>
        <w:t xml:space="preserve">– defined and set – </w:t>
      </w:r>
      <w:r w:rsidR="00E21F28" w:rsidRPr="00A748CB">
        <w:rPr>
          <w:bCs/>
        </w:rPr>
        <w:t xml:space="preserve">its </w:t>
      </w:r>
      <w:r w:rsidRPr="00A748CB">
        <w:rPr>
          <w:bCs/>
        </w:rPr>
        <w:t xml:space="preserve">own </w:t>
      </w:r>
      <w:r w:rsidR="00E21F28" w:rsidRPr="00A748CB">
        <w:rPr>
          <w:bCs/>
        </w:rPr>
        <w:t>monitoring</w:t>
      </w:r>
      <w:r w:rsidRPr="00A748CB">
        <w:rPr>
          <w:bCs/>
        </w:rPr>
        <w:t xml:space="preserve"> and</w:t>
      </w:r>
      <w:r w:rsidR="00E21F28" w:rsidRPr="00A748CB">
        <w:rPr>
          <w:bCs/>
        </w:rPr>
        <w:t xml:space="preserve"> evaluation</w:t>
      </w:r>
      <w:r w:rsidRPr="00A748CB">
        <w:rPr>
          <w:bCs/>
        </w:rPr>
        <w:t xml:space="preserve"> (and reassessment)</w:t>
      </w:r>
      <w:r w:rsidR="00E21F28" w:rsidRPr="00A748CB">
        <w:rPr>
          <w:bCs/>
        </w:rPr>
        <w:t xml:space="preserve"> system</w:t>
      </w:r>
      <w:r w:rsidRPr="00A748CB">
        <w:rPr>
          <w:bCs/>
        </w:rPr>
        <w:t xml:space="preserve"> / programme</w:t>
      </w:r>
      <w:r w:rsidR="00E21F28" w:rsidRPr="00A748CB">
        <w:rPr>
          <w:bCs/>
        </w:rPr>
        <w:t xml:space="preserve">: the </w:t>
      </w:r>
      <w:r w:rsidR="00E21F28" w:rsidRPr="00A748CB">
        <w:rPr>
          <w:bCs/>
          <w:i/>
          <w:iCs/>
        </w:rPr>
        <w:t xml:space="preserve">Monitoring, Analysing, Acting system </w:t>
      </w:r>
      <w:r w:rsidR="00E21F28" w:rsidRPr="00A748CB">
        <w:rPr>
          <w:bCs/>
        </w:rPr>
        <w:t>(MAA)</w:t>
      </w:r>
      <w:r w:rsidR="00005E32" w:rsidRPr="00A748CB">
        <w:rPr>
          <w:bCs/>
        </w:rPr>
        <w:t xml:space="preserve">, </w:t>
      </w:r>
      <w:r w:rsidR="00E21F28" w:rsidRPr="00A748CB">
        <w:rPr>
          <w:bCs/>
        </w:rPr>
        <w:t xml:space="preserve">which is deemed the </w:t>
      </w:r>
      <w:r w:rsidR="00E21F28" w:rsidRPr="00A748CB">
        <w:rPr>
          <w:bCs/>
          <w:i/>
          <w:iCs/>
        </w:rPr>
        <w:t>engine of ADM</w:t>
      </w:r>
      <w:r w:rsidR="00005E32" w:rsidRPr="00A748CB">
        <w:rPr>
          <w:bCs/>
        </w:rPr>
        <w:t xml:space="preserve"> (</w:t>
      </w:r>
      <w:r w:rsidR="00005E32" w:rsidRPr="00A748CB">
        <w:rPr>
          <w:bCs/>
          <w:color w:val="7F7F7F" w:themeColor="text1" w:themeTint="80"/>
        </w:rPr>
        <w:t>DP 2016, p.6, 59; 2014, p.149</w:t>
      </w:r>
      <w:r w:rsidR="00005E32" w:rsidRPr="00A748CB">
        <w:rPr>
          <w:bCs/>
        </w:rPr>
        <w:t>).</w:t>
      </w:r>
      <w:r w:rsidRPr="00A748CB">
        <w:rPr>
          <w:rStyle w:val="Refdenotaderodap"/>
          <w:bCs/>
        </w:rPr>
        <w:footnoteReference w:id="119"/>
      </w:r>
      <w:r w:rsidR="00E21F28" w:rsidRPr="00A748CB">
        <w:rPr>
          <w:rStyle w:val="Refdenotaderodap"/>
          <w:bCs/>
        </w:rPr>
        <w:t xml:space="preserve"> </w:t>
      </w:r>
      <w:r w:rsidR="00E21F28" w:rsidRPr="00A748CB">
        <w:rPr>
          <w:bCs/>
        </w:rPr>
        <w:t>The MAA was developed after 2015, and it started to operate in 2017 (</w:t>
      </w:r>
      <w:r w:rsidR="00E21F28" w:rsidRPr="00A748CB">
        <w:rPr>
          <w:bCs/>
          <w:color w:val="7F7F7F" w:themeColor="text1" w:themeTint="80"/>
        </w:rPr>
        <w:t>DP 2016, p.3, 63</w:t>
      </w:r>
      <w:r w:rsidR="00E21F28" w:rsidRPr="00A748CB">
        <w:rPr>
          <w:bCs/>
        </w:rPr>
        <w:t>). The MAA serves mainly to:</w:t>
      </w:r>
      <w:r w:rsidR="00E21F28" w:rsidRPr="009B720F">
        <w:rPr>
          <w:bCs/>
        </w:rPr>
        <w:t xml:space="preserve"> </w:t>
      </w:r>
    </w:p>
    <w:p w14:paraId="009DBFFE" w14:textId="3452D48D" w:rsidR="00E21F28" w:rsidRPr="00A748CB" w:rsidRDefault="00E21F28" w:rsidP="00E74925">
      <w:pPr>
        <w:pStyle w:val="TEXTBODY"/>
        <w:numPr>
          <w:ilvl w:val="0"/>
          <w:numId w:val="72"/>
        </w:numPr>
        <w:spacing w:line="276" w:lineRule="auto"/>
        <w:ind w:left="284" w:hanging="270"/>
        <w:rPr>
          <w:bCs/>
        </w:rPr>
      </w:pPr>
      <w:r w:rsidRPr="009B720F">
        <w:rPr>
          <w:bCs/>
        </w:rPr>
        <w:t xml:space="preserve">monitor changes and developments, measures’ </w:t>
      </w:r>
      <w:r w:rsidRPr="00A748CB">
        <w:rPr>
          <w:bCs/>
        </w:rPr>
        <w:t>effects, new insights and knowledge that may emerge, and, in accordance,</w:t>
      </w:r>
      <w:r w:rsidRPr="00A748CB">
        <w:rPr>
          <w:bCs/>
          <w:color w:val="00B050"/>
        </w:rPr>
        <w:t xml:space="preserve"> </w:t>
      </w:r>
      <w:r w:rsidRPr="00A748CB">
        <w:rPr>
          <w:bCs/>
        </w:rPr>
        <w:t>regularly revaluate</w:t>
      </w:r>
      <w:r w:rsidR="005E4480" w:rsidRPr="00A748CB">
        <w:rPr>
          <w:bCs/>
        </w:rPr>
        <w:t xml:space="preserve"> (review)</w:t>
      </w:r>
      <w:r w:rsidRPr="00A748CB">
        <w:rPr>
          <w:bCs/>
        </w:rPr>
        <w:t xml:space="preserve"> the strategies and measures (implemented and planned) (</w:t>
      </w:r>
      <w:r w:rsidRPr="00A748CB">
        <w:rPr>
          <w:bCs/>
          <w:color w:val="7F7F7F" w:themeColor="text1" w:themeTint="80"/>
        </w:rPr>
        <w:t>DP 2016, p.6, 9</w:t>
      </w:r>
      <w:r w:rsidR="005E4480" w:rsidRPr="00A748CB">
        <w:rPr>
          <w:bCs/>
          <w:color w:val="7F7F7F" w:themeColor="text1" w:themeTint="80"/>
        </w:rPr>
        <w:t>, 11, 59</w:t>
      </w:r>
      <w:r w:rsidRPr="00A748CB">
        <w:rPr>
          <w:bCs/>
        </w:rPr>
        <w:t xml:space="preserve">). </w:t>
      </w:r>
    </w:p>
    <w:p w14:paraId="2F1F65B7" w14:textId="7BC2ACC3" w:rsidR="005E4480" w:rsidRPr="00A748CB" w:rsidRDefault="00E21F28" w:rsidP="00E74925">
      <w:pPr>
        <w:pStyle w:val="TEXTBODY"/>
        <w:numPr>
          <w:ilvl w:val="0"/>
          <w:numId w:val="72"/>
        </w:numPr>
        <w:spacing w:line="276" w:lineRule="auto"/>
        <w:ind w:left="284" w:hanging="270"/>
        <w:rPr>
          <w:bCs/>
        </w:rPr>
      </w:pPr>
      <w:r w:rsidRPr="00A748CB">
        <w:rPr>
          <w:bCs/>
        </w:rPr>
        <w:t xml:space="preserve">collect information necessary to examine </w:t>
      </w:r>
      <w:r w:rsidR="009B705D" w:rsidRPr="00A748CB">
        <w:rPr>
          <w:bCs/>
        </w:rPr>
        <w:t>whether</w:t>
      </w:r>
      <w:r w:rsidRPr="00A748CB">
        <w:rPr>
          <w:bCs/>
        </w:rPr>
        <w:t xml:space="preserve"> and how (and when) the </w:t>
      </w:r>
      <w:r w:rsidRPr="00A748CB">
        <w:rPr>
          <w:bCs/>
          <w:i/>
          <w:iCs/>
        </w:rPr>
        <w:t>Preferential Strategies</w:t>
      </w:r>
      <w:r w:rsidRPr="00A748CB">
        <w:rPr>
          <w:bCs/>
        </w:rPr>
        <w:t xml:space="preserve"> need to be adjusted, and to operate an adaptive approach. The MAA generates insights into the progresses made and into changes / developments that may constitute reason</w:t>
      </w:r>
      <w:r w:rsidR="003F214D" w:rsidRPr="00A748CB">
        <w:rPr>
          <w:bCs/>
        </w:rPr>
        <w:t>s</w:t>
      </w:r>
      <w:r w:rsidRPr="00A748CB">
        <w:rPr>
          <w:bCs/>
        </w:rPr>
        <w:t xml:space="preserve"> for adjustment </w:t>
      </w:r>
      <w:r w:rsidR="003F214D" w:rsidRPr="00A748CB">
        <w:rPr>
          <w:bCs/>
        </w:rPr>
        <w:t>(</w:t>
      </w:r>
      <w:r w:rsidR="003F214D" w:rsidRPr="00A748CB">
        <w:rPr>
          <w:bCs/>
          <w:i/>
          <w:iCs/>
        </w:rPr>
        <w:t>to adjust the pace or the direction</w:t>
      </w:r>
      <w:r w:rsidR="003F214D" w:rsidRPr="00A748CB">
        <w:rPr>
          <w:bCs/>
        </w:rPr>
        <w:t xml:space="preserve">) </w:t>
      </w:r>
      <w:r w:rsidRPr="00A748CB">
        <w:rPr>
          <w:bCs/>
        </w:rPr>
        <w:t>(</w:t>
      </w:r>
      <w:r w:rsidRPr="00A748CB">
        <w:rPr>
          <w:bCs/>
          <w:color w:val="7F7F7F" w:themeColor="text1" w:themeTint="80"/>
        </w:rPr>
        <w:t>DP 2016, p.6, 9, 11</w:t>
      </w:r>
      <w:r w:rsidRPr="00A748CB">
        <w:rPr>
          <w:bCs/>
        </w:rPr>
        <w:t xml:space="preserve">). The MAA </w:t>
      </w:r>
      <w:r w:rsidRPr="00505570">
        <w:rPr>
          <w:bCs/>
        </w:rPr>
        <w:t xml:space="preserve">must keep </w:t>
      </w:r>
      <w:r w:rsidRPr="00A748CB">
        <w:rPr>
          <w:bCs/>
        </w:rPr>
        <w:t xml:space="preserve">track of (external and internal) developments to </w:t>
      </w:r>
      <w:r w:rsidR="003F214D" w:rsidRPr="00A748CB">
        <w:rPr>
          <w:bCs/>
        </w:rPr>
        <w:t>enable</w:t>
      </w:r>
      <w:r w:rsidRPr="00A748CB">
        <w:rPr>
          <w:bCs/>
        </w:rPr>
        <w:t xml:space="preserve"> a timely adjustment of strategies (e.g. a change of course or measure), thus, it is indispensable to ensure </w:t>
      </w:r>
      <w:r w:rsidR="003F214D" w:rsidRPr="00A748CB">
        <w:rPr>
          <w:bCs/>
        </w:rPr>
        <w:t>the DP’s</w:t>
      </w:r>
      <w:r w:rsidRPr="00A748CB">
        <w:rPr>
          <w:bCs/>
        </w:rPr>
        <w:t xml:space="preserve"> adaptive approach (</w:t>
      </w:r>
      <w:r w:rsidRPr="00A748CB">
        <w:rPr>
          <w:bCs/>
          <w:color w:val="7F7F7F" w:themeColor="text1" w:themeTint="80"/>
        </w:rPr>
        <w:t xml:space="preserve">DP </w:t>
      </w:r>
      <w:r w:rsidR="003F214D" w:rsidRPr="00A748CB">
        <w:rPr>
          <w:bCs/>
          <w:color w:val="7F7F7F" w:themeColor="text1" w:themeTint="80"/>
        </w:rPr>
        <w:t xml:space="preserve">2017, p.13; </w:t>
      </w:r>
      <w:r w:rsidRPr="00A748CB">
        <w:rPr>
          <w:bCs/>
          <w:color w:val="7F7F7F" w:themeColor="text1" w:themeTint="80"/>
        </w:rPr>
        <w:t>2016, p.59</w:t>
      </w:r>
      <w:r w:rsidRPr="00A748CB">
        <w:rPr>
          <w:bCs/>
        </w:rPr>
        <w:t>).</w:t>
      </w:r>
      <w:r w:rsidR="003F3AF1" w:rsidRPr="00A748CB">
        <w:rPr>
          <w:bCs/>
        </w:rPr>
        <w:t xml:space="preserve"> </w:t>
      </w:r>
    </w:p>
    <w:p w14:paraId="3EDB36C9" w14:textId="628DE124" w:rsidR="00E21F28" w:rsidRPr="009B720F" w:rsidRDefault="003F3AF1" w:rsidP="00E74925">
      <w:pPr>
        <w:pStyle w:val="TEXTBODY"/>
        <w:spacing w:line="276" w:lineRule="auto"/>
        <w:ind w:left="14"/>
        <w:rPr>
          <w:bCs/>
        </w:rPr>
      </w:pPr>
      <w:r w:rsidRPr="00A748CB">
        <w:rPr>
          <w:bCs/>
        </w:rPr>
        <w:t xml:space="preserve">The MAA underpins the DP’s ADM </w:t>
      </w:r>
      <w:proofErr w:type="gramStart"/>
      <w:r w:rsidRPr="00A748CB">
        <w:rPr>
          <w:bCs/>
        </w:rPr>
        <w:t>approach</w:t>
      </w:r>
      <w:r w:rsidR="00033E5F" w:rsidRPr="00A748CB">
        <w:rPr>
          <w:bCs/>
        </w:rPr>
        <w:t>;</w:t>
      </w:r>
      <w:proofErr w:type="gramEnd"/>
      <w:r w:rsidR="00033E5F" w:rsidRPr="00A748CB">
        <w:rPr>
          <w:bCs/>
        </w:rPr>
        <w:t xml:space="preserve"> </w:t>
      </w:r>
      <w:r w:rsidR="005E4480" w:rsidRPr="00A748CB">
        <w:rPr>
          <w:bCs/>
        </w:rPr>
        <w:t xml:space="preserve">i.e. </w:t>
      </w:r>
      <w:r w:rsidR="00033E5F" w:rsidRPr="00A748CB">
        <w:rPr>
          <w:bCs/>
        </w:rPr>
        <w:t>in the DP</w:t>
      </w:r>
      <w:r w:rsidR="005E4480" w:rsidRPr="00A748CB">
        <w:rPr>
          <w:bCs/>
        </w:rPr>
        <w:t xml:space="preserve">, </w:t>
      </w:r>
      <w:r w:rsidR="00033E5F" w:rsidRPr="00A748CB">
        <w:rPr>
          <w:bCs/>
        </w:rPr>
        <w:t>ADM is systematically substantiated in the MAA</w:t>
      </w:r>
      <w:r w:rsidRPr="00A748CB">
        <w:rPr>
          <w:bCs/>
        </w:rPr>
        <w:t xml:space="preserve"> (</w:t>
      </w:r>
      <w:r w:rsidRPr="00A748CB">
        <w:rPr>
          <w:bCs/>
          <w:color w:val="7F7F7F" w:themeColor="text1" w:themeTint="80"/>
        </w:rPr>
        <w:t>DP 2016, p.9</w:t>
      </w:r>
      <w:r w:rsidR="00033E5F" w:rsidRPr="00A748CB">
        <w:rPr>
          <w:bCs/>
          <w:color w:val="7F7F7F" w:themeColor="text1" w:themeTint="80"/>
        </w:rPr>
        <w:t>, 6</w:t>
      </w:r>
      <w:r w:rsidRPr="00A748CB">
        <w:rPr>
          <w:bCs/>
        </w:rPr>
        <w:t>).</w:t>
      </w:r>
      <w:r w:rsidRPr="009B720F">
        <w:rPr>
          <w:bCs/>
        </w:rPr>
        <w:t xml:space="preserve"> </w:t>
      </w:r>
    </w:p>
    <w:p w14:paraId="06E20DC7" w14:textId="77777777" w:rsidR="00D736F8" w:rsidRPr="00A748CB" w:rsidRDefault="00D736F8" w:rsidP="00E74925">
      <w:pPr>
        <w:pStyle w:val="TEXTBODY"/>
        <w:spacing w:line="276" w:lineRule="auto"/>
        <w:ind w:left="540"/>
        <w:rPr>
          <w:bCs/>
        </w:rPr>
      </w:pPr>
      <w:r w:rsidRPr="00A748CB">
        <w:rPr>
          <w:bCs/>
        </w:rPr>
        <w:t xml:space="preserve">Through the MAA, the DP examines whether and how the </w:t>
      </w:r>
      <w:r w:rsidRPr="00A748CB">
        <w:rPr>
          <w:bCs/>
          <w:i/>
          <w:iCs/>
        </w:rPr>
        <w:t>Preferential Strategies</w:t>
      </w:r>
      <w:r w:rsidRPr="00A748CB">
        <w:rPr>
          <w:bCs/>
        </w:rPr>
        <w:t xml:space="preserve"> need to be adjusted (</w:t>
      </w:r>
      <w:r w:rsidRPr="00A748CB">
        <w:rPr>
          <w:bCs/>
          <w:color w:val="7F7F7F" w:themeColor="text1" w:themeTint="80"/>
        </w:rPr>
        <w:t>DP 2016, p.7</w:t>
      </w:r>
      <w:r w:rsidRPr="00A748CB">
        <w:rPr>
          <w:bCs/>
        </w:rPr>
        <w:t xml:space="preserve">). </w:t>
      </w:r>
    </w:p>
    <w:p w14:paraId="7AD189BE" w14:textId="5D1CEDE6" w:rsidR="00E21F28" w:rsidRPr="00A748CB" w:rsidRDefault="00D736F8" w:rsidP="00E74925">
      <w:pPr>
        <w:pStyle w:val="TEXTBODY"/>
        <w:spacing w:line="276" w:lineRule="auto"/>
        <w:ind w:left="540"/>
        <w:rPr>
          <w:bCs/>
        </w:rPr>
      </w:pPr>
      <w:r w:rsidRPr="00A748CB">
        <w:rPr>
          <w:bCs/>
        </w:rPr>
        <w:t>More precisely, w</w:t>
      </w:r>
      <w:r w:rsidR="00E21F28" w:rsidRPr="00A748CB">
        <w:rPr>
          <w:bCs/>
        </w:rPr>
        <w:t>ith the MAA</w:t>
      </w:r>
      <w:r w:rsidR="00E21F28" w:rsidRPr="009B720F">
        <w:rPr>
          <w:bCs/>
        </w:rPr>
        <w:t xml:space="preserve">, the DP aims to: evaluate (review), every year, </w:t>
      </w:r>
      <w:r w:rsidR="00E21F28" w:rsidRPr="00A748CB">
        <w:rPr>
          <w:bCs/>
        </w:rPr>
        <w:t xml:space="preserve">whether any new developments demand the adjustment or fine-tuning of the </w:t>
      </w:r>
      <w:r w:rsidR="00E21F28" w:rsidRPr="00A748CB">
        <w:rPr>
          <w:bCs/>
          <w:i/>
          <w:iCs/>
        </w:rPr>
        <w:t>Preferential Strategies</w:t>
      </w:r>
      <w:r w:rsidR="00E21F28" w:rsidRPr="00A748CB">
        <w:rPr>
          <w:bCs/>
        </w:rPr>
        <w:t xml:space="preserve"> or </w:t>
      </w:r>
      <w:r w:rsidR="00E21F28" w:rsidRPr="00A748CB">
        <w:rPr>
          <w:bCs/>
          <w:i/>
          <w:iCs/>
        </w:rPr>
        <w:t>Delta Plans</w:t>
      </w:r>
      <w:r w:rsidR="00E21F28" w:rsidRPr="00A748CB">
        <w:rPr>
          <w:bCs/>
        </w:rPr>
        <w:t xml:space="preserve">; and </w:t>
      </w:r>
      <w:r w:rsidRPr="00A748CB">
        <w:rPr>
          <w:bCs/>
        </w:rPr>
        <w:t>check whether</w:t>
      </w:r>
      <w:r w:rsidR="00E21F28" w:rsidRPr="00A748CB">
        <w:rPr>
          <w:bCs/>
        </w:rPr>
        <w:t xml:space="preserve"> any new conditions, developments or changes impact the goals and the measures defined, and if necessary, adjust them (</w:t>
      </w:r>
      <w:r w:rsidR="00E21F28" w:rsidRPr="00A748CB">
        <w:rPr>
          <w:bCs/>
          <w:color w:val="7F7F7F" w:themeColor="text1" w:themeTint="80"/>
        </w:rPr>
        <w:t>DP 2016, p.6</w:t>
      </w:r>
      <w:r w:rsidRPr="00A748CB">
        <w:rPr>
          <w:bCs/>
          <w:color w:val="7F7F7F" w:themeColor="text1" w:themeTint="80"/>
        </w:rPr>
        <w:t xml:space="preserve">, </w:t>
      </w:r>
      <w:r w:rsidR="00E21F28" w:rsidRPr="00A748CB">
        <w:rPr>
          <w:bCs/>
          <w:color w:val="7F7F7F" w:themeColor="text1" w:themeTint="80"/>
        </w:rPr>
        <w:t>7</w:t>
      </w:r>
      <w:r w:rsidR="00E21F28" w:rsidRPr="00A748CB">
        <w:rPr>
          <w:bCs/>
        </w:rPr>
        <w:t>).</w:t>
      </w:r>
    </w:p>
    <w:p w14:paraId="539E49B0" w14:textId="4A491D50" w:rsidR="00E21F28" w:rsidRPr="009B720F" w:rsidRDefault="00E21F28" w:rsidP="00E74925">
      <w:pPr>
        <w:pStyle w:val="TEXTBODY"/>
        <w:spacing w:line="276" w:lineRule="auto"/>
        <w:ind w:left="540"/>
        <w:rPr>
          <w:bCs/>
        </w:rPr>
      </w:pPr>
      <w:r w:rsidRPr="00A748CB">
        <w:rPr>
          <w:bCs/>
        </w:rPr>
        <w:t>The results of the MAA system must be used to update the DP on observed and forecasted effects</w:t>
      </w:r>
      <w:r w:rsidRPr="00A748CB">
        <w:rPr>
          <w:rFonts w:eastAsia="RijksoverheidSerif-Regular"/>
          <w:bCs/>
        </w:rPr>
        <w:t xml:space="preserve"> and must be considered in any revision of the programmed measures</w:t>
      </w:r>
      <w:r w:rsidR="00D736F8" w:rsidRPr="00A748CB">
        <w:rPr>
          <w:rFonts w:eastAsia="RijksoverheidSerif-Regular"/>
          <w:bCs/>
        </w:rPr>
        <w:t xml:space="preserve"> and policy</w:t>
      </w:r>
      <w:r w:rsidRPr="00A748CB">
        <w:rPr>
          <w:rFonts w:eastAsia="RijksoverheidSerif-Regular"/>
          <w:bCs/>
        </w:rPr>
        <w:t xml:space="preserve"> (</w:t>
      </w:r>
      <w:r w:rsidR="00D736F8" w:rsidRPr="00A748CB">
        <w:rPr>
          <w:rFonts w:eastAsia="RijksoverheidSerif-Regular"/>
          <w:bCs/>
        </w:rPr>
        <w:t>namely of</w:t>
      </w:r>
      <w:r w:rsidRPr="00A748CB">
        <w:rPr>
          <w:rFonts w:eastAsia="RijksoverheidSerif-Regular"/>
          <w:bCs/>
        </w:rPr>
        <w:t xml:space="preserve"> </w:t>
      </w:r>
      <w:r w:rsidRPr="00A748CB">
        <w:rPr>
          <w:rFonts w:eastAsia="RijksoverheidSerif-Regular"/>
          <w:bCs/>
          <w:i/>
          <w:iCs/>
        </w:rPr>
        <w:t>implementation programmes</w:t>
      </w:r>
      <w:r w:rsidRPr="00A748CB">
        <w:rPr>
          <w:rFonts w:eastAsia="RijksoverheidSerif-Regular"/>
          <w:bCs/>
        </w:rPr>
        <w:t xml:space="preserve">) </w:t>
      </w:r>
      <w:r w:rsidRPr="00A748CB">
        <w:rPr>
          <w:bCs/>
        </w:rPr>
        <w:t>(</w:t>
      </w:r>
      <w:r w:rsidRPr="00A748CB">
        <w:rPr>
          <w:bCs/>
          <w:color w:val="7F7F7F" w:themeColor="text1" w:themeTint="80"/>
        </w:rPr>
        <w:t>DP 2014, p.149</w:t>
      </w:r>
      <w:r w:rsidR="00D736F8" w:rsidRPr="00A748CB">
        <w:rPr>
          <w:bCs/>
          <w:color w:val="7F7F7F" w:themeColor="text1" w:themeTint="80"/>
        </w:rPr>
        <w:t>-150</w:t>
      </w:r>
      <w:r w:rsidRPr="00A748CB">
        <w:rPr>
          <w:bCs/>
        </w:rPr>
        <w:t>).</w:t>
      </w:r>
    </w:p>
    <w:p w14:paraId="17A8CC23" w14:textId="5A38F9AE" w:rsidR="00E21F28" w:rsidRPr="009B720F" w:rsidRDefault="00E21F28" w:rsidP="00E74925">
      <w:pPr>
        <w:pStyle w:val="TEXTBODY"/>
        <w:spacing w:line="276" w:lineRule="auto"/>
        <w:ind w:left="540"/>
        <w:rPr>
          <w:bCs/>
        </w:rPr>
      </w:pPr>
      <w:r w:rsidRPr="009B720F">
        <w:rPr>
          <w:bCs/>
        </w:rPr>
        <w:t xml:space="preserve">In 2017/2018, the </w:t>
      </w:r>
      <w:r w:rsidRPr="009B720F">
        <w:rPr>
          <w:bCs/>
          <w:i/>
          <w:iCs/>
        </w:rPr>
        <w:t>Signal Group</w:t>
      </w:r>
      <w:r w:rsidRPr="009B720F">
        <w:rPr>
          <w:bCs/>
        </w:rPr>
        <w:t xml:space="preserve"> defined 8 </w:t>
      </w:r>
      <w:r w:rsidRPr="009B720F">
        <w:rPr>
          <w:bCs/>
          <w:i/>
          <w:iCs/>
        </w:rPr>
        <w:t>indicators</w:t>
      </w:r>
      <w:r w:rsidRPr="009B720F">
        <w:rPr>
          <w:bCs/>
        </w:rPr>
        <w:t xml:space="preserve"> to be monitored </w:t>
      </w:r>
      <w:proofErr w:type="gramStart"/>
      <w:r w:rsidRPr="009B720F">
        <w:rPr>
          <w:bCs/>
        </w:rPr>
        <w:t>in order to</w:t>
      </w:r>
      <w:proofErr w:type="gramEnd"/>
      <w:r w:rsidRPr="009B720F">
        <w:rPr>
          <w:bCs/>
        </w:rPr>
        <w:t xml:space="preserve"> detect signals that may prompt an adjustment of the </w:t>
      </w:r>
      <w:r w:rsidRPr="009B720F">
        <w:rPr>
          <w:bCs/>
          <w:i/>
          <w:iCs/>
        </w:rPr>
        <w:t>Preferential Strategies</w:t>
      </w:r>
      <w:r w:rsidRPr="009B720F">
        <w:rPr>
          <w:bCs/>
        </w:rPr>
        <w:t xml:space="preserve">, and / or developments that could jeopardise the attainment of goals, e.g. SRL, extreme river discharges, land use, etc. </w:t>
      </w:r>
      <w:r w:rsidRPr="009B720F">
        <w:rPr>
          <w:bCs/>
          <w:color w:val="000000"/>
        </w:rPr>
        <w:t>(</w:t>
      </w:r>
      <w:r w:rsidRPr="009B720F">
        <w:rPr>
          <w:bCs/>
          <w:color w:val="7F7F7F" w:themeColor="text1" w:themeTint="80"/>
        </w:rPr>
        <w:t>DP 2018, p.111; 20</w:t>
      </w:r>
      <w:r w:rsidRPr="009B720F">
        <w:rPr>
          <w:bCs/>
        </w:rPr>
        <w:t>).</w:t>
      </w:r>
    </w:p>
    <w:p w14:paraId="0377DEB6" w14:textId="1B3E3124" w:rsidR="00A225CE" w:rsidRPr="009B720F" w:rsidRDefault="00A225CE" w:rsidP="00E74925">
      <w:pPr>
        <w:pStyle w:val="TEXTBODY"/>
        <w:spacing w:line="276" w:lineRule="auto"/>
        <w:ind w:left="540"/>
        <w:rPr>
          <w:bCs/>
        </w:rPr>
      </w:pPr>
      <w:r w:rsidRPr="009B720F">
        <w:rPr>
          <w:bCs/>
        </w:rPr>
        <w:t xml:space="preserve">The </w:t>
      </w:r>
      <w:r w:rsidRPr="009B720F">
        <w:rPr>
          <w:bCs/>
          <w:color w:val="7F7F7F" w:themeColor="text1" w:themeTint="80"/>
        </w:rPr>
        <w:t xml:space="preserve">DP (2018) </w:t>
      </w:r>
      <w:r w:rsidRPr="009B720F">
        <w:rPr>
          <w:bCs/>
        </w:rPr>
        <w:t>mentions that ‘</w:t>
      </w:r>
      <w:r w:rsidRPr="009B720F">
        <w:rPr>
          <w:bCs/>
          <w:i/>
          <w:iCs/>
        </w:rPr>
        <w:t>in the event of new insights showing that the current course will not enable achievement of the FRM, FS, and spatial adaptation goals by 2050, the Preferential Strategies may need to be adjusted</w:t>
      </w:r>
      <w:r w:rsidRPr="009B720F">
        <w:rPr>
          <w:bCs/>
        </w:rPr>
        <w:t>; actually, the</w:t>
      </w:r>
      <w:r w:rsidRPr="009B720F">
        <w:rPr>
          <w:bCs/>
          <w:i/>
          <w:iCs/>
        </w:rPr>
        <w:t xml:space="preserve"> Preferential Strategies </w:t>
      </w:r>
      <w:r w:rsidRPr="009B720F">
        <w:rPr>
          <w:bCs/>
        </w:rPr>
        <w:t>are</w:t>
      </w:r>
      <w:r w:rsidRPr="009B720F">
        <w:rPr>
          <w:bCs/>
          <w:i/>
          <w:iCs/>
        </w:rPr>
        <w:t xml:space="preserve"> open to annual adjustment</w:t>
      </w:r>
      <w:r w:rsidRPr="009B720F">
        <w:rPr>
          <w:bCs/>
        </w:rPr>
        <w:t xml:space="preserve"> (</w:t>
      </w:r>
      <w:r w:rsidRPr="009B720F">
        <w:rPr>
          <w:bCs/>
          <w:color w:val="7F7F7F" w:themeColor="text1" w:themeTint="80"/>
        </w:rPr>
        <w:t>DP 2018, p.22</w:t>
      </w:r>
      <w:r w:rsidRPr="009B720F">
        <w:rPr>
          <w:bCs/>
        </w:rPr>
        <w:t>).</w:t>
      </w:r>
    </w:p>
    <w:bookmarkEnd w:id="127"/>
    <w:p w14:paraId="2973D696" w14:textId="05F63334" w:rsidR="00B3279B" w:rsidRPr="00A748CB" w:rsidRDefault="007057C1" w:rsidP="00E74925">
      <w:pPr>
        <w:pStyle w:val="TEXTBODY"/>
        <w:spacing w:line="276" w:lineRule="auto"/>
        <w:rPr>
          <w:bCs/>
          <w:iCs/>
          <w:strike/>
        </w:rPr>
      </w:pPr>
      <w:r w:rsidRPr="00A748CB">
        <w:rPr>
          <w:bCs/>
          <w:iCs/>
        </w:rPr>
        <w:t xml:space="preserve">Besides this, the DP </w:t>
      </w:r>
      <w:r w:rsidR="00050AA2" w:rsidRPr="00A748CB">
        <w:rPr>
          <w:bCs/>
          <w:iCs/>
        </w:rPr>
        <w:t xml:space="preserve">carries </w:t>
      </w:r>
      <w:r w:rsidRPr="00A748CB">
        <w:rPr>
          <w:bCs/>
          <w:iCs/>
        </w:rPr>
        <w:t>a review every 6 years to check</w:t>
      </w:r>
      <w:r w:rsidR="00B3279B" w:rsidRPr="00A748CB">
        <w:rPr>
          <w:bCs/>
          <w:iCs/>
        </w:rPr>
        <w:t xml:space="preserve"> (</w:t>
      </w:r>
      <w:r w:rsidRPr="00A748CB">
        <w:rPr>
          <w:bCs/>
          <w:iCs/>
        </w:rPr>
        <w:t>based on monitoring results</w:t>
      </w:r>
      <w:r w:rsidR="00B3279B" w:rsidRPr="00A748CB">
        <w:rPr>
          <w:bCs/>
          <w:iCs/>
        </w:rPr>
        <w:t>)</w:t>
      </w:r>
      <w:r w:rsidRPr="00A748CB">
        <w:rPr>
          <w:bCs/>
          <w:iCs/>
        </w:rPr>
        <w:t xml:space="preserve"> if it is necessary to maintain or adjust the </w:t>
      </w:r>
      <w:r w:rsidRPr="00A748CB">
        <w:rPr>
          <w:bCs/>
          <w:i/>
        </w:rPr>
        <w:t xml:space="preserve">course </w:t>
      </w:r>
      <w:r w:rsidRPr="00A748CB">
        <w:rPr>
          <w:bCs/>
          <w:iCs/>
        </w:rPr>
        <w:t xml:space="preserve">or the </w:t>
      </w:r>
      <w:r w:rsidRPr="00A748CB">
        <w:rPr>
          <w:bCs/>
          <w:i/>
        </w:rPr>
        <w:t>pace</w:t>
      </w:r>
      <w:r w:rsidRPr="00A748CB">
        <w:rPr>
          <w:bCs/>
          <w:iCs/>
        </w:rPr>
        <w:t xml:space="preserve"> (i.e. </w:t>
      </w:r>
      <w:r w:rsidR="00CB32E4" w:rsidRPr="00A748CB">
        <w:rPr>
          <w:bCs/>
          <w:iCs/>
        </w:rPr>
        <w:t xml:space="preserve">the </w:t>
      </w:r>
      <w:r w:rsidRPr="00A748CB">
        <w:rPr>
          <w:bCs/>
          <w:iCs/>
        </w:rPr>
        <w:t>measures or their timing) (</w:t>
      </w:r>
      <w:r w:rsidRPr="00A748CB">
        <w:rPr>
          <w:bCs/>
          <w:iCs/>
          <w:color w:val="7F7F7F" w:themeColor="text1" w:themeTint="80"/>
        </w:rPr>
        <w:t>DP 2016, p.6</w:t>
      </w:r>
      <w:r w:rsidRPr="00A748CB">
        <w:rPr>
          <w:bCs/>
          <w:iCs/>
        </w:rPr>
        <w:t xml:space="preserve">). </w:t>
      </w:r>
      <w:r w:rsidR="00A748CB" w:rsidRPr="00A748CB">
        <w:rPr>
          <w:bCs/>
        </w:rPr>
        <w:t>That is, every</w:t>
      </w:r>
      <w:r w:rsidR="00E21F28" w:rsidRPr="00A748CB">
        <w:rPr>
          <w:bCs/>
        </w:rPr>
        <w:t xml:space="preserve"> six years, the DP carries a systematic review to check ‘</w:t>
      </w:r>
      <w:r w:rsidR="00E21F28" w:rsidRPr="00A748CB">
        <w:rPr>
          <w:bCs/>
          <w:i/>
          <w:iCs/>
        </w:rPr>
        <w:t xml:space="preserve">whether it managed to keep up the pace and adjust </w:t>
      </w:r>
      <w:r w:rsidR="008B1631" w:rsidRPr="00A748CB">
        <w:rPr>
          <w:bCs/>
          <w:i/>
          <w:iCs/>
        </w:rPr>
        <w:t>the</w:t>
      </w:r>
      <w:r w:rsidR="00E21F28" w:rsidRPr="00A748CB">
        <w:rPr>
          <w:bCs/>
          <w:i/>
          <w:iCs/>
        </w:rPr>
        <w:t xml:space="preserve"> course on time</w:t>
      </w:r>
      <w:r w:rsidR="00E21F28" w:rsidRPr="00A748CB">
        <w:rPr>
          <w:bCs/>
        </w:rPr>
        <w:t xml:space="preserve">’ and analyse if the monitoring results indicate that it is necessary to maintain or adjust the </w:t>
      </w:r>
      <w:r w:rsidR="00E21F28" w:rsidRPr="00A748CB">
        <w:rPr>
          <w:bCs/>
          <w:i/>
          <w:iCs/>
        </w:rPr>
        <w:t>course</w:t>
      </w:r>
      <w:r w:rsidR="00E21F28" w:rsidRPr="00A748CB">
        <w:rPr>
          <w:bCs/>
        </w:rPr>
        <w:t xml:space="preserve"> or </w:t>
      </w:r>
      <w:r w:rsidR="00E21F28" w:rsidRPr="00A748CB">
        <w:rPr>
          <w:bCs/>
          <w:i/>
          <w:iCs/>
        </w:rPr>
        <w:t>pace</w:t>
      </w:r>
      <w:r w:rsidR="00E21F28" w:rsidRPr="00A748CB">
        <w:rPr>
          <w:bCs/>
        </w:rPr>
        <w:t xml:space="preserve"> of Strategies (i.e. the measures or their timing) (</w:t>
      </w:r>
      <w:r w:rsidR="00E21F28" w:rsidRPr="00A748CB">
        <w:rPr>
          <w:bCs/>
          <w:color w:val="7F7F7F" w:themeColor="text1" w:themeTint="80"/>
        </w:rPr>
        <w:t>DP 2016, p.6</w:t>
      </w:r>
      <w:r w:rsidR="00E21F28" w:rsidRPr="00A748CB">
        <w:rPr>
          <w:bCs/>
        </w:rPr>
        <w:t xml:space="preserve">). </w:t>
      </w:r>
      <w:r w:rsidR="00A225CE" w:rsidRPr="00A748CB">
        <w:rPr>
          <w:rFonts w:cs="Arial"/>
          <w:bCs/>
          <w:szCs w:val="18"/>
        </w:rPr>
        <w:t xml:space="preserve">The </w:t>
      </w:r>
      <w:r w:rsidR="00A225CE" w:rsidRPr="00A748CB">
        <w:rPr>
          <w:rFonts w:cs="Arial"/>
          <w:bCs/>
          <w:i/>
          <w:iCs/>
          <w:szCs w:val="18"/>
        </w:rPr>
        <w:t>Preferential Strategies</w:t>
      </w:r>
      <w:r w:rsidR="00A225CE" w:rsidRPr="00A748CB">
        <w:rPr>
          <w:rFonts w:cs="Arial"/>
          <w:bCs/>
          <w:szCs w:val="18"/>
        </w:rPr>
        <w:t xml:space="preserve"> are </w:t>
      </w:r>
      <w:r w:rsidR="00A225CE" w:rsidRPr="00A748CB">
        <w:rPr>
          <w:rFonts w:cs="Arial"/>
          <w:bCs/>
          <w:i/>
          <w:iCs/>
          <w:szCs w:val="18"/>
        </w:rPr>
        <w:t>adaptive</w:t>
      </w:r>
      <w:r w:rsidR="00002F4C" w:rsidRPr="00A748CB">
        <w:rPr>
          <w:rFonts w:cs="Arial"/>
          <w:bCs/>
          <w:i/>
          <w:iCs/>
          <w:szCs w:val="18"/>
        </w:rPr>
        <w:t xml:space="preserve"> in nature</w:t>
      </w:r>
      <w:r w:rsidR="00002F4C" w:rsidRPr="00A748CB">
        <w:rPr>
          <w:rFonts w:cs="Arial"/>
          <w:bCs/>
          <w:szCs w:val="18"/>
        </w:rPr>
        <w:t xml:space="preserve"> and</w:t>
      </w:r>
      <w:r w:rsidR="00002F4C" w:rsidRPr="00A748CB">
        <w:rPr>
          <w:rFonts w:cs="Arial"/>
          <w:bCs/>
          <w:i/>
          <w:iCs/>
          <w:szCs w:val="18"/>
        </w:rPr>
        <w:t xml:space="preserve"> resistant</w:t>
      </w:r>
      <w:r w:rsidR="00002F4C" w:rsidRPr="00A748CB">
        <w:rPr>
          <w:rFonts w:cs="Arial"/>
          <w:bCs/>
          <w:szCs w:val="18"/>
        </w:rPr>
        <w:t xml:space="preserve"> (robust) to slower or faster CC than assumed in the </w:t>
      </w:r>
      <w:r w:rsidR="00002F4C" w:rsidRPr="00A748CB">
        <w:rPr>
          <w:rFonts w:cs="Arial"/>
          <w:bCs/>
          <w:i/>
          <w:iCs/>
          <w:szCs w:val="18"/>
        </w:rPr>
        <w:t>Delta Scenarios</w:t>
      </w:r>
      <w:r w:rsidR="00002F4C" w:rsidRPr="00A748CB">
        <w:rPr>
          <w:rFonts w:cs="Arial"/>
          <w:bCs/>
          <w:szCs w:val="18"/>
        </w:rPr>
        <w:t>;</w:t>
      </w:r>
      <w:r w:rsidR="00A225CE" w:rsidRPr="00A748CB">
        <w:rPr>
          <w:rFonts w:cs="Arial"/>
          <w:bCs/>
          <w:szCs w:val="18"/>
        </w:rPr>
        <w:t xml:space="preserve"> b</w:t>
      </w:r>
      <w:r w:rsidR="00E21F28" w:rsidRPr="00A748CB">
        <w:rPr>
          <w:bCs/>
        </w:rPr>
        <w:t xml:space="preserve">ased on new knowledge and monitoring results, </w:t>
      </w:r>
      <w:r w:rsidR="00E21F28" w:rsidRPr="00A748CB">
        <w:rPr>
          <w:rFonts w:cs="Arial"/>
          <w:bCs/>
          <w:szCs w:val="18"/>
        </w:rPr>
        <w:t>the strategies</w:t>
      </w:r>
      <w:r w:rsidR="00A225CE" w:rsidRPr="00A748CB">
        <w:rPr>
          <w:rFonts w:cs="Arial"/>
          <w:bCs/>
          <w:szCs w:val="18"/>
        </w:rPr>
        <w:t xml:space="preserve">, and / </w:t>
      </w:r>
      <w:r w:rsidR="00E21F28" w:rsidRPr="00A748CB">
        <w:rPr>
          <w:rFonts w:cs="Arial"/>
          <w:bCs/>
          <w:szCs w:val="18"/>
        </w:rPr>
        <w:t>or their measures</w:t>
      </w:r>
      <w:r w:rsidR="00A225CE" w:rsidRPr="00A748CB">
        <w:rPr>
          <w:rFonts w:cs="Arial"/>
          <w:bCs/>
          <w:szCs w:val="18"/>
        </w:rPr>
        <w:t>,</w:t>
      </w:r>
      <w:r w:rsidR="00E21F28" w:rsidRPr="00A748CB">
        <w:rPr>
          <w:rFonts w:cs="Arial"/>
          <w:bCs/>
          <w:szCs w:val="18"/>
        </w:rPr>
        <w:t xml:space="preserve"> </w:t>
      </w:r>
      <w:r w:rsidR="00A225CE" w:rsidRPr="00A748CB">
        <w:rPr>
          <w:rFonts w:cs="Arial"/>
          <w:bCs/>
          <w:szCs w:val="18"/>
        </w:rPr>
        <w:t>can</w:t>
      </w:r>
      <w:r w:rsidR="00E21F28" w:rsidRPr="00A748CB">
        <w:rPr>
          <w:rFonts w:cs="Arial"/>
          <w:bCs/>
          <w:szCs w:val="18"/>
        </w:rPr>
        <w:t xml:space="preserve"> be </w:t>
      </w:r>
      <w:r w:rsidR="00A225CE" w:rsidRPr="00A748CB">
        <w:rPr>
          <w:rFonts w:cs="Arial"/>
          <w:bCs/>
          <w:szCs w:val="18"/>
        </w:rPr>
        <w:t>accelerated or slowed down</w:t>
      </w:r>
      <w:r w:rsidR="00E21F28" w:rsidRPr="00A748CB">
        <w:rPr>
          <w:bCs/>
        </w:rPr>
        <w:t xml:space="preserve">, </w:t>
      </w:r>
      <w:r w:rsidR="00A225CE" w:rsidRPr="00A748CB">
        <w:rPr>
          <w:bCs/>
        </w:rPr>
        <w:t xml:space="preserve">and can also be </w:t>
      </w:r>
      <w:r w:rsidR="00E21F28" w:rsidRPr="00A748CB">
        <w:rPr>
          <w:bCs/>
        </w:rPr>
        <w:t>adjusted in terms of scope and design (</w:t>
      </w:r>
      <w:r w:rsidR="00E21F28" w:rsidRPr="00A748CB">
        <w:rPr>
          <w:bCs/>
          <w:color w:val="7F7F7F" w:themeColor="text1" w:themeTint="80"/>
        </w:rPr>
        <w:t>DP 2014, p.136</w:t>
      </w:r>
      <w:r w:rsidR="00E21F28" w:rsidRPr="00A748CB">
        <w:rPr>
          <w:bCs/>
        </w:rPr>
        <w:t>).</w:t>
      </w:r>
      <w:r w:rsidR="00E21F28" w:rsidRPr="00A748CB">
        <w:rPr>
          <w:rStyle w:val="Refdenotaderodap"/>
          <w:bCs/>
        </w:rPr>
        <w:footnoteReference w:id="120"/>
      </w:r>
      <w:r w:rsidR="00E21F28" w:rsidRPr="00A748CB">
        <w:rPr>
          <w:bCs/>
        </w:rPr>
        <w:t xml:space="preserve"> </w:t>
      </w:r>
      <w:r w:rsidR="00E21F28" w:rsidRPr="00A748CB">
        <w:rPr>
          <w:rFonts w:cs="Arial"/>
          <w:bCs/>
          <w:szCs w:val="18"/>
        </w:rPr>
        <w:t xml:space="preserve">Thus, the </w:t>
      </w:r>
      <w:r w:rsidR="00E21F28" w:rsidRPr="00A748CB">
        <w:rPr>
          <w:rFonts w:cs="Arial"/>
          <w:bCs/>
          <w:i/>
          <w:iCs/>
          <w:szCs w:val="18"/>
        </w:rPr>
        <w:t>Delta Decisions</w:t>
      </w:r>
      <w:r w:rsidR="00E21F28" w:rsidRPr="00A748CB">
        <w:rPr>
          <w:rFonts w:cs="Arial"/>
          <w:bCs/>
          <w:szCs w:val="18"/>
        </w:rPr>
        <w:t xml:space="preserve"> and </w:t>
      </w:r>
      <w:r w:rsidR="00E21F28" w:rsidRPr="00A748CB">
        <w:rPr>
          <w:rFonts w:cs="Arial"/>
          <w:bCs/>
          <w:i/>
          <w:iCs/>
          <w:szCs w:val="18"/>
        </w:rPr>
        <w:t>Preferential Strategies</w:t>
      </w:r>
      <w:r w:rsidR="00E21F28" w:rsidRPr="00A748CB">
        <w:rPr>
          <w:rFonts w:cs="Arial"/>
          <w:bCs/>
          <w:szCs w:val="18"/>
        </w:rPr>
        <w:t xml:space="preserve"> are subjected to a review every six years (</w:t>
      </w:r>
      <w:r w:rsidR="00E21F28" w:rsidRPr="00A748CB">
        <w:rPr>
          <w:rFonts w:cs="Arial"/>
          <w:bCs/>
          <w:color w:val="7F7F7F" w:themeColor="text1" w:themeTint="80"/>
          <w:szCs w:val="18"/>
        </w:rPr>
        <w:t>DP 2018, p.22</w:t>
      </w:r>
      <w:r w:rsidR="00E21F28" w:rsidRPr="00A748CB">
        <w:rPr>
          <w:rFonts w:cs="Arial"/>
          <w:bCs/>
          <w:szCs w:val="18"/>
        </w:rPr>
        <w:t>).</w:t>
      </w:r>
      <w:r w:rsidR="00E21F28" w:rsidRPr="00A748CB">
        <w:rPr>
          <w:rStyle w:val="Refdenotaderodap"/>
          <w:rFonts w:cs="Arial"/>
          <w:bCs/>
          <w:szCs w:val="18"/>
        </w:rPr>
        <w:footnoteReference w:id="121"/>
      </w:r>
      <w:r w:rsidR="00E21F28" w:rsidRPr="00A748CB">
        <w:rPr>
          <w:rFonts w:cs="Arial"/>
          <w:bCs/>
          <w:szCs w:val="18"/>
        </w:rPr>
        <w:t xml:space="preserve">  Th</w:t>
      </w:r>
      <w:r w:rsidR="00A225CE" w:rsidRPr="00A748CB">
        <w:rPr>
          <w:rFonts w:cs="Arial"/>
          <w:bCs/>
          <w:szCs w:val="18"/>
        </w:rPr>
        <w:t>is</w:t>
      </w:r>
      <w:r w:rsidR="00E21F28" w:rsidRPr="00A748CB">
        <w:rPr>
          <w:rFonts w:cs="Arial"/>
          <w:bCs/>
          <w:szCs w:val="18"/>
        </w:rPr>
        <w:t xml:space="preserve"> 6-year</w:t>
      </w:r>
      <w:r w:rsidR="00E21F28" w:rsidRPr="009B720F">
        <w:rPr>
          <w:rFonts w:cs="Arial"/>
          <w:bCs/>
          <w:szCs w:val="18"/>
        </w:rPr>
        <w:t xml:space="preserve"> review also assesses the need of keeping the envisioned long</w:t>
      </w:r>
      <w:r w:rsidR="00E21F28" w:rsidRPr="00A748CB">
        <w:rPr>
          <w:rFonts w:cs="Arial"/>
          <w:bCs/>
          <w:szCs w:val="18"/>
        </w:rPr>
        <w:t>-term options open or adding new options (</w:t>
      </w:r>
      <w:r w:rsidR="00E21F28" w:rsidRPr="00A748CB">
        <w:rPr>
          <w:rFonts w:cs="Arial"/>
          <w:bCs/>
          <w:color w:val="7F7F7F" w:themeColor="text1" w:themeTint="80"/>
          <w:szCs w:val="18"/>
        </w:rPr>
        <w:t>DP 2018, p.22</w:t>
      </w:r>
      <w:r w:rsidR="00E21F28" w:rsidRPr="00A748CB">
        <w:rPr>
          <w:rFonts w:cs="Arial"/>
          <w:bCs/>
          <w:szCs w:val="18"/>
        </w:rPr>
        <w:t xml:space="preserve">). </w:t>
      </w:r>
    </w:p>
    <w:p w14:paraId="2D3ECCE9" w14:textId="7C13BC0A" w:rsidR="00AD6F08" w:rsidRPr="00A748CB" w:rsidRDefault="00E21F28" w:rsidP="00E74925">
      <w:pPr>
        <w:pStyle w:val="TEXTBODY"/>
        <w:spacing w:line="276" w:lineRule="auto"/>
        <w:rPr>
          <w:bCs/>
        </w:rPr>
      </w:pPr>
      <w:r w:rsidRPr="00A748CB">
        <w:rPr>
          <w:bCs/>
        </w:rPr>
        <w:t xml:space="preserve">The MAA system specifies the indicators that must be monitored (to keep track of external changes, of the implementation </w:t>
      </w:r>
      <w:r w:rsidR="00345A51" w:rsidRPr="00A748CB">
        <w:rPr>
          <w:bCs/>
        </w:rPr>
        <w:t xml:space="preserve">of measures </w:t>
      </w:r>
      <w:r w:rsidRPr="00A748CB">
        <w:rPr>
          <w:bCs/>
        </w:rPr>
        <w:t xml:space="preserve">and </w:t>
      </w:r>
      <w:r w:rsidR="00345A51" w:rsidRPr="00A748CB">
        <w:rPr>
          <w:bCs/>
        </w:rPr>
        <w:t xml:space="preserve">their </w:t>
      </w:r>
      <w:r w:rsidRPr="00A748CB">
        <w:rPr>
          <w:bCs/>
        </w:rPr>
        <w:t xml:space="preserve">effects, and </w:t>
      </w:r>
      <w:r w:rsidR="00002F4C" w:rsidRPr="00A748CB">
        <w:rPr>
          <w:bCs/>
        </w:rPr>
        <w:t xml:space="preserve">of </w:t>
      </w:r>
      <w:r w:rsidRPr="00A748CB">
        <w:rPr>
          <w:bCs/>
        </w:rPr>
        <w:t xml:space="preserve">new information), and explains how the DP and its contents (its </w:t>
      </w:r>
      <w:r w:rsidRPr="00A748CB">
        <w:rPr>
          <w:bCs/>
          <w:i/>
          <w:iCs/>
        </w:rPr>
        <w:t>Preferential Strategies</w:t>
      </w:r>
      <w:r w:rsidRPr="00A748CB">
        <w:rPr>
          <w:bCs/>
        </w:rPr>
        <w:t xml:space="preserve">, </w:t>
      </w:r>
      <w:r w:rsidRPr="00A748CB">
        <w:rPr>
          <w:bCs/>
          <w:i/>
          <w:iCs/>
        </w:rPr>
        <w:t>Delta Decisions</w:t>
      </w:r>
      <w:r w:rsidRPr="00A748CB">
        <w:rPr>
          <w:bCs/>
        </w:rPr>
        <w:t xml:space="preserve">, </w:t>
      </w:r>
      <w:r w:rsidRPr="00A748CB">
        <w:rPr>
          <w:bCs/>
          <w:i/>
          <w:iCs/>
        </w:rPr>
        <w:t>Delta Plans</w:t>
      </w:r>
      <w:r w:rsidRPr="00A748CB">
        <w:rPr>
          <w:bCs/>
        </w:rPr>
        <w:t xml:space="preserve">, and/or their measures) must be reassessed, and adjusted (if necessary). The MAA serves to regularly evaluate if the work is being done </w:t>
      </w:r>
      <w:r w:rsidRPr="00A748CB">
        <w:rPr>
          <w:bCs/>
          <w:i/>
          <w:iCs/>
        </w:rPr>
        <w:t>at the right pace and in the proper direction</w:t>
      </w:r>
      <w:r w:rsidRPr="00A748CB">
        <w:rPr>
          <w:bCs/>
        </w:rPr>
        <w:t>, and</w:t>
      </w:r>
      <w:r w:rsidR="00345A51" w:rsidRPr="00A748CB">
        <w:rPr>
          <w:bCs/>
        </w:rPr>
        <w:t xml:space="preserve">, if </w:t>
      </w:r>
      <w:r w:rsidR="00345A51" w:rsidRPr="00505570">
        <w:rPr>
          <w:bCs/>
        </w:rPr>
        <w:t>necessary,</w:t>
      </w:r>
      <w:r w:rsidRPr="00505570">
        <w:rPr>
          <w:bCs/>
        </w:rPr>
        <w:t xml:space="preserve"> </w:t>
      </w:r>
      <w:r w:rsidR="00345A51" w:rsidRPr="00505570">
        <w:rPr>
          <w:bCs/>
        </w:rPr>
        <w:t xml:space="preserve">to </w:t>
      </w:r>
      <w:r w:rsidRPr="00A748CB">
        <w:rPr>
          <w:bCs/>
        </w:rPr>
        <w:t>adjust the</w:t>
      </w:r>
      <w:r w:rsidR="00345A51" w:rsidRPr="00A748CB">
        <w:rPr>
          <w:bCs/>
        </w:rPr>
        <w:t xml:space="preserve"> DP’s Strategies (their</w:t>
      </w:r>
      <w:r w:rsidR="00CB32E4" w:rsidRPr="00A748CB">
        <w:rPr>
          <w:bCs/>
        </w:rPr>
        <w:t xml:space="preserve"> pace or</w:t>
      </w:r>
      <w:r w:rsidRPr="00A748CB">
        <w:rPr>
          <w:bCs/>
        </w:rPr>
        <w:t xml:space="preserve"> course</w:t>
      </w:r>
      <w:r w:rsidR="00345A51" w:rsidRPr="00A748CB">
        <w:rPr>
          <w:bCs/>
        </w:rPr>
        <w:t>)</w:t>
      </w:r>
      <w:r w:rsidRPr="00A748CB">
        <w:rPr>
          <w:bCs/>
        </w:rPr>
        <w:t xml:space="preserve"> as changes occur or new knowledge arise</w:t>
      </w:r>
      <w:r w:rsidR="00CB32E4" w:rsidRPr="00A748CB">
        <w:rPr>
          <w:bCs/>
        </w:rPr>
        <w:t>s</w:t>
      </w:r>
      <w:r w:rsidRPr="00A748CB">
        <w:rPr>
          <w:bCs/>
        </w:rPr>
        <w:t xml:space="preserve"> (</w:t>
      </w:r>
      <w:r w:rsidRPr="00A748CB">
        <w:rPr>
          <w:bCs/>
          <w:color w:val="7F7F7F" w:themeColor="text1" w:themeTint="80"/>
        </w:rPr>
        <w:t xml:space="preserve">DP 2018, p.13; </w:t>
      </w:r>
      <w:r w:rsidR="00345A51" w:rsidRPr="00A748CB">
        <w:rPr>
          <w:bCs/>
          <w:color w:val="7F7F7F" w:themeColor="text1" w:themeTint="80"/>
        </w:rPr>
        <w:t xml:space="preserve">2017, p.7, 13; </w:t>
      </w:r>
      <w:r w:rsidRPr="00A748CB">
        <w:rPr>
          <w:bCs/>
          <w:color w:val="7F7F7F" w:themeColor="text1" w:themeTint="80"/>
        </w:rPr>
        <w:t>2016, p.</w:t>
      </w:r>
      <w:r w:rsidR="00345A51" w:rsidRPr="00A748CB">
        <w:rPr>
          <w:bCs/>
          <w:color w:val="7F7F7F" w:themeColor="text1" w:themeTint="80"/>
        </w:rPr>
        <w:t>6</w:t>
      </w:r>
      <w:r w:rsidRPr="00A748CB">
        <w:rPr>
          <w:bCs/>
        </w:rPr>
        <w:t xml:space="preserve">). </w:t>
      </w:r>
    </w:p>
    <w:p w14:paraId="0A08DF05" w14:textId="57EEB7F3" w:rsidR="00E21F28" w:rsidRPr="009B720F" w:rsidRDefault="00E21F28" w:rsidP="00E74925">
      <w:pPr>
        <w:pStyle w:val="TEXTBODY"/>
        <w:spacing w:line="276" w:lineRule="auto"/>
        <w:rPr>
          <w:bCs/>
        </w:rPr>
      </w:pPr>
      <w:r w:rsidRPr="00A748CB">
        <w:rPr>
          <w:bCs/>
        </w:rPr>
        <w:t xml:space="preserve">The MAA is essential to ensure a truly </w:t>
      </w:r>
      <w:r w:rsidRPr="00A748CB">
        <w:rPr>
          <w:bCs/>
          <w:i/>
          <w:iCs/>
        </w:rPr>
        <w:t>Adaptive Planning and Management</w:t>
      </w:r>
      <w:r w:rsidR="00A748CB">
        <w:rPr>
          <w:bCs/>
        </w:rPr>
        <w:t>.</w:t>
      </w:r>
      <w:r w:rsidRPr="009B720F">
        <w:rPr>
          <w:bCs/>
        </w:rPr>
        <w:t xml:space="preserve"> </w:t>
      </w:r>
    </w:p>
    <w:p w14:paraId="6DD88609" w14:textId="1C21D8E0" w:rsidR="00DA292E" w:rsidRPr="00A748CB" w:rsidRDefault="00FC7435" w:rsidP="00E74925">
      <w:pPr>
        <w:pStyle w:val="TEXTBODY"/>
        <w:spacing w:line="276" w:lineRule="auto"/>
        <w:rPr>
          <w:bCs/>
          <w:iCs/>
        </w:rPr>
      </w:pPr>
      <w:r w:rsidRPr="00A748CB">
        <w:rPr>
          <w:bCs/>
          <w:iCs/>
        </w:rPr>
        <w:t>Under</w:t>
      </w:r>
      <w:r w:rsidR="00DA292E" w:rsidRPr="00A748CB">
        <w:rPr>
          <w:bCs/>
          <w:iCs/>
        </w:rPr>
        <w:t xml:space="preserve"> its ADM approach, s</w:t>
      </w:r>
      <w:r w:rsidR="007057C1" w:rsidRPr="00A748CB">
        <w:rPr>
          <w:bCs/>
          <w:iCs/>
        </w:rPr>
        <w:t>ince 2015, the</w:t>
      </w:r>
      <w:r w:rsidR="00DA292E" w:rsidRPr="00A748CB">
        <w:rPr>
          <w:bCs/>
          <w:iCs/>
        </w:rPr>
        <w:t xml:space="preserve"> DP has used the</w:t>
      </w:r>
      <w:r w:rsidR="007057C1" w:rsidRPr="00A748CB">
        <w:rPr>
          <w:bCs/>
          <w:iCs/>
        </w:rPr>
        <w:t xml:space="preserve"> MAA to monitor</w:t>
      </w:r>
      <w:r w:rsidR="00DA292E" w:rsidRPr="00A748CB">
        <w:rPr>
          <w:bCs/>
          <w:iCs/>
        </w:rPr>
        <w:t xml:space="preserve"> external</w:t>
      </w:r>
      <w:r w:rsidR="007057C1" w:rsidRPr="00A748CB">
        <w:rPr>
          <w:bCs/>
          <w:iCs/>
        </w:rPr>
        <w:t xml:space="preserve"> developments that may affect the </w:t>
      </w:r>
      <w:r w:rsidR="007057C1" w:rsidRPr="00A748CB">
        <w:rPr>
          <w:bCs/>
          <w:i/>
        </w:rPr>
        <w:t>pace</w:t>
      </w:r>
      <w:r w:rsidR="007057C1" w:rsidRPr="00A748CB">
        <w:rPr>
          <w:bCs/>
          <w:iCs/>
        </w:rPr>
        <w:t xml:space="preserve"> or</w:t>
      </w:r>
      <w:r w:rsidR="00DA292E" w:rsidRPr="00A748CB">
        <w:rPr>
          <w:bCs/>
          <w:iCs/>
        </w:rPr>
        <w:t xml:space="preserve"> the</w:t>
      </w:r>
      <w:r w:rsidR="007057C1" w:rsidRPr="00A748CB">
        <w:rPr>
          <w:bCs/>
          <w:iCs/>
        </w:rPr>
        <w:t xml:space="preserve"> </w:t>
      </w:r>
      <w:r w:rsidR="007057C1" w:rsidRPr="00A748CB">
        <w:rPr>
          <w:bCs/>
          <w:i/>
        </w:rPr>
        <w:t>direction</w:t>
      </w:r>
      <w:r w:rsidR="007057C1" w:rsidRPr="00A748CB">
        <w:rPr>
          <w:bCs/>
          <w:iCs/>
        </w:rPr>
        <w:t xml:space="preserve"> of the </w:t>
      </w:r>
      <w:r w:rsidR="007057C1" w:rsidRPr="00A748CB">
        <w:rPr>
          <w:bCs/>
          <w:i/>
        </w:rPr>
        <w:t>Preferential Strategies</w:t>
      </w:r>
      <w:r w:rsidR="007057C1" w:rsidRPr="00A748CB">
        <w:rPr>
          <w:bCs/>
          <w:iCs/>
        </w:rPr>
        <w:t>, and to evaluate</w:t>
      </w:r>
      <w:r w:rsidR="00DA292E" w:rsidRPr="00A748CB">
        <w:rPr>
          <w:bCs/>
          <w:iCs/>
        </w:rPr>
        <w:t xml:space="preserve"> (verify) whether</w:t>
      </w:r>
      <w:r w:rsidR="007057C1" w:rsidRPr="00A748CB">
        <w:rPr>
          <w:bCs/>
          <w:iCs/>
        </w:rPr>
        <w:t xml:space="preserve"> the D</w:t>
      </w:r>
      <w:r w:rsidRPr="00A748CB">
        <w:rPr>
          <w:bCs/>
          <w:iCs/>
        </w:rPr>
        <w:t>elta Programme</w:t>
      </w:r>
      <w:r w:rsidR="007057C1" w:rsidRPr="00A748CB">
        <w:rPr>
          <w:bCs/>
          <w:iCs/>
        </w:rPr>
        <w:t xml:space="preserve"> is ‘</w:t>
      </w:r>
      <w:r w:rsidR="007057C1" w:rsidRPr="00A748CB">
        <w:rPr>
          <w:bCs/>
          <w:i/>
        </w:rPr>
        <w:t>on track</w:t>
      </w:r>
      <w:r w:rsidR="007057C1" w:rsidRPr="00A748CB">
        <w:rPr>
          <w:bCs/>
          <w:iCs/>
        </w:rPr>
        <w:t xml:space="preserve">’ or </w:t>
      </w:r>
      <w:r w:rsidR="00DA292E" w:rsidRPr="00A748CB">
        <w:rPr>
          <w:bCs/>
          <w:iCs/>
        </w:rPr>
        <w:t>whether</w:t>
      </w:r>
      <w:r w:rsidR="007057C1" w:rsidRPr="00A748CB">
        <w:rPr>
          <w:bCs/>
          <w:iCs/>
        </w:rPr>
        <w:t xml:space="preserve"> </w:t>
      </w:r>
      <w:r w:rsidR="00DA292E" w:rsidRPr="00A748CB">
        <w:rPr>
          <w:bCs/>
          <w:iCs/>
        </w:rPr>
        <w:t>there is any reason for a change of</w:t>
      </w:r>
      <w:r w:rsidR="007057C1" w:rsidRPr="00A748CB">
        <w:rPr>
          <w:bCs/>
          <w:iCs/>
        </w:rPr>
        <w:t xml:space="preserve"> </w:t>
      </w:r>
      <w:r w:rsidR="007057C1" w:rsidRPr="00A748CB">
        <w:rPr>
          <w:bCs/>
          <w:i/>
        </w:rPr>
        <w:t>course</w:t>
      </w:r>
      <w:r w:rsidR="007057C1" w:rsidRPr="00A748CB">
        <w:rPr>
          <w:bCs/>
          <w:iCs/>
        </w:rPr>
        <w:t xml:space="preserve"> (e.g. if developments demand a switch of strategy or measure, or a modification in their timing</w:t>
      </w:r>
      <w:r w:rsidRPr="00A748CB">
        <w:rPr>
          <w:bCs/>
          <w:iCs/>
        </w:rPr>
        <w:t xml:space="preserve">, </w:t>
      </w:r>
      <w:r w:rsidR="00DA292E" w:rsidRPr="00A748CB">
        <w:rPr>
          <w:bCs/>
          <w:iCs/>
        </w:rPr>
        <w:t xml:space="preserve">or </w:t>
      </w:r>
      <w:r w:rsidRPr="00A748CB">
        <w:rPr>
          <w:bCs/>
          <w:iCs/>
        </w:rPr>
        <w:t xml:space="preserve">by reconsidering </w:t>
      </w:r>
      <w:r w:rsidR="00DA292E" w:rsidRPr="00A748CB">
        <w:rPr>
          <w:bCs/>
          <w:iCs/>
        </w:rPr>
        <w:t>targets or measures</w:t>
      </w:r>
      <w:r w:rsidRPr="00A748CB">
        <w:rPr>
          <w:bCs/>
          <w:iCs/>
        </w:rPr>
        <w:t xml:space="preserve">) </w:t>
      </w:r>
      <w:r w:rsidR="007057C1" w:rsidRPr="00A748CB">
        <w:rPr>
          <w:bCs/>
          <w:iCs/>
        </w:rPr>
        <w:t>(</w:t>
      </w:r>
      <w:r w:rsidR="007057C1" w:rsidRPr="00A748CB">
        <w:rPr>
          <w:bCs/>
          <w:iCs/>
          <w:color w:val="7F7F7F" w:themeColor="text1" w:themeTint="80"/>
        </w:rPr>
        <w:t>DP 2017, p.8</w:t>
      </w:r>
      <w:r w:rsidR="007057C1" w:rsidRPr="00A748CB">
        <w:rPr>
          <w:bCs/>
          <w:iCs/>
        </w:rPr>
        <w:t>)</w:t>
      </w:r>
      <w:r w:rsidRPr="00A748CB">
        <w:rPr>
          <w:bCs/>
          <w:iCs/>
        </w:rPr>
        <w:t>, i.e. to regularly examine whether external developments demand an adjustment of the course (</w:t>
      </w:r>
      <w:r w:rsidRPr="00A748CB">
        <w:rPr>
          <w:bCs/>
          <w:iCs/>
          <w:color w:val="7F7F7F" w:themeColor="text1" w:themeTint="80"/>
        </w:rPr>
        <w:t>DP 2017, p.17</w:t>
      </w:r>
      <w:r w:rsidRPr="00A748CB">
        <w:rPr>
          <w:bCs/>
          <w:iCs/>
        </w:rPr>
        <w:t>),</w:t>
      </w:r>
    </w:p>
    <w:p w14:paraId="59997CFC" w14:textId="1C187BEB" w:rsidR="00C178BC" w:rsidRPr="009B720F" w:rsidRDefault="00C178BC" w:rsidP="00E74925">
      <w:pPr>
        <w:pStyle w:val="TEXTBODY"/>
        <w:spacing w:after="60" w:line="276" w:lineRule="auto"/>
        <w:rPr>
          <w:bCs/>
        </w:rPr>
      </w:pPr>
      <w:r w:rsidRPr="00A748CB">
        <w:rPr>
          <w:bCs/>
        </w:rPr>
        <w:lastRenderedPageBreak/>
        <w:t xml:space="preserve">From 2015 onwards, the DP has conducted its MAA system, and has </w:t>
      </w:r>
      <w:r w:rsidRPr="009B720F">
        <w:rPr>
          <w:bCs/>
        </w:rPr>
        <w:t>gained experience on monitoring and reassessment</w:t>
      </w:r>
      <w:r w:rsidRPr="009B720F">
        <w:rPr>
          <w:rStyle w:val="Refdenotaderodap"/>
          <w:bCs/>
          <w:highlight w:val="lightGray"/>
        </w:rPr>
        <w:footnoteReference w:id="122"/>
      </w:r>
      <w:r w:rsidR="00A748CB">
        <w:rPr>
          <w:bCs/>
        </w:rPr>
        <w:t xml:space="preserve">; </w:t>
      </w:r>
      <w:r w:rsidRPr="009B720F">
        <w:rPr>
          <w:bCs/>
        </w:rPr>
        <w:t xml:space="preserve">the DP has clarified what should happen if its underlying assumptions change and how to establish feedbacks between the monitoring system and the learning </w:t>
      </w:r>
      <w:r w:rsidR="00F859BC" w:rsidRPr="009B720F">
        <w:rPr>
          <w:bCs/>
        </w:rPr>
        <w:t xml:space="preserve">(based </w:t>
      </w:r>
      <w:r w:rsidR="00F859BC" w:rsidRPr="00A748CB">
        <w:rPr>
          <w:bCs/>
        </w:rPr>
        <w:t xml:space="preserve">on monitoring results) </w:t>
      </w:r>
      <w:r w:rsidRPr="00A748CB">
        <w:rPr>
          <w:bCs/>
        </w:rPr>
        <w:t xml:space="preserve">required for policy adjustment </w:t>
      </w:r>
      <w:r w:rsidR="006F7293" w:rsidRPr="00A748CB">
        <w:rPr>
          <w:bCs/>
        </w:rPr>
        <w:t xml:space="preserve">(this aspect is deemed necessary by </w:t>
      </w:r>
      <w:proofErr w:type="spellStart"/>
      <w:r w:rsidR="006F7293" w:rsidRPr="00A748CB">
        <w:rPr>
          <w:bCs/>
          <w:color w:val="7F7F7F" w:themeColor="text1" w:themeTint="80"/>
        </w:rPr>
        <w:t>Restemeyer</w:t>
      </w:r>
      <w:proofErr w:type="spellEnd"/>
      <w:r w:rsidR="006F7293" w:rsidRPr="00A748CB">
        <w:rPr>
          <w:bCs/>
          <w:color w:val="7F7F7F" w:themeColor="text1" w:themeTint="80"/>
        </w:rPr>
        <w:t xml:space="preserve"> et al. 2017</w:t>
      </w:r>
      <w:r w:rsidRPr="00A748CB">
        <w:rPr>
          <w:bCs/>
        </w:rPr>
        <w:t>).</w:t>
      </w:r>
    </w:p>
    <w:p w14:paraId="68455FEA" w14:textId="7256AA54" w:rsidR="00354CF8" w:rsidRPr="009B720F" w:rsidRDefault="00A748CB" w:rsidP="00E74925">
      <w:pPr>
        <w:pStyle w:val="TEXTBODY"/>
        <w:spacing w:line="276" w:lineRule="auto"/>
        <w:rPr>
          <w:bCs/>
        </w:rPr>
      </w:pPr>
      <w:r w:rsidRPr="009B720F">
        <w:rPr>
          <w:bCs/>
          <w:noProof/>
        </w:rPr>
        <mc:AlternateContent>
          <mc:Choice Requires="wps">
            <w:drawing>
              <wp:anchor distT="45720" distB="45720" distL="114300" distR="114300" simplePos="0" relativeHeight="252684800" behindDoc="1" locked="0" layoutInCell="1" allowOverlap="1" wp14:anchorId="44E5D0E2" wp14:editId="60E5A20E">
                <wp:simplePos x="0" y="0"/>
                <wp:positionH relativeFrom="column">
                  <wp:posOffset>-635</wp:posOffset>
                </wp:positionH>
                <wp:positionV relativeFrom="paragraph">
                  <wp:posOffset>35560</wp:posOffset>
                </wp:positionV>
                <wp:extent cx="6276975" cy="1762125"/>
                <wp:effectExtent l="0" t="0" r="9525" b="9525"/>
                <wp:wrapNone/>
                <wp:docPr id="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1762125"/>
                        </a:xfrm>
                        <a:prstGeom prst="rect">
                          <a:avLst/>
                        </a:prstGeom>
                        <a:solidFill>
                          <a:schemeClr val="bg1">
                            <a:lumMod val="95000"/>
                          </a:schemeClr>
                        </a:solidFill>
                        <a:ln w="9525">
                          <a:noFill/>
                          <a:miter lim="800000"/>
                          <a:headEnd/>
                          <a:tailEnd/>
                        </a:ln>
                      </wps:spPr>
                      <wps:txbx>
                        <w:txbxContent>
                          <w:p w14:paraId="710C2385" w14:textId="77777777" w:rsidR="00050AA2" w:rsidRPr="00A748CB" w:rsidRDefault="00E43D5A" w:rsidP="004D5D51">
                            <w:pPr>
                              <w:spacing w:line="240" w:lineRule="auto"/>
                              <w:rPr>
                                <w:rFonts w:cs="Arial"/>
                                <w:sz w:val="14"/>
                                <w:szCs w:val="14"/>
                              </w:rPr>
                            </w:pPr>
                            <w:r w:rsidRPr="00A748CB">
                              <w:rPr>
                                <w:rFonts w:cs="Arial"/>
                                <w:sz w:val="14"/>
                                <w:szCs w:val="14"/>
                              </w:rPr>
                              <w:t>For</w:t>
                            </w:r>
                            <w:r w:rsidRPr="00A748CB">
                              <w:rPr>
                                <w:rFonts w:cs="Arial"/>
                                <w:color w:val="595959" w:themeColor="text1" w:themeTint="A6"/>
                                <w:sz w:val="14"/>
                                <w:szCs w:val="14"/>
                              </w:rPr>
                              <w:t xml:space="preserve"> </w:t>
                            </w:r>
                            <w:proofErr w:type="spellStart"/>
                            <w:r w:rsidR="002D24CB" w:rsidRPr="00A748CB">
                              <w:rPr>
                                <w:rFonts w:cs="Arial"/>
                                <w:color w:val="595959" w:themeColor="text1" w:themeTint="A6"/>
                                <w:sz w:val="14"/>
                                <w:szCs w:val="14"/>
                              </w:rPr>
                              <w:t>Jeuken</w:t>
                            </w:r>
                            <w:proofErr w:type="spellEnd"/>
                            <w:r w:rsidR="002D24CB" w:rsidRPr="00A748CB">
                              <w:rPr>
                                <w:rFonts w:cs="Arial"/>
                                <w:color w:val="595959" w:themeColor="text1" w:themeTint="A6"/>
                                <w:sz w:val="14"/>
                                <w:szCs w:val="14"/>
                              </w:rPr>
                              <w:t xml:space="preserve"> et al. (2014)</w:t>
                            </w:r>
                            <w:r w:rsidR="002D24CB" w:rsidRPr="00A748CB">
                              <w:rPr>
                                <w:rFonts w:cs="Arial"/>
                                <w:sz w:val="14"/>
                                <w:szCs w:val="14"/>
                              </w:rPr>
                              <w:t xml:space="preserve">, one of the </w:t>
                            </w:r>
                            <w:r w:rsidRPr="00A748CB">
                              <w:rPr>
                                <w:rFonts w:cs="Arial"/>
                                <w:sz w:val="14"/>
                                <w:szCs w:val="14"/>
                              </w:rPr>
                              <w:t>main / central</w:t>
                            </w:r>
                            <w:r w:rsidR="002D24CB" w:rsidRPr="00A748CB">
                              <w:rPr>
                                <w:rFonts w:cs="Arial"/>
                                <w:sz w:val="14"/>
                                <w:szCs w:val="14"/>
                              </w:rPr>
                              <w:t xml:space="preserve"> elements of an Adaptive Planning approach consists of monitoring relevant changes and new information and</w:t>
                            </w:r>
                            <w:r w:rsidRPr="00A748CB">
                              <w:rPr>
                                <w:rFonts w:cs="Arial"/>
                                <w:sz w:val="14"/>
                                <w:szCs w:val="14"/>
                              </w:rPr>
                              <w:t xml:space="preserve"> (in accordance) </w:t>
                            </w:r>
                            <w:r w:rsidR="002D24CB" w:rsidRPr="00A748CB">
                              <w:rPr>
                                <w:rFonts w:cs="Arial"/>
                                <w:sz w:val="14"/>
                                <w:szCs w:val="14"/>
                              </w:rPr>
                              <w:t xml:space="preserve">reassessing the Plan, </w:t>
                            </w:r>
                            <w:r w:rsidRPr="00A748CB">
                              <w:rPr>
                                <w:rFonts w:cs="Arial"/>
                                <w:sz w:val="14"/>
                                <w:szCs w:val="14"/>
                              </w:rPr>
                              <w:t>to be able to adjust/adapt it</w:t>
                            </w:r>
                            <w:r w:rsidR="002D24CB" w:rsidRPr="00A748CB">
                              <w:rPr>
                                <w:rFonts w:cs="Arial"/>
                                <w:sz w:val="14"/>
                                <w:szCs w:val="14"/>
                              </w:rPr>
                              <w:t xml:space="preserve"> (</w:t>
                            </w:r>
                            <w:r w:rsidRPr="00A748CB">
                              <w:rPr>
                                <w:rFonts w:cs="Arial"/>
                                <w:sz w:val="14"/>
                                <w:szCs w:val="14"/>
                              </w:rPr>
                              <w:t>by redefining its policies, strategies</w:t>
                            </w:r>
                            <w:r w:rsidR="002D24CB" w:rsidRPr="00A748CB">
                              <w:rPr>
                                <w:rFonts w:cs="Arial"/>
                                <w:sz w:val="14"/>
                                <w:szCs w:val="14"/>
                              </w:rPr>
                              <w:t xml:space="preserve"> or measures) (</w:t>
                            </w:r>
                            <w:proofErr w:type="spellStart"/>
                            <w:r w:rsidR="002D24CB" w:rsidRPr="00A748CB">
                              <w:rPr>
                                <w:rFonts w:cs="Arial"/>
                                <w:color w:val="7F7F7F" w:themeColor="text1" w:themeTint="80"/>
                                <w:sz w:val="14"/>
                                <w:szCs w:val="14"/>
                              </w:rPr>
                              <w:t>Jeuken</w:t>
                            </w:r>
                            <w:proofErr w:type="spellEnd"/>
                            <w:r w:rsidR="002D24CB" w:rsidRPr="00A748CB">
                              <w:rPr>
                                <w:rFonts w:cs="Arial"/>
                                <w:color w:val="7F7F7F" w:themeColor="text1" w:themeTint="80"/>
                                <w:sz w:val="14"/>
                                <w:szCs w:val="14"/>
                              </w:rPr>
                              <w:t xml:space="preserve"> et al. 2014, p.1, 3, 23</w:t>
                            </w:r>
                            <w:r w:rsidR="002D24CB" w:rsidRPr="00A748CB">
                              <w:rPr>
                                <w:rFonts w:cs="Arial"/>
                                <w:sz w:val="14"/>
                                <w:szCs w:val="14"/>
                              </w:rPr>
                              <w:t>). The monitoring and reassessment system should be accounted for in the Plan itself.</w:t>
                            </w:r>
                          </w:p>
                          <w:p w14:paraId="0ED4B8E3" w14:textId="15CC8BBF" w:rsidR="00050AA2" w:rsidRPr="00A748CB" w:rsidRDefault="00050AA2" w:rsidP="004D5D51">
                            <w:pPr>
                              <w:spacing w:line="240" w:lineRule="auto"/>
                              <w:rPr>
                                <w:rFonts w:cs="Arial"/>
                                <w:sz w:val="14"/>
                                <w:szCs w:val="14"/>
                              </w:rPr>
                            </w:pPr>
                            <w:proofErr w:type="spellStart"/>
                            <w:r w:rsidRPr="00A748CB">
                              <w:rPr>
                                <w:rFonts w:cs="Arial"/>
                                <w:color w:val="7F7F7F" w:themeColor="text1" w:themeTint="80"/>
                                <w:sz w:val="14"/>
                                <w:szCs w:val="14"/>
                              </w:rPr>
                              <w:t>Restemeyer</w:t>
                            </w:r>
                            <w:proofErr w:type="spellEnd"/>
                            <w:r w:rsidRPr="00A748CB">
                              <w:rPr>
                                <w:rFonts w:cs="Arial"/>
                                <w:color w:val="7F7F7F" w:themeColor="text1" w:themeTint="80"/>
                                <w:sz w:val="14"/>
                                <w:szCs w:val="14"/>
                              </w:rPr>
                              <w:t xml:space="preserve"> et al. (2017) </w:t>
                            </w:r>
                            <w:r w:rsidRPr="00A748CB">
                              <w:rPr>
                                <w:rFonts w:cs="Arial"/>
                                <w:sz w:val="14"/>
                                <w:szCs w:val="14"/>
                              </w:rPr>
                              <w:t>suggest that one of the essential conditions to make a long-term FRM policy / plan more ‘adaptive’ is ‘</w:t>
                            </w:r>
                            <w:r w:rsidRPr="00A748CB">
                              <w:rPr>
                                <w:rFonts w:cs="Arial"/>
                                <w:i/>
                                <w:sz w:val="14"/>
                                <w:szCs w:val="14"/>
                              </w:rPr>
                              <w:t>an agile governance process</w:t>
                            </w:r>
                            <w:r w:rsidRPr="00A748CB">
                              <w:rPr>
                                <w:rFonts w:cs="Arial"/>
                                <w:iCs/>
                                <w:sz w:val="14"/>
                                <w:szCs w:val="14"/>
                              </w:rPr>
                              <w:t xml:space="preserve">’ </w:t>
                            </w:r>
                            <w:r w:rsidR="00C178BC" w:rsidRPr="00A748CB">
                              <w:rPr>
                                <w:rFonts w:cs="Arial"/>
                                <w:iCs/>
                                <w:sz w:val="14"/>
                                <w:szCs w:val="14"/>
                              </w:rPr>
                              <w:t>with the</w:t>
                            </w:r>
                            <w:r w:rsidRPr="00A748CB">
                              <w:rPr>
                                <w:rFonts w:cs="Arial"/>
                                <w:iCs/>
                                <w:sz w:val="14"/>
                                <w:szCs w:val="14"/>
                              </w:rPr>
                              <w:t xml:space="preserve"> ‘</w:t>
                            </w:r>
                            <w:r w:rsidRPr="00A748CB">
                              <w:rPr>
                                <w:rFonts w:cs="Arial"/>
                                <w:bCs/>
                                <w:i/>
                                <w:iCs/>
                                <w:sz w:val="14"/>
                                <w:szCs w:val="14"/>
                              </w:rPr>
                              <w:t>capacity to adjust based on new insights</w:t>
                            </w:r>
                            <w:r w:rsidRPr="00A748CB">
                              <w:rPr>
                                <w:rFonts w:cs="Arial"/>
                                <w:bCs/>
                                <w:sz w:val="14"/>
                                <w:szCs w:val="14"/>
                              </w:rPr>
                              <w:t>’ and</w:t>
                            </w:r>
                            <w:r w:rsidR="00C178BC" w:rsidRPr="00A748CB">
                              <w:rPr>
                                <w:rFonts w:cs="Arial"/>
                                <w:bCs/>
                                <w:sz w:val="14"/>
                                <w:szCs w:val="14"/>
                              </w:rPr>
                              <w:t xml:space="preserve"> that</w:t>
                            </w:r>
                            <w:r w:rsidRPr="00A748CB">
                              <w:rPr>
                                <w:rFonts w:cs="Arial"/>
                                <w:bCs/>
                                <w:sz w:val="14"/>
                                <w:szCs w:val="14"/>
                              </w:rPr>
                              <w:t xml:space="preserve"> ensures learning-oriented governance arrangements </w:t>
                            </w:r>
                            <w:r w:rsidRPr="00A748CB">
                              <w:rPr>
                                <w:rFonts w:cs="Arial"/>
                                <w:sz w:val="14"/>
                                <w:szCs w:val="14"/>
                              </w:rPr>
                              <w:t>(</w:t>
                            </w:r>
                            <w:proofErr w:type="spellStart"/>
                            <w:r w:rsidRPr="00A748CB">
                              <w:rPr>
                                <w:rFonts w:cs="Arial"/>
                                <w:color w:val="7F7F7F" w:themeColor="text1" w:themeTint="80"/>
                                <w:sz w:val="14"/>
                                <w:szCs w:val="14"/>
                              </w:rPr>
                              <w:t>Restemeyer</w:t>
                            </w:r>
                            <w:proofErr w:type="spellEnd"/>
                            <w:r w:rsidRPr="00A748CB">
                              <w:rPr>
                                <w:rFonts w:cs="Arial"/>
                                <w:color w:val="7F7F7F" w:themeColor="text1" w:themeTint="80"/>
                                <w:sz w:val="14"/>
                                <w:szCs w:val="14"/>
                              </w:rPr>
                              <w:t xml:space="preserve"> et al. 2017, p.922, 935</w:t>
                            </w:r>
                            <w:r w:rsidRPr="00A748CB">
                              <w:rPr>
                                <w:rFonts w:cs="Arial"/>
                                <w:sz w:val="14"/>
                                <w:szCs w:val="14"/>
                              </w:rPr>
                              <w:t>). More specifically, to ensure the</w:t>
                            </w:r>
                            <w:r w:rsidRPr="00A748CB">
                              <w:rPr>
                                <w:rFonts w:cs="Arial"/>
                                <w:i/>
                                <w:iCs/>
                                <w:sz w:val="14"/>
                                <w:szCs w:val="14"/>
                              </w:rPr>
                              <w:t xml:space="preserve"> adaptability</w:t>
                            </w:r>
                            <w:r w:rsidRPr="00A748CB">
                              <w:rPr>
                                <w:rFonts w:cs="Arial"/>
                                <w:sz w:val="14"/>
                                <w:szCs w:val="14"/>
                              </w:rPr>
                              <w:t xml:space="preserve"> of the plan, a sound monitoring and learning system must be in place, and it must evaluate external developments and existing practices and detect moments when the strategies must be adjusted. It is important to clarify </w:t>
                            </w:r>
                            <w:r w:rsidRPr="00A748CB">
                              <w:rPr>
                                <w:rFonts w:cs="Arial"/>
                                <w:i/>
                                <w:sz w:val="14"/>
                                <w:szCs w:val="14"/>
                              </w:rPr>
                              <w:t>what to monitor</w:t>
                            </w:r>
                            <w:r w:rsidRPr="00A748CB">
                              <w:rPr>
                                <w:rFonts w:cs="Arial"/>
                                <w:sz w:val="14"/>
                                <w:szCs w:val="14"/>
                              </w:rPr>
                              <w:t xml:space="preserve">, </w:t>
                            </w:r>
                            <w:r w:rsidRPr="00A748CB">
                              <w:rPr>
                                <w:rFonts w:cs="Arial"/>
                                <w:i/>
                                <w:sz w:val="14"/>
                                <w:szCs w:val="14"/>
                              </w:rPr>
                              <w:t>with whom to discuss the results</w:t>
                            </w:r>
                            <w:r w:rsidRPr="00A748CB">
                              <w:rPr>
                                <w:rFonts w:cs="Arial"/>
                                <w:sz w:val="14"/>
                                <w:szCs w:val="14"/>
                              </w:rPr>
                              <w:t xml:space="preserve"> and </w:t>
                            </w:r>
                            <w:r w:rsidRPr="00A748CB">
                              <w:rPr>
                                <w:rFonts w:cs="Arial"/>
                                <w:i/>
                                <w:sz w:val="14"/>
                                <w:szCs w:val="14"/>
                              </w:rPr>
                              <w:t xml:space="preserve">when to </w:t>
                            </w:r>
                            <w:proofErr w:type="gramStart"/>
                            <w:r w:rsidRPr="00A748CB">
                              <w:rPr>
                                <w:rFonts w:cs="Arial"/>
                                <w:i/>
                                <w:sz w:val="14"/>
                                <w:szCs w:val="14"/>
                              </w:rPr>
                              <w:t>take action</w:t>
                            </w:r>
                            <w:proofErr w:type="gramEnd"/>
                            <w:r w:rsidRPr="00A748CB">
                              <w:rPr>
                                <w:rFonts w:cs="Arial"/>
                                <w:sz w:val="14"/>
                                <w:szCs w:val="14"/>
                              </w:rPr>
                              <w:t xml:space="preserve"> (</w:t>
                            </w:r>
                            <w:proofErr w:type="spellStart"/>
                            <w:r w:rsidRPr="00A748CB">
                              <w:rPr>
                                <w:rFonts w:cs="Arial"/>
                                <w:color w:val="7F7F7F" w:themeColor="text1" w:themeTint="80"/>
                                <w:sz w:val="14"/>
                                <w:szCs w:val="14"/>
                              </w:rPr>
                              <w:t>Restemeyer</w:t>
                            </w:r>
                            <w:proofErr w:type="spellEnd"/>
                            <w:r w:rsidRPr="00A748CB">
                              <w:rPr>
                                <w:rFonts w:cs="Arial"/>
                                <w:color w:val="7F7F7F" w:themeColor="text1" w:themeTint="80"/>
                                <w:sz w:val="14"/>
                                <w:szCs w:val="14"/>
                              </w:rPr>
                              <w:t xml:space="preserve"> et al. 2017</w:t>
                            </w:r>
                            <w:r w:rsidRPr="00A748CB">
                              <w:rPr>
                                <w:rFonts w:cs="Arial"/>
                                <w:sz w:val="14"/>
                                <w:szCs w:val="14"/>
                              </w:rPr>
                              <w:t>). Regarding the D</w:t>
                            </w:r>
                            <w:r w:rsidR="00C178BC" w:rsidRPr="00A748CB">
                              <w:rPr>
                                <w:rFonts w:cs="Arial"/>
                                <w:sz w:val="14"/>
                                <w:szCs w:val="14"/>
                              </w:rPr>
                              <w:t>P</w:t>
                            </w:r>
                            <w:r w:rsidRPr="00A748CB">
                              <w:rPr>
                                <w:rFonts w:cs="Arial"/>
                                <w:sz w:val="14"/>
                                <w:szCs w:val="14"/>
                              </w:rPr>
                              <w:t xml:space="preserve">, the authors </w:t>
                            </w:r>
                            <w:r w:rsidR="00C178BC" w:rsidRPr="00A748CB">
                              <w:rPr>
                                <w:rFonts w:cs="Arial"/>
                                <w:sz w:val="14"/>
                                <w:szCs w:val="14"/>
                              </w:rPr>
                              <w:t xml:space="preserve">advocated </w:t>
                            </w:r>
                            <w:r w:rsidRPr="00A748CB">
                              <w:rPr>
                                <w:rFonts w:cs="Arial"/>
                                <w:sz w:val="14"/>
                                <w:szCs w:val="14"/>
                              </w:rPr>
                              <w:t xml:space="preserve">that </w:t>
                            </w:r>
                            <w:r w:rsidR="00C178BC" w:rsidRPr="00A748CB">
                              <w:rPr>
                                <w:rFonts w:cs="Arial"/>
                                <w:sz w:val="14"/>
                                <w:szCs w:val="14"/>
                              </w:rPr>
                              <w:t xml:space="preserve">the </w:t>
                            </w:r>
                            <w:r w:rsidRPr="00A748CB">
                              <w:rPr>
                                <w:rFonts w:cs="Arial"/>
                                <w:sz w:val="14"/>
                                <w:szCs w:val="14"/>
                              </w:rPr>
                              <w:t>monitoring and revaluation system should be institutionalized to increase the adaptability of the Plan</w:t>
                            </w:r>
                            <w:r w:rsidR="00C178BC" w:rsidRPr="00A748CB">
                              <w:rPr>
                                <w:rFonts w:cs="Arial"/>
                                <w:sz w:val="14"/>
                                <w:szCs w:val="14"/>
                              </w:rPr>
                              <w:t xml:space="preserve">, and that this </w:t>
                            </w:r>
                            <w:r w:rsidRPr="00A748CB">
                              <w:rPr>
                                <w:rFonts w:cs="Arial"/>
                                <w:sz w:val="14"/>
                                <w:szCs w:val="14"/>
                              </w:rPr>
                              <w:t xml:space="preserve">system must regularly </w:t>
                            </w:r>
                            <w:r w:rsidRPr="00A748CB">
                              <w:rPr>
                                <w:rFonts w:cs="Arial"/>
                                <w:iCs/>
                                <w:sz w:val="14"/>
                                <w:szCs w:val="14"/>
                              </w:rPr>
                              <w:t>review, and, if necessary, update the</w:t>
                            </w:r>
                            <w:r w:rsidRPr="00A748CB">
                              <w:rPr>
                                <w:rFonts w:cs="Arial"/>
                                <w:sz w:val="14"/>
                                <w:szCs w:val="14"/>
                              </w:rPr>
                              <w:t xml:space="preserve"> DP’s assumptions and other policy instruments</w:t>
                            </w:r>
                            <w:r w:rsidR="00C178BC" w:rsidRPr="00A748CB">
                              <w:rPr>
                                <w:rFonts w:cs="Arial"/>
                                <w:sz w:val="14"/>
                                <w:szCs w:val="14"/>
                              </w:rPr>
                              <w:t>, which implied</w:t>
                            </w:r>
                            <w:r w:rsidRPr="00A748CB">
                              <w:rPr>
                                <w:rFonts w:cs="Arial"/>
                                <w:sz w:val="14"/>
                                <w:szCs w:val="14"/>
                              </w:rPr>
                              <w:t xml:space="preserve"> ways of incorporating monitoring results and learnings into the planning and management process (preferably before reassessing </w:t>
                            </w:r>
                            <w:r w:rsidRPr="00A748CB">
                              <w:rPr>
                                <w:rFonts w:cs="Arial"/>
                                <w:i/>
                                <w:iCs/>
                                <w:sz w:val="14"/>
                                <w:szCs w:val="14"/>
                              </w:rPr>
                              <w:t>Strategies</w:t>
                            </w:r>
                            <w:r w:rsidRPr="00A748CB">
                              <w:rPr>
                                <w:rFonts w:cs="Arial"/>
                                <w:sz w:val="14"/>
                                <w:szCs w:val="14"/>
                              </w:rPr>
                              <w:t>) (</w:t>
                            </w:r>
                            <w:proofErr w:type="spellStart"/>
                            <w:r w:rsidRPr="00A748CB">
                              <w:rPr>
                                <w:rFonts w:cs="Arial"/>
                                <w:color w:val="7F7F7F" w:themeColor="text1" w:themeTint="80"/>
                                <w:sz w:val="14"/>
                                <w:szCs w:val="14"/>
                              </w:rPr>
                              <w:t>Restemeyer</w:t>
                            </w:r>
                            <w:proofErr w:type="spellEnd"/>
                            <w:r w:rsidRPr="00A748CB">
                              <w:rPr>
                                <w:rFonts w:cs="Arial"/>
                                <w:color w:val="7F7F7F" w:themeColor="text1" w:themeTint="80"/>
                                <w:sz w:val="14"/>
                                <w:szCs w:val="14"/>
                              </w:rPr>
                              <w:t xml:space="preserve"> et al. 2017</w:t>
                            </w:r>
                            <w:r w:rsidR="00C178BC" w:rsidRPr="00A748CB">
                              <w:rPr>
                                <w:rFonts w:cs="Arial"/>
                                <w:color w:val="7F7F7F" w:themeColor="text1" w:themeTint="80"/>
                                <w:sz w:val="14"/>
                                <w:szCs w:val="14"/>
                              </w:rPr>
                              <w:t xml:space="preserve">, </w:t>
                            </w:r>
                            <w:proofErr w:type="spellStart"/>
                            <w:r w:rsidR="00C178BC" w:rsidRPr="00A748CB">
                              <w:rPr>
                                <w:rFonts w:cs="Arial"/>
                                <w:color w:val="7F7F7F" w:themeColor="text1" w:themeTint="80"/>
                                <w:sz w:val="14"/>
                                <w:szCs w:val="14"/>
                              </w:rPr>
                              <w:t>p.xx</w:t>
                            </w:r>
                            <w:proofErr w:type="spellEnd"/>
                            <w:r w:rsidRPr="00A748CB">
                              <w:rPr>
                                <w:rFonts w:cs="Arial"/>
                                <w:sz w:val="14"/>
                                <w:szCs w:val="14"/>
                              </w:rPr>
                              <w:t xml:space="preserve">).  </w:t>
                            </w:r>
                          </w:p>
                          <w:p w14:paraId="4E2BD6A1" w14:textId="77777777" w:rsidR="004D5D51" w:rsidRPr="00A748CB" w:rsidRDefault="004D5D51" w:rsidP="004D5D51">
                            <w:pPr>
                              <w:pStyle w:val="TEXTBODY"/>
                              <w:spacing w:line="240" w:lineRule="auto"/>
                              <w:rPr>
                                <w:rFonts w:ascii="Arial" w:hAnsi="Arial" w:cs="Arial"/>
                                <w:sz w:val="14"/>
                                <w:szCs w:val="14"/>
                              </w:rPr>
                            </w:pPr>
                            <w:r w:rsidRPr="00A748CB">
                              <w:rPr>
                                <w:rFonts w:ascii="Arial" w:hAnsi="Arial" w:cs="Arial"/>
                                <w:sz w:val="14"/>
                                <w:szCs w:val="14"/>
                              </w:rPr>
                              <w:t xml:space="preserve">As a </w:t>
                            </w:r>
                            <w:r w:rsidRPr="00A748CB">
                              <w:rPr>
                                <w:rFonts w:ascii="Arial" w:hAnsi="Arial" w:cs="Arial"/>
                                <w:i/>
                                <w:iCs/>
                                <w:sz w:val="14"/>
                                <w:szCs w:val="14"/>
                              </w:rPr>
                              <w:t>flexible adaptive approach</w:t>
                            </w:r>
                            <w:r w:rsidRPr="00A748CB">
                              <w:rPr>
                                <w:rFonts w:ascii="Arial" w:hAnsi="Arial" w:cs="Arial"/>
                                <w:sz w:val="14"/>
                                <w:szCs w:val="14"/>
                              </w:rPr>
                              <w:t>, ADM requires continuous monitoring and evaluation (</w:t>
                            </w:r>
                            <w:r w:rsidRPr="00A748CB">
                              <w:rPr>
                                <w:rFonts w:ascii="Arial" w:hAnsi="Arial" w:cs="Arial"/>
                                <w:color w:val="7F7F7F" w:themeColor="text1" w:themeTint="80"/>
                                <w:sz w:val="14"/>
                                <w:szCs w:val="14"/>
                              </w:rPr>
                              <w:t>Zevenbergen et al. 2018, p.6</w:t>
                            </w:r>
                            <w:r w:rsidRPr="00A748CB">
                              <w:rPr>
                                <w:rFonts w:ascii="Arial" w:hAnsi="Arial" w:cs="Arial"/>
                                <w:sz w:val="14"/>
                                <w:szCs w:val="14"/>
                              </w:rPr>
                              <w:t xml:space="preserve">). As noted by </w:t>
                            </w:r>
                            <w:r w:rsidRPr="00A748CB">
                              <w:rPr>
                                <w:rFonts w:ascii="Arial" w:hAnsi="Arial" w:cs="Arial"/>
                                <w:color w:val="7F7F7F" w:themeColor="text1" w:themeTint="80"/>
                                <w:sz w:val="14"/>
                                <w:szCs w:val="14"/>
                              </w:rPr>
                              <w:t>Zevenbergen et al.</w:t>
                            </w:r>
                            <w:r w:rsidRPr="00A748CB">
                              <w:rPr>
                                <w:rFonts w:ascii="Arial" w:hAnsi="Arial" w:cs="Arial"/>
                                <w:sz w:val="14"/>
                                <w:szCs w:val="14"/>
                              </w:rPr>
                              <w:t xml:space="preserve">, in a </w:t>
                            </w:r>
                            <w:r w:rsidRPr="00A748CB">
                              <w:rPr>
                                <w:rFonts w:ascii="Arial" w:hAnsi="Arial" w:cs="Arial"/>
                                <w:i/>
                                <w:iCs/>
                                <w:sz w:val="14"/>
                                <w:szCs w:val="14"/>
                              </w:rPr>
                              <w:t>flexible adaptive (management) approach</w:t>
                            </w:r>
                            <w:r w:rsidRPr="00A748CB">
                              <w:rPr>
                                <w:rFonts w:ascii="Arial" w:hAnsi="Arial" w:cs="Arial"/>
                                <w:sz w:val="14"/>
                                <w:szCs w:val="14"/>
                              </w:rPr>
                              <w:t>, flexibility</w:t>
                            </w:r>
                            <w:r w:rsidRPr="00A748CB">
                              <w:rPr>
                                <w:rFonts w:ascii="Arial" w:hAnsi="Arial" w:cs="Arial"/>
                                <w:i/>
                                <w:iCs/>
                                <w:sz w:val="14"/>
                                <w:szCs w:val="14"/>
                              </w:rPr>
                              <w:t xml:space="preserve"> </w:t>
                            </w:r>
                            <w:r w:rsidRPr="00A748CB">
                              <w:rPr>
                                <w:rFonts w:ascii="Arial" w:hAnsi="Arial" w:cs="Arial"/>
                                <w:sz w:val="14"/>
                                <w:szCs w:val="14"/>
                              </w:rPr>
                              <w:t xml:space="preserve">depends on the </w:t>
                            </w:r>
                            <w:r w:rsidRPr="00A748CB">
                              <w:rPr>
                                <w:rFonts w:ascii="Arial" w:hAnsi="Arial" w:cs="Arial"/>
                                <w:i/>
                                <w:sz w:val="14"/>
                                <w:szCs w:val="14"/>
                              </w:rPr>
                              <w:t>capacity of the decision-makers to learn from the arrival of new information and their willingness and ability to revise investment decisions based upon that learning</w:t>
                            </w:r>
                            <w:r w:rsidRPr="00A748CB">
                              <w:rPr>
                                <w:rFonts w:ascii="Arial" w:hAnsi="Arial" w:cs="Arial"/>
                                <w:iCs/>
                                <w:sz w:val="14"/>
                                <w:szCs w:val="14"/>
                              </w:rPr>
                              <w:t xml:space="preserve"> </w:t>
                            </w:r>
                            <w:r w:rsidRPr="00A748CB">
                              <w:rPr>
                                <w:rFonts w:ascii="Arial" w:hAnsi="Arial" w:cs="Arial"/>
                                <w:sz w:val="14"/>
                                <w:szCs w:val="14"/>
                              </w:rPr>
                              <w:t>(</w:t>
                            </w:r>
                            <w:r w:rsidRPr="00A748CB">
                              <w:rPr>
                                <w:rFonts w:ascii="Arial" w:hAnsi="Arial" w:cs="Arial"/>
                                <w:color w:val="7F7F7F" w:themeColor="text1" w:themeTint="80"/>
                                <w:sz w:val="14"/>
                                <w:szCs w:val="14"/>
                              </w:rPr>
                              <w:t>Zevenbergen et al. 2018, p.1</w:t>
                            </w:r>
                            <w:r w:rsidRPr="00A748CB">
                              <w:rPr>
                                <w:rFonts w:ascii="Arial" w:hAnsi="Arial" w:cs="Arial"/>
                                <w:sz w:val="14"/>
                                <w:szCs w:val="14"/>
                              </w:rPr>
                              <w:t xml:space="preserve">). </w:t>
                            </w:r>
                          </w:p>
                          <w:p w14:paraId="09D36BA1" w14:textId="77777777" w:rsidR="00050AA2" w:rsidRPr="00A748CB" w:rsidRDefault="00050AA2" w:rsidP="004D5D51">
                            <w:pPr>
                              <w:spacing w:line="240" w:lineRule="auto"/>
                              <w:rPr>
                                <w:rFonts w:cs="Arial"/>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E5D0E2" id="_x0000_s1038" type="#_x0000_t202" style="position:absolute;left:0;text-align:left;margin-left:-.05pt;margin-top:2.8pt;width:494.25pt;height:138.75pt;z-index:-250631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" fillcolor="#f2f2f2 [3052]" stroked="f">
                <v:textbox>
                  <w:txbxContent>
                    <w:p w14:paraId="710C2385" w14:textId="77777777" w:rsidR="00050AA2" w:rsidRPr="00A748CB" w:rsidRDefault="00E43D5A" w:rsidP="004D5D51">
                      <w:pPr>
                        <w:spacing w:line="240" w:lineRule="auto"/>
                        <w:rPr>
                          <w:rFonts w:cs="Arial"/>
                          <w:sz w:val="14"/>
                          <w:szCs w:val="14"/>
                        </w:rPr>
                      </w:pPr>
                      <w:r w:rsidRPr="00A748CB">
                        <w:rPr>
                          <w:rFonts w:cs="Arial"/>
                          <w:sz w:val="14"/>
                          <w:szCs w:val="14"/>
                        </w:rPr>
                        <w:t>For</w:t>
                      </w:r>
                      <w:r w:rsidRPr="00A748CB">
                        <w:rPr>
                          <w:rFonts w:cs="Arial"/>
                          <w:color w:val="595959" w:themeColor="text1" w:themeTint="A6"/>
                          <w:sz w:val="14"/>
                          <w:szCs w:val="14"/>
                        </w:rPr>
                        <w:t xml:space="preserve"> </w:t>
                      </w:r>
                      <w:proofErr w:type="spellStart"/>
                      <w:r w:rsidR="002D24CB" w:rsidRPr="00A748CB">
                        <w:rPr>
                          <w:rFonts w:cs="Arial"/>
                          <w:color w:val="595959" w:themeColor="text1" w:themeTint="A6"/>
                          <w:sz w:val="14"/>
                          <w:szCs w:val="14"/>
                        </w:rPr>
                        <w:t>Jeuken</w:t>
                      </w:r>
                      <w:proofErr w:type="spellEnd"/>
                      <w:r w:rsidR="002D24CB" w:rsidRPr="00A748CB">
                        <w:rPr>
                          <w:rFonts w:cs="Arial"/>
                          <w:color w:val="595959" w:themeColor="text1" w:themeTint="A6"/>
                          <w:sz w:val="14"/>
                          <w:szCs w:val="14"/>
                        </w:rPr>
                        <w:t xml:space="preserve"> et al. (2014)</w:t>
                      </w:r>
                      <w:r w:rsidR="002D24CB" w:rsidRPr="00A748CB">
                        <w:rPr>
                          <w:rFonts w:cs="Arial"/>
                          <w:sz w:val="14"/>
                          <w:szCs w:val="14"/>
                        </w:rPr>
                        <w:t xml:space="preserve">, one of the </w:t>
                      </w:r>
                      <w:r w:rsidRPr="00A748CB">
                        <w:rPr>
                          <w:rFonts w:cs="Arial"/>
                          <w:sz w:val="14"/>
                          <w:szCs w:val="14"/>
                        </w:rPr>
                        <w:t>main / central</w:t>
                      </w:r>
                      <w:r w:rsidR="002D24CB" w:rsidRPr="00A748CB">
                        <w:rPr>
                          <w:rFonts w:cs="Arial"/>
                          <w:sz w:val="14"/>
                          <w:szCs w:val="14"/>
                        </w:rPr>
                        <w:t xml:space="preserve"> elements of an Adaptive Planning approach consists of monitoring relevant changes and new information and</w:t>
                      </w:r>
                      <w:r w:rsidRPr="00A748CB">
                        <w:rPr>
                          <w:rFonts w:cs="Arial"/>
                          <w:sz w:val="14"/>
                          <w:szCs w:val="14"/>
                        </w:rPr>
                        <w:t xml:space="preserve"> (in accordance) </w:t>
                      </w:r>
                      <w:r w:rsidR="002D24CB" w:rsidRPr="00A748CB">
                        <w:rPr>
                          <w:rFonts w:cs="Arial"/>
                          <w:sz w:val="14"/>
                          <w:szCs w:val="14"/>
                        </w:rPr>
                        <w:t xml:space="preserve">reassessing the Plan, </w:t>
                      </w:r>
                      <w:r w:rsidRPr="00A748CB">
                        <w:rPr>
                          <w:rFonts w:cs="Arial"/>
                          <w:sz w:val="14"/>
                          <w:szCs w:val="14"/>
                        </w:rPr>
                        <w:t>to be able to adjust/adapt it</w:t>
                      </w:r>
                      <w:r w:rsidR="002D24CB" w:rsidRPr="00A748CB">
                        <w:rPr>
                          <w:rFonts w:cs="Arial"/>
                          <w:sz w:val="14"/>
                          <w:szCs w:val="14"/>
                        </w:rPr>
                        <w:t xml:space="preserve"> (</w:t>
                      </w:r>
                      <w:r w:rsidRPr="00A748CB">
                        <w:rPr>
                          <w:rFonts w:cs="Arial"/>
                          <w:sz w:val="14"/>
                          <w:szCs w:val="14"/>
                        </w:rPr>
                        <w:t>by redefining its policies, strategies</w:t>
                      </w:r>
                      <w:r w:rsidR="002D24CB" w:rsidRPr="00A748CB">
                        <w:rPr>
                          <w:rFonts w:cs="Arial"/>
                          <w:sz w:val="14"/>
                          <w:szCs w:val="14"/>
                        </w:rPr>
                        <w:t xml:space="preserve"> or measures) (</w:t>
                      </w:r>
                      <w:proofErr w:type="spellStart"/>
                      <w:r w:rsidR="002D24CB" w:rsidRPr="00A748CB">
                        <w:rPr>
                          <w:rFonts w:cs="Arial"/>
                          <w:color w:val="7F7F7F" w:themeColor="text1" w:themeTint="80"/>
                          <w:sz w:val="14"/>
                          <w:szCs w:val="14"/>
                        </w:rPr>
                        <w:t>Jeuken</w:t>
                      </w:r>
                      <w:proofErr w:type="spellEnd"/>
                      <w:r w:rsidR="002D24CB" w:rsidRPr="00A748CB">
                        <w:rPr>
                          <w:rFonts w:cs="Arial"/>
                          <w:color w:val="7F7F7F" w:themeColor="text1" w:themeTint="80"/>
                          <w:sz w:val="14"/>
                          <w:szCs w:val="14"/>
                        </w:rPr>
                        <w:t xml:space="preserve"> et al. 2014, p.1, 3, 23</w:t>
                      </w:r>
                      <w:r w:rsidR="002D24CB" w:rsidRPr="00A748CB">
                        <w:rPr>
                          <w:rFonts w:cs="Arial"/>
                          <w:sz w:val="14"/>
                          <w:szCs w:val="14"/>
                        </w:rPr>
                        <w:t>). The monitoring and reassessment system should be accounted for in the Plan itself.</w:t>
                      </w:r>
                    </w:p>
                    <w:p w14:paraId="0ED4B8E3" w14:textId="15CC8BBF" w:rsidR="00050AA2" w:rsidRPr="00A748CB" w:rsidRDefault="00050AA2" w:rsidP="004D5D51">
                      <w:pPr>
                        <w:spacing w:line="240" w:lineRule="auto"/>
                        <w:rPr>
                          <w:rFonts w:cs="Arial"/>
                          <w:sz w:val="14"/>
                          <w:szCs w:val="14"/>
                        </w:rPr>
                      </w:pPr>
                      <w:proofErr w:type="spellStart"/>
                      <w:r w:rsidRPr="00A748CB">
                        <w:rPr>
                          <w:rFonts w:cs="Arial"/>
                          <w:color w:val="7F7F7F" w:themeColor="text1" w:themeTint="80"/>
                          <w:sz w:val="14"/>
                          <w:szCs w:val="14"/>
                        </w:rPr>
                        <w:t>Restemeyer</w:t>
                      </w:r>
                      <w:proofErr w:type="spellEnd"/>
                      <w:r w:rsidRPr="00A748CB">
                        <w:rPr>
                          <w:rFonts w:cs="Arial"/>
                          <w:color w:val="7F7F7F" w:themeColor="text1" w:themeTint="80"/>
                          <w:sz w:val="14"/>
                          <w:szCs w:val="14"/>
                        </w:rPr>
                        <w:t xml:space="preserve"> et al. (2017) </w:t>
                      </w:r>
                      <w:r w:rsidRPr="00A748CB">
                        <w:rPr>
                          <w:rFonts w:cs="Arial"/>
                          <w:sz w:val="14"/>
                          <w:szCs w:val="14"/>
                        </w:rPr>
                        <w:t>suggest that one of the essential conditions to make a long-term FRM policy / plan more ‘adaptive’ is ‘</w:t>
                      </w:r>
                      <w:r w:rsidRPr="00A748CB">
                        <w:rPr>
                          <w:rFonts w:cs="Arial"/>
                          <w:i/>
                          <w:sz w:val="14"/>
                          <w:szCs w:val="14"/>
                        </w:rPr>
                        <w:t>an agile governance process</w:t>
                      </w:r>
                      <w:r w:rsidRPr="00A748CB">
                        <w:rPr>
                          <w:rFonts w:cs="Arial"/>
                          <w:iCs/>
                          <w:sz w:val="14"/>
                          <w:szCs w:val="14"/>
                        </w:rPr>
                        <w:t xml:space="preserve">’ </w:t>
                      </w:r>
                      <w:r w:rsidR="00C178BC" w:rsidRPr="00A748CB">
                        <w:rPr>
                          <w:rFonts w:cs="Arial"/>
                          <w:iCs/>
                          <w:sz w:val="14"/>
                          <w:szCs w:val="14"/>
                        </w:rPr>
                        <w:t>with the</w:t>
                      </w:r>
                      <w:r w:rsidRPr="00A748CB">
                        <w:rPr>
                          <w:rFonts w:cs="Arial"/>
                          <w:iCs/>
                          <w:sz w:val="14"/>
                          <w:szCs w:val="14"/>
                        </w:rPr>
                        <w:t xml:space="preserve"> ‘</w:t>
                      </w:r>
                      <w:r w:rsidRPr="00A748CB">
                        <w:rPr>
                          <w:rFonts w:cs="Arial"/>
                          <w:bCs/>
                          <w:i/>
                          <w:iCs/>
                          <w:sz w:val="14"/>
                          <w:szCs w:val="14"/>
                        </w:rPr>
                        <w:t>capacity to adjust based on new insights</w:t>
                      </w:r>
                      <w:r w:rsidRPr="00A748CB">
                        <w:rPr>
                          <w:rFonts w:cs="Arial"/>
                          <w:bCs/>
                          <w:sz w:val="14"/>
                          <w:szCs w:val="14"/>
                        </w:rPr>
                        <w:t>’ and</w:t>
                      </w:r>
                      <w:r w:rsidR="00C178BC" w:rsidRPr="00A748CB">
                        <w:rPr>
                          <w:rFonts w:cs="Arial"/>
                          <w:bCs/>
                          <w:sz w:val="14"/>
                          <w:szCs w:val="14"/>
                        </w:rPr>
                        <w:t xml:space="preserve"> that</w:t>
                      </w:r>
                      <w:r w:rsidRPr="00A748CB">
                        <w:rPr>
                          <w:rFonts w:cs="Arial"/>
                          <w:bCs/>
                          <w:sz w:val="14"/>
                          <w:szCs w:val="14"/>
                        </w:rPr>
                        <w:t xml:space="preserve"> ensures learning-oriented governance arrangements </w:t>
                      </w:r>
                      <w:r w:rsidRPr="00A748CB">
                        <w:rPr>
                          <w:rFonts w:cs="Arial"/>
                          <w:sz w:val="14"/>
                          <w:szCs w:val="14"/>
                        </w:rPr>
                        <w:t>(</w:t>
                      </w:r>
                      <w:proofErr w:type="spellStart"/>
                      <w:r w:rsidRPr="00A748CB">
                        <w:rPr>
                          <w:rFonts w:cs="Arial"/>
                          <w:color w:val="7F7F7F" w:themeColor="text1" w:themeTint="80"/>
                          <w:sz w:val="14"/>
                          <w:szCs w:val="14"/>
                        </w:rPr>
                        <w:t>Restemeyer</w:t>
                      </w:r>
                      <w:proofErr w:type="spellEnd"/>
                      <w:r w:rsidRPr="00A748CB">
                        <w:rPr>
                          <w:rFonts w:cs="Arial"/>
                          <w:color w:val="7F7F7F" w:themeColor="text1" w:themeTint="80"/>
                          <w:sz w:val="14"/>
                          <w:szCs w:val="14"/>
                        </w:rPr>
                        <w:t xml:space="preserve"> et al. 2017, p.922, 935</w:t>
                      </w:r>
                      <w:r w:rsidRPr="00A748CB">
                        <w:rPr>
                          <w:rFonts w:cs="Arial"/>
                          <w:sz w:val="14"/>
                          <w:szCs w:val="14"/>
                        </w:rPr>
                        <w:t>). More specifically, to ensure the</w:t>
                      </w:r>
                      <w:r w:rsidRPr="00A748CB">
                        <w:rPr>
                          <w:rFonts w:cs="Arial"/>
                          <w:i/>
                          <w:iCs/>
                          <w:sz w:val="14"/>
                          <w:szCs w:val="14"/>
                        </w:rPr>
                        <w:t xml:space="preserve"> adaptability</w:t>
                      </w:r>
                      <w:r w:rsidRPr="00A748CB">
                        <w:rPr>
                          <w:rFonts w:cs="Arial"/>
                          <w:sz w:val="14"/>
                          <w:szCs w:val="14"/>
                        </w:rPr>
                        <w:t xml:space="preserve"> of the plan, a sound monitoring and learning system must be in place, and it must evaluate external developments and existing practices and detect moments when the strategies must be adjusted. It is important to clarify </w:t>
                      </w:r>
                      <w:r w:rsidRPr="00A748CB">
                        <w:rPr>
                          <w:rFonts w:cs="Arial"/>
                          <w:i/>
                          <w:sz w:val="14"/>
                          <w:szCs w:val="14"/>
                        </w:rPr>
                        <w:t>what to monitor</w:t>
                      </w:r>
                      <w:r w:rsidRPr="00A748CB">
                        <w:rPr>
                          <w:rFonts w:cs="Arial"/>
                          <w:sz w:val="14"/>
                          <w:szCs w:val="14"/>
                        </w:rPr>
                        <w:t xml:space="preserve">, </w:t>
                      </w:r>
                      <w:r w:rsidRPr="00A748CB">
                        <w:rPr>
                          <w:rFonts w:cs="Arial"/>
                          <w:i/>
                          <w:sz w:val="14"/>
                          <w:szCs w:val="14"/>
                        </w:rPr>
                        <w:t>with whom to discuss the results</w:t>
                      </w:r>
                      <w:r w:rsidRPr="00A748CB">
                        <w:rPr>
                          <w:rFonts w:cs="Arial"/>
                          <w:sz w:val="14"/>
                          <w:szCs w:val="14"/>
                        </w:rPr>
                        <w:t xml:space="preserve"> and </w:t>
                      </w:r>
                      <w:r w:rsidRPr="00A748CB">
                        <w:rPr>
                          <w:rFonts w:cs="Arial"/>
                          <w:i/>
                          <w:sz w:val="14"/>
                          <w:szCs w:val="14"/>
                        </w:rPr>
                        <w:t xml:space="preserve">when to </w:t>
                      </w:r>
                      <w:proofErr w:type="gramStart"/>
                      <w:r w:rsidRPr="00A748CB">
                        <w:rPr>
                          <w:rFonts w:cs="Arial"/>
                          <w:i/>
                          <w:sz w:val="14"/>
                          <w:szCs w:val="14"/>
                        </w:rPr>
                        <w:t>take action</w:t>
                      </w:r>
                      <w:proofErr w:type="gramEnd"/>
                      <w:r w:rsidRPr="00A748CB">
                        <w:rPr>
                          <w:rFonts w:cs="Arial"/>
                          <w:sz w:val="14"/>
                          <w:szCs w:val="14"/>
                        </w:rPr>
                        <w:t xml:space="preserve"> (</w:t>
                      </w:r>
                      <w:proofErr w:type="spellStart"/>
                      <w:r w:rsidRPr="00A748CB">
                        <w:rPr>
                          <w:rFonts w:cs="Arial"/>
                          <w:color w:val="7F7F7F" w:themeColor="text1" w:themeTint="80"/>
                          <w:sz w:val="14"/>
                          <w:szCs w:val="14"/>
                        </w:rPr>
                        <w:t>Restemeyer</w:t>
                      </w:r>
                      <w:proofErr w:type="spellEnd"/>
                      <w:r w:rsidRPr="00A748CB">
                        <w:rPr>
                          <w:rFonts w:cs="Arial"/>
                          <w:color w:val="7F7F7F" w:themeColor="text1" w:themeTint="80"/>
                          <w:sz w:val="14"/>
                          <w:szCs w:val="14"/>
                        </w:rPr>
                        <w:t xml:space="preserve"> et al. 2017</w:t>
                      </w:r>
                      <w:r w:rsidRPr="00A748CB">
                        <w:rPr>
                          <w:rFonts w:cs="Arial"/>
                          <w:sz w:val="14"/>
                          <w:szCs w:val="14"/>
                        </w:rPr>
                        <w:t>). Regarding the D</w:t>
                      </w:r>
                      <w:r w:rsidR="00C178BC" w:rsidRPr="00A748CB">
                        <w:rPr>
                          <w:rFonts w:cs="Arial"/>
                          <w:sz w:val="14"/>
                          <w:szCs w:val="14"/>
                        </w:rPr>
                        <w:t>P</w:t>
                      </w:r>
                      <w:r w:rsidRPr="00A748CB">
                        <w:rPr>
                          <w:rFonts w:cs="Arial"/>
                          <w:sz w:val="14"/>
                          <w:szCs w:val="14"/>
                        </w:rPr>
                        <w:t xml:space="preserve">, the authors </w:t>
                      </w:r>
                      <w:r w:rsidR="00C178BC" w:rsidRPr="00A748CB">
                        <w:rPr>
                          <w:rFonts w:cs="Arial"/>
                          <w:sz w:val="14"/>
                          <w:szCs w:val="14"/>
                        </w:rPr>
                        <w:t xml:space="preserve">advocated </w:t>
                      </w:r>
                      <w:r w:rsidRPr="00A748CB">
                        <w:rPr>
                          <w:rFonts w:cs="Arial"/>
                          <w:sz w:val="14"/>
                          <w:szCs w:val="14"/>
                        </w:rPr>
                        <w:t xml:space="preserve">that </w:t>
                      </w:r>
                      <w:r w:rsidR="00C178BC" w:rsidRPr="00A748CB">
                        <w:rPr>
                          <w:rFonts w:cs="Arial"/>
                          <w:sz w:val="14"/>
                          <w:szCs w:val="14"/>
                        </w:rPr>
                        <w:t xml:space="preserve">the </w:t>
                      </w:r>
                      <w:r w:rsidRPr="00A748CB">
                        <w:rPr>
                          <w:rFonts w:cs="Arial"/>
                          <w:sz w:val="14"/>
                          <w:szCs w:val="14"/>
                        </w:rPr>
                        <w:t>monitoring and revaluation system should be institutionalized to increase the adaptability of the Plan</w:t>
                      </w:r>
                      <w:r w:rsidR="00C178BC" w:rsidRPr="00A748CB">
                        <w:rPr>
                          <w:rFonts w:cs="Arial"/>
                          <w:sz w:val="14"/>
                          <w:szCs w:val="14"/>
                        </w:rPr>
                        <w:t xml:space="preserve">, and that this </w:t>
                      </w:r>
                      <w:r w:rsidRPr="00A748CB">
                        <w:rPr>
                          <w:rFonts w:cs="Arial"/>
                          <w:sz w:val="14"/>
                          <w:szCs w:val="14"/>
                        </w:rPr>
                        <w:t xml:space="preserve">system must regularly </w:t>
                      </w:r>
                      <w:r w:rsidRPr="00A748CB">
                        <w:rPr>
                          <w:rFonts w:cs="Arial"/>
                          <w:iCs/>
                          <w:sz w:val="14"/>
                          <w:szCs w:val="14"/>
                        </w:rPr>
                        <w:t>review, and, if necessary, update the</w:t>
                      </w:r>
                      <w:r w:rsidRPr="00A748CB">
                        <w:rPr>
                          <w:rFonts w:cs="Arial"/>
                          <w:sz w:val="14"/>
                          <w:szCs w:val="14"/>
                        </w:rPr>
                        <w:t xml:space="preserve"> DP’s assumptions and other policy instruments</w:t>
                      </w:r>
                      <w:r w:rsidR="00C178BC" w:rsidRPr="00A748CB">
                        <w:rPr>
                          <w:rFonts w:cs="Arial"/>
                          <w:sz w:val="14"/>
                          <w:szCs w:val="14"/>
                        </w:rPr>
                        <w:t>, which implied</w:t>
                      </w:r>
                      <w:r w:rsidRPr="00A748CB">
                        <w:rPr>
                          <w:rFonts w:cs="Arial"/>
                          <w:sz w:val="14"/>
                          <w:szCs w:val="14"/>
                        </w:rPr>
                        <w:t xml:space="preserve"> ways of incorporating monitoring results and learnings into the planning and management process (preferably before reassessing </w:t>
                      </w:r>
                      <w:r w:rsidRPr="00A748CB">
                        <w:rPr>
                          <w:rFonts w:cs="Arial"/>
                          <w:i/>
                          <w:iCs/>
                          <w:sz w:val="14"/>
                          <w:szCs w:val="14"/>
                        </w:rPr>
                        <w:t>Strategies</w:t>
                      </w:r>
                      <w:r w:rsidRPr="00A748CB">
                        <w:rPr>
                          <w:rFonts w:cs="Arial"/>
                          <w:sz w:val="14"/>
                          <w:szCs w:val="14"/>
                        </w:rPr>
                        <w:t>) (</w:t>
                      </w:r>
                      <w:proofErr w:type="spellStart"/>
                      <w:r w:rsidRPr="00A748CB">
                        <w:rPr>
                          <w:rFonts w:cs="Arial"/>
                          <w:color w:val="7F7F7F" w:themeColor="text1" w:themeTint="80"/>
                          <w:sz w:val="14"/>
                          <w:szCs w:val="14"/>
                        </w:rPr>
                        <w:t>Restemeyer</w:t>
                      </w:r>
                      <w:proofErr w:type="spellEnd"/>
                      <w:r w:rsidRPr="00A748CB">
                        <w:rPr>
                          <w:rFonts w:cs="Arial"/>
                          <w:color w:val="7F7F7F" w:themeColor="text1" w:themeTint="80"/>
                          <w:sz w:val="14"/>
                          <w:szCs w:val="14"/>
                        </w:rPr>
                        <w:t xml:space="preserve"> et al. 2017</w:t>
                      </w:r>
                      <w:r w:rsidR="00C178BC" w:rsidRPr="00A748CB">
                        <w:rPr>
                          <w:rFonts w:cs="Arial"/>
                          <w:color w:val="7F7F7F" w:themeColor="text1" w:themeTint="80"/>
                          <w:sz w:val="14"/>
                          <w:szCs w:val="14"/>
                        </w:rPr>
                        <w:t xml:space="preserve">, </w:t>
                      </w:r>
                      <w:proofErr w:type="spellStart"/>
                      <w:r w:rsidR="00C178BC" w:rsidRPr="00A748CB">
                        <w:rPr>
                          <w:rFonts w:cs="Arial"/>
                          <w:color w:val="7F7F7F" w:themeColor="text1" w:themeTint="80"/>
                          <w:sz w:val="14"/>
                          <w:szCs w:val="14"/>
                        </w:rPr>
                        <w:t>p.xx</w:t>
                      </w:r>
                      <w:proofErr w:type="spellEnd"/>
                      <w:r w:rsidRPr="00A748CB">
                        <w:rPr>
                          <w:rFonts w:cs="Arial"/>
                          <w:sz w:val="14"/>
                          <w:szCs w:val="14"/>
                        </w:rPr>
                        <w:t xml:space="preserve">).  </w:t>
                      </w:r>
                    </w:p>
                    <w:p w14:paraId="4E2BD6A1" w14:textId="77777777" w:rsidR="004D5D51" w:rsidRPr="00A748CB" w:rsidRDefault="004D5D51" w:rsidP="004D5D51">
                      <w:pPr>
                        <w:pStyle w:val="TEXTBODY"/>
                        <w:spacing w:line="240" w:lineRule="auto"/>
                        <w:rPr>
                          <w:rFonts w:ascii="Arial" w:hAnsi="Arial" w:cs="Arial"/>
                          <w:sz w:val="14"/>
                          <w:szCs w:val="14"/>
                        </w:rPr>
                      </w:pPr>
                      <w:r w:rsidRPr="00A748CB">
                        <w:rPr>
                          <w:rFonts w:ascii="Arial" w:hAnsi="Arial" w:cs="Arial"/>
                          <w:sz w:val="14"/>
                          <w:szCs w:val="14"/>
                        </w:rPr>
                        <w:t xml:space="preserve">As a </w:t>
                      </w:r>
                      <w:r w:rsidRPr="00A748CB">
                        <w:rPr>
                          <w:rFonts w:ascii="Arial" w:hAnsi="Arial" w:cs="Arial"/>
                          <w:i/>
                          <w:iCs/>
                          <w:sz w:val="14"/>
                          <w:szCs w:val="14"/>
                        </w:rPr>
                        <w:t>flexible adaptive approach</w:t>
                      </w:r>
                      <w:r w:rsidRPr="00A748CB">
                        <w:rPr>
                          <w:rFonts w:ascii="Arial" w:hAnsi="Arial" w:cs="Arial"/>
                          <w:sz w:val="14"/>
                          <w:szCs w:val="14"/>
                        </w:rPr>
                        <w:t>, ADM requires continuous monitoring and evaluation (</w:t>
                      </w:r>
                      <w:r w:rsidRPr="00A748CB">
                        <w:rPr>
                          <w:rFonts w:ascii="Arial" w:hAnsi="Arial" w:cs="Arial"/>
                          <w:color w:val="7F7F7F" w:themeColor="text1" w:themeTint="80"/>
                          <w:sz w:val="14"/>
                          <w:szCs w:val="14"/>
                        </w:rPr>
                        <w:t>Zevenbergen et al. 2018, p.6</w:t>
                      </w:r>
                      <w:r w:rsidRPr="00A748CB">
                        <w:rPr>
                          <w:rFonts w:ascii="Arial" w:hAnsi="Arial" w:cs="Arial"/>
                          <w:sz w:val="14"/>
                          <w:szCs w:val="14"/>
                        </w:rPr>
                        <w:t xml:space="preserve">). As noted by </w:t>
                      </w:r>
                      <w:r w:rsidRPr="00A748CB">
                        <w:rPr>
                          <w:rFonts w:ascii="Arial" w:hAnsi="Arial" w:cs="Arial"/>
                          <w:color w:val="7F7F7F" w:themeColor="text1" w:themeTint="80"/>
                          <w:sz w:val="14"/>
                          <w:szCs w:val="14"/>
                        </w:rPr>
                        <w:t>Zevenbergen et al.</w:t>
                      </w:r>
                      <w:r w:rsidRPr="00A748CB">
                        <w:rPr>
                          <w:rFonts w:ascii="Arial" w:hAnsi="Arial" w:cs="Arial"/>
                          <w:sz w:val="14"/>
                          <w:szCs w:val="14"/>
                        </w:rPr>
                        <w:t xml:space="preserve">, in a </w:t>
                      </w:r>
                      <w:r w:rsidRPr="00A748CB">
                        <w:rPr>
                          <w:rFonts w:ascii="Arial" w:hAnsi="Arial" w:cs="Arial"/>
                          <w:i/>
                          <w:iCs/>
                          <w:sz w:val="14"/>
                          <w:szCs w:val="14"/>
                        </w:rPr>
                        <w:t>flexible adaptive (management) approach</w:t>
                      </w:r>
                      <w:r w:rsidRPr="00A748CB">
                        <w:rPr>
                          <w:rFonts w:ascii="Arial" w:hAnsi="Arial" w:cs="Arial"/>
                          <w:sz w:val="14"/>
                          <w:szCs w:val="14"/>
                        </w:rPr>
                        <w:t>, flexibility</w:t>
                      </w:r>
                      <w:r w:rsidRPr="00A748CB">
                        <w:rPr>
                          <w:rFonts w:ascii="Arial" w:hAnsi="Arial" w:cs="Arial"/>
                          <w:i/>
                          <w:iCs/>
                          <w:sz w:val="14"/>
                          <w:szCs w:val="14"/>
                        </w:rPr>
                        <w:t xml:space="preserve"> </w:t>
                      </w:r>
                      <w:r w:rsidRPr="00A748CB">
                        <w:rPr>
                          <w:rFonts w:ascii="Arial" w:hAnsi="Arial" w:cs="Arial"/>
                          <w:sz w:val="14"/>
                          <w:szCs w:val="14"/>
                        </w:rPr>
                        <w:t xml:space="preserve">depends on the </w:t>
                      </w:r>
                      <w:r w:rsidRPr="00A748CB">
                        <w:rPr>
                          <w:rFonts w:ascii="Arial" w:hAnsi="Arial" w:cs="Arial"/>
                          <w:i/>
                          <w:sz w:val="14"/>
                          <w:szCs w:val="14"/>
                        </w:rPr>
                        <w:t>capacity of the decision-makers to learn from the arrival of new information and their willingness and ability to revise investment decisions based upon that learning</w:t>
                      </w:r>
                      <w:r w:rsidRPr="00A748CB">
                        <w:rPr>
                          <w:rFonts w:ascii="Arial" w:hAnsi="Arial" w:cs="Arial"/>
                          <w:iCs/>
                          <w:sz w:val="14"/>
                          <w:szCs w:val="14"/>
                        </w:rPr>
                        <w:t xml:space="preserve"> </w:t>
                      </w:r>
                      <w:r w:rsidRPr="00A748CB">
                        <w:rPr>
                          <w:rFonts w:ascii="Arial" w:hAnsi="Arial" w:cs="Arial"/>
                          <w:sz w:val="14"/>
                          <w:szCs w:val="14"/>
                        </w:rPr>
                        <w:t>(</w:t>
                      </w:r>
                      <w:r w:rsidRPr="00A748CB">
                        <w:rPr>
                          <w:rFonts w:ascii="Arial" w:hAnsi="Arial" w:cs="Arial"/>
                          <w:color w:val="7F7F7F" w:themeColor="text1" w:themeTint="80"/>
                          <w:sz w:val="14"/>
                          <w:szCs w:val="14"/>
                        </w:rPr>
                        <w:t>Zevenbergen et al. 2018, p.1</w:t>
                      </w:r>
                      <w:r w:rsidRPr="00A748CB">
                        <w:rPr>
                          <w:rFonts w:ascii="Arial" w:hAnsi="Arial" w:cs="Arial"/>
                          <w:sz w:val="14"/>
                          <w:szCs w:val="14"/>
                        </w:rPr>
                        <w:t xml:space="preserve">). </w:t>
                      </w:r>
                    </w:p>
                    <w:p w14:paraId="09D36BA1" w14:textId="77777777" w:rsidR="00050AA2" w:rsidRPr="00A748CB" w:rsidRDefault="00050AA2" w:rsidP="004D5D51">
                      <w:pPr>
                        <w:spacing w:line="240" w:lineRule="auto"/>
                        <w:rPr>
                          <w:rFonts w:cs="Arial"/>
                          <w:sz w:val="14"/>
                          <w:szCs w:val="14"/>
                        </w:rPr>
                      </w:pPr>
                    </w:p>
                  </w:txbxContent>
                </v:textbox>
              </v:shape>
            </w:pict>
          </mc:Fallback>
        </mc:AlternateContent>
      </w:r>
    </w:p>
    <w:p w14:paraId="722B9BE6" w14:textId="3E8E7867" w:rsidR="002D24CB" w:rsidRPr="009B720F" w:rsidRDefault="002D24CB" w:rsidP="00E74925">
      <w:pPr>
        <w:pStyle w:val="TEXTBODY"/>
        <w:spacing w:line="276" w:lineRule="auto"/>
        <w:rPr>
          <w:bCs/>
        </w:rPr>
      </w:pPr>
    </w:p>
    <w:p w14:paraId="01D7B0FD" w14:textId="0577B8F8" w:rsidR="002D24CB" w:rsidRPr="009B720F" w:rsidRDefault="002D24CB" w:rsidP="00E74925">
      <w:pPr>
        <w:pStyle w:val="TEXTBODY"/>
        <w:spacing w:line="276" w:lineRule="auto"/>
        <w:rPr>
          <w:bCs/>
        </w:rPr>
      </w:pPr>
    </w:p>
    <w:p w14:paraId="5CFFC2FB" w14:textId="5AE7FC8F" w:rsidR="002D24CB" w:rsidRPr="009B720F" w:rsidRDefault="002D24CB" w:rsidP="00E74925">
      <w:pPr>
        <w:pStyle w:val="TEXTBODY"/>
        <w:spacing w:line="276" w:lineRule="auto"/>
        <w:rPr>
          <w:bCs/>
        </w:rPr>
      </w:pPr>
    </w:p>
    <w:p w14:paraId="10D0F0F0" w14:textId="3AB7EBBF" w:rsidR="002D24CB" w:rsidRPr="009B720F" w:rsidRDefault="002D24CB" w:rsidP="00E74925">
      <w:pPr>
        <w:pStyle w:val="TEXTBODY"/>
        <w:spacing w:line="276" w:lineRule="auto"/>
        <w:rPr>
          <w:bCs/>
        </w:rPr>
      </w:pPr>
    </w:p>
    <w:p w14:paraId="3CDBDFF2" w14:textId="5A2B0D6C" w:rsidR="002D24CB" w:rsidRPr="009B720F" w:rsidRDefault="002D24CB" w:rsidP="00E74925">
      <w:pPr>
        <w:pStyle w:val="TEXTBODY"/>
        <w:spacing w:line="276" w:lineRule="auto"/>
        <w:rPr>
          <w:bCs/>
        </w:rPr>
      </w:pPr>
    </w:p>
    <w:p w14:paraId="7329F2EB" w14:textId="77777777" w:rsidR="00AC1103" w:rsidRPr="009B720F" w:rsidRDefault="00AC1103" w:rsidP="00E74925">
      <w:pPr>
        <w:pStyle w:val="TEXTBODY"/>
        <w:spacing w:before="240" w:line="276" w:lineRule="auto"/>
        <w:rPr>
          <w:bCs/>
          <w:color w:val="C00000"/>
        </w:rPr>
      </w:pPr>
    </w:p>
    <w:p w14:paraId="59C7C2BD" w14:textId="77777777" w:rsidR="000A40A4" w:rsidRDefault="000A40A4" w:rsidP="00E74925">
      <w:pPr>
        <w:pStyle w:val="TEXTBODY"/>
        <w:spacing w:line="276" w:lineRule="auto"/>
        <w:rPr>
          <w:bCs/>
        </w:rPr>
      </w:pPr>
    </w:p>
    <w:p w14:paraId="0DA3B454" w14:textId="4F0A50BA" w:rsidR="002D24CB" w:rsidRPr="00A748CB" w:rsidRDefault="0034535B" w:rsidP="00E74925">
      <w:pPr>
        <w:pStyle w:val="TEXTBODY"/>
        <w:spacing w:line="276" w:lineRule="auto"/>
        <w:rPr>
          <w:bCs/>
        </w:rPr>
      </w:pPr>
      <w:r w:rsidRPr="00A748CB">
        <w:rPr>
          <w:bCs/>
        </w:rPr>
        <w:t>In sum, the ongoing monitoring of external and internal developments and changes, of measures’ effects, and of new insights, and also the regular reassessment</w:t>
      </w:r>
      <w:r w:rsidR="00E21F28" w:rsidRPr="00A748CB">
        <w:rPr>
          <w:bCs/>
        </w:rPr>
        <w:t>s</w:t>
      </w:r>
      <w:r w:rsidRPr="00A748CB">
        <w:rPr>
          <w:bCs/>
        </w:rPr>
        <w:t xml:space="preserve"> </w:t>
      </w:r>
      <w:r w:rsidR="00E21F28" w:rsidRPr="00A748CB">
        <w:rPr>
          <w:bCs/>
        </w:rPr>
        <w:t xml:space="preserve">and reviews </w:t>
      </w:r>
      <w:r w:rsidRPr="00A748CB">
        <w:rPr>
          <w:bCs/>
        </w:rPr>
        <w:t xml:space="preserve">of the Plan (policy-programme) and its contents (Delta Decisions, </w:t>
      </w:r>
      <w:r w:rsidR="00E21F28" w:rsidRPr="00A748CB">
        <w:rPr>
          <w:bCs/>
        </w:rPr>
        <w:t xml:space="preserve">Preferential Strategies, </w:t>
      </w:r>
      <w:r w:rsidRPr="00A748CB">
        <w:rPr>
          <w:bCs/>
        </w:rPr>
        <w:t xml:space="preserve">Delta Plans, </w:t>
      </w:r>
      <w:r w:rsidR="00E21F28" w:rsidRPr="00A748CB">
        <w:rPr>
          <w:bCs/>
        </w:rPr>
        <w:t xml:space="preserve">their measures, or their timing), to allow its adjustment / adaptation over time, can be deemed another key-element of the DP’s ADM approach that has been essential to develop </w:t>
      </w:r>
      <w:r w:rsidR="00E21F28" w:rsidRPr="00A748CB">
        <w:rPr>
          <w:bCs/>
          <w:i/>
          <w:iCs/>
        </w:rPr>
        <w:t>robust adaptive Strategies</w:t>
      </w:r>
      <w:r w:rsidR="00E21F28" w:rsidRPr="00A748CB">
        <w:rPr>
          <w:bCs/>
        </w:rPr>
        <w:t xml:space="preserve"> (and a robust adaptive policy-programme) and fundamental to operationalize a real process </w:t>
      </w:r>
      <w:r w:rsidR="00E21F28" w:rsidRPr="00A748CB">
        <w:rPr>
          <w:bCs/>
          <w:i/>
          <w:iCs/>
        </w:rPr>
        <w:t>Adaptive Planning and Management</w:t>
      </w:r>
      <w:r w:rsidR="00E21F28" w:rsidRPr="00A748CB">
        <w:rPr>
          <w:bCs/>
        </w:rPr>
        <w:t>.</w:t>
      </w:r>
    </w:p>
    <w:p w14:paraId="2F640502" w14:textId="77777777" w:rsidR="00D962BD" w:rsidRPr="009B720F" w:rsidRDefault="00D962BD" w:rsidP="00E74925">
      <w:pPr>
        <w:pStyle w:val="TEXTBODY"/>
        <w:spacing w:line="276" w:lineRule="auto"/>
        <w:rPr>
          <w:bCs/>
        </w:rPr>
      </w:pPr>
    </w:p>
    <w:bookmarkEnd w:id="129"/>
    <w:p w14:paraId="298EAAD1" w14:textId="18F21363" w:rsidR="00354CF8" w:rsidRPr="009B720F" w:rsidRDefault="00354CF8" w:rsidP="00E74925">
      <w:pPr>
        <w:pStyle w:val="Ttulo4"/>
        <w:spacing w:line="276" w:lineRule="auto"/>
        <w:rPr>
          <w:bCs/>
        </w:rPr>
      </w:pPr>
      <w:r w:rsidRPr="009B720F">
        <w:rPr>
          <w:bCs/>
        </w:rPr>
        <w:t>Key-element 5</w:t>
      </w:r>
    </w:p>
    <w:p w14:paraId="0EDC3D1A" w14:textId="61B4F31C" w:rsidR="00CC29EB" w:rsidRPr="00A748CB" w:rsidRDefault="0082387A" w:rsidP="00E74925">
      <w:pPr>
        <w:pStyle w:val="TEXTBODY"/>
        <w:spacing w:line="276" w:lineRule="auto"/>
        <w:rPr>
          <w:bCs/>
        </w:rPr>
      </w:pPr>
      <w:r w:rsidRPr="00A748CB">
        <w:rPr>
          <w:bCs/>
        </w:rPr>
        <w:t xml:space="preserve">The ADM approach defines its own process for developing an </w:t>
      </w:r>
      <w:r w:rsidRPr="00A748CB">
        <w:rPr>
          <w:bCs/>
          <w:i/>
          <w:iCs/>
        </w:rPr>
        <w:t>adaptive plan/strategy</w:t>
      </w:r>
      <w:r w:rsidRPr="00A748CB">
        <w:rPr>
          <w:bCs/>
        </w:rPr>
        <w:t xml:space="preserve"> and operationalizing an </w:t>
      </w:r>
      <w:r w:rsidRPr="00A748CB">
        <w:rPr>
          <w:bCs/>
          <w:i/>
          <w:iCs/>
        </w:rPr>
        <w:t>Adaptive Delta Management</w:t>
      </w:r>
      <w:r w:rsidR="00CC29EB" w:rsidRPr="00A748CB">
        <w:rPr>
          <w:bCs/>
        </w:rPr>
        <w:t xml:space="preserve"> (illustrated </w:t>
      </w:r>
      <w:r w:rsidR="00CC29EB" w:rsidRPr="00A748CB">
        <w:rPr>
          <w:bCs/>
          <w:i/>
          <w:iCs/>
        </w:rPr>
        <w:t>in</w:t>
      </w:r>
      <w:r w:rsidR="00CC29EB" w:rsidRPr="00A748CB">
        <w:rPr>
          <w:bCs/>
          <w:color w:val="7F7F7F" w:themeColor="text1" w:themeTint="80"/>
          <w:lang w:val="en-US"/>
        </w:rPr>
        <w:t xml:space="preserve"> </w:t>
      </w:r>
      <w:r w:rsidR="005C558F" w:rsidRPr="00A748CB">
        <w:rPr>
          <w:bCs/>
          <w:color w:val="7F7F7F" w:themeColor="text1" w:themeTint="80"/>
          <w:lang w:val="en-US"/>
        </w:rPr>
        <w:t>Brugge and Bruggeman 2019</w:t>
      </w:r>
      <w:r w:rsidR="00CC29EB" w:rsidRPr="00A748CB">
        <w:rPr>
          <w:bCs/>
          <w:color w:val="7F7F7F" w:themeColor="text1" w:themeTint="80"/>
          <w:lang w:val="en-US"/>
        </w:rPr>
        <w:t xml:space="preserve"> </w:t>
      </w:r>
      <w:r w:rsidR="00CC29EB" w:rsidRPr="00A748CB">
        <w:rPr>
          <w:bCs/>
          <w:lang w:val="en-US"/>
        </w:rPr>
        <w:t xml:space="preserve">and </w:t>
      </w:r>
      <w:r w:rsidR="00CC29EB" w:rsidRPr="00A748CB">
        <w:rPr>
          <w:bCs/>
          <w:i/>
          <w:iCs/>
          <w:lang w:val="en-US"/>
        </w:rPr>
        <w:t>in</w:t>
      </w:r>
      <w:r w:rsidR="00CC29EB" w:rsidRPr="00A748CB">
        <w:rPr>
          <w:bCs/>
        </w:rPr>
        <w:t xml:space="preserve"> </w:t>
      </w:r>
      <w:proofErr w:type="spellStart"/>
      <w:r w:rsidR="005C558F" w:rsidRPr="00A748CB">
        <w:rPr>
          <w:bCs/>
          <w:color w:val="7F7F7F" w:themeColor="text1" w:themeTint="80"/>
          <w:lang w:val="en-US"/>
        </w:rPr>
        <w:t>Deltares</w:t>
      </w:r>
      <w:proofErr w:type="spellEnd"/>
      <w:r w:rsidR="005C558F" w:rsidRPr="00A748CB">
        <w:rPr>
          <w:bCs/>
          <w:color w:val="7F7F7F" w:themeColor="text1" w:themeTint="80"/>
          <w:lang w:val="en-US"/>
        </w:rPr>
        <w:t xml:space="preserve"> 2018</w:t>
      </w:r>
      <w:r w:rsidR="00CC29EB" w:rsidRPr="00A748CB">
        <w:rPr>
          <w:bCs/>
          <w:lang w:val="en-US"/>
        </w:rPr>
        <w:t xml:space="preserve">, the latter is adapted from </w:t>
      </w:r>
      <w:proofErr w:type="spellStart"/>
      <w:r w:rsidR="00CC29EB" w:rsidRPr="00A748CB">
        <w:rPr>
          <w:bCs/>
          <w:color w:val="7F7F7F" w:themeColor="text1" w:themeTint="80"/>
          <w:lang w:val="en-US"/>
        </w:rPr>
        <w:t>Haasnoot</w:t>
      </w:r>
      <w:proofErr w:type="spellEnd"/>
      <w:r w:rsidR="00CC29EB" w:rsidRPr="00A748CB">
        <w:rPr>
          <w:bCs/>
          <w:color w:val="7F7F7F" w:themeColor="text1" w:themeTint="80"/>
          <w:lang w:val="en-US"/>
        </w:rPr>
        <w:t xml:space="preserve"> et al. 2013</w:t>
      </w:r>
      <w:r w:rsidR="00CC29EB" w:rsidRPr="00A748CB">
        <w:rPr>
          <w:bCs/>
          <w:lang w:val="en-US"/>
        </w:rPr>
        <w:t xml:space="preserve">). </w:t>
      </w:r>
      <w:r w:rsidR="00CC29EB" w:rsidRPr="00A748CB">
        <w:rPr>
          <w:bCs/>
        </w:rPr>
        <w:t xml:space="preserve">The process of ADM is based on the process of the DAPP approach (presented by </w:t>
      </w:r>
      <w:proofErr w:type="spellStart"/>
      <w:r w:rsidR="00CC29EB" w:rsidRPr="00A748CB">
        <w:rPr>
          <w:bCs/>
          <w:color w:val="7F7F7F" w:themeColor="text1" w:themeTint="80"/>
        </w:rPr>
        <w:t>Haasnoot</w:t>
      </w:r>
      <w:proofErr w:type="spellEnd"/>
      <w:r w:rsidR="00CC29EB" w:rsidRPr="00A748CB">
        <w:rPr>
          <w:bCs/>
          <w:color w:val="7F7F7F" w:themeColor="text1" w:themeTint="80"/>
        </w:rPr>
        <w:t xml:space="preserve"> et al. 2013 </w:t>
      </w:r>
      <w:r w:rsidR="00CC29EB" w:rsidRPr="00A748CB">
        <w:rPr>
          <w:bCs/>
        </w:rPr>
        <w:t>and by</w:t>
      </w:r>
      <w:r w:rsidR="00CC29EB" w:rsidRPr="00A748CB">
        <w:rPr>
          <w:bCs/>
          <w:color w:val="7F7F7F" w:themeColor="text1" w:themeTint="80"/>
        </w:rPr>
        <w:t xml:space="preserve"> </w:t>
      </w:r>
      <w:proofErr w:type="spellStart"/>
      <w:r w:rsidR="00CC29EB" w:rsidRPr="00A748CB">
        <w:rPr>
          <w:bCs/>
          <w:color w:val="7F7F7F" w:themeColor="text1" w:themeTint="80"/>
        </w:rPr>
        <w:t>Jeuken</w:t>
      </w:r>
      <w:proofErr w:type="spellEnd"/>
      <w:r w:rsidR="00CC29EB" w:rsidRPr="00A748CB">
        <w:rPr>
          <w:bCs/>
          <w:color w:val="7F7F7F" w:themeColor="text1" w:themeTint="80"/>
        </w:rPr>
        <w:t xml:space="preserve"> et al. 2014</w:t>
      </w:r>
      <w:r w:rsidR="00D93058" w:rsidRPr="00A748CB">
        <w:rPr>
          <w:bCs/>
        </w:rPr>
        <w:t xml:space="preserve">): it involves a </w:t>
      </w:r>
      <w:r w:rsidR="00CC29EB" w:rsidRPr="00A748CB">
        <w:rPr>
          <w:bCs/>
        </w:rPr>
        <w:t>continual</w:t>
      </w:r>
      <w:r w:rsidR="00D93058" w:rsidRPr="00A748CB">
        <w:rPr>
          <w:bCs/>
        </w:rPr>
        <w:t xml:space="preserve"> (circular)</w:t>
      </w:r>
      <w:r w:rsidR="00CC29EB" w:rsidRPr="00A748CB">
        <w:rPr>
          <w:bCs/>
        </w:rPr>
        <w:t xml:space="preserve"> cycle with 6 main steps (inspired in the DAPP steps) (</w:t>
      </w:r>
      <w:r w:rsidR="00D93058" w:rsidRPr="00A748CB">
        <w:rPr>
          <w:bCs/>
        </w:rPr>
        <w:t xml:space="preserve">as </w:t>
      </w:r>
      <w:r w:rsidR="00CC29EB" w:rsidRPr="00A748CB">
        <w:rPr>
          <w:bCs/>
        </w:rPr>
        <w:t>illustrated in</w:t>
      </w:r>
      <w:r w:rsidR="00D93058" w:rsidRPr="00A748CB">
        <w:rPr>
          <w:bCs/>
        </w:rPr>
        <w:t xml:space="preserve"> the</w:t>
      </w:r>
      <w:r w:rsidR="00CC29EB" w:rsidRPr="00A748CB">
        <w:rPr>
          <w:bCs/>
        </w:rPr>
        <w:t xml:space="preserve"> diagram </w:t>
      </w:r>
      <w:r w:rsidR="00D93058" w:rsidRPr="00A748CB">
        <w:rPr>
          <w:bCs/>
        </w:rPr>
        <w:t xml:space="preserve">of ADM process </w:t>
      </w:r>
      <w:r w:rsidR="00D93058" w:rsidRPr="00A748CB">
        <w:rPr>
          <w:bCs/>
          <w:i/>
          <w:iCs/>
        </w:rPr>
        <w:t>in</w:t>
      </w:r>
      <w:r w:rsidR="00CC29EB" w:rsidRPr="00A748CB">
        <w:rPr>
          <w:bCs/>
        </w:rPr>
        <w:t xml:space="preserve"> </w:t>
      </w:r>
      <w:proofErr w:type="spellStart"/>
      <w:r w:rsidR="005C558F" w:rsidRPr="00A748CB">
        <w:rPr>
          <w:bCs/>
          <w:color w:val="7F7F7F" w:themeColor="text1" w:themeTint="80"/>
        </w:rPr>
        <w:t>Deltares</w:t>
      </w:r>
      <w:proofErr w:type="spellEnd"/>
      <w:r w:rsidR="005C558F" w:rsidRPr="00A748CB">
        <w:rPr>
          <w:bCs/>
          <w:color w:val="7F7F7F" w:themeColor="text1" w:themeTint="80"/>
        </w:rPr>
        <w:t xml:space="preserve"> 2018</w:t>
      </w:r>
      <w:r w:rsidR="00CC29EB" w:rsidRPr="00A748CB">
        <w:rPr>
          <w:bCs/>
          <w:color w:val="7F7F7F" w:themeColor="text1" w:themeTint="80"/>
        </w:rPr>
        <w:t xml:space="preserve">, adapted from </w:t>
      </w:r>
      <w:proofErr w:type="spellStart"/>
      <w:r w:rsidR="00CC29EB" w:rsidRPr="00A748CB">
        <w:rPr>
          <w:bCs/>
          <w:color w:val="7F7F7F" w:themeColor="text1" w:themeTint="80"/>
        </w:rPr>
        <w:t>Haasnoot</w:t>
      </w:r>
      <w:proofErr w:type="spellEnd"/>
      <w:r w:rsidR="00CC29EB" w:rsidRPr="00A748CB">
        <w:rPr>
          <w:bCs/>
          <w:color w:val="7F7F7F" w:themeColor="text1" w:themeTint="80"/>
        </w:rPr>
        <w:t xml:space="preserve"> et al. 2013</w:t>
      </w:r>
      <w:r w:rsidR="00CC29EB" w:rsidRPr="00A748CB">
        <w:rPr>
          <w:bCs/>
        </w:rPr>
        <w:t xml:space="preserve">; and </w:t>
      </w:r>
      <w:r w:rsidR="00D93058" w:rsidRPr="00A748CB">
        <w:rPr>
          <w:bCs/>
          <w:i/>
          <w:iCs/>
        </w:rPr>
        <w:t>in</w:t>
      </w:r>
      <w:r w:rsidR="00CC29EB" w:rsidRPr="00A748CB">
        <w:rPr>
          <w:bCs/>
        </w:rPr>
        <w:t xml:space="preserve"> </w:t>
      </w:r>
      <w:r w:rsidR="005C558F" w:rsidRPr="00A748CB">
        <w:rPr>
          <w:bCs/>
          <w:color w:val="7F7F7F" w:themeColor="text1" w:themeTint="80"/>
        </w:rPr>
        <w:t>Brugge and Bruggeman 2019</w:t>
      </w:r>
      <w:r w:rsidR="00CC29EB" w:rsidRPr="00A748CB">
        <w:rPr>
          <w:bCs/>
        </w:rPr>
        <w:t>).</w:t>
      </w:r>
    </w:p>
    <w:p w14:paraId="6EE7C0EE" w14:textId="2724FFC7" w:rsidR="00665016" w:rsidRPr="00A748CB" w:rsidRDefault="00D93058" w:rsidP="00E74925">
      <w:pPr>
        <w:pStyle w:val="TEXTBODY"/>
        <w:spacing w:before="100" w:line="276" w:lineRule="auto"/>
        <w:rPr>
          <w:bCs/>
        </w:rPr>
      </w:pPr>
      <w:r w:rsidRPr="00A748CB">
        <w:rPr>
          <w:bCs/>
        </w:rPr>
        <w:t>More precisely, ADM involves a cyclical, iterative process of 6 main steps; each step offers the possibility to adjust elements of the plan / strategy, and, thus, helps to safeguard adaptability in the general plan, and in planning and management process, to cope with change and uncertainty in policymaking. ADM offers a structured management process that considers uncertain future conditions and changes into planning and decision-making (</w:t>
      </w:r>
      <w:r w:rsidRPr="00A748CB">
        <w:rPr>
          <w:bCs/>
          <w:color w:val="7F7F7F" w:themeColor="text1" w:themeTint="80"/>
        </w:rPr>
        <w:t xml:space="preserve">Zevenbergen et al. 2018, </w:t>
      </w:r>
      <w:proofErr w:type="spellStart"/>
      <w:r w:rsidRPr="00A748CB">
        <w:rPr>
          <w:bCs/>
          <w:color w:val="7F7F7F" w:themeColor="text1" w:themeTint="80"/>
        </w:rPr>
        <w:t>p.xxx</w:t>
      </w:r>
      <w:proofErr w:type="spellEnd"/>
      <w:r w:rsidR="008B28C9" w:rsidRPr="00A748CB">
        <w:rPr>
          <w:bCs/>
          <w:color w:val="7F7F7F" w:themeColor="text1" w:themeTint="80"/>
        </w:rPr>
        <w:t>; Marchand and Ludwig 2014, p.2, 10</w:t>
      </w:r>
      <w:r w:rsidR="00422EFA" w:rsidRPr="00A748CB">
        <w:rPr>
          <w:bCs/>
          <w:color w:val="7F7F7F" w:themeColor="text1" w:themeTint="80"/>
        </w:rPr>
        <w:t xml:space="preserve">; </w:t>
      </w:r>
      <w:r w:rsidR="005C558F" w:rsidRPr="00A748CB">
        <w:rPr>
          <w:bCs/>
          <w:color w:val="7F7F7F" w:themeColor="text1" w:themeTint="80"/>
        </w:rPr>
        <w:t>Brugge and Bruggeman 2019</w:t>
      </w:r>
      <w:r w:rsidR="00422EFA" w:rsidRPr="00A748CB">
        <w:rPr>
          <w:bCs/>
          <w:color w:val="7F7F7F" w:themeColor="text1" w:themeTint="80"/>
        </w:rPr>
        <w:t>, p.4</w:t>
      </w:r>
      <w:r w:rsidRPr="00A748CB">
        <w:rPr>
          <w:bCs/>
        </w:rPr>
        <w:t>).</w:t>
      </w:r>
    </w:p>
    <w:p w14:paraId="2953777B" w14:textId="795B2571" w:rsidR="00246A3A" w:rsidRPr="009B720F" w:rsidRDefault="00D93058" w:rsidP="00E74925">
      <w:pPr>
        <w:pStyle w:val="TEXTBODY"/>
        <w:spacing w:before="100" w:line="276" w:lineRule="auto"/>
        <w:rPr>
          <w:bCs/>
        </w:rPr>
      </w:pPr>
      <w:r w:rsidRPr="00A748CB">
        <w:rPr>
          <w:bCs/>
        </w:rPr>
        <w:t xml:space="preserve">Importantly, </w:t>
      </w:r>
      <w:r w:rsidR="00246A3A" w:rsidRPr="00A748CB">
        <w:rPr>
          <w:bCs/>
        </w:rPr>
        <w:t>the ADM process differs from the traditional adaptation planning approaches because the starting point of the analysis is the question of ‘</w:t>
      </w:r>
      <w:r w:rsidR="00246A3A" w:rsidRPr="00A748CB">
        <w:rPr>
          <w:bCs/>
          <w:i/>
          <w:iCs/>
        </w:rPr>
        <w:t>how long will the current strategies be effective under different scenarios</w:t>
      </w:r>
      <w:r w:rsidR="00246A3A" w:rsidRPr="00A748CB">
        <w:rPr>
          <w:bCs/>
        </w:rPr>
        <w:t>’,</w:t>
      </w:r>
      <w:r w:rsidR="00246A3A" w:rsidRPr="00A748CB">
        <w:rPr>
          <w:bCs/>
          <w:iCs/>
        </w:rPr>
        <w:t xml:space="preserve"> which leads to the exploration of alternative measures and the design of multiple solution-pathways (rather than a single solution that is designed for a ‘business-as-usual’ scenario or worst scenario)</w:t>
      </w:r>
      <w:r w:rsidR="00246A3A" w:rsidRPr="00A748CB">
        <w:rPr>
          <w:bCs/>
        </w:rPr>
        <w:t xml:space="preserve"> (</w:t>
      </w:r>
      <w:proofErr w:type="spellStart"/>
      <w:r w:rsidR="005C558F" w:rsidRPr="00A748CB">
        <w:rPr>
          <w:bCs/>
          <w:color w:val="7F7F7F" w:themeColor="text1" w:themeTint="80"/>
        </w:rPr>
        <w:t>Deltares</w:t>
      </w:r>
      <w:proofErr w:type="spellEnd"/>
      <w:r w:rsidR="005C558F" w:rsidRPr="00A748CB">
        <w:rPr>
          <w:bCs/>
          <w:color w:val="7F7F7F" w:themeColor="text1" w:themeTint="80"/>
        </w:rPr>
        <w:t xml:space="preserve"> 2018</w:t>
      </w:r>
      <w:r w:rsidR="00246A3A" w:rsidRPr="00A748CB">
        <w:rPr>
          <w:bCs/>
          <w:color w:val="7F7F7F" w:themeColor="text1" w:themeTint="80"/>
        </w:rPr>
        <w:t>, p.4, 3</w:t>
      </w:r>
      <w:r w:rsidR="00246A3A" w:rsidRPr="00A748CB">
        <w:rPr>
          <w:bCs/>
        </w:rPr>
        <w:t xml:space="preserve">). Moreover, </w:t>
      </w:r>
      <w:r w:rsidR="0082387A" w:rsidRPr="00A748CB">
        <w:rPr>
          <w:bCs/>
        </w:rPr>
        <w:t xml:space="preserve">ADM </w:t>
      </w:r>
      <w:r w:rsidR="00246A3A" w:rsidRPr="00A748CB">
        <w:rPr>
          <w:bCs/>
        </w:rPr>
        <w:t xml:space="preserve">is different </w:t>
      </w:r>
      <w:r w:rsidR="0082387A" w:rsidRPr="00A748CB">
        <w:rPr>
          <w:bCs/>
        </w:rPr>
        <w:t>from the traditional Dutch practice</w:t>
      </w:r>
      <w:r w:rsidR="00246A3A" w:rsidRPr="00A748CB">
        <w:rPr>
          <w:bCs/>
        </w:rPr>
        <w:t xml:space="preserve"> of flood risk management</w:t>
      </w:r>
      <w:r w:rsidR="0082387A" w:rsidRPr="00A748CB">
        <w:rPr>
          <w:bCs/>
        </w:rPr>
        <w:t xml:space="preserve"> because it requires an </w:t>
      </w:r>
      <w:r w:rsidR="0082387A" w:rsidRPr="00A748CB">
        <w:rPr>
          <w:bCs/>
          <w:i/>
        </w:rPr>
        <w:t>adaptive flood risk management</w:t>
      </w:r>
      <w:r w:rsidR="0082387A" w:rsidRPr="00A748CB">
        <w:rPr>
          <w:bCs/>
        </w:rPr>
        <w:t xml:space="preserve"> (</w:t>
      </w:r>
      <w:r w:rsidR="0082387A" w:rsidRPr="00A748CB">
        <w:rPr>
          <w:bCs/>
          <w:color w:val="7F7F7F" w:themeColor="text1" w:themeTint="80"/>
        </w:rPr>
        <w:t>Klijn et al. 2015, p.848</w:t>
      </w:r>
      <w:r w:rsidR="0082387A" w:rsidRPr="00A748CB">
        <w:rPr>
          <w:bCs/>
        </w:rPr>
        <w:t>)</w:t>
      </w:r>
      <w:r w:rsidR="00246A3A" w:rsidRPr="00A748CB">
        <w:rPr>
          <w:bCs/>
        </w:rPr>
        <w:t xml:space="preserve">; indeed, with </w:t>
      </w:r>
      <w:r w:rsidR="0082387A" w:rsidRPr="00A748CB">
        <w:rPr>
          <w:bCs/>
        </w:rPr>
        <w:t xml:space="preserve">ADM, the DP </w:t>
      </w:r>
      <w:r w:rsidR="00246A3A" w:rsidRPr="00A748CB">
        <w:rPr>
          <w:bCs/>
        </w:rPr>
        <w:t>aims to</w:t>
      </w:r>
      <w:r w:rsidR="0082387A" w:rsidRPr="00A748CB">
        <w:rPr>
          <w:bCs/>
        </w:rPr>
        <w:t xml:space="preserve"> manage risks and respond to potential problems </w:t>
      </w:r>
      <w:r w:rsidR="0082387A" w:rsidRPr="00A748CB">
        <w:rPr>
          <w:bCs/>
          <w:i/>
          <w:iCs/>
        </w:rPr>
        <w:t>in a timely and adaptive manner</w:t>
      </w:r>
      <w:r w:rsidR="0082387A" w:rsidRPr="00A748CB">
        <w:rPr>
          <w:bCs/>
        </w:rPr>
        <w:t xml:space="preserve"> (</w:t>
      </w:r>
      <w:r w:rsidR="0082387A" w:rsidRPr="00A748CB">
        <w:rPr>
          <w:bCs/>
          <w:color w:val="7F7F7F" w:themeColor="text1" w:themeTint="80"/>
        </w:rPr>
        <w:t>DP 2018, p.14</w:t>
      </w:r>
      <w:r w:rsidR="0082387A" w:rsidRPr="00A748CB">
        <w:rPr>
          <w:bCs/>
        </w:rPr>
        <w:t>)</w:t>
      </w:r>
      <w:r w:rsidR="00665016" w:rsidRPr="00A748CB">
        <w:rPr>
          <w:bCs/>
        </w:rPr>
        <w:t>.</w:t>
      </w:r>
      <w:r w:rsidR="00B82D0E" w:rsidRPr="00A748CB">
        <w:rPr>
          <w:bCs/>
        </w:rPr>
        <w:t xml:space="preserve"> ADM is also different from the traditional </w:t>
      </w:r>
      <w:r w:rsidR="00B82D0E" w:rsidRPr="00A748CB">
        <w:rPr>
          <w:bCs/>
          <w:i/>
          <w:iCs/>
        </w:rPr>
        <w:t>Adaptive Management</w:t>
      </w:r>
      <w:r w:rsidR="00B82D0E" w:rsidRPr="00A748CB">
        <w:rPr>
          <w:bCs/>
        </w:rPr>
        <w:t xml:space="preserve"> approach.</w:t>
      </w:r>
      <w:r w:rsidR="00B82D0E" w:rsidRPr="00A748CB">
        <w:rPr>
          <w:rStyle w:val="Refdenotaderodap"/>
          <w:bCs/>
        </w:rPr>
        <w:footnoteReference w:id="123"/>
      </w:r>
      <w:r w:rsidR="00422EFA" w:rsidRPr="00A748CB">
        <w:rPr>
          <w:bCs/>
          <w:sz w:val="14"/>
          <w:szCs w:val="14"/>
        </w:rPr>
        <w:t xml:space="preserve"> </w:t>
      </w:r>
      <w:r w:rsidR="00422EFA" w:rsidRPr="00A748CB">
        <w:rPr>
          <w:bCs/>
          <w:szCs w:val="22"/>
        </w:rPr>
        <w:t xml:space="preserve">ADM also differs </w:t>
      </w:r>
      <w:r w:rsidR="00422EFA" w:rsidRPr="00A748CB">
        <w:rPr>
          <w:bCs/>
          <w:szCs w:val="22"/>
          <w:lang w:val="en-US"/>
        </w:rPr>
        <w:t>from the ‘classical’ approach where a robust solution is often chosen based on business-as-usual and worst-case scenarios (</w:t>
      </w:r>
      <w:r w:rsidR="005C558F" w:rsidRPr="00A748CB">
        <w:rPr>
          <w:bCs/>
          <w:color w:val="7F7F7F" w:themeColor="text1" w:themeTint="80"/>
          <w:szCs w:val="22"/>
        </w:rPr>
        <w:t>Brugge and Bruggeman 2019</w:t>
      </w:r>
      <w:r w:rsidR="00422EFA" w:rsidRPr="00A748CB">
        <w:rPr>
          <w:bCs/>
          <w:color w:val="7F7F7F" w:themeColor="text1" w:themeTint="80"/>
          <w:szCs w:val="22"/>
        </w:rPr>
        <w:t>, p.2</w:t>
      </w:r>
      <w:r w:rsidR="00422EFA" w:rsidRPr="00A748CB">
        <w:rPr>
          <w:bCs/>
          <w:szCs w:val="22"/>
        </w:rPr>
        <w:t>).</w:t>
      </w:r>
    </w:p>
    <w:p w14:paraId="53018166" w14:textId="2E4502EB" w:rsidR="0082387A" w:rsidRPr="009B720F" w:rsidRDefault="00246A3A" w:rsidP="00E74925">
      <w:pPr>
        <w:pStyle w:val="TEXTBODY"/>
        <w:spacing w:line="276" w:lineRule="auto"/>
        <w:rPr>
          <w:bCs/>
        </w:rPr>
      </w:pPr>
      <w:r w:rsidRPr="009B720F">
        <w:rPr>
          <w:bCs/>
        </w:rPr>
        <w:lastRenderedPageBreak/>
        <w:t xml:space="preserve">As recognised in the DP, </w:t>
      </w:r>
      <w:r w:rsidR="00703146" w:rsidRPr="009B720F">
        <w:rPr>
          <w:bCs/>
        </w:rPr>
        <w:t xml:space="preserve">the DP has followed ADM, and </w:t>
      </w:r>
      <w:r w:rsidRPr="009B720F">
        <w:rPr>
          <w:bCs/>
        </w:rPr>
        <w:t>ADM relies on a phased decision-making process</w:t>
      </w:r>
      <w:r w:rsidR="00703146" w:rsidRPr="009B720F">
        <w:rPr>
          <w:bCs/>
        </w:rPr>
        <w:t xml:space="preserve"> </w:t>
      </w:r>
      <w:r w:rsidRPr="009B720F">
        <w:rPr>
          <w:rFonts w:eastAsia="RijksoverheidSansText-Regular"/>
          <w:bCs/>
        </w:rPr>
        <w:t>(</w:t>
      </w:r>
      <w:r w:rsidRPr="009B720F">
        <w:rPr>
          <w:rFonts w:eastAsia="RijksoverheidSansText-Regular"/>
          <w:bCs/>
          <w:color w:val="7F7F7F" w:themeColor="text1" w:themeTint="80"/>
        </w:rPr>
        <w:t>DP 2012, p.88</w:t>
      </w:r>
      <w:r w:rsidRPr="009B720F">
        <w:rPr>
          <w:rFonts w:eastAsia="RijksoverheidSansText-Regular"/>
          <w:bCs/>
        </w:rPr>
        <w:t>)</w:t>
      </w:r>
      <w:r w:rsidRPr="009B720F">
        <w:rPr>
          <w:bCs/>
        </w:rPr>
        <w:t xml:space="preserve">. </w:t>
      </w:r>
      <w:r w:rsidR="00665016" w:rsidRPr="009B720F">
        <w:rPr>
          <w:bCs/>
        </w:rPr>
        <w:t>Although the DP follows an</w:t>
      </w:r>
      <w:r w:rsidR="0082387A" w:rsidRPr="009B720F">
        <w:rPr>
          <w:bCs/>
        </w:rPr>
        <w:t xml:space="preserve"> annual development cycle</w:t>
      </w:r>
      <w:r w:rsidR="00703146" w:rsidRPr="009B720F">
        <w:rPr>
          <w:bCs/>
        </w:rPr>
        <w:t xml:space="preserve"> </w:t>
      </w:r>
      <w:r w:rsidR="00703146" w:rsidRPr="009B720F">
        <w:rPr>
          <w:rFonts w:cs="Arial"/>
          <w:bCs/>
        </w:rPr>
        <w:t>(</w:t>
      </w:r>
      <w:r w:rsidR="00703146" w:rsidRPr="009B720F">
        <w:rPr>
          <w:rFonts w:cs="Arial"/>
          <w:bCs/>
          <w:color w:val="7F7F7F" w:themeColor="text1" w:themeTint="80"/>
        </w:rPr>
        <w:t>DP 2016, p.6</w:t>
      </w:r>
      <w:r w:rsidR="00703146" w:rsidRPr="009B720F">
        <w:rPr>
          <w:rFonts w:cs="Arial"/>
          <w:bCs/>
        </w:rPr>
        <w:t>)</w:t>
      </w:r>
      <w:r w:rsidR="0082387A" w:rsidRPr="009B720F">
        <w:rPr>
          <w:bCs/>
        </w:rPr>
        <w:t>,</w:t>
      </w:r>
      <w:r w:rsidR="00703146" w:rsidRPr="009B720F">
        <w:rPr>
          <w:bCs/>
        </w:rPr>
        <w:t xml:space="preserve"> over the years (from 2010 </w:t>
      </w:r>
      <w:r w:rsidR="00665016" w:rsidRPr="009B720F">
        <w:rPr>
          <w:bCs/>
        </w:rPr>
        <w:t>up 2020</w:t>
      </w:r>
      <w:r w:rsidR="00703146" w:rsidRPr="009B720F">
        <w:rPr>
          <w:bCs/>
        </w:rPr>
        <w:t xml:space="preserve">), the DP </w:t>
      </w:r>
      <w:r w:rsidR="0082387A" w:rsidRPr="009B720F">
        <w:rPr>
          <w:bCs/>
        </w:rPr>
        <w:t>has conducted</w:t>
      </w:r>
      <w:r w:rsidR="00703146" w:rsidRPr="009B720F">
        <w:rPr>
          <w:bCs/>
        </w:rPr>
        <w:t xml:space="preserve"> (carried out)</w:t>
      </w:r>
      <w:r w:rsidR="0082387A" w:rsidRPr="009B720F">
        <w:rPr>
          <w:bCs/>
        </w:rPr>
        <w:t xml:space="preserve"> </w:t>
      </w:r>
      <w:r w:rsidR="0082387A" w:rsidRPr="009B720F">
        <w:rPr>
          <w:rFonts w:cs="Arial"/>
          <w:bCs/>
        </w:rPr>
        <w:t>the main steps of ADM process (or similar steps to those prescribed in ADM) (</w:t>
      </w:r>
      <w:r w:rsidR="0082387A" w:rsidRPr="009B720F">
        <w:rPr>
          <w:rFonts w:cs="Arial"/>
          <w:bCs/>
          <w:color w:val="7F7F7F" w:themeColor="text1" w:themeTint="80"/>
        </w:rPr>
        <w:t>DP 2016, p.6</w:t>
      </w:r>
      <w:r w:rsidR="0082387A" w:rsidRPr="009B720F">
        <w:rPr>
          <w:rFonts w:cs="Arial"/>
          <w:bCs/>
        </w:rPr>
        <w:t xml:space="preserve">). </w:t>
      </w:r>
    </w:p>
    <w:p w14:paraId="307EFDD2" w14:textId="591347A6" w:rsidR="0082387A" w:rsidRPr="00A748CB" w:rsidRDefault="00665016" w:rsidP="00E74925">
      <w:pPr>
        <w:pStyle w:val="TEXTBODY"/>
        <w:spacing w:line="276" w:lineRule="auto"/>
        <w:rPr>
          <w:bCs/>
        </w:rPr>
      </w:pPr>
      <w:r w:rsidRPr="00A748CB">
        <w:rPr>
          <w:bCs/>
        </w:rPr>
        <w:t>T</w:t>
      </w:r>
      <w:r w:rsidR="0082387A" w:rsidRPr="00A748CB">
        <w:rPr>
          <w:bCs/>
        </w:rPr>
        <w:t>he stage</w:t>
      </w:r>
      <w:r w:rsidRPr="00A748CB">
        <w:rPr>
          <w:bCs/>
        </w:rPr>
        <w:t>s</w:t>
      </w:r>
      <w:r w:rsidR="0082387A" w:rsidRPr="00A748CB">
        <w:rPr>
          <w:bCs/>
        </w:rPr>
        <w:t xml:space="preserve"> of </w:t>
      </w:r>
      <w:r w:rsidRPr="00A748CB">
        <w:rPr>
          <w:bCs/>
          <w:i/>
          <w:iCs/>
        </w:rPr>
        <w:t xml:space="preserve">problem </w:t>
      </w:r>
      <w:r w:rsidR="0082387A" w:rsidRPr="00A748CB">
        <w:rPr>
          <w:bCs/>
          <w:i/>
          <w:iCs/>
        </w:rPr>
        <w:t xml:space="preserve">analysis </w:t>
      </w:r>
      <w:r w:rsidR="0082387A" w:rsidRPr="00A748CB">
        <w:rPr>
          <w:bCs/>
        </w:rPr>
        <w:t xml:space="preserve">and </w:t>
      </w:r>
      <w:r w:rsidR="0082387A" w:rsidRPr="00A748CB">
        <w:rPr>
          <w:bCs/>
          <w:i/>
          <w:iCs/>
        </w:rPr>
        <w:t>strategy development</w:t>
      </w:r>
      <w:r w:rsidR="0082387A" w:rsidRPr="00A748CB">
        <w:rPr>
          <w:bCs/>
        </w:rPr>
        <w:t xml:space="preserve"> took 4 years (from 2010 to 2014</w:t>
      </w:r>
      <w:r w:rsidRPr="00A748CB">
        <w:rPr>
          <w:bCs/>
        </w:rPr>
        <w:t>) – in</w:t>
      </w:r>
      <w:r w:rsidR="0082387A" w:rsidRPr="00A748CB">
        <w:rPr>
          <w:bCs/>
        </w:rPr>
        <w:t xml:space="preserve"> this period, th</w:t>
      </w:r>
      <w:r w:rsidRPr="00A748CB">
        <w:rPr>
          <w:bCs/>
        </w:rPr>
        <w:t xml:space="preserve">e six regional </w:t>
      </w:r>
      <w:r w:rsidR="0082387A" w:rsidRPr="00A748CB">
        <w:rPr>
          <w:bCs/>
        </w:rPr>
        <w:t>Subprogrammes developed</w:t>
      </w:r>
      <w:r w:rsidRPr="00A748CB">
        <w:rPr>
          <w:bCs/>
        </w:rPr>
        <w:t xml:space="preserve"> a</w:t>
      </w:r>
      <w:r w:rsidR="0082387A" w:rsidRPr="00A748CB">
        <w:rPr>
          <w:bCs/>
        </w:rPr>
        <w:t xml:space="preserve"> </w:t>
      </w:r>
      <w:r w:rsidR="0082387A" w:rsidRPr="00A748CB">
        <w:rPr>
          <w:bCs/>
          <w:i/>
          <w:iCs/>
        </w:rPr>
        <w:t>Preferential Strateg</w:t>
      </w:r>
      <w:r w:rsidRPr="00A748CB">
        <w:rPr>
          <w:bCs/>
          <w:i/>
          <w:iCs/>
        </w:rPr>
        <w:t xml:space="preserve">y </w:t>
      </w:r>
      <w:r w:rsidRPr="00A748CB">
        <w:rPr>
          <w:bCs/>
        </w:rPr>
        <w:t>for FRM for their region</w:t>
      </w:r>
      <w:r w:rsidR="0082387A" w:rsidRPr="00A748CB">
        <w:rPr>
          <w:bCs/>
          <w:color w:val="C00000"/>
        </w:rPr>
        <w:t xml:space="preserve"> </w:t>
      </w:r>
      <w:r w:rsidR="0082387A" w:rsidRPr="00A748CB">
        <w:rPr>
          <w:bCs/>
        </w:rPr>
        <w:t>(</w:t>
      </w:r>
      <w:r w:rsidR="0082387A" w:rsidRPr="00A748CB">
        <w:rPr>
          <w:bCs/>
          <w:color w:val="7F7F7F" w:themeColor="text1" w:themeTint="80"/>
        </w:rPr>
        <w:t xml:space="preserve">Haegen and </w:t>
      </w:r>
      <w:proofErr w:type="spellStart"/>
      <w:r w:rsidR="0082387A" w:rsidRPr="00A748CB">
        <w:rPr>
          <w:bCs/>
          <w:color w:val="7F7F7F" w:themeColor="text1" w:themeTint="80"/>
        </w:rPr>
        <w:t>Wieriks</w:t>
      </w:r>
      <w:proofErr w:type="spellEnd"/>
      <w:r w:rsidR="0082387A" w:rsidRPr="00A748CB">
        <w:rPr>
          <w:bCs/>
          <w:color w:val="7F7F7F" w:themeColor="text1" w:themeTint="80"/>
        </w:rPr>
        <w:t xml:space="preserve"> 2015; Alphen 2015; Zevenbergen et al. 2018</w:t>
      </w:r>
      <w:r w:rsidR="0082387A" w:rsidRPr="00A748CB">
        <w:rPr>
          <w:bCs/>
        </w:rPr>
        <w:t>).</w:t>
      </w:r>
      <w:r w:rsidR="008F7C90" w:rsidRPr="00A748CB">
        <w:rPr>
          <w:bCs/>
        </w:rPr>
        <w:t xml:space="preserve"> </w:t>
      </w:r>
      <w:r w:rsidR="0082387A" w:rsidRPr="00A748CB">
        <w:rPr>
          <w:bCs/>
        </w:rPr>
        <w:t>The development of</w:t>
      </w:r>
      <w:r w:rsidR="008F7C90" w:rsidRPr="00A748CB">
        <w:rPr>
          <w:bCs/>
        </w:rPr>
        <w:t xml:space="preserve"> the </w:t>
      </w:r>
      <w:r w:rsidR="0082387A" w:rsidRPr="00A748CB">
        <w:rPr>
          <w:bCs/>
          <w:i/>
          <w:iCs/>
        </w:rPr>
        <w:t>Preferential Strategies</w:t>
      </w:r>
      <w:r w:rsidR="0082387A" w:rsidRPr="00A748CB">
        <w:rPr>
          <w:bCs/>
        </w:rPr>
        <w:t xml:space="preserve"> involved a gradual process of exploration and assessment of measures, design of </w:t>
      </w:r>
      <w:r w:rsidR="0082387A" w:rsidRPr="00A748CB">
        <w:rPr>
          <w:bCs/>
          <w:i/>
          <w:iCs/>
        </w:rPr>
        <w:t>adaptation paths</w:t>
      </w:r>
      <w:r w:rsidR="0082387A" w:rsidRPr="00A748CB">
        <w:rPr>
          <w:bCs/>
        </w:rPr>
        <w:t>, and their a</w:t>
      </w:r>
      <w:r w:rsidR="001C64E8" w:rsidRPr="00A748CB">
        <w:rPr>
          <w:bCs/>
        </w:rPr>
        <w:t xml:space="preserve">ssessment and refinement </w:t>
      </w:r>
      <w:r w:rsidR="0082387A" w:rsidRPr="00A748CB">
        <w:rPr>
          <w:bCs/>
        </w:rPr>
        <w:t>(</w:t>
      </w:r>
      <w:r w:rsidR="0082387A" w:rsidRPr="00A748CB">
        <w:rPr>
          <w:bCs/>
          <w:color w:val="7F7F7F" w:themeColor="text1" w:themeTint="80"/>
        </w:rPr>
        <w:t>DP 2014, p.132</w:t>
      </w:r>
      <w:r w:rsidR="001C64E8" w:rsidRPr="00A748CB">
        <w:rPr>
          <w:bCs/>
          <w:color w:val="7F7F7F" w:themeColor="text1" w:themeTint="80"/>
        </w:rPr>
        <w:t>, 135, 136</w:t>
      </w:r>
      <w:r w:rsidR="0082387A" w:rsidRPr="00A748CB">
        <w:rPr>
          <w:bCs/>
        </w:rPr>
        <w:t>).</w:t>
      </w:r>
      <w:r w:rsidR="001C64E8" w:rsidRPr="00A748CB">
        <w:rPr>
          <w:bCs/>
        </w:rPr>
        <w:t xml:space="preserve"> </w:t>
      </w:r>
      <w:r w:rsidR="0082387A" w:rsidRPr="00A748CB">
        <w:rPr>
          <w:bCs/>
        </w:rPr>
        <w:t>In the 1</w:t>
      </w:r>
      <w:r w:rsidR="0082387A" w:rsidRPr="00A748CB">
        <w:rPr>
          <w:bCs/>
          <w:vertAlign w:val="superscript"/>
        </w:rPr>
        <w:t>st</w:t>
      </w:r>
      <w:r w:rsidR="0082387A" w:rsidRPr="00A748CB">
        <w:rPr>
          <w:bCs/>
        </w:rPr>
        <w:t xml:space="preserve"> year (2010-2011), the regional Subprogrammes carried out the ‘</w:t>
      </w:r>
      <w:r w:rsidR="0082387A" w:rsidRPr="00A748CB">
        <w:rPr>
          <w:bCs/>
          <w:i/>
          <w:iCs/>
        </w:rPr>
        <w:t>Problem Analysis</w:t>
      </w:r>
      <w:r w:rsidR="0082387A" w:rsidRPr="00A748CB">
        <w:rPr>
          <w:bCs/>
        </w:rPr>
        <w:t>’, in the 2</w:t>
      </w:r>
      <w:r w:rsidR="0082387A" w:rsidRPr="00A748CB">
        <w:rPr>
          <w:bCs/>
          <w:vertAlign w:val="superscript"/>
        </w:rPr>
        <w:t>nd</w:t>
      </w:r>
      <w:r w:rsidR="0082387A" w:rsidRPr="00A748CB">
        <w:rPr>
          <w:bCs/>
        </w:rPr>
        <w:t xml:space="preserve"> year (2011-2012), explored</w:t>
      </w:r>
      <w:r w:rsidR="00DF1B75" w:rsidRPr="00A748CB">
        <w:rPr>
          <w:bCs/>
        </w:rPr>
        <w:t xml:space="preserve"> and identified</w:t>
      </w:r>
      <w:r w:rsidR="0082387A" w:rsidRPr="00A748CB">
        <w:rPr>
          <w:bCs/>
        </w:rPr>
        <w:t xml:space="preserve"> their </w:t>
      </w:r>
      <w:r w:rsidR="0082387A" w:rsidRPr="00A748CB">
        <w:rPr>
          <w:bCs/>
          <w:i/>
          <w:iCs/>
        </w:rPr>
        <w:t>Possible Strategies</w:t>
      </w:r>
      <w:r w:rsidR="0082387A" w:rsidRPr="00A748CB">
        <w:rPr>
          <w:bCs/>
        </w:rPr>
        <w:t>; in the 3</w:t>
      </w:r>
      <w:r w:rsidR="0082387A" w:rsidRPr="00A748CB">
        <w:rPr>
          <w:bCs/>
          <w:vertAlign w:val="superscript"/>
        </w:rPr>
        <w:t>rd</w:t>
      </w:r>
      <w:r w:rsidR="0082387A" w:rsidRPr="00A748CB">
        <w:rPr>
          <w:bCs/>
        </w:rPr>
        <w:t xml:space="preserve"> year (2012-2013), developed them into </w:t>
      </w:r>
      <w:r w:rsidR="00952AE1" w:rsidRPr="00A748CB">
        <w:rPr>
          <w:bCs/>
        </w:rPr>
        <w:t xml:space="preserve">(elaborated) </w:t>
      </w:r>
      <w:r w:rsidR="0082387A" w:rsidRPr="00A748CB">
        <w:rPr>
          <w:bCs/>
          <w:i/>
          <w:iCs/>
        </w:rPr>
        <w:t>Promising Strategies</w:t>
      </w:r>
      <w:r w:rsidR="0082387A" w:rsidRPr="00A748CB">
        <w:rPr>
          <w:bCs/>
        </w:rPr>
        <w:t>; and in the 4</w:t>
      </w:r>
      <w:r w:rsidR="0082387A" w:rsidRPr="00A748CB">
        <w:rPr>
          <w:bCs/>
          <w:vertAlign w:val="superscript"/>
        </w:rPr>
        <w:t>th</w:t>
      </w:r>
      <w:r w:rsidR="0082387A" w:rsidRPr="00A748CB">
        <w:rPr>
          <w:bCs/>
        </w:rPr>
        <w:t xml:space="preserve"> year (2013-2014), further </w:t>
      </w:r>
      <w:r w:rsidR="001C64E8" w:rsidRPr="00A748CB">
        <w:rPr>
          <w:bCs/>
        </w:rPr>
        <w:t>re</w:t>
      </w:r>
      <w:r w:rsidR="0082387A" w:rsidRPr="00A748CB">
        <w:rPr>
          <w:bCs/>
        </w:rPr>
        <w:t xml:space="preserve">defined and </w:t>
      </w:r>
      <w:r w:rsidR="00952AE1" w:rsidRPr="00A748CB">
        <w:rPr>
          <w:bCs/>
        </w:rPr>
        <w:t>chose</w:t>
      </w:r>
      <w:r w:rsidR="0082387A" w:rsidRPr="00A748CB">
        <w:rPr>
          <w:bCs/>
        </w:rPr>
        <w:t xml:space="preserve"> their </w:t>
      </w:r>
      <w:r w:rsidR="0082387A" w:rsidRPr="00A748CB">
        <w:rPr>
          <w:bCs/>
          <w:i/>
          <w:iCs/>
        </w:rPr>
        <w:t xml:space="preserve">Preferential Strategy </w:t>
      </w:r>
      <w:r w:rsidR="0082387A" w:rsidRPr="00A748CB">
        <w:rPr>
          <w:bCs/>
        </w:rPr>
        <w:t>(</w:t>
      </w:r>
      <w:proofErr w:type="spellStart"/>
      <w:r w:rsidR="0082387A" w:rsidRPr="00A748CB">
        <w:rPr>
          <w:bCs/>
          <w:color w:val="7F7F7F" w:themeColor="text1" w:themeTint="80"/>
        </w:rPr>
        <w:t>Restemeyer</w:t>
      </w:r>
      <w:proofErr w:type="spellEnd"/>
      <w:r w:rsidR="0082387A" w:rsidRPr="00A748CB">
        <w:rPr>
          <w:bCs/>
          <w:color w:val="7F7F7F" w:themeColor="text1" w:themeTint="80"/>
        </w:rPr>
        <w:t xml:space="preserve"> et al. 2017, p.928; DP 2014, p.132</w:t>
      </w:r>
      <w:r w:rsidR="0082387A" w:rsidRPr="00A748CB">
        <w:rPr>
          <w:bCs/>
        </w:rPr>
        <w:t xml:space="preserve">). After 2014, there was shift towards the </w:t>
      </w:r>
      <w:r w:rsidR="006404DA" w:rsidRPr="00A748CB">
        <w:rPr>
          <w:bCs/>
        </w:rPr>
        <w:t>detailed design of the</w:t>
      </w:r>
      <w:r w:rsidR="0082387A" w:rsidRPr="00A748CB">
        <w:rPr>
          <w:bCs/>
          <w:i/>
        </w:rPr>
        <w:t xml:space="preserve"> Strategies</w:t>
      </w:r>
      <w:r w:rsidR="0082387A" w:rsidRPr="00A748CB">
        <w:rPr>
          <w:bCs/>
        </w:rPr>
        <w:t xml:space="preserve"> and </w:t>
      </w:r>
      <w:r w:rsidR="006404DA" w:rsidRPr="00A748CB">
        <w:rPr>
          <w:bCs/>
        </w:rPr>
        <w:t>implementation of</w:t>
      </w:r>
      <w:r w:rsidR="0082387A" w:rsidRPr="00A748CB">
        <w:rPr>
          <w:bCs/>
        </w:rPr>
        <w:t xml:space="preserve"> their measures (</w:t>
      </w:r>
      <w:r w:rsidR="0082387A" w:rsidRPr="00A748CB">
        <w:rPr>
          <w:bCs/>
          <w:color w:val="7F7F7F" w:themeColor="text1" w:themeTint="80"/>
        </w:rPr>
        <w:t>Zevenbergen et al. 2018</w:t>
      </w:r>
      <w:r w:rsidR="006404DA" w:rsidRPr="00A748CB">
        <w:rPr>
          <w:bCs/>
          <w:color w:val="7F7F7F" w:themeColor="text1" w:themeTint="80"/>
        </w:rPr>
        <w:t>, p.1</w:t>
      </w:r>
      <w:r w:rsidR="0082387A" w:rsidRPr="00A748CB">
        <w:rPr>
          <w:bCs/>
        </w:rPr>
        <w:t xml:space="preserve">). Since 2015, the DP annual reports have documented the progress made in the implementation of the </w:t>
      </w:r>
      <w:r w:rsidR="0082387A" w:rsidRPr="00A748CB">
        <w:rPr>
          <w:bCs/>
          <w:i/>
          <w:iCs/>
        </w:rPr>
        <w:t>Delta Decisions</w:t>
      </w:r>
      <w:r w:rsidR="0082387A" w:rsidRPr="00A748CB">
        <w:rPr>
          <w:bCs/>
        </w:rPr>
        <w:t xml:space="preserve"> and </w:t>
      </w:r>
      <w:r w:rsidR="0082387A" w:rsidRPr="00A748CB">
        <w:rPr>
          <w:bCs/>
          <w:i/>
          <w:iCs/>
        </w:rPr>
        <w:t>Preferential Strategies</w:t>
      </w:r>
      <w:r w:rsidR="0082387A" w:rsidRPr="00A748CB">
        <w:rPr>
          <w:bCs/>
        </w:rPr>
        <w:t xml:space="preserve"> (of the DP 2014), and if they are </w:t>
      </w:r>
      <w:r w:rsidR="0082387A" w:rsidRPr="00A748CB">
        <w:rPr>
          <w:bCs/>
          <w:i/>
          <w:iCs/>
        </w:rPr>
        <w:t>on schedule</w:t>
      </w:r>
      <w:r w:rsidR="0082387A" w:rsidRPr="00A748CB">
        <w:rPr>
          <w:bCs/>
        </w:rPr>
        <w:t xml:space="preserve"> </w:t>
      </w:r>
      <w:r w:rsidR="006404DA" w:rsidRPr="00A748CB">
        <w:rPr>
          <w:bCs/>
        </w:rPr>
        <w:t xml:space="preserve">and </w:t>
      </w:r>
      <w:r w:rsidR="006404DA" w:rsidRPr="00A748CB">
        <w:rPr>
          <w:bCs/>
          <w:i/>
          <w:iCs/>
        </w:rPr>
        <w:t>on the</w:t>
      </w:r>
      <w:r w:rsidR="006404DA" w:rsidRPr="00A748CB">
        <w:rPr>
          <w:bCs/>
        </w:rPr>
        <w:t xml:space="preserve"> </w:t>
      </w:r>
      <w:r w:rsidR="006404DA" w:rsidRPr="00A748CB">
        <w:rPr>
          <w:bCs/>
          <w:i/>
          <w:iCs/>
        </w:rPr>
        <w:t>right track</w:t>
      </w:r>
      <w:r w:rsidR="006404DA" w:rsidRPr="00A748CB">
        <w:rPr>
          <w:bCs/>
        </w:rPr>
        <w:t xml:space="preserve"> </w:t>
      </w:r>
      <w:r w:rsidR="0082387A" w:rsidRPr="00A748CB">
        <w:rPr>
          <w:bCs/>
        </w:rPr>
        <w:t>(</w:t>
      </w:r>
      <w:r w:rsidR="0082387A" w:rsidRPr="00A748CB">
        <w:rPr>
          <w:bCs/>
          <w:color w:val="7F7F7F" w:themeColor="text1" w:themeTint="80"/>
        </w:rPr>
        <w:t>DP 2018, p.19; 2016, p.6</w:t>
      </w:r>
      <w:r w:rsidR="0082387A" w:rsidRPr="00A748CB">
        <w:rPr>
          <w:rFonts w:cs="Arial"/>
          <w:bCs/>
        </w:rPr>
        <w:t xml:space="preserve">). </w:t>
      </w:r>
      <w:r w:rsidR="0082387A" w:rsidRPr="00A748CB">
        <w:rPr>
          <w:bCs/>
        </w:rPr>
        <w:t xml:space="preserve">Moreover, since 2015, the DP has </w:t>
      </w:r>
      <w:r w:rsidR="006404DA" w:rsidRPr="00A748CB">
        <w:rPr>
          <w:bCs/>
        </w:rPr>
        <w:t>evaluated,</w:t>
      </w:r>
      <w:r w:rsidR="0082387A" w:rsidRPr="00A748CB">
        <w:rPr>
          <w:bCs/>
        </w:rPr>
        <w:t xml:space="preserve"> every year, </w:t>
      </w:r>
      <w:r w:rsidR="006404DA" w:rsidRPr="00A748CB">
        <w:rPr>
          <w:bCs/>
        </w:rPr>
        <w:t xml:space="preserve">whether any </w:t>
      </w:r>
      <w:r w:rsidR="0082387A" w:rsidRPr="00A748CB">
        <w:rPr>
          <w:bCs/>
        </w:rPr>
        <w:t xml:space="preserve">new developments require the adjustment or fine-tuning of the </w:t>
      </w:r>
      <w:r w:rsidR="0082387A" w:rsidRPr="00A748CB">
        <w:rPr>
          <w:bCs/>
          <w:i/>
          <w:iCs/>
        </w:rPr>
        <w:t>Preferential Strategies</w:t>
      </w:r>
      <w:r w:rsidR="006404DA" w:rsidRPr="00A748CB">
        <w:rPr>
          <w:bCs/>
        </w:rPr>
        <w:t xml:space="preserve"> and the associated </w:t>
      </w:r>
      <w:r w:rsidR="006404DA" w:rsidRPr="00A748CB">
        <w:rPr>
          <w:bCs/>
          <w:i/>
          <w:iCs/>
        </w:rPr>
        <w:t>Delta Plans</w:t>
      </w:r>
      <w:r w:rsidR="006404DA" w:rsidRPr="00A748CB">
        <w:rPr>
          <w:bCs/>
        </w:rPr>
        <w:t xml:space="preserve"> (</w:t>
      </w:r>
      <w:r w:rsidR="006404DA" w:rsidRPr="00A748CB">
        <w:rPr>
          <w:bCs/>
          <w:color w:val="7F7F7F" w:themeColor="text1" w:themeTint="80"/>
        </w:rPr>
        <w:t>DP 2016, p.6</w:t>
      </w:r>
      <w:r w:rsidR="006404DA" w:rsidRPr="00A748CB">
        <w:rPr>
          <w:rFonts w:cs="Arial"/>
          <w:bCs/>
        </w:rPr>
        <w:t>).</w:t>
      </w:r>
    </w:p>
    <w:p w14:paraId="286B6969" w14:textId="793941C4" w:rsidR="0082387A" w:rsidRPr="009B720F" w:rsidRDefault="00B54AB4" w:rsidP="00E74925">
      <w:pPr>
        <w:pStyle w:val="TEXTBODY"/>
        <w:spacing w:line="276" w:lineRule="auto"/>
        <w:rPr>
          <w:bCs/>
        </w:rPr>
      </w:pPr>
      <w:r w:rsidRPr="00A748CB">
        <w:rPr>
          <w:bCs/>
        </w:rPr>
        <w:t xml:space="preserve">Furthermore, </w:t>
      </w:r>
      <w:r w:rsidR="0082387A" w:rsidRPr="00A748CB">
        <w:rPr>
          <w:bCs/>
        </w:rPr>
        <w:t xml:space="preserve">ADM, and its ongoing nature, are </w:t>
      </w:r>
      <w:r w:rsidRPr="00A748CB">
        <w:rPr>
          <w:bCs/>
        </w:rPr>
        <w:t xml:space="preserve">also </w:t>
      </w:r>
      <w:r w:rsidR="0082387A" w:rsidRPr="00A748CB">
        <w:rPr>
          <w:bCs/>
        </w:rPr>
        <w:t>reflected in the annual update of the DP (every year a new DP report is issued, including a reprogramming of measures, and</w:t>
      </w:r>
      <w:r w:rsidRPr="00A748CB">
        <w:rPr>
          <w:bCs/>
        </w:rPr>
        <w:t xml:space="preserve"> is</w:t>
      </w:r>
      <w:r w:rsidR="0082387A" w:rsidRPr="00A748CB">
        <w:rPr>
          <w:bCs/>
        </w:rPr>
        <w:t xml:space="preserve"> submitted to the Parliament)</w:t>
      </w:r>
      <w:r w:rsidR="0082387A" w:rsidRPr="009B720F">
        <w:rPr>
          <w:bCs/>
        </w:rPr>
        <w:t xml:space="preserve"> (</w:t>
      </w:r>
      <w:r w:rsidR="0082387A" w:rsidRPr="009B720F">
        <w:rPr>
          <w:bCs/>
          <w:color w:val="7F7F7F" w:themeColor="text1" w:themeTint="80"/>
        </w:rPr>
        <w:t>DP 2014, p.95; Bloemen et al. 2018</w:t>
      </w:r>
      <w:r w:rsidR="0082387A" w:rsidRPr="009B720F">
        <w:rPr>
          <w:bCs/>
        </w:rPr>
        <w:t xml:space="preserve">). In this process, monitoring and research, and the design and implementation phase, </w:t>
      </w:r>
      <w:r w:rsidRPr="009B720F">
        <w:rPr>
          <w:bCs/>
        </w:rPr>
        <w:t>are</w:t>
      </w:r>
      <w:r w:rsidR="0082387A" w:rsidRPr="009B720F">
        <w:rPr>
          <w:bCs/>
        </w:rPr>
        <w:t xml:space="preserve"> conducted at the same time and influence each other (</w:t>
      </w:r>
      <w:r w:rsidR="0082387A" w:rsidRPr="009B720F">
        <w:rPr>
          <w:bCs/>
          <w:color w:val="7F7F7F" w:themeColor="text1" w:themeTint="80"/>
        </w:rPr>
        <w:t>DP 2014, p.149</w:t>
      </w:r>
      <w:r w:rsidR="0082387A" w:rsidRPr="009B720F">
        <w:rPr>
          <w:bCs/>
        </w:rPr>
        <w:t>)</w:t>
      </w:r>
    </w:p>
    <w:p w14:paraId="3BB7A661" w14:textId="5832796D" w:rsidR="0082387A" w:rsidRPr="009B720F" w:rsidRDefault="00F71492" w:rsidP="00E74925">
      <w:pPr>
        <w:pStyle w:val="TEXTBODY"/>
        <w:spacing w:line="276" w:lineRule="auto"/>
        <w:rPr>
          <w:bCs/>
        </w:rPr>
      </w:pPr>
      <w:r w:rsidRPr="009B720F">
        <w:rPr>
          <w:bCs/>
        </w:rPr>
        <w:t xml:space="preserve">Overall, the DP’s adaptive approach requires an ongoing process of adaptation planning, which implies monitoring and adjustment, as well as </w:t>
      </w:r>
      <w:r w:rsidRPr="009B720F">
        <w:rPr>
          <w:bCs/>
          <w:i/>
          <w:iCs/>
        </w:rPr>
        <w:t>flexibility</w:t>
      </w:r>
      <w:r w:rsidRPr="009B720F">
        <w:rPr>
          <w:bCs/>
        </w:rPr>
        <w:t xml:space="preserve"> and </w:t>
      </w:r>
      <w:r w:rsidRPr="009B720F">
        <w:rPr>
          <w:bCs/>
          <w:i/>
          <w:iCs/>
        </w:rPr>
        <w:t>adaptive capacity</w:t>
      </w:r>
      <w:r w:rsidRPr="009B720F">
        <w:rPr>
          <w:bCs/>
          <w:color w:val="231F20"/>
        </w:rPr>
        <w:t>, namely within the strategies and choices made (</w:t>
      </w:r>
      <w:proofErr w:type="spellStart"/>
      <w:r w:rsidRPr="009B720F">
        <w:rPr>
          <w:bCs/>
          <w:color w:val="7F7F7F" w:themeColor="text1" w:themeTint="80"/>
        </w:rPr>
        <w:t>Gersonius</w:t>
      </w:r>
      <w:proofErr w:type="spellEnd"/>
      <w:r w:rsidRPr="009B720F">
        <w:rPr>
          <w:bCs/>
          <w:color w:val="7F7F7F" w:themeColor="text1" w:themeTint="80"/>
        </w:rPr>
        <w:t xml:space="preserve"> et al. 2016, p.214; Haegen and </w:t>
      </w:r>
      <w:proofErr w:type="spellStart"/>
      <w:r w:rsidRPr="009B720F">
        <w:rPr>
          <w:bCs/>
          <w:color w:val="7F7F7F" w:themeColor="text1" w:themeTint="80"/>
        </w:rPr>
        <w:t>Wieriks</w:t>
      </w:r>
      <w:proofErr w:type="spellEnd"/>
      <w:r w:rsidRPr="009B720F">
        <w:rPr>
          <w:bCs/>
          <w:color w:val="7F7F7F" w:themeColor="text1" w:themeTint="80"/>
        </w:rPr>
        <w:t xml:space="preserve"> 2015, p.53</w:t>
      </w:r>
      <w:r w:rsidRPr="009B720F">
        <w:rPr>
          <w:bCs/>
          <w:color w:val="231F20"/>
        </w:rPr>
        <w:t>).</w:t>
      </w:r>
      <w:r w:rsidRPr="009B720F">
        <w:rPr>
          <w:rStyle w:val="Refdenotaderodap"/>
          <w:bCs/>
          <w:highlight w:val="lightGray"/>
        </w:rPr>
        <w:footnoteReference w:id="124"/>
      </w:r>
    </w:p>
    <w:p w14:paraId="17A7C05E" w14:textId="12461EA6" w:rsidR="006404DA" w:rsidRPr="009B720F" w:rsidRDefault="00B54AB4" w:rsidP="00E74925">
      <w:pPr>
        <w:pStyle w:val="TEXTBODY"/>
        <w:spacing w:line="276" w:lineRule="auto"/>
        <w:rPr>
          <w:bCs/>
        </w:rPr>
      </w:pPr>
      <w:r w:rsidRPr="00A748CB">
        <w:rPr>
          <w:bCs/>
        </w:rPr>
        <w:t>It can, therefore, be concluded that the</w:t>
      </w:r>
      <w:r w:rsidR="006404DA" w:rsidRPr="00A748CB">
        <w:rPr>
          <w:bCs/>
        </w:rPr>
        <w:t xml:space="preserve"> ongoing process of </w:t>
      </w:r>
      <w:r w:rsidRPr="00A748CB">
        <w:rPr>
          <w:bCs/>
        </w:rPr>
        <w:t xml:space="preserve">ADM – with its iterative cycle of </w:t>
      </w:r>
      <w:r w:rsidR="006404DA" w:rsidRPr="00A748CB">
        <w:rPr>
          <w:bCs/>
        </w:rPr>
        <w:t>planning, management</w:t>
      </w:r>
      <w:r w:rsidR="00F71492" w:rsidRPr="00A748CB">
        <w:rPr>
          <w:bCs/>
        </w:rPr>
        <w:t>, monitoring and</w:t>
      </w:r>
      <w:r w:rsidR="006404DA" w:rsidRPr="00A748CB">
        <w:rPr>
          <w:bCs/>
        </w:rPr>
        <w:t xml:space="preserve"> adaptation, </w:t>
      </w:r>
      <w:r w:rsidRPr="00A748CB">
        <w:rPr>
          <w:bCs/>
        </w:rPr>
        <w:t xml:space="preserve">and </w:t>
      </w:r>
      <w:r w:rsidR="006404DA" w:rsidRPr="00A748CB">
        <w:rPr>
          <w:bCs/>
        </w:rPr>
        <w:t xml:space="preserve">with its several steps </w:t>
      </w:r>
      <w:r w:rsidRPr="00A748CB">
        <w:rPr>
          <w:bCs/>
        </w:rPr>
        <w:t>required</w:t>
      </w:r>
      <w:r w:rsidR="006404DA" w:rsidRPr="00A748CB">
        <w:rPr>
          <w:bCs/>
        </w:rPr>
        <w:t xml:space="preserve"> to develop a </w:t>
      </w:r>
      <w:r w:rsidR="006404DA" w:rsidRPr="00A748CB">
        <w:rPr>
          <w:bCs/>
          <w:i/>
          <w:iCs/>
        </w:rPr>
        <w:t xml:space="preserve">dynamic adaptive plan / </w:t>
      </w:r>
      <w:r w:rsidRPr="00A748CB">
        <w:rPr>
          <w:bCs/>
          <w:i/>
          <w:iCs/>
        </w:rPr>
        <w:t xml:space="preserve">strategy </w:t>
      </w:r>
      <w:r w:rsidRPr="00A748CB">
        <w:rPr>
          <w:bCs/>
        </w:rPr>
        <w:t xml:space="preserve">– is another key-element of ADM essential to </w:t>
      </w:r>
      <w:r w:rsidR="0079170A" w:rsidRPr="00A748CB">
        <w:rPr>
          <w:bCs/>
        </w:rPr>
        <w:t>make the DP an adaptive</w:t>
      </w:r>
      <w:r w:rsidRPr="00A748CB">
        <w:rPr>
          <w:bCs/>
        </w:rPr>
        <w:t xml:space="preserve"> policy-programme </w:t>
      </w:r>
      <w:r w:rsidR="00F71492" w:rsidRPr="00A748CB">
        <w:rPr>
          <w:bCs/>
        </w:rPr>
        <w:t>with</w:t>
      </w:r>
      <w:r w:rsidRPr="00A748CB">
        <w:rPr>
          <w:bCs/>
        </w:rPr>
        <w:t xml:space="preserve"> </w:t>
      </w:r>
      <w:r w:rsidRPr="00A748CB">
        <w:rPr>
          <w:bCs/>
          <w:i/>
          <w:iCs/>
        </w:rPr>
        <w:t>robust adaptive strategies</w:t>
      </w:r>
      <w:r w:rsidRPr="00A748CB">
        <w:rPr>
          <w:bCs/>
        </w:rPr>
        <w:t xml:space="preserve">, </w:t>
      </w:r>
      <w:r w:rsidR="0079170A" w:rsidRPr="00A748CB">
        <w:rPr>
          <w:bCs/>
        </w:rPr>
        <w:t>and to</w:t>
      </w:r>
      <w:r w:rsidRPr="00A748CB">
        <w:rPr>
          <w:bCs/>
        </w:rPr>
        <w:t xml:space="preserve"> operationalize a</w:t>
      </w:r>
      <w:r w:rsidR="0079170A" w:rsidRPr="00A748CB">
        <w:rPr>
          <w:bCs/>
        </w:rPr>
        <w:t xml:space="preserve"> real</w:t>
      </w:r>
      <w:r w:rsidRPr="00A748CB">
        <w:rPr>
          <w:bCs/>
        </w:rPr>
        <w:t xml:space="preserve"> </w:t>
      </w:r>
      <w:r w:rsidRPr="00A748CB">
        <w:rPr>
          <w:bCs/>
          <w:i/>
          <w:iCs/>
        </w:rPr>
        <w:t>Adaptive Planning and Management</w:t>
      </w:r>
      <w:r w:rsidRPr="00A748CB">
        <w:rPr>
          <w:bCs/>
        </w:rPr>
        <w:t xml:space="preserve">. </w:t>
      </w:r>
      <w:r w:rsidR="00F71492" w:rsidRPr="00A748CB">
        <w:rPr>
          <w:bCs/>
        </w:rPr>
        <w:t>Importantly, the first four key-elements previously identified are patent in methods that are used in some of the steps of the ADM process (</w:t>
      </w:r>
      <w:r w:rsidR="00F71492" w:rsidRPr="00A748CB">
        <w:rPr>
          <w:bCs/>
          <w:color w:val="7F7F7F" w:themeColor="text1" w:themeTint="80"/>
        </w:rPr>
        <w:t>Marchand and Ludwig 2014, p.3, 10</w:t>
      </w:r>
      <w:r w:rsidR="00F71492" w:rsidRPr="00A748CB">
        <w:rPr>
          <w:bCs/>
        </w:rPr>
        <w:t>).</w:t>
      </w:r>
    </w:p>
    <w:p w14:paraId="47536B29" w14:textId="77777777" w:rsidR="00995F3E" w:rsidRPr="009B720F" w:rsidRDefault="00995F3E" w:rsidP="006404DA">
      <w:pPr>
        <w:pStyle w:val="TEXTBODY"/>
        <w:rPr>
          <w:bCs/>
        </w:rPr>
      </w:pPr>
    </w:p>
    <w:bookmarkEnd w:id="128"/>
    <w:p w14:paraId="6C20641D" w14:textId="2F615523" w:rsidR="000A0954" w:rsidRPr="009B720F" w:rsidRDefault="00995F3E" w:rsidP="00995F3E">
      <w:pPr>
        <w:pStyle w:val="Ttulo4"/>
        <w:rPr>
          <w:bCs/>
        </w:rPr>
      </w:pPr>
      <w:r w:rsidRPr="009B720F">
        <w:rPr>
          <w:bCs/>
        </w:rPr>
        <w:t>Synthesis table</w:t>
      </w:r>
      <w:r w:rsidR="001A6DF9">
        <w:rPr>
          <w:bCs/>
        </w:rPr>
        <w:t xml:space="preserve"> (Table </w:t>
      </w:r>
      <w:r w:rsidR="00AD22FD">
        <w:rPr>
          <w:bCs/>
        </w:rPr>
        <w:t>4</w:t>
      </w:r>
      <w:r w:rsidR="001A6DF9">
        <w:rPr>
          <w:bCs/>
        </w:rPr>
        <w:t>)</w:t>
      </w:r>
    </w:p>
    <w:tbl>
      <w:tblPr>
        <w:tblStyle w:val="TabelacomGrelha"/>
        <w:tblW w:w="9918" w:type="dxa"/>
        <w:tblLook w:val="04A0" w:firstRow="1" w:lastRow="0" w:firstColumn="1" w:lastColumn="0" w:noHBand="0" w:noVBand="1"/>
      </w:tblPr>
      <w:tblGrid>
        <w:gridCol w:w="753"/>
        <w:gridCol w:w="7039"/>
        <w:gridCol w:w="2126"/>
      </w:tblGrid>
      <w:tr w:rsidR="000A0954" w:rsidRPr="000A40A4" w14:paraId="6E66E4CD" w14:textId="77777777" w:rsidTr="000A40A4">
        <w:tc>
          <w:tcPr>
            <w:tcW w:w="9918" w:type="dxa"/>
            <w:gridSpan w:val="3"/>
          </w:tcPr>
          <w:p w14:paraId="31ADAA31" w14:textId="7E295331" w:rsidR="000A0954" w:rsidRPr="000A40A4" w:rsidRDefault="000A0954" w:rsidP="000A40A4">
            <w:pPr>
              <w:pStyle w:val="tablecontenttext"/>
              <w:spacing w:line="240" w:lineRule="auto"/>
              <w:rPr>
                <w:b/>
                <w:bCs w:val="0"/>
                <w:sz w:val="14"/>
                <w:szCs w:val="14"/>
              </w:rPr>
            </w:pPr>
            <w:bookmarkStart w:id="130" w:name="_Hlk141721142"/>
            <w:r w:rsidRPr="000A40A4">
              <w:rPr>
                <w:b/>
                <w:bCs w:val="0"/>
                <w:sz w:val="14"/>
                <w:szCs w:val="14"/>
              </w:rPr>
              <w:t xml:space="preserve">Table </w:t>
            </w:r>
            <w:r w:rsidR="00AD22FD">
              <w:rPr>
                <w:b/>
                <w:bCs w:val="0"/>
                <w:sz w:val="14"/>
                <w:szCs w:val="14"/>
              </w:rPr>
              <w:t>4</w:t>
            </w:r>
            <w:r w:rsidRPr="000A40A4">
              <w:rPr>
                <w:b/>
                <w:bCs w:val="0"/>
                <w:sz w:val="14"/>
                <w:szCs w:val="14"/>
              </w:rPr>
              <w:t>. Key-elements of the ADM approach of the DP</w:t>
            </w:r>
          </w:p>
        </w:tc>
      </w:tr>
      <w:tr w:rsidR="000A0954" w:rsidRPr="000A40A4" w14:paraId="34848066" w14:textId="77777777" w:rsidTr="004E5214">
        <w:trPr>
          <w:trHeight w:val="116"/>
        </w:trPr>
        <w:tc>
          <w:tcPr>
            <w:tcW w:w="753" w:type="dxa"/>
          </w:tcPr>
          <w:p w14:paraId="7C6485DA" w14:textId="6DB92297" w:rsidR="000A0954" w:rsidRPr="000A40A4" w:rsidRDefault="000A0954" w:rsidP="000A40A4">
            <w:pPr>
              <w:pStyle w:val="tablecontenttext"/>
              <w:spacing w:after="0" w:line="240" w:lineRule="auto"/>
              <w:rPr>
                <w:sz w:val="14"/>
                <w:szCs w:val="14"/>
              </w:rPr>
            </w:pPr>
            <w:r w:rsidRPr="000A40A4">
              <w:rPr>
                <w:sz w:val="14"/>
                <w:szCs w:val="14"/>
              </w:rPr>
              <w:t xml:space="preserve">Step of process (Fig. </w:t>
            </w:r>
            <w:r w:rsidR="001A6DF9">
              <w:rPr>
                <w:sz w:val="14"/>
                <w:szCs w:val="14"/>
              </w:rPr>
              <w:t>9</w:t>
            </w:r>
            <w:r w:rsidRPr="000A40A4">
              <w:rPr>
                <w:sz w:val="14"/>
                <w:szCs w:val="14"/>
              </w:rPr>
              <w:t xml:space="preserve">) </w:t>
            </w:r>
          </w:p>
        </w:tc>
        <w:tc>
          <w:tcPr>
            <w:tcW w:w="7039" w:type="dxa"/>
          </w:tcPr>
          <w:p w14:paraId="3770064A" w14:textId="77777777" w:rsidR="000A0954" w:rsidRPr="000A40A4" w:rsidRDefault="000A0954" w:rsidP="000A40A4">
            <w:pPr>
              <w:pStyle w:val="tablecontenttext"/>
              <w:spacing w:after="0" w:line="240" w:lineRule="auto"/>
              <w:rPr>
                <w:sz w:val="14"/>
                <w:szCs w:val="14"/>
              </w:rPr>
            </w:pPr>
            <w:r w:rsidRPr="000A40A4">
              <w:rPr>
                <w:sz w:val="14"/>
                <w:szCs w:val="14"/>
              </w:rPr>
              <w:t>Interpretation (deriving key-elements through induction)</w:t>
            </w:r>
          </w:p>
        </w:tc>
        <w:tc>
          <w:tcPr>
            <w:tcW w:w="2126" w:type="dxa"/>
          </w:tcPr>
          <w:p w14:paraId="5FAE15BB" w14:textId="77777777" w:rsidR="000A0954" w:rsidRPr="000A40A4" w:rsidRDefault="000A0954" w:rsidP="000A40A4">
            <w:pPr>
              <w:pStyle w:val="tablecontenttext"/>
              <w:spacing w:after="0" w:line="240" w:lineRule="auto"/>
              <w:rPr>
                <w:sz w:val="14"/>
                <w:szCs w:val="14"/>
              </w:rPr>
            </w:pPr>
            <w:r w:rsidRPr="000A40A4">
              <w:rPr>
                <w:sz w:val="14"/>
                <w:szCs w:val="14"/>
              </w:rPr>
              <w:t xml:space="preserve">Key-element essential to design an </w:t>
            </w:r>
            <w:r w:rsidRPr="000A40A4">
              <w:rPr>
                <w:i/>
                <w:iCs w:val="0"/>
                <w:sz w:val="14"/>
                <w:szCs w:val="14"/>
              </w:rPr>
              <w:t>adaptive strategy</w:t>
            </w:r>
            <w:r w:rsidRPr="000A40A4">
              <w:rPr>
                <w:sz w:val="14"/>
                <w:szCs w:val="14"/>
              </w:rPr>
              <w:t xml:space="preserve"> and operationalize ADM </w:t>
            </w:r>
          </w:p>
        </w:tc>
      </w:tr>
      <w:tr w:rsidR="000A0954" w:rsidRPr="000A40A4" w14:paraId="4EDA5C97" w14:textId="77777777" w:rsidTr="004E5214">
        <w:tc>
          <w:tcPr>
            <w:tcW w:w="753" w:type="dxa"/>
          </w:tcPr>
          <w:p w14:paraId="5A3E9E3F" w14:textId="77777777" w:rsidR="000A0954" w:rsidRPr="000A40A4" w:rsidRDefault="000A0954" w:rsidP="000A40A4">
            <w:pPr>
              <w:pStyle w:val="tablecontenttext"/>
              <w:spacing w:line="240" w:lineRule="auto"/>
              <w:rPr>
                <w:sz w:val="14"/>
                <w:szCs w:val="14"/>
              </w:rPr>
            </w:pPr>
            <w:r w:rsidRPr="000A40A4">
              <w:rPr>
                <w:sz w:val="14"/>
                <w:szCs w:val="14"/>
              </w:rPr>
              <w:t>1b1</w:t>
            </w:r>
          </w:p>
        </w:tc>
        <w:tc>
          <w:tcPr>
            <w:tcW w:w="7039" w:type="dxa"/>
          </w:tcPr>
          <w:p w14:paraId="2F49C4E2" w14:textId="2C1FEA9B"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To deal with uncertain future changes and conditions – and </w:t>
            </w:r>
            <w:r w:rsidRPr="000A40A4">
              <w:rPr>
                <w:rFonts w:ascii="Arial" w:hAnsi="Arial" w:cs="Arial"/>
                <w:bCs/>
                <w:i/>
                <w:iCs/>
                <w:sz w:val="14"/>
                <w:szCs w:val="14"/>
              </w:rPr>
              <w:t>render them manageable</w:t>
            </w:r>
            <w:r w:rsidRPr="000A40A4">
              <w:rPr>
                <w:rFonts w:ascii="Arial" w:hAnsi="Arial" w:cs="Arial"/>
                <w:bCs/>
                <w:sz w:val="14"/>
                <w:szCs w:val="14"/>
              </w:rPr>
              <w:t xml:space="preserve"> – the DP worked with a range of four plausible futures called </w:t>
            </w:r>
            <w:r w:rsidRPr="000A40A4">
              <w:rPr>
                <w:rFonts w:ascii="Arial" w:hAnsi="Arial" w:cs="Arial"/>
                <w:bCs/>
                <w:i/>
                <w:iCs/>
                <w:sz w:val="14"/>
                <w:szCs w:val="14"/>
              </w:rPr>
              <w:t>Delta Scenarios</w:t>
            </w:r>
            <w:r w:rsidRPr="000A40A4">
              <w:rPr>
                <w:rFonts w:ascii="Arial" w:hAnsi="Arial" w:cs="Arial"/>
                <w:bCs/>
                <w:sz w:val="14"/>
                <w:szCs w:val="14"/>
              </w:rPr>
              <w:t xml:space="preserve"> (</w:t>
            </w:r>
            <w:r w:rsidRPr="000A40A4">
              <w:rPr>
                <w:rFonts w:ascii="Arial" w:hAnsi="Arial" w:cs="Arial"/>
                <w:bCs/>
                <w:i/>
                <w:iCs/>
                <w:sz w:val="14"/>
                <w:szCs w:val="14"/>
              </w:rPr>
              <w:t>Busy</w:t>
            </w:r>
            <w:r w:rsidRPr="000A40A4">
              <w:rPr>
                <w:rFonts w:ascii="Arial" w:hAnsi="Arial" w:cs="Arial"/>
                <w:bCs/>
                <w:sz w:val="14"/>
                <w:szCs w:val="14"/>
              </w:rPr>
              <w:t xml:space="preserve">, </w:t>
            </w:r>
            <w:r w:rsidRPr="000A40A4">
              <w:rPr>
                <w:rFonts w:ascii="Arial" w:hAnsi="Arial" w:cs="Arial"/>
                <w:bCs/>
                <w:i/>
                <w:iCs/>
                <w:sz w:val="14"/>
                <w:szCs w:val="14"/>
              </w:rPr>
              <w:t>Steam</w:t>
            </w:r>
            <w:r w:rsidRPr="000A40A4">
              <w:rPr>
                <w:rFonts w:ascii="Arial" w:hAnsi="Arial" w:cs="Arial"/>
                <w:bCs/>
                <w:sz w:val="14"/>
                <w:szCs w:val="14"/>
              </w:rPr>
              <w:t xml:space="preserve">, </w:t>
            </w:r>
            <w:r w:rsidRPr="000A40A4">
              <w:rPr>
                <w:rFonts w:ascii="Arial" w:hAnsi="Arial" w:cs="Arial"/>
                <w:bCs/>
                <w:i/>
                <w:iCs/>
                <w:sz w:val="14"/>
                <w:szCs w:val="14"/>
              </w:rPr>
              <w:t>Rest, Warm</w:t>
            </w:r>
            <w:r w:rsidRPr="000A40A4">
              <w:rPr>
                <w:rFonts w:ascii="Arial" w:hAnsi="Arial" w:cs="Arial"/>
                <w:bCs/>
                <w:sz w:val="14"/>
                <w:szCs w:val="14"/>
              </w:rPr>
              <w:t>)</w:t>
            </w:r>
            <w:r w:rsidRPr="000A40A4">
              <w:rPr>
                <w:rFonts w:ascii="Arial" w:hAnsi="Arial" w:cs="Arial"/>
                <w:bCs/>
                <w:i/>
                <w:iCs/>
                <w:sz w:val="14"/>
                <w:szCs w:val="14"/>
              </w:rPr>
              <w:t xml:space="preserve"> </w:t>
            </w:r>
            <w:r w:rsidRPr="000A40A4">
              <w:rPr>
                <w:rFonts w:ascii="Arial" w:hAnsi="Arial" w:cs="Arial"/>
                <w:bCs/>
                <w:sz w:val="14"/>
                <w:szCs w:val="14"/>
              </w:rPr>
              <w:t>(</w:t>
            </w:r>
            <w:r w:rsidRPr="000A40A4">
              <w:rPr>
                <w:rFonts w:ascii="Arial" w:hAnsi="Arial" w:cs="Arial"/>
                <w:bCs/>
                <w:color w:val="7F7F7F" w:themeColor="text1" w:themeTint="80"/>
                <w:sz w:val="14"/>
                <w:szCs w:val="14"/>
              </w:rPr>
              <w:t xml:space="preserve">DP 2014, p.135; 2013, p.6, 100; 2012, p.35; 2011, p.14, 46, 48,71; Marchand and Ludwig 2014, p.12; </w:t>
            </w:r>
            <w:proofErr w:type="spellStart"/>
            <w:r w:rsidR="005C558F" w:rsidRPr="000A40A4">
              <w:rPr>
                <w:rFonts w:ascii="Arial" w:hAnsi="Arial" w:cs="Arial"/>
                <w:bCs/>
                <w:color w:val="7F7F7F" w:themeColor="text1" w:themeTint="80"/>
                <w:sz w:val="14"/>
                <w:szCs w:val="14"/>
              </w:rPr>
              <w:t>Deltares</w:t>
            </w:r>
            <w:proofErr w:type="spellEnd"/>
            <w:r w:rsidR="005C558F" w:rsidRPr="000A40A4">
              <w:rPr>
                <w:rFonts w:ascii="Arial" w:hAnsi="Arial" w:cs="Arial"/>
                <w:bCs/>
                <w:color w:val="7F7F7F" w:themeColor="text1" w:themeTint="80"/>
                <w:sz w:val="14"/>
                <w:szCs w:val="14"/>
              </w:rPr>
              <w:t xml:space="preserve"> 2018</w:t>
            </w:r>
            <w:r w:rsidRPr="000A40A4">
              <w:rPr>
                <w:rFonts w:ascii="Arial" w:hAnsi="Arial" w:cs="Arial"/>
                <w:bCs/>
                <w:sz w:val="14"/>
                <w:szCs w:val="14"/>
              </w:rPr>
              <w:t>), used them namely to assess measures and strategies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et al. 2014, p.1, 3, 10, 14, 23</w:t>
            </w:r>
            <w:r w:rsidRPr="000A40A4">
              <w:rPr>
                <w:rFonts w:ascii="Arial" w:hAnsi="Arial" w:cs="Arial"/>
                <w:bCs/>
                <w:sz w:val="14"/>
                <w:szCs w:val="14"/>
              </w:rPr>
              <w:t xml:space="preserve">; </w:t>
            </w:r>
            <w:r w:rsidRPr="000A40A4">
              <w:rPr>
                <w:rFonts w:ascii="Arial" w:hAnsi="Arial" w:cs="Arial"/>
                <w:bCs/>
                <w:color w:val="7F7F7F" w:themeColor="text1" w:themeTint="80"/>
                <w:sz w:val="14"/>
                <w:szCs w:val="14"/>
              </w:rPr>
              <w:t>DP 2013, p.6</w:t>
            </w:r>
            <w:r w:rsidRPr="000A40A4">
              <w:rPr>
                <w:rFonts w:ascii="Arial" w:hAnsi="Arial" w:cs="Arial"/>
                <w:bCs/>
                <w:sz w:val="14"/>
                <w:szCs w:val="14"/>
              </w:rPr>
              <w:t>).</w:t>
            </w:r>
            <w:r w:rsidRPr="000A40A4">
              <w:rPr>
                <w:rStyle w:val="Refdenotaderodap"/>
                <w:rFonts w:ascii="Arial" w:hAnsi="Arial" w:cs="Arial"/>
                <w:bCs/>
                <w:sz w:val="14"/>
                <w:szCs w:val="14"/>
              </w:rPr>
              <w:footnoteReference w:id="125"/>
            </w:r>
            <w:r w:rsidRPr="000A40A4">
              <w:rPr>
                <w:rFonts w:ascii="Arial" w:hAnsi="Arial" w:cs="Arial"/>
                <w:bCs/>
                <w:sz w:val="14"/>
                <w:szCs w:val="14"/>
              </w:rPr>
              <w:t xml:space="preserve"> All Subprogrammes used the same four </w:t>
            </w:r>
            <w:r w:rsidRPr="000A40A4">
              <w:rPr>
                <w:rFonts w:ascii="Arial" w:hAnsi="Arial" w:cs="Arial"/>
                <w:bCs/>
                <w:i/>
                <w:iCs/>
                <w:sz w:val="14"/>
                <w:szCs w:val="14"/>
              </w:rPr>
              <w:t>Delta Scenarios</w:t>
            </w:r>
            <w:r w:rsidRPr="000A40A4">
              <w:rPr>
                <w:rFonts w:ascii="Arial" w:hAnsi="Arial" w:cs="Arial"/>
                <w:bCs/>
                <w:sz w:val="14"/>
                <w:szCs w:val="14"/>
              </w:rPr>
              <w:t xml:space="preserve"> (</w:t>
            </w:r>
            <w:r w:rsidRPr="000A40A4">
              <w:rPr>
                <w:rFonts w:ascii="Arial" w:eastAsia="RijksoverheidSansText-Regular" w:hAnsi="Arial" w:cs="Arial"/>
                <w:bCs/>
                <w:color w:val="7F7F7F" w:themeColor="text1" w:themeTint="80"/>
                <w:sz w:val="14"/>
                <w:szCs w:val="14"/>
              </w:rPr>
              <w:t xml:space="preserve">DP </w:t>
            </w:r>
            <w:r w:rsidRPr="000A40A4">
              <w:rPr>
                <w:rFonts w:ascii="Arial" w:hAnsi="Arial" w:cs="Arial"/>
                <w:bCs/>
                <w:color w:val="7F7F7F" w:themeColor="text1" w:themeTint="80"/>
                <w:sz w:val="14"/>
                <w:szCs w:val="14"/>
              </w:rPr>
              <w:t xml:space="preserve">2012, p.35; </w:t>
            </w:r>
            <w:r w:rsidRPr="000A40A4">
              <w:rPr>
                <w:rFonts w:ascii="Arial" w:eastAsia="RijksoverheidSansText-Regular" w:hAnsi="Arial" w:cs="Arial"/>
                <w:bCs/>
                <w:color w:val="7F7F7F" w:themeColor="text1" w:themeTint="80"/>
                <w:sz w:val="14"/>
                <w:szCs w:val="14"/>
              </w:rPr>
              <w:t xml:space="preserve">2011, p.48, 71; </w:t>
            </w:r>
            <w:r w:rsidRPr="000A40A4">
              <w:rPr>
                <w:rFonts w:ascii="Arial" w:hAnsi="Arial" w:cs="Arial"/>
                <w:bCs/>
                <w:color w:val="7F7F7F" w:themeColor="text1" w:themeTint="80"/>
                <w:sz w:val="14"/>
                <w:szCs w:val="14"/>
              </w:rPr>
              <w:t>2013, p.6; Marchand and Ludwig 2014, p.12; Werners et al. 2016</w:t>
            </w:r>
            <w:r w:rsidRPr="000A40A4">
              <w:rPr>
                <w:rFonts w:ascii="Arial" w:hAnsi="Arial" w:cs="Arial"/>
                <w:bCs/>
                <w:sz w:val="14"/>
                <w:szCs w:val="14"/>
              </w:rPr>
              <w:t>).</w:t>
            </w:r>
          </w:p>
          <w:p w14:paraId="3C12DE74" w14:textId="77777777"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Importantly, the ADM approach itself proposed the use of a spectrum </w:t>
            </w:r>
            <w:r w:rsidRPr="000A40A4">
              <w:rPr>
                <w:rFonts w:ascii="Arial" w:hAnsi="Arial" w:cs="Arial"/>
                <w:bCs/>
                <w:iCs/>
                <w:sz w:val="14"/>
                <w:szCs w:val="14"/>
              </w:rPr>
              <w:t xml:space="preserve">of various </w:t>
            </w:r>
            <w:r w:rsidRPr="000A40A4">
              <w:rPr>
                <w:rFonts w:ascii="Arial" w:hAnsi="Arial" w:cs="Arial"/>
                <w:bCs/>
                <w:i/>
                <w:sz w:val="14"/>
                <w:szCs w:val="14"/>
              </w:rPr>
              <w:t>plausible futures</w:t>
            </w:r>
            <w:r w:rsidRPr="000A40A4">
              <w:rPr>
                <w:rFonts w:ascii="Arial" w:hAnsi="Arial" w:cs="Arial"/>
                <w:bCs/>
                <w:iCs/>
                <w:sz w:val="14"/>
                <w:szCs w:val="14"/>
              </w:rPr>
              <w:t xml:space="preserve"> (not predictions</w:t>
            </w:r>
            <w:r w:rsidRPr="000A40A4">
              <w:rPr>
                <w:rFonts w:ascii="Arial" w:hAnsi="Arial" w:cs="Arial"/>
                <w:bCs/>
                <w:sz w:val="14"/>
                <w:szCs w:val="14"/>
              </w:rPr>
              <w:t xml:space="preserve">), to find out and design </w:t>
            </w:r>
            <w:r w:rsidRPr="000A40A4">
              <w:rPr>
                <w:rFonts w:ascii="Arial" w:hAnsi="Arial" w:cs="Arial"/>
                <w:bCs/>
                <w:i/>
                <w:iCs/>
                <w:sz w:val="14"/>
                <w:szCs w:val="14"/>
              </w:rPr>
              <w:t>robust flexible</w:t>
            </w:r>
            <w:r w:rsidRPr="000A40A4">
              <w:rPr>
                <w:rFonts w:ascii="Arial" w:hAnsi="Arial" w:cs="Arial"/>
                <w:bCs/>
                <w:sz w:val="14"/>
                <w:szCs w:val="14"/>
              </w:rPr>
              <w:t xml:space="preserve"> </w:t>
            </w:r>
            <w:r w:rsidRPr="000A40A4">
              <w:rPr>
                <w:rFonts w:ascii="Arial" w:hAnsi="Arial" w:cs="Arial"/>
                <w:bCs/>
                <w:i/>
                <w:iCs/>
                <w:sz w:val="14"/>
                <w:szCs w:val="14"/>
              </w:rPr>
              <w:t>strategies</w:t>
            </w:r>
            <w:r w:rsidRPr="000A40A4">
              <w:rPr>
                <w:rFonts w:ascii="Arial" w:hAnsi="Arial" w:cs="Arial"/>
                <w:bCs/>
                <w:sz w:val="14"/>
                <w:szCs w:val="14"/>
              </w:rPr>
              <w:t xml:space="preserve"> (i.e. considering various scenarios when exploring measures and developing strategies) (</w:t>
            </w:r>
            <w:r w:rsidRPr="000A40A4">
              <w:rPr>
                <w:rFonts w:ascii="Arial" w:hAnsi="Arial" w:cs="Arial"/>
                <w:bCs/>
                <w:color w:val="7F7F7F" w:themeColor="text1" w:themeTint="80"/>
                <w:sz w:val="14"/>
                <w:szCs w:val="14"/>
              </w:rPr>
              <w:t xml:space="preserve">Marchand and Ludwig 2014, p.12; </w:t>
            </w:r>
            <w:proofErr w:type="spellStart"/>
            <w:r w:rsidRPr="000A40A4">
              <w:rPr>
                <w:rFonts w:ascii="Arial" w:hAnsi="Arial" w:cs="Arial"/>
                <w:bCs/>
                <w:color w:val="7F7F7F" w:themeColor="text1" w:themeTint="80"/>
                <w:sz w:val="14"/>
                <w:szCs w:val="14"/>
              </w:rPr>
              <w:t>Gersonius</w:t>
            </w:r>
            <w:proofErr w:type="spellEnd"/>
            <w:r w:rsidRPr="000A40A4">
              <w:rPr>
                <w:rFonts w:ascii="Arial" w:hAnsi="Arial" w:cs="Arial"/>
                <w:bCs/>
                <w:color w:val="7F7F7F" w:themeColor="text1" w:themeTint="80"/>
                <w:sz w:val="14"/>
                <w:szCs w:val="14"/>
              </w:rPr>
              <w:t xml:space="preserve"> et al. 2016, p.4</w:t>
            </w:r>
            <w:r w:rsidRPr="000A40A4">
              <w:rPr>
                <w:rFonts w:ascii="Arial" w:hAnsi="Arial" w:cs="Arial"/>
                <w:bCs/>
                <w:sz w:val="14"/>
                <w:szCs w:val="14"/>
              </w:rPr>
              <w:t xml:space="preserve">). The </w:t>
            </w:r>
            <w:r w:rsidRPr="000A40A4">
              <w:rPr>
                <w:rFonts w:ascii="Arial" w:hAnsi="Arial" w:cs="Arial"/>
                <w:bCs/>
                <w:i/>
                <w:iCs/>
                <w:sz w:val="14"/>
                <w:szCs w:val="14"/>
              </w:rPr>
              <w:t>ADM Implementation Guide</w:t>
            </w:r>
            <w:r w:rsidRPr="000A40A4">
              <w:rPr>
                <w:rFonts w:ascii="Arial" w:hAnsi="Arial" w:cs="Arial"/>
                <w:bCs/>
                <w:sz w:val="14"/>
                <w:szCs w:val="14"/>
              </w:rPr>
              <w:t xml:space="preserve"> suggested</w:t>
            </w:r>
            <w:r w:rsidRPr="000A40A4">
              <w:rPr>
                <w:rFonts w:ascii="Arial" w:hAnsi="Arial" w:cs="Arial"/>
                <w:bCs/>
                <w:i/>
                <w:iCs/>
                <w:sz w:val="14"/>
                <w:szCs w:val="14"/>
              </w:rPr>
              <w:t xml:space="preserve"> working with</w:t>
            </w:r>
            <w:r w:rsidRPr="000A40A4">
              <w:rPr>
                <w:rFonts w:ascii="Arial" w:hAnsi="Arial" w:cs="Arial"/>
                <w:bCs/>
                <w:sz w:val="14"/>
                <w:szCs w:val="14"/>
              </w:rPr>
              <w:t xml:space="preserve"> </w:t>
            </w:r>
            <w:r w:rsidRPr="000A40A4">
              <w:rPr>
                <w:rFonts w:ascii="Arial" w:hAnsi="Arial" w:cs="Arial"/>
                <w:bCs/>
                <w:i/>
                <w:iCs/>
                <w:sz w:val="14"/>
                <w:szCs w:val="14"/>
              </w:rPr>
              <w:t>scenarios</w:t>
            </w:r>
            <w:r w:rsidRPr="000A40A4">
              <w:rPr>
                <w:rFonts w:ascii="Arial" w:hAnsi="Arial" w:cs="Arial"/>
                <w:bCs/>
                <w:sz w:val="14"/>
                <w:szCs w:val="14"/>
              </w:rPr>
              <w:t xml:space="preserve"> </w:t>
            </w:r>
            <w:r w:rsidRPr="000A40A4">
              <w:rPr>
                <w:rFonts w:ascii="Arial" w:hAnsi="Arial" w:cs="Arial"/>
                <w:bCs/>
                <w:color w:val="000000"/>
                <w:sz w:val="14"/>
                <w:szCs w:val="14"/>
              </w:rPr>
              <w:t>(</w:t>
            </w:r>
            <w:r w:rsidRPr="000A40A4">
              <w:rPr>
                <w:rFonts w:ascii="Arial" w:hAnsi="Arial" w:cs="Arial"/>
                <w:bCs/>
                <w:color w:val="7F7F7F" w:themeColor="text1" w:themeTint="80"/>
                <w:sz w:val="14"/>
                <w:szCs w:val="14"/>
              </w:rPr>
              <w:t xml:space="preserve">Rhee 2012 </w:t>
            </w:r>
            <w:r w:rsidRPr="000A40A4">
              <w:rPr>
                <w:rFonts w:ascii="Arial" w:hAnsi="Arial" w:cs="Arial"/>
                <w:bCs/>
                <w:i/>
                <w:iCs/>
                <w:color w:val="000000"/>
                <w:sz w:val="14"/>
                <w:szCs w:val="14"/>
              </w:rPr>
              <w:t>in</w:t>
            </w:r>
            <w:r w:rsidRPr="000A40A4">
              <w:rPr>
                <w:rFonts w:ascii="Arial" w:hAnsi="Arial" w:cs="Arial"/>
                <w:bCs/>
                <w:color w:val="000000"/>
                <w:sz w:val="14"/>
                <w:szCs w:val="14"/>
              </w:rPr>
              <w:t xml:space="preserve"> </w:t>
            </w:r>
            <w:proofErr w:type="spellStart"/>
            <w:r w:rsidRPr="000A40A4">
              <w:rPr>
                <w:rFonts w:ascii="Arial" w:hAnsi="Arial" w:cs="Arial"/>
                <w:bCs/>
                <w:color w:val="7F7F7F" w:themeColor="text1" w:themeTint="80"/>
                <w:sz w:val="14"/>
                <w:szCs w:val="14"/>
              </w:rPr>
              <w:t>Restemeyer</w:t>
            </w:r>
            <w:proofErr w:type="spellEnd"/>
            <w:r w:rsidRPr="000A40A4">
              <w:rPr>
                <w:rFonts w:ascii="Arial" w:hAnsi="Arial" w:cs="Arial"/>
                <w:bCs/>
                <w:color w:val="7F7F7F" w:themeColor="text1" w:themeTint="80"/>
                <w:sz w:val="14"/>
                <w:szCs w:val="14"/>
              </w:rPr>
              <w:t xml:space="preserve"> et al. 2017, p.930, 931</w:t>
            </w:r>
            <w:r w:rsidRPr="000A40A4">
              <w:rPr>
                <w:rFonts w:ascii="Arial" w:hAnsi="Arial" w:cs="Arial"/>
                <w:bCs/>
                <w:color w:val="000000"/>
                <w:sz w:val="14"/>
                <w:szCs w:val="14"/>
              </w:rPr>
              <w:t xml:space="preserve">). </w:t>
            </w:r>
            <w:r w:rsidRPr="000A40A4">
              <w:rPr>
                <w:rFonts w:ascii="Arial" w:hAnsi="Arial" w:cs="Arial"/>
                <w:bCs/>
                <w:sz w:val="14"/>
                <w:szCs w:val="14"/>
              </w:rPr>
              <w:t>In the DP, the ADM process started with the analysis of current and future problems (</w:t>
            </w:r>
            <w:proofErr w:type="spellStart"/>
            <w:r w:rsidRPr="000A40A4">
              <w:rPr>
                <w:rFonts w:ascii="Arial" w:hAnsi="Arial" w:cs="Arial"/>
                <w:bCs/>
                <w:color w:val="7F7F7F" w:themeColor="text1" w:themeTint="80"/>
                <w:sz w:val="14"/>
                <w:szCs w:val="14"/>
              </w:rPr>
              <w:t>Gersonius</w:t>
            </w:r>
            <w:proofErr w:type="spellEnd"/>
            <w:r w:rsidRPr="000A40A4">
              <w:rPr>
                <w:rFonts w:ascii="Arial" w:hAnsi="Arial" w:cs="Arial"/>
                <w:bCs/>
                <w:color w:val="7F7F7F" w:themeColor="text1" w:themeTint="80"/>
                <w:sz w:val="14"/>
                <w:szCs w:val="14"/>
              </w:rPr>
              <w:t xml:space="preserve"> et al. 2016, p.205</w:t>
            </w:r>
            <w:r w:rsidRPr="000A40A4">
              <w:rPr>
                <w:rFonts w:ascii="Arial" w:hAnsi="Arial" w:cs="Arial"/>
                <w:bCs/>
                <w:sz w:val="14"/>
                <w:szCs w:val="14"/>
              </w:rPr>
              <w:t xml:space="preserve">); the DP analysed which developments or changes might influence the current and future tasks on FRM </w:t>
            </w:r>
            <w:r w:rsidRPr="000A40A4">
              <w:rPr>
                <w:rFonts w:ascii="Arial" w:eastAsia="RijksoverheidSansText-Regular" w:hAnsi="Arial" w:cs="Arial"/>
                <w:bCs/>
                <w:color w:val="000000"/>
                <w:sz w:val="14"/>
                <w:szCs w:val="14"/>
              </w:rPr>
              <w:t>(</w:t>
            </w:r>
            <w:r w:rsidRPr="000A40A4">
              <w:rPr>
                <w:rFonts w:ascii="Arial" w:eastAsia="RijksoverheidSansText-Regular" w:hAnsi="Arial" w:cs="Arial"/>
                <w:bCs/>
                <w:color w:val="7F7F7F" w:themeColor="text1" w:themeTint="80"/>
                <w:sz w:val="14"/>
                <w:szCs w:val="14"/>
              </w:rPr>
              <w:t>DP 2012, p.88; Marchand and Ludwig 2014, p.16-17</w:t>
            </w:r>
            <w:r w:rsidRPr="000A40A4">
              <w:rPr>
                <w:rFonts w:ascii="Arial" w:eastAsia="RijksoverheidSansText-Regular" w:hAnsi="Arial" w:cs="Arial"/>
                <w:bCs/>
                <w:sz w:val="14"/>
                <w:szCs w:val="14"/>
              </w:rPr>
              <w:t xml:space="preserve">); </w:t>
            </w:r>
            <w:r w:rsidRPr="000A40A4">
              <w:rPr>
                <w:rFonts w:ascii="Arial" w:hAnsi="Arial" w:cs="Arial"/>
                <w:bCs/>
                <w:sz w:val="14"/>
                <w:szCs w:val="14"/>
              </w:rPr>
              <w:t xml:space="preserve">the analysis of </w:t>
            </w:r>
            <w:r w:rsidRPr="000A40A4">
              <w:rPr>
                <w:rFonts w:ascii="Arial" w:hAnsi="Arial" w:cs="Arial"/>
                <w:bCs/>
                <w:i/>
                <w:sz w:val="14"/>
                <w:szCs w:val="14"/>
              </w:rPr>
              <w:t>what might happen in the future</w:t>
            </w:r>
            <w:r w:rsidRPr="000A40A4">
              <w:rPr>
                <w:rFonts w:ascii="Arial" w:hAnsi="Arial" w:cs="Arial"/>
                <w:bCs/>
                <w:sz w:val="14"/>
                <w:szCs w:val="14"/>
              </w:rPr>
              <w:t xml:space="preserve"> required the generation of the four </w:t>
            </w:r>
            <w:r w:rsidRPr="000A40A4">
              <w:rPr>
                <w:rFonts w:ascii="Arial" w:hAnsi="Arial" w:cs="Arial"/>
                <w:bCs/>
                <w:i/>
                <w:iCs/>
                <w:sz w:val="14"/>
                <w:szCs w:val="14"/>
              </w:rPr>
              <w:t>Delta Scenarios</w:t>
            </w:r>
            <w:r w:rsidRPr="000A40A4">
              <w:rPr>
                <w:rFonts w:ascii="Arial" w:hAnsi="Arial" w:cs="Arial"/>
                <w:bCs/>
                <w:sz w:val="14"/>
                <w:szCs w:val="14"/>
              </w:rPr>
              <w:t xml:space="preserve"> (</w:t>
            </w:r>
            <w:r w:rsidRPr="000A40A4">
              <w:rPr>
                <w:rFonts w:ascii="Arial" w:hAnsi="Arial" w:cs="Arial"/>
                <w:bCs/>
                <w:color w:val="7F7F7F" w:themeColor="text1" w:themeTint="80"/>
                <w:sz w:val="14"/>
                <w:szCs w:val="14"/>
              </w:rPr>
              <w:t>Klijn et al. 2016</w:t>
            </w:r>
            <w:r w:rsidRPr="000A40A4">
              <w:rPr>
                <w:rFonts w:ascii="Arial" w:hAnsi="Arial" w:cs="Arial"/>
                <w:bCs/>
                <w:sz w:val="14"/>
                <w:szCs w:val="14"/>
              </w:rPr>
              <w:t xml:space="preserve">). </w:t>
            </w:r>
          </w:p>
          <w:p w14:paraId="3AECE580" w14:textId="1D4102BA"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The four </w:t>
            </w:r>
            <w:r w:rsidRPr="000A40A4">
              <w:rPr>
                <w:rFonts w:ascii="Arial" w:hAnsi="Arial" w:cs="Arial"/>
                <w:bCs/>
                <w:i/>
                <w:iCs/>
                <w:sz w:val="14"/>
                <w:szCs w:val="14"/>
              </w:rPr>
              <w:t>Delta Scenarios</w:t>
            </w:r>
            <w:r w:rsidRPr="000A40A4">
              <w:rPr>
                <w:rFonts w:ascii="Arial" w:hAnsi="Arial" w:cs="Arial"/>
                <w:bCs/>
                <w:sz w:val="14"/>
                <w:szCs w:val="14"/>
              </w:rPr>
              <w:t xml:space="preserve"> differ in terms of rapid/ moderate CC and socioeconomic growth / decline, and present their respective figures for SLR, river discharges, and soil subsidence (</w:t>
            </w:r>
            <w:r w:rsidRPr="000A40A4">
              <w:rPr>
                <w:rFonts w:ascii="Arial" w:hAnsi="Arial" w:cs="Arial"/>
                <w:bCs/>
                <w:color w:val="7F7F7F" w:themeColor="text1" w:themeTint="80"/>
                <w:sz w:val="14"/>
                <w:szCs w:val="14"/>
              </w:rPr>
              <w:t xml:space="preserve">DP 2011, p.14, 46, 48, 70; 2012, p.35; </w:t>
            </w:r>
            <w:r w:rsidRPr="000A40A4">
              <w:rPr>
                <w:rFonts w:ascii="Arial" w:hAnsi="Arial" w:cs="Arial"/>
                <w:bCs/>
                <w:color w:val="7F7F7F" w:themeColor="text1" w:themeTint="80"/>
                <w:sz w:val="14"/>
                <w:szCs w:val="14"/>
              </w:rPr>
              <w:lastRenderedPageBreak/>
              <w:t xml:space="preserve">2013, p.100; 2016, p.6; 2014, p.136, 168; Marchand and Ludwig 2014; </w:t>
            </w:r>
            <w:proofErr w:type="spellStart"/>
            <w:r w:rsidR="005C558F" w:rsidRPr="000A40A4">
              <w:rPr>
                <w:rFonts w:ascii="Arial" w:hAnsi="Arial" w:cs="Arial"/>
                <w:bCs/>
                <w:color w:val="7F7F7F" w:themeColor="text1" w:themeTint="80"/>
                <w:sz w:val="14"/>
                <w:szCs w:val="14"/>
              </w:rPr>
              <w:t>Deltares</w:t>
            </w:r>
            <w:proofErr w:type="spellEnd"/>
            <w:r w:rsidR="005C558F" w:rsidRPr="000A40A4">
              <w:rPr>
                <w:rFonts w:ascii="Arial" w:hAnsi="Arial" w:cs="Arial"/>
                <w:bCs/>
                <w:color w:val="7F7F7F" w:themeColor="text1" w:themeTint="80"/>
                <w:sz w:val="14"/>
                <w:szCs w:val="14"/>
              </w:rPr>
              <w:t xml:space="preserve"> 2018</w:t>
            </w:r>
            <w:r w:rsidRPr="000A40A4">
              <w:rPr>
                <w:rFonts w:ascii="Arial" w:hAnsi="Arial" w:cs="Arial"/>
                <w:bCs/>
                <w:color w:val="7F7F7F" w:themeColor="text1" w:themeTint="80"/>
                <w:sz w:val="14"/>
                <w:szCs w:val="14"/>
              </w:rPr>
              <w:t xml:space="preserve">; </w:t>
            </w:r>
            <w:r w:rsidR="005C558F" w:rsidRPr="000A40A4">
              <w:rPr>
                <w:rFonts w:ascii="Arial" w:hAnsi="Arial" w:cs="Arial"/>
                <w:bCs/>
                <w:color w:val="7F7F7F" w:themeColor="text1" w:themeTint="80"/>
                <w:sz w:val="14"/>
                <w:szCs w:val="14"/>
              </w:rPr>
              <w:t>Brugge and Bruggeman 2019</w:t>
            </w:r>
            <w:r w:rsidRPr="000A40A4">
              <w:rPr>
                <w:rFonts w:ascii="Arial" w:hAnsi="Arial" w:cs="Arial"/>
                <w:bCs/>
                <w:color w:val="7F7F7F" w:themeColor="text1" w:themeTint="80"/>
                <w:sz w:val="14"/>
                <w:szCs w:val="14"/>
              </w:rPr>
              <w:t xml:space="preserve">;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et al. 2014, p. 1, 3, 10, 11, 14, 23; </w:t>
            </w:r>
            <w:proofErr w:type="spellStart"/>
            <w:r w:rsidRPr="000A40A4">
              <w:rPr>
                <w:rFonts w:ascii="Arial" w:hAnsi="Arial" w:cs="Arial"/>
                <w:bCs/>
                <w:color w:val="7F7F7F" w:themeColor="text1" w:themeTint="80"/>
                <w:sz w:val="14"/>
                <w:szCs w:val="14"/>
              </w:rPr>
              <w:t>Gersonius</w:t>
            </w:r>
            <w:proofErr w:type="spellEnd"/>
            <w:r w:rsidRPr="000A40A4">
              <w:rPr>
                <w:rFonts w:ascii="Arial" w:hAnsi="Arial" w:cs="Arial"/>
                <w:bCs/>
                <w:color w:val="7F7F7F" w:themeColor="text1" w:themeTint="80"/>
                <w:sz w:val="14"/>
                <w:szCs w:val="14"/>
              </w:rPr>
              <w:t xml:space="preserve"> et al. 2016, p.208; Haegen and </w:t>
            </w:r>
            <w:proofErr w:type="spellStart"/>
            <w:r w:rsidRPr="000A40A4">
              <w:rPr>
                <w:rFonts w:ascii="Arial" w:hAnsi="Arial" w:cs="Arial"/>
                <w:bCs/>
                <w:color w:val="7F7F7F" w:themeColor="text1" w:themeTint="80"/>
                <w:sz w:val="14"/>
                <w:szCs w:val="14"/>
              </w:rPr>
              <w:t>Wieriks</w:t>
            </w:r>
            <w:proofErr w:type="spellEnd"/>
            <w:r w:rsidRPr="000A40A4">
              <w:rPr>
                <w:rFonts w:ascii="Arial" w:hAnsi="Arial" w:cs="Arial"/>
                <w:bCs/>
                <w:color w:val="7F7F7F" w:themeColor="text1" w:themeTint="80"/>
                <w:sz w:val="14"/>
                <w:szCs w:val="14"/>
              </w:rPr>
              <w:t xml:space="preserve"> 2015; Alphen 2015; </w:t>
            </w:r>
            <w:proofErr w:type="spellStart"/>
            <w:r w:rsidRPr="000A40A4">
              <w:rPr>
                <w:rFonts w:ascii="Arial" w:hAnsi="Arial" w:cs="Arial"/>
                <w:bCs/>
                <w:color w:val="7F7F7F" w:themeColor="text1" w:themeTint="80"/>
                <w:sz w:val="14"/>
                <w:szCs w:val="14"/>
              </w:rPr>
              <w:t>Restemeyer</w:t>
            </w:r>
            <w:proofErr w:type="spellEnd"/>
            <w:r w:rsidRPr="000A40A4">
              <w:rPr>
                <w:rFonts w:ascii="Arial" w:hAnsi="Arial" w:cs="Arial"/>
                <w:bCs/>
                <w:color w:val="7F7F7F" w:themeColor="text1" w:themeTint="80"/>
                <w:sz w:val="14"/>
                <w:szCs w:val="14"/>
              </w:rPr>
              <w:t xml:space="preserve"> et al. 2017</w:t>
            </w:r>
            <w:r w:rsidRPr="000A40A4">
              <w:rPr>
                <w:rFonts w:ascii="Arial" w:hAnsi="Arial" w:cs="Arial"/>
                <w:bCs/>
                <w:sz w:val="14"/>
                <w:szCs w:val="14"/>
              </w:rPr>
              <w:t>).</w:t>
            </w:r>
          </w:p>
          <w:p w14:paraId="2D2D45C7" w14:textId="7407436F"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The </w:t>
            </w:r>
            <w:r w:rsidRPr="000A40A4">
              <w:rPr>
                <w:rFonts w:ascii="Arial" w:hAnsi="Arial" w:cs="Arial"/>
                <w:bCs/>
                <w:i/>
                <w:iCs/>
                <w:sz w:val="14"/>
                <w:szCs w:val="14"/>
              </w:rPr>
              <w:t xml:space="preserve">Delta Scenarios </w:t>
            </w:r>
            <w:r w:rsidRPr="000A40A4">
              <w:rPr>
                <w:rFonts w:ascii="Arial" w:hAnsi="Arial" w:cs="Arial"/>
                <w:bCs/>
                <w:sz w:val="14"/>
                <w:szCs w:val="14"/>
              </w:rPr>
              <w:t xml:space="preserve">are four different </w:t>
            </w:r>
            <w:r w:rsidRPr="000A40A4">
              <w:rPr>
                <w:rFonts w:ascii="Arial" w:hAnsi="Arial" w:cs="Arial"/>
                <w:bCs/>
                <w:i/>
                <w:iCs/>
                <w:sz w:val="14"/>
                <w:szCs w:val="14"/>
              </w:rPr>
              <w:t xml:space="preserve">plausible futures </w:t>
            </w:r>
            <w:r w:rsidRPr="000A40A4">
              <w:rPr>
                <w:rFonts w:ascii="Arial" w:hAnsi="Arial" w:cs="Arial"/>
                <w:bCs/>
                <w:sz w:val="14"/>
                <w:szCs w:val="14"/>
              </w:rPr>
              <w:t xml:space="preserve">(which show how the climatic and socioeconomic conditions might change until 2050 and 2100), they are not </w:t>
            </w:r>
            <w:r w:rsidRPr="000A40A4">
              <w:rPr>
                <w:rFonts w:ascii="Arial" w:hAnsi="Arial" w:cs="Arial"/>
                <w:bCs/>
                <w:i/>
                <w:iCs/>
                <w:sz w:val="14"/>
                <w:szCs w:val="14"/>
              </w:rPr>
              <w:t>most probable scenarios</w:t>
            </w:r>
            <w:r w:rsidRPr="000A40A4">
              <w:rPr>
                <w:rFonts w:ascii="Arial" w:hAnsi="Arial" w:cs="Arial"/>
                <w:bCs/>
                <w:sz w:val="14"/>
                <w:szCs w:val="14"/>
              </w:rPr>
              <w:t xml:space="preserve"> nor predictions (no probabilities were assigned to them)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and Reeder 2011, p.7; </w:t>
            </w:r>
            <w:r w:rsidR="005C558F" w:rsidRPr="000A40A4">
              <w:rPr>
                <w:rFonts w:ascii="Arial" w:hAnsi="Arial" w:cs="Arial"/>
                <w:bCs/>
                <w:color w:val="7F7F7F" w:themeColor="text1" w:themeTint="80"/>
                <w:sz w:val="14"/>
                <w:szCs w:val="14"/>
              </w:rPr>
              <w:t>Brugge and Bruggeman 2019</w:t>
            </w:r>
            <w:r w:rsidRPr="000A40A4">
              <w:rPr>
                <w:rFonts w:ascii="Arial" w:hAnsi="Arial" w:cs="Arial"/>
                <w:bCs/>
                <w:color w:val="7F7F7F" w:themeColor="text1" w:themeTint="80"/>
                <w:sz w:val="14"/>
                <w:szCs w:val="14"/>
              </w:rPr>
              <w:t xml:space="preserve"> p.3</w:t>
            </w:r>
            <w:r w:rsidRPr="000A40A4">
              <w:rPr>
                <w:rFonts w:ascii="Arial" w:hAnsi="Arial" w:cs="Arial"/>
                <w:bCs/>
                <w:sz w:val="14"/>
                <w:szCs w:val="14"/>
              </w:rPr>
              <w:t xml:space="preserve">; </w:t>
            </w:r>
            <w:r w:rsidRPr="000A40A4">
              <w:rPr>
                <w:rFonts w:ascii="Arial" w:hAnsi="Arial" w:cs="Arial"/>
                <w:bCs/>
                <w:color w:val="7F7F7F" w:themeColor="text1" w:themeTint="80"/>
                <w:sz w:val="14"/>
                <w:szCs w:val="14"/>
              </w:rPr>
              <w:t xml:space="preserve">DP 2014, p.138; </w:t>
            </w:r>
            <w:r w:rsidRPr="000A40A4">
              <w:rPr>
                <w:rFonts w:ascii="Arial" w:eastAsia="RijksoverheidSansText-Regular" w:hAnsi="Arial" w:cs="Arial"/>
                <w:bCs/>
                <w:color w:val="7F7F7F" w:themeColor="text1" w:themeTint="80"/>
                <w:sz w:val="14"/>
                <w:szCs w:val="14"/>
              </w:rPr>
              <w:t>2011, p.71</w:t>
            </w:r>
            <w:r w:rsidRPr="000A40A4">
              <w:rPr>
                <w:rFonts w:ascii="Arial" w:hAnsi="Arial" w:cs="Arial"/>
                <w:bCs/>
                <w:sz w:val="14"/>
                <w:szCs w:val="14"/>
              </w:rPr>
              <w:t xml:space="preserve">). The </w:t>
            </w:r>
            <w:r w:rsidRPr="000A40A4">
              <w:rPr>
                <w:rFonts w:ascii="Arial" w:hAnsi="Arial" w:cs="Arial"/>
                <w:bCs/>
                <w:i/>
                <w:iCs/>
                <w:sz w:val="14"/>
                <w:szCs w:val="14"/>
              </w:rPr>
              <w:t>Delta Scenarios</w:t>
            </w:r>
            <w:r w:rsidRPr="000A40A4">
              <w:rPr>
                <w:rFonts w:ascii="Arial" w:hAnsi="Arial" w:cs="Arial"/>
                <w:bCs/>
                <w:sz w:val="14"/>
                <w:szCs w:val="14"/>
              </w:rPr>
              <w:t xml:space="preserve"> present </w:t>
            </w:r>
            <w:r w:rsidRPr="000A40A4">
              <w:rPr>
                <w:rFonts w:ascii="Arial" w:hAnsi="Arial" w:cs="Arial"/>
                <w:bCs/>
                <w:i/>
                <w:iCs/>
                <w:sz w:val="14"/>
                <w:szCs w:val="14"/>
              </w:rPr>
              <w:t>a moderate range of scenarios</w:t>
            </w:r>
            <w:r w:rsidRPr="000A40A4">
              <w:rPr>
                <w:rFonts w:ascii="Arial" w:hAnsi="Arial" w:cs="Arial"/>
                <w:bCs/>
                <w:sz w:val="14"/>
                <w:szCs w:val="14"/>
              </w:rPr>
              <w:t>, as some developments may fall outside this bandwidth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et al. 2014, p.1, 10-11; </w:t>
            </w:r>
            <w:r w:rsidR="005C558F" w:rsidRPr="000A40A4">
              <w:rPr>
                <w:rFonts w:ascii="Arial" w:hAnsi="Arial" w:cs="Arial"/>
                <w:bCs/>
                <w:color w:val="7F7F7F" w:themeColor="text1" w:themeTint="80"/>
                <w:sz w:val="14"/>
                <w:szCs w:val="14"/>
              </w:rPr>
              <w:t>Brugge and Bruggeman 2019</w:t>
            </w:r>
            <w:r w:rsidRPr="000A40A4">
              <w:rPr>
                <w:rFonts w:ascii="Arial" w:hAnsi="Arial" w:cs="Arial"/>
                <w:bCs/>
                <w:sz w:val="14"/>
                <w:szCs w:val="14"/>
              </w:rPr>
              <w:t>); and translate the most relevant uncertainties about plausible future changes (</w:t>
            </w:r>
            <w:r w:rsidRPr="000A40A4">
              <w:rPr>
                <w:rFonts w:ascii="Arial" w:hAnsi="Arial" w:cs="Arial"/>
                <w:bCs/>
                <w:color w:val="7F7F7F" w:themeColor="text1" w:themeTint="80"/>
                <w:sz w:val="14"/>
                <w:szCs w:val="14"/>
              </w:rPr>
              <w:t>Marchand and Ludwig 2014, p.15</w:t>
            </w:r>
            <w:r w:rsidRPr="000A40A4">
              <w:rPr>
                <w:rFonts w:ascii="Arial" w:hAnsi="Arial" w:cs="Arial"/>
                <w:bCs/>
                <w:sz w:val="14"/>
                <w:szCs w:val="14"/>
              </w:rPr>
              <w:t>).</w:t>
            </w:r>
          </w:p>
          <w:p w14:paraId="3CDABACF" w14:textId="4B610124"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The </w:t>
            </w:r>
            <w:r w:rsidRPr="000A40A4">
              <w:rPr>
                <w:rFonts w:ascii="Arial" w:hAnsi="Arial" w:cs="Arial"/>
                <w:bCs/>
                <w:i/>
                <w:iCs/>
                <w:sz w:val="14"/>
                <w:szCs w:val="14"/>
              </w:rPr>
              <w:t>Delta Scenarios</w:t>
            </w:r>
            <w:r w:rsidRPr="000A40A4">
              <w:rPr>
                <w:rFonts w:ascii="Arial" w:hAnsi="Arial" w:cs="Arial"/>
                <w:bCs/>
                <w:sz w:val="14"/>
                <w:szCs w:val="14"/>
              </w:rPr>
              <w:t xml:space="preserve"> served to investigate future flood-related problems, risks and needs by 2050 and 2100, namely to see if vulnerabilities or opportunities arise; identify future tasks (in each Subprogramme; determine when the first ATP might occur (and a new measure is needed); inform the development of the </w:t>
            </w:r>
            <w:r w:rsidRPr="000A40A4">
              <w:rPr>
                <w:rFonts w:ascii="Arial" w:hAnsi="Arial" w:cs="Arial"/>
                <w:bCs/>
                <w:i/>
                <w:iCs/>
                <w:sz w:val="14"/>
                <w:szCs w:val="14"/>
              </w:rPr>
              <w:t>Preferential Strategies</w:t>
            </w:r>
            <w:r w:rsidRPr="000A40A4">
              <w:rPr>
                <w:rFonts w:ascii="Arial" w:hAnsi="Arial" w:cs="Arial"/>
                <w:bCs/>
                <w:sz w:val="14"/>
                <w:szCs w:val="14"/>
              </w:rPr>
              <w:t xml:space="preserve"> (the Subprogrammes developed their</w:t>
            </w:r>
            <w:r w:rsidRPr="000A40A4">
              <w:rPr>
                <w:rFonts w:ascii="Arial" w:hAnsi="Arial" w:cs="Arial"/>
                <w:bCs/>
                <w:i/>
                <w:iCs/>
                <w:sz w:val="14"/>
                <w:szCs w:val="14"/>
              </w:rPr>
              <w:t xml:space="preserve"> Strategies</w:t>
            </w:r>
            <w:r w:rsidRPr="000A40A4">
              <w:rPr>
                <w:rFonts w:ascii="Arial" w:hAnsi="Arial" w:cs="Arial"/>
                <w:bCs/>
                <w:sz w:val="14"/>
                <w:szCs w:val="14"/>
              </w:rPr>
              <w:t xml:space="preserve"> based on the </w:t>
            </w:r>
            <w:r w:rsidRPr="000A40A4">
              <w:rPr>
                <w:rFonts w:ascii="Arial" w:hAnsi="Arial" w:cs="Arial"/>
                <w:bCs/>
                <w:i/>
                <w:iCs/>
                <w:sz w:val="14"/>
                <w:szCs w:val="14"/>
              </w:rPr>
              <w:t>Delta Scenarios</w:t>
            </w:r>
            <w:r w:rsidRPr="000A40A4">
              <w:rPr>
                <w:rFonts w:ascii="Arial" w:hAnsi="Arial" w:cs="Arial"/>
                <w:bCs/>
                <w:sz w:val="14"/>
                <w:szCs w:val="14"/>
              </w:rPr>
              <w:t xml:space="preserve">, these were used to determine when the current actions will become ineffective or insufficient, i.e. the date of first ATP) and to assess measures and </w:t>
            </w:r>
            <w:r w:rsidRPr="000A40A4">
              <w:rPr>
                <w:rFonts w:ascii="Arial" w:hAnsi="Arial" w:cs="Arial"/>
                <w:bCs/>
                <w:i/>
                <w:iCs/>
                <w:sz w:val="14"/>
                <w:szCs w:val="14"/>
              </w:rPr>
              <w:t>paths</w:t>
            </w:r>
            <w:r w:rsidRPr="000A40A4">
              <w:rPr>
                <w:rFonts w:ascii="Arial" w:hAnsi="Arial" w:cs="Arial"/>
                <w:bCs/>
                <w:sz w:val="14"/>
                <w:szCs w:val="14"/>
              </w:rPr>
              <w:t xml:space="preserve"> on their performance and robustness under different futures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et al. 2014, p.10-11, 13; Alphen 2015, p.312; </w:t>
            </w:r>
            <w:r w:rsidR="005C558F" w:rsidRPr="000A40A4">
              <w:rPr>
                <w:rFonts w:ascii="Arial" w:hAnsi="Arial" w:cs="Arial"/>
                <w:bCs/>
                <w:color w:val="7F7F7F" w:themeColor="text1" w:themeTint="80"/>
                <w:sz w:val="14"/>
                <w:szCs w:val="14"/>
              </w:rPr>
              <w:t>Brugge and Bruggeman 2019</w:t>
            </w:r>
            <w:r w:rsidRPr="000A40A4">
              <w:rPr>
                <w:rFonts w:ascii="Arial" w:hAnsi="Arial" w:cs="Arial"/>
                <w:bCs/>
                <w:color w:val="7F7F7F" w:themeColor="text1" w:themeTint="80"/>
                <w:sz w:val="14"/>
                <w:szCs w:val="14"/>
              </w:rPr>
              <w:t xml:space="preserve">, p.5; Haegen and </w:t>
            </w:r>
            <w:proofErr w:type="spellStart"/>
            <w:r w:rsidRPr="000A40A4">
              <w:rPr>
                <w:rFonts w:ascii="Arial" w:hAnsi="Arial" w:cs="Arial"/>
                <w:bCs/>
                <w:color w:val="7F7F7F" w:themeColor="text1" w:themeTint="80"/>
                <w:sz w:val="14"/>
                <w:szCs w:val="14"/>
              </w:rPr>
              <w:t>Wieriks</w:t>
            </w:r>
            <w:proofErr w:type="spellEnd"/>
            <w:r w:rsidRPr="000A40A4">
              <w:rPr>
                <w:rFonts w:ascii="Arial" w:hAnsi="Arial" w:cs="Arial"/>
                <w:bCs/>
                <w:color w:val="7F7F7F" w:themeColor="text1" w:themeTint="80"/>
                <w:sz w:val="14"/>
                <w:szCs w:val="14"/>
              </w:rPr>
              <w:t xml:space="preserve"> 2015; </w:t>
            </w:r>
            <w:proofErr w:type="spellStart"/>
            <w:r w:rsidRPr="000A40A4">
              <w:rPr>
                <w:rFonts w:ascii="Arial" w:hAnsi="Arial" w:cs="Arial"/>
                <w:bCs/>
                <w:color w:val="7F7F7F" w:themeColor="text1" w:themeTint="80"/>
                <w:sz w:val="14"/>
                <w:szCs w:val="14"/>
              </w:rPr>
              <w:t>Haasnoot</w:t>
            </w:r>
            <w:proofErr w:type="spellEnd"/>
            <w:r w:rsidRPr="000A40A4">
              <w:rPr>
                <w:rFonts w:ascii="Arial" w:hAnsi="Arial" w:cs="Arial"/>
                <w:bCs/>
                <w:color w:val="7F7F7F" w:themeColor="text1" w:themeTint="80"/>
                <w:sz w:val="14"/>
                <w:szCs w:val="14"/>
              </w:rPr>
              <w:t xml:space="preserve"> and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w:t>
            </w:r>
            <w:proofErr w:type="spellStart"/>
            <w:r w:rsidRPr="000A40A4">
              <w:rPr>
                <w:rFonts w:ascii="Arial" w:hAnsi="Arial" w:cs="Arial"/>
                <w:bCs/>
                <w:color w:val="7F7F7F" w:themeColor="text1" w:themeTint="80"/>
                <w:sz w:val="14"/>
                <w:szCs w:val="14"/>
              </w:rPr>
              <w:t>Gersonius</w:t>
            </w:r>
            <w:proofErr w:type="spellEnd"/>
            <w:r w:rsidRPr="000A40A4">
              <w:rPr>
                <w:rFonts w:ascii="Arial" w:hAnsi="Arial" w:cs="Arial"/>
                <w:bCs/>
                <w:color w:val="7F7F7F" w:themeColor="text1" w:themeTint="80"/>
                <w:sz w:val="14"/>
                <w:szCs w:val="14"/>
              </w:rPr>
              <w:t xml:space="preserve"> et al. 2016; Bloemen et al. 2018; DP 2011, p.14, 20; 2013, p.32; 2014, p.136; 2016, p.6; 2010, p.3, 32</w:t>
            </w:r>
            <w:r w:rsidRPr="000A40A4">
              <w:rPr>
                <w:rFonts w:ascii="Arial" w:hAnsi="Arial" w:cs="Arial"/>
                <w:bCs/>
                <w:color w:val="595959" w:themeColor="text1" w:themeTint="A6"/>
                <w:sz w:val="14"/>
                <w:szCs w:val="14"/>
              </w:rPr>
              <w:t xml:space="preserve">; </w:t>
            </w:r>
            <w:r w:rsidRPr="000A40A4">
              <w:rPr>
                <w:rFonts w:ascii="Arial" w:hAnsi="Arial" w:cs="Arial"/>
                <w:bCs/>
                <w:color w:val="7F7F7F" w:themeColor="text1" w:themeTint="80"/>
                <w:sz w:val="14"/>
                <w:szCs w:val="14"/>
              </w:rPr>
              <w:t>Alphen2015; Marchand and Ludwig 2014, p.12</w:t>
            </w:r>
            <w:r w:rsidRPr="000A40A4">
              <w:rPr>
                <w:rFonts w:ascii="Arial" w:hAnsi="Arial" w:cs="Arial"/>
                <w:bCs/>
                <w:sz w:val="14"/>
                <w:szCs w:val="14"/>
              </w:rPr>
              <w:t>).</w:t>
            </w:r>
          </w:p>
          <w:p w14:paraId="2E3D7709" w14:textId="77777777"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Thus, using a wide range of climatic and socioeconomic scenarios, </w:t>
            </w:r>
            <w:proofErr w:type="gramStart"/>
            <w:r w:rsidRPr="000A40A4">
              <w:rPr>
                <w:rFonts w:ascii="Arial" w:hAnsi="Arial" w:cs="Arial"/>
                <w:bCs/>
                <w:sz w:val="14"/>
                <w:szCs w:val="14"/>
              </w:rPr>
              <w:t>namely</w:t>
            </w:r>
            <w:proofErr w:type="gramEnd"/>
            <w:r w:rsidRPr="000A40A4">
              <w:rPr>
                <w:rFonts w:ascii="Arial" w:hAnsi="Arial" w:cs="Arial"/>
                <w:bCs/>
                <w:sz w:val="14"/>
                <w:szCs w:val="14"/>
              </w:rPr>
              <w:t xml:space="preserve"> to assess measures and strategies (</w:t>
            </w:r>
            <w:r w:rsidRPr="000A40A4">
              <w:rPr>
                <w:rFonts w:ascii="Arial" w:hAnsi="Arial" w:cs="Arial"/>
                <w:bCs/>
                <w:i/>
                <w:iCs/>
                <w:sz w:val="14"/>
                <w:szCs w:val="14"/>
              </w:rPr>
              <w:t>paths</w:t>
            </w:r>
            <w:r w:rsidRPr="000A40A4">
              <w:rPr>
                <w:rFonts w:ascii="Arial" w:hAnsi="Arial" w:cs="Arial"/>
                <w:bCs/>
                <w:sz w:val="14"/>
                <w:szCs w:val="14"/>
              </w:rPr>
              <w:t xml:space="preserve">), is an element of the ADM approach essential to develop a </w:t>
            </w:r>
            <w:r w:rsidRPr="000A40A4">
              <w:rPr>
                <w:rFonts w:ascii="Arial" w:hAnsi="Arial" w:cs="Arial"/>
                <w:bCs/>
                <w:i/>
                <w:iCs/>
                <w:sz w:val="14"/>
                <w:szCs w:val="14"/>
              </w:rPr>
              <w:t xml:space="preserve">robust adaptive strategy </w:t>
            </w:r>
            <w:r w:rsidRPr="000A40A4">
              <w:rPr>
                <w:rFonts w:ascii="Arial" w:hAnsi="Arial" w:cs="Arial"/>
                <w:bCs/>
                <w:sz w:val="14"/>
                <w:szCs w:val="14"/>
              </w:rPr>
              <w:t xml:space="preserve">in each Subprogramme and operationalize an </w:t>
            </w:r>
            <w:r w:rsidRPr="000A40A4">
              <w:rPr>
                <w:rFonts w:ascii="Arial" w:hAnsi="Arial" w:cs="Arial"/>
                <w:bCs/>
                <w:i/>
                <w:iCs/>
                <w:sz w:val="14"/>
                <w:szCs w:val="14"/>
              </w:rPr>
              <w:t>Adaptive Delta Management</w:t>
            </w:r>
            <w:r w:rsidRPr="000A40A4">
              <w:rPr>
                <w:rFonts w:ascii="Arial" w:hAnsi="Arial" w:cs="Arial"/>
                <w:bCs/>
                <w:sz w:val="14"/>
                <w:szCs w:val="14"/>
              </w:rPr>
              <w:t xml:space="preserve"> (as also highlighted by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et al. 2014, p.1, 3, 10, 14, 23</w:t>
            </w:r>
            <w:r w:rsidRPr="000A40A4">
              <w:rPr>
                <w:rFonts w:ascii="Arial" w:hAnsi="Arial" w:cs="Arial"/>
                <w:bCs/>
                <w:sz w:val="14"/>
                <w:szCs w:val="14"/>
              </w:rPr>
              <w:t>).</w:t>
            </w:r>
          </w:p>
        </w:tc>
        <w:tc>
          <w:tcPr>
            <w:tcW w:w="2126" w:type="dxa"/>
          </w:tcPr>
          <w:p w14:paraId="070C53F6" w14:textId="77777777" w:rsidR="000A0954" w:rsidRPr="000A40A4" w:rsidRDefault="000A0954" w:rsidP="000A40A4">
            <w:pPr>
              <w:pStyle w:val="tablecontenttext"/>
              <w:spacing w:line="240" w:lineRule="auto"/>
              <w:rPr>
                <w:sz w:val="14"/>
                <w:szCs w:val="14"/>
              </w:rPr>
            </w:pPr>
            <w:r w:rsidRPr="000A40A4">
              <w:rPr>
                <w:sz w:val="14"/>
                <w:szCs w:val="14"/>
              </w:rPr>
              <w:lastRenderedPageBreak/>
              <w:t xml:space="preserve">KE1: Working with, and preparing for, a bandwidth of </w:t>
            </w:r>
            <w:r w:rsidRPr="000A40A4">
              <w:rPr>
                <w:i/>
                <w:iCs w:val="0"/>
                <w:sz w:val="14"/>
                <w:szCs w:val="14"/>
              </w:rPr>
              <w:t>plausible future scenarios</w:t>
            </w:r>
            <w:r w:rsidRPr="000A40A4">
              <w:rPr>
                <w:iCs w:val="0"/>
                <w:sz w:val="14"/>
                <w:szCs w:val="14"/>
              </w:rPr>
              <w:t>,</w:t>
            </w:r>
            <w:r w:rsidRPr="000A40A4">
              <w:rPr>
                <w:i/>
                <w:sz w:val="14"/>
                <w:szCs w:val="14"/>
              </w:rPr>
              <w:t xml:space="preserve"> </w:t>
            </w:r>
            <w:r w:rsidRPr="000A40A4">
              <w:rPr>
                <w:sz w:val="14"/>
                <w:szCs w:val="14"/>
              </w:rPr>
              <w:t>i.e. different climatic and socioeconomic scenarios (rather than a single probabilistic projection of the future), and using them to assess the proposed measures and strategies (</w:t>
            </w:r>
            <w:proofErr w:type="spellStart"/>
            <w:r w:rsidRPr="000A40A4">
              <w:rPr>
                <w:color w:val="7F7F7F" w:themeColor="text1" w:themeTint="80"/>
                <w:sz w:val="14"/>
                <w:szCs w:val="14"/>
              </w:rPr>
              <w:t>Jeuken</w:t>
            </w:r>
            <w:proofErr w:type="spellEnd"/>
            <w:r w:rsidRPr="000A40A4">
              <w:rPr>
                <w:color w:val="7F7F7F" w:themeColor="text1" w:themeTint="80"/>
                <w:sz w:val="14"/>
                <w:szCs w:val="14"/>
              </w:rPr>
              <w:t xml:space="preserve"> et al. 2014; Walker et al. 2013; </w:t>
            </w:r>
            <w:proofErr w:type="spellStart"/>
            <w:r w:rsidRPr="000A40A4">
              <w:rPr>
                <w:color w:val="7F7F7F" w:themeColor="text1" w:themeTint="80"/>
                <w:sz w:val="14"/>
                <w:szCs w:val="14"/>
              </w:rPr>
              <w:t>Jeuken</w:t>
            </w:r>
            <w:proofErr w:type="spellEnd"/>
            <w:r w:rsidRPr="000A40A4">
              <w:rPr>
                <w:color w:val="7F7F7F" w:themeColor="text1" w:themeTint="80"/>
                <w:sz w:val="14"/>
                <w:szCs w:val="14"/>
              </w:rPr>
              <w:t xml:space="preserve"> and Reeder 2011</w:t>
            </w:r>
            <w:r w:rsidRPr="000A40A4">
              <w:rPr>
                <w:sz w:val="14"/>
                <w:szCs w:val="14"/>
              </w:rPr>
              <w:t xml:space="preserve">). </w:t>
            </w:r>
          </w:p>
          <w:p w14:paraId="7EFDC6FA" w14:textId="77777777" w:rsidR="000A0954" w:rsidRPr="000A40A4" w:rsidRDefault="000A0954" w:rsidP="000A40A4">
            <w:pPr>
              <w:pStyle w:val="tablecontenttext"/>
              <w:spacing w:line="240" w:lineRule="auto"/>
              <w:rPr>
                <w:sz w:val="14"/>
                <w:szCs w:val="14"/>
              </w:rPr>
            </w:pPr>
          </w:p>
          <w:p w14:paraId="68C75104" w14:textId="77777777" w:rsidR="000A0954" w:rsidRPr="000A40A4" w:rsidRDefault="000A0954" w:rsidP="000A40A4">
            <w:pPr>
              <w:pStyle w:val="tablecontenttext"/>
              <w:spacing w:line="240" w:lineRule="auto"/>
              <w:rPr>
                <w:sz w:val="14"/>
                <w:szCs w:val="14"/>
              </w:rPr>
            </w:pPr>
            <w:r w:rsidRPr="000A40A4">
              <w:rPr>
                <w:sz w:val="14"/>
                <w:szCs w:val="14"/>
              </w:rPr>
              <w:t xml:space="preserve">It is necessary to consider various plausible futures to </w:t>
            </w:r>
            <w:r w:rsidRPr="000A40A4">
              <w:rPr>
                <w:sz w:val="14"/>
                <w:szCs w:val="14"/>
              </w:rPr>
              <w:lastRenderedPageBreak/>
              <w:t>assess what measures can be used to achieve the objectives regardless of how the future unfolds (</w:t>
            </w:r>
            <w:r w:rsidRPr="000A40A4">
              <w:rPr>
                <w:color w:val="7F7F7F" w:themeColor="text1" w:themeTint="80"/>
                <w:sz w:val="14"/>
                <w:szCs w:val="14"/>
              </w:rPr>
              <w:t>Walker et al. 2013</w:t>
            </w:r>
            <w:r w:rsidRPr="000A40A4">
              <w:rPr>
                <w:sz w:val="14"/>
                <w:szCs w:val="14"/>
              </w:rPr>
              <w:t>).</w:t>
            </w:r>
          </w:p>
          <w:p w14:paraId="417BEB62" w14:textId="77777777" w:rsidR="000A0954" w:rsidRPr="000A40A4" w:rsidRDefault="000A0954" w:rsidP="000A40A4">
            <w:pPr>
              <w:pStyle w:val="tablecontenttext"/>
              <w:spacing w:line="240" w:lineRule="auto"/>
              <w:rPr>
                <w:sz w:val="14"/>
                <w:szCs w:val="14"/>
              </w:rPr>
            </w:pPr>
          </w:p>
          <w:p w14:paraId="4A01DBC7" w14:textId="77777777" w:rsidR="000A0954" w:rsidRPr="000A40A4" w:rsidRDefault="000A0954" w:rsidP="000A40A4">
            <w:pPr>
              <w:pStyle w:val="tablecontenttext"/>
              <w:spacing w:line="240" w:lineRule="auto"/>
              <w:rPr>
                <w:sz w:val="14"/>
                <w:szCs w:val="14"/>
              </w:rPr>
            </w:pPr>
          </w:p>
          <w:p w14:paraId="44593E94" w14:textId="77777777" w:rsidR="000A0954" w:rsidRPr="000A40A4" w:rsidRDefault="000A0954" w:rsidP="000A40A4">
            <w:pPr>
              <w:pStyle w:val="tablecontenttext"/>
              <w:spacing w:line="240" w:lineRule="auto"/>
              <w:rPr>
                <w:sz w:val="14"/>
                <w:szCs w:val="14"/>
              </w:rPr>
            </w:pPr>
          </w:p>
          <w:p w14:paraId="2EC29313" w14:textId="77777777" w:rsidR="000A0954" w:rsidRPr="000A40A4" w:rsidRDefault="000A0954" w:rsidP="000A40A4">
            <w:pPr>
              <w:pStyle w:val="tablecontenttext"/>
              <w:spacing w:line="240" w:lineRule="auto"/>
              <w:rPr>
                <w:sz w:val="14"/>
                <w:szCs w:val="14"/>
              </w:rPr>
            </w:pPr>
          </w:p>
          <w:p w14:paraId="79911B89" w14:textId="77777777" w:rsidR="000A0954" w:rsidRPr="000A40A4" w:rsidRDefault="000A0954" w:rsidP="000A40A4">
            <w:pPr>
              <w:pStyle w:val="TEXTBODY"/>
              <w:spacing w:after="60"/>
              <w:jc w:val="left"/>
              <w:rPr>
                <w:rFonts w:ascii="Arial" w:hAnsi="Arial" w:cs="Arial"/>
                <w:bCs/>
                <w:sz w:val="14"/>
                <w:szCs w:val="14"/>
              </w:rPr>
            </w:pPr>
          </w:p>
        </w:tc>
      </w:tr>
      <w:tr w:rsidR="000A0954" w:rsidRPr="000A40A4" w14:paraId="38E69692" w14:textId="77777777" w:rsidTr="004E5214">
        <w:tc>
          <w:tcPr>
            <w:tcW w:w="753" w:type="dxa"/>
          </w:tcPr>
          <w:p w14:paraId="2A1EF695" w14:textId="77777777" w:rsidR="000A0954" w:rsidRPr="000A40A4" w:rsidRDefault="000A0954" w:rsidP="000A40A4">
            <w:pPr>
              <w:pStyle w:val="tablecontenttext"/>
              <w:spacing w:line="240" w:lineRule="auto"/>
              <w:rPr>
                <w:sz w:val="14"/>
                <w:szCs w:val="14"/>
              </w:rPr>
            </w:pPr>
            <w:r w:rsidRPr="000A40A4">
              <w:rPr>
                <w:sz w:val="14"/>
                <w:szCs w:val="14"/>
              </w:rPr>
              <w:t>1b2</w:t>
            </w:r>
          </w:p>
          <w:p w14:paraId="00E670EC" w14:textId="77777777" w:rsidR="000A0954" w:rsidRPr="000A40A4" w:rsidRDefault="000A0954" w:rsidP="000A40A4">
            <w:pPr>
              <w:pStyle w:val="tablecontenttext"/>
              <w:spacing w:line="240" w:lineRule="auto"/>
              <w:rPr>
                <w:sz w:val="14"/>
                <w:szCs w:val="14"/>
              </w:rPr>
            </w:pPr>
          </w:p>
          <w:p w14:paraId="2386C974" w14:textId="77777777" w:rsidR="000A0954" w:rsidRPr="000A40A4" w:rsidRDefault="000A0954" w:rsidP="000A40A4">
            <w:pPr>
              <w:pStyle w:val="tablecontenttext"/>
              <w:spacing w:line="240" w:lineRule="auto"/>
              <w:rPr>
                <w:sz w:val="14"/>
                <w:szCs w:val="14"/>
              </w:rPr>
            </w:pPr>
            <w:r w:rsidRPr="000A40A4">
              <w:rPr>
                <w:sz w:val="14"/>
                <w:szCs w:val="14"/>
              </w:rPr>
              <w:t>2b</w:t>
            </w:r>
          </w:p>
        </w:tc>
        <w:tc>
          <w:tcPr>
            <w:tcW w:w="7039" w:type="dxa"/>
          </w:tcPr>
          <w:p w14:paraId="04EB3811" w14:textId="77777777" w:rsidR="000A0954" w:rsidRPr="000A40A4" w:rsidRDefault="000A0954" w:rsidP="000A40A4">
            <w:pPr>
              <w:pStyle w:val="TEXTBODY"/>
              <w:spacing w:after="120"/>
              <w:rPr>
                <w:rFonts w:ascii="Arial" w:hAnsi="Arial" w:cs="Arial"/>
                <w:bCs/>
                <w:sz w:val="14"/>
                <w:szCs w:val="14"/>
              </w:rPr>
            </w:pPr>
            <w:r w:rsidRPr="000A40A4">
              <w:rPr>
                <w:rFonts w:ascii="Arial" w:hAnsi="Arial" w:cs="Arial"/>
                <w:bCs/>
                <w:sz w:val="14"/>
                <w:szCs w:val="14"/>
              </w:rPr>
              <w:t xml:space="preserve">The ADM approach employs the method of </w:t>
            </w:r>
            <w:r w:rsidRPr="000A40A4">
              <w:rPr>
                <w:rFonts w:ascii="Arial" w:hAnsi="Arial" w:cs="Arial"/>
                <w:bCs/>
                <w:i/>
                <w:iCs/>
                <w:sz w:val="14"/>
                <w:szCs w:val="14"/>
              </w:rPr>
              <w:t xml:space="preserve">Adaptation Tipping-Points </w:t>
            </w:r>
            <w:r w:rsidRPr="000A40A4">
              <w:rPr>
                <w:rFonts w:ascii="Arial" w:hAnsi="Arial" w:cs="Arial"/>
                <w:bCs/>
                <w:sz w:val="14"/>
                <w:szCs w:val="14"/>
              </w:rPr>
              <w:t xml:space="preserve">(ATPs) (of </w:t>
            </w:r>
            <w:proofErr w:type="spellStart"/>
            <w:r w:rsidRPr="000A40A4">
              <w:rPr>
                <w:rFonts w:ascii="Arial" w:hAnsi="Arial" w:cs="Arial"/>
                <w:bCs/>
                <w:color w:val="7F7F7F" w:themeColor="text1" w:themeTint="80"/>
                <w:sz w:val="14"/>
                <w:szCs w:val="14"/>
              </w:rPr>
              <w:t>Kwadjik</w:t>
            </w:r>
            <w:proofErr w:type="spellEnd"/>
            <w:r w:rsidRPr="000A40A4">
              <w:rPr>
                <w:rFonts w:ascii="Arial" w:hAnsi="Arial" w:cs="Arial"/>
                <w:bCs/>
                <w:color w:val="7F7F7F" w:themeColor="text1" w:themeTint="80"/>
                <w:sz w:val="14"/>
                <w:szCs w:val="14"/>
              </w:rPr>
              <w:t xml:space="preserve"> et al. 2010) </w:t>
            </w:r>
            <w:r w:rsidRPr="000A40A4">
              <w:rPr>
                <w:rFonts w:ascii="Arial" w:hAnsi="Arial" w:cs="Arial"/>
                <w:bCs/>
                <w:sz w:val="14"/>
                <w:szCs w:val="14"/>
              </w:rPr>
              <w:t>(</w:t>
            </w:r>
            <w:r w:rsidRPr="000A40A4">
              <w:rPr>
                <w:rFonts w:ascii="Arial" w:hAnsi="Arial" w:cs="Arial"/>
                <w:bCs/>
                <w:i/>
                <w:iCs/>
                <w:sz w:val="14"/>
                <w:szCs w:val="14"/>
              </w:rPr>
              <w:t xml:space="preserve">in </w:t>
            </w:r>
            <w:proofErr w:type="spellStart"/>
            <w:r w:rsidRPr="000A40A4">
              <w:rPr>
                <w:rFonts w:ascii="Arial" w:hAnsi="Arial" w:cs="Arial"/>
                <w:bCs/>
                <w:color w:val="7F7F7F" w:themeColor="text1" w:themeTint="80"/>
                <w:sz w:val="14"/>
                <w:szCs w:val="14"/>
              </w:rPr>
              <w:t>Gersonius</w:t>
            </w:r>
            <w:proofErr w:type="spellEnd"/>
            <w:r w:rsidRPr="000A40A4">
              <w:rPr>
                <w:rFonts w:ascii="Arial" w:hAnsi="Arial" w:cs="Arial"/>
                <w:bCs/>
                <w:color w:val="7F7F7F" w:themeColor="text1" w:themeTint="80"/>
                <w:sz w:val="14"/>
                <w:szCs w:val="14"/>
              </w:rPr>
              <w:t xml:space="preserve"> et al. 2016, p.204, 213</w:t>
            </w:r>
            <w:r w:rsidRPr="000A40A4">
              <w:rPr>
                <w:rFonts w:ascii="Arial" w:hAnsi="Arial" w:cs="Arial"/>
                <w:bCs/>
                <w:sz w:val="14"/>
                <w:szCs w:val="14"/>
              </w:rPr>
              <w:t xml:space="preserve">). The </w:t>
            </w:r>
            <w:r w:rsidRPr="000A40A4">
              <w:rPr>
                <w:rFonts w:ascii="Arial" w:hAnsi="Arial" w:cs="Arial"/>
                <w:bCs/>
                <w:i/>
                <w:iCs/>
                <w:sz w:val="14"/>
                <w:szCs w:val="14"/>
              </w:rPr>
              <w:t>ADM Implementation Guide</w:t>
            </w:r>
            <w:r w:rsidRPr="000A40A4">
              <w:rPr>
                <w:rFonts w:ascii="Arial" w:hAnsi="Arial" w:cs="Arial"/>
                <w:bCs/>
                <w:sz w:val="14"/>
                <w:szCs w:val="14"/>
              </w:rPr>
              <w:t xml:space="preserve"> (</w:t>
            </w:r>
            <w:r w:rsidRPr="000A40A4">
              <w:rPr>
                <w:rFonts w:ascii="Arial" w:hAnsi="Arial" w:cs="Arial"/>
                <w:bCs/>
                <w:color w:val="7F7F7F" w:themeColor="text1" w:themeTint="80"/>
                <w:sz w:val="14"/>
                <w:szCs w:val="14"/>
              </w:rPr>
              <w:t>Rhee 2012</w:t>
            </w:r>
            <w:r w:rsidRPr="000A40A4">
              <w:rPr>
                <w:rFonts w:ascii="Arial" w:hAnsi="Arial" w:cs="Arial"/>
                <w:bCs/>
                <w:sz w:val="14"/>
                <w:szCs w:val="14"/>
              </w:rPr>
              <w:t xml:space="preserve">) recommended working with </w:t>
            </w:r>
            <w:r w:rsidRPr="000A40A4">
              <w:rPr>
                <w:rFonts w:ascii="Arial" w:hAnsi="Arial" w:cs="Arial"/>
                <w:bCs/>
                <w:i/>
                <w:iCs/>
                <w:sz w:val="14"/>
                <w:szCs w:val="14"/>
              </w:rPr>
              <w:t>Tipping-points</w:t>
            </w:r>
            <w:r w:rsidRPr="000A40A4">
              <w:rPr>
                <w:rFonts w:ascii="Arial" w:hAnsi="Arial" w:cs="Arial"/>
                <w:bCs/>
                <w:sz w:val="14"/>
                <w:szCs w:val="14"/>
              </w:rPr>
              <w:t xml:space="preserve"> </w:t>
            </w:r>
            <w:r w:rsidRPr="000A40A4">
              <w:rPr>
                <w:rFonts w:ascii="Arial" w:hAnsi="Arial" w:cs="Arial"/>
                <w:bCs/>
                <w:color w:val="000000"/>
                <w:sz w:val="14"/>
                <w:szCs w:val="14"/>
              </w:rPr>
              <w:t xml:space="preserve">(as noted by </w:t>
            </w:r>
            <w:proofErr w:type="spellStart"/>
            <w:r w:rsidRPr="000A40A4">
              <w:rPr>
                <w:rFonts w:ascii="Arial" w:hAnsi="Arial" w:cs="Arial"/>
                <w:bCs/>
                <w:color w:val="7F7F7F" w:themeColor="text1" w:themeTint="80"/>
                <w:sz w:val="14"/>
                <w:szCs w:val="14"/>
              </w:rPr>
              <w:t>Restemeyer</w:t>
            </w:r>
            <w:proofErr w:type="spellEnd"/>
            <w:r w:rsidRPr="000A40A4">
              <w:rPr>
                <w:rFonts w:ascii="Arial" w:hAnsi="Arial" w:cs="Arial"/>
                <w:bCs/>
                <w:color w:val="7F7F7F" w:themeColor="text1" w:themeTint="80"/>
                <w:sz w:val="14"/>
                <w:szCs w:val="14"/>
              </w:rPr>
              <w:t xml:space="preserve"> et al. 2017, 930</w:t>
            </w:r>
            <w:r w:rsidRPr="000A40A4">
              <w:rPr>
                <w:rFonts w:ascii="Arial" w:hAnsi="Arial" w:cs="Arial"/>
                <w:bCs/>
                <w:color w:val="000000"/>
                <w:sz w:val="14"/>
                <w:szCs w:val="14"/>
              </w:rPr>
              <w:t>).</w:t>
            </w:r>
            <w:r w:rsidRPr="000A40A4">
              <w:rPr>
                <w:rStyle w:val="Refdenotaderodap"/>
                <w:rFonts w:ascii="Arial" w:hAnsi="Arial" w:cs="Arial"/>
                <w:bCs/>
                <w:color w:val="000000"/>
                <w:sz w:val="14"/>
                <w:szCs w:val="14"/>
              </w:rPr>
              <w:footnoteReference w:id="126"/>
            </w:r>
            <w:r w:rsidRPr="000A40A4">
              <w:rPr>
                <w:rFonts w:ascii="Arial" w:hAnsi="Arial" w:cs="Arial"/>
                <w:bCs/>
                <w:color w:val="000000"/>
                <w:sz w:val="14"/>
                <w:szCs w:val="14"/>
              </w:rPr>
              <w:t xml:space="preserve"> </w:t>
            </w:r>
            <w:r w:rsidRPr="000A40A4">
              <w:rPr>
                <w:rFonts w:ascii="Arial" w:hAnsi="Arial" w:cs="Arial"/>
                <w:bCs/>
                <w:sz w:val="14"/>
                <w:szCs w:val="14"/>
              </w:rPr>
              <w:t xml:space="preserve">In the ADM process, namely in Step 1, it is necessary to identify external developments to which the objectives are most vulnerable to, by using scenarios, and, in Step 2, it is necessary to analyse </w:t>
            </w:r>
            <w:r w:rsidRPr="000A40A4">
              <w:rPr>
                <w:rFonts w:ascii="Arial" w:hAnsi="Arial" w:cs="Arial"/>
                <w:bCs/>
                <w:i/>
                <w:iCs/>
                <w:sz w:val="14"/>
                <w:szCs w:val="14"/>
              </w:rPr>
              <w:t>what amount of change can the system handle</w:t>
            </w:r>
            <w:r w:rsidRPr="000A40A4">
              <w:rPr>
                <w:rFonts w:ascii="Arial" w:hAnsi="Arial" w:cs="Arial"/>
                <w:bCs/>
                <w:sz w:val="14"/>
                <w:szCs w:val="14"/>
              </w:rPr>
              <w:t xml:space="preserve">, and, in specific, </w:t>
            </w:r>
            <w:r w:rsidRPr="000A40A4">
              <w:rPr>
                <w:rFonts w:ascii="Arial" w:hAnsi="Arial" w:cs="Arial"/>
                <w:bCs/>
                <w:i/>
                <w:iCs/>
                <w:sz w:val="14"/>
                <w:szCs w:val="14"/>
              </w:rPr>
              <w:t xml:space="preserve">what is the critical level </w:t>
            </w:r>
            <w:r w:rsidRPr="000A40A4">
              <w:rPr>
                <w:rFonts w:ascii="Arial" w:hAnsi="Arial" w:cs="Arial"/>
                <w:bCs/>
                <w:sz w:val="14"/>
                <w:szCs w:val="14"/>
              </w:rPr>
              <w:t>(</w:t>
            </w:r>
            <w:r w:rsidRPr="000A40A4">
              <w:rPr>
                <w:rFonts w:ascii="Arial" w:hAnsi="Arial" w:cs="Arial"/>
                <w:bCs/>
                <w:i/>
                <w:iCs/>
                <w:sz w:val="14"/>
                <w:szCs w:val="14"/>
              </w:rPr>
              <w:t xml:space="preserve">ATP, </w:t>
            </w:r>
            <w:proofErr w:type="spellStart"/>
            <w:r w:rsidRPr="000A40A4">
              <w:rPr>
                <w:rFonts w:ascii="Arial" w:hAnsi="Arial" w:cs="Arial"/>
                <w:bCs/>
                <w:color w:val="7F7F7F" w:themeColor="text1" w:themeTint="80"/>
                <w:sz w:val="14"/>
                <w:szCs w:val="14"/>
              </w:rPr>
              <w:t>Kwadjik</w:t>
            </w:r>
            <w:proofErr w:type="spellEnd"/>
            <w:r w:rsidRPr="000A40A4">
              <w:rPr>
                <w:rFonts w:ascii="Arial" w:hAnsi="Arial" w:cs="Arial"/>
                <w:bCs/>
                <w:color w:val="7F7F7F" w:themeColor="text1" w:themeTint="80"/>
                <w:sz w:val="14"/>
                <w:szCs w:val="14"/>
              </w:rPr>
              <w:t xml:space="preserve"> et al. 2010</w:t>
            </w:r>
            <w:r w:rsidRPr="000A40A4">
              <w:rPr>
                <w:rFonts w:ascii="Arial" w:hAnsi="Arial" w:cs="Arial"/>
                <w:bCs/>
                <w:sz w:val="14"/>
                <w:szCs w:val="14"/>
              </w:rPr>
              <w:t>)</w:t>
            </w:r>
            <w:r w:rsidRPr="000A40A4">
              <w:rPr>
                <w:rFonts w:ascii="Arial" w:hAnsi="Arial" w:cs="Arial"/>
                <w:bCs/>
                <w:i/>
                <w:iCs/>
                <w:sz w:val="14"/>
                <w:szCs w:val="14"/>
              </w:rPr>
              <w:t xml:space="preserve"> before the objectives are not met anymore</w:t>
            </w:r>
            <w:r w:rsidRPr="000A40A4">
              <w:rPr>
                <w:rFonts w:ascii="Arial" w:hAnsi="Arial" w:cs="Arial"/>
                <w:bCs/>
                <w:sz w:val="14"/>
                <w:szCs w:val="14"/>
              </w:rPr>
              <w:t xml:space="preserve"> (in ADM, ATPs refer to critical levels that represent a threat to the objectives) and </w:t>
            </w:r>
            <w:r w:rsidRPr="000A40A4">
              <w:rPr>
                <w:rFonts w:ascii="Arial" w:hAnsi="Arial" w:cs="Arial"/>
                <w:bCs/>
                <w:i/>
                <w:iCs/>
                <w:sz w:val="14"/>
                <w:szCs w:val="14"/>
              </w:rPr>
              <w:t>when</w:t>
            </w:r>
            <w:r w:rsidRPr="000A40A4">
              <w:rPr>
                <w:rFonts w:ascii="Arial" w:hAnsi="Arial" w:cs="Arial"/>
                <w:bCs/>
                <w:sz w:val="14"/>
                <w:szCs w:val="14"/>
              </w:rPr>
              <w:t xml:space="preserve"> this might occur in different future scenarios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et al. 2014, p.4</w:t>
            </w:r>
            <w:r w:rsidRPr="000A40A4">
              <w:rPr>
                <w:rFonts w:ascii="Arial" w:hAnsi="Arial" w:cs="Arial"/>
                <w:bCs/>
                <w:sz w:val="14"/>
                <w:szCs w:val="14"/>
              </w:rPr>
              <w:t>).</w:t>
            </w:r>
            <w:r w:rsidRPr="000A40A4">
              <w:rPr>
                <w:rStyle w:val="Refdenotaderodap"/>
                <w:rFonts w:ascii="Arial" w:hAnsi="Arial" w:cs="Arial"/>
                <w:bCs/>
                <w:color w:val="231F20"/>
                <w:sz w:val="14"/>
                <w:szCs w:val="14"/>
              </w:rPr>
              <w:footnoteReference w:id="127"/>
            </w:r>
          </w:p>
          <w:p w14:paraId="4ED2A9BF" w14:textId="77777777" w:rsidR="000A0954" w:rsidRPr="000A40A4" w:rsidRDefault="000A0954" w:rsidP="000A40A4">
            <w:pPr>
              <w:pStyle w:val="TEXTBODY"/>
              <w:spacing w:after="60"/>
              <w:rPr>
                <w:rFonts w:ascii="Arial" w:hAnsi="Arial" w:cs="Arial"/>
                <w:bCs/>
                <w:sz w:val="14"/>
                <w:szCs w:val="14"/>
              </w:rPr>
            </w:pPr>
            <w:r w:rsidRPr="000A40A4">
              <w:rPr>
                <w:rFonts w:ascii="Arial" w:eastAsia="RijksoverheidSansText-Regular" w:hAnsi="Arial" w:cs="Arial"/>
                <w:bCs/>
                <w:sz w:val="14"/>
                <w:szCs w:val="14"/>
              </w:rPr>
              <w:t xml:space="preserve">The DP defines </w:t>
            </w:r>
            <w:r w:rsidRPr="000A40A4">
              <w:rPr>
                <w:rFonts w:ascii="Arial" w:eastAsia="RijksoverheidSansText-Regular" w:hAnsi="Arial" w:cs="Arial"/>
                <w:bCs/>
                <w:i/>
                <w:iCs/>
                <w:sz w:val="14"/>
                <w:szCs w:val="14"/>
              </w:rPr>
              <w:t>tipping-points</w:t>
            </w:r>
            <w:r w:rsidRPr="000A40A4">
              <w:rPr>
                <w:rFonts w:ascii="Arial" w:eastAsia="RijksoverheidSansText-Regular" w:hAnsi="Arial" w:cs="Arial"/>
                <w:bCs/>
                <w:sz w:val="14"/>
                <w:szCs w:val="14"/>
              </w:rPr>
              <w:t xml:space="preserve"> as points at which the existing system ceases to meet the requirements </w:t>
            </w:r>
            <w:r w:rsidRPr="000A40A4">
              <w:rPr>
                <w:rFonts w:ascii="Arial" w:eastAsia="RijksoverheidSansText-Regular" w:hAnsi="Arial" w:cs="Arial"/>
                <w:bCs/>
                <w:color w:val="000000"/>
                <w:sz w:val="14"/>
                <w:szCs w:val="14"/>
              </w:rPr>
              <w:t>(</w:t>
            </w:r>
            <w:r w:rsidRPr="000A40A4">
              <w:rPr>
                <w:rFonts w:ascii="Arial" w:eastAsia="RijksoverheidSansText-Regular" w:hAnsi="Arial" w:cs="Arial"/>
                <w:bCs/>
                <w:color w:val="7F7F7F" w:themeColor="text1" w:themeTint="80"/>
                <w:sz w:val="14"/>
                <w:szCs w:val="14"/>
              </w:rPr>
              <w:t>DP 2011, p.8</w:t>
            </w:r>
            <w:r w:rsidRPr="000A40A4">
              <w:rPr>
                <w:rFonts w:ascii="Arial" w:eastAsia="RijksoverheidSansText-Regular" w:hAnsi="Arial" w:cs="Arial"/>
                <w:bCs/>
                <w:color w:val="000000"/>
                <w:sz w:val="14"/>
                <w:szCs w:val="14"/>
              </w:rPr>
              <w:t>); a</w:t>
            </w:r>
            <w:r w:rsidRPr="000A40A4">
              <w:rPr>
                <w:rFonts w:ascii="Arial" w:hAnsi="Arial" w:cs="Arial"/>
                <w:bCs/>
                <w:sz w:val="14"/>
                <w:szCs w:val="14"/>
              </w:rPr>
              <w:t xml:space="preserve"> </w:t>
            </w:r>
            <w:r w:rsidRPr="000A40A4">
              <w:rPr>
                <w:rFonts w:ascii="Arial" w:hAnsi="Arial" w:cs="Arial"/>
                <w:bCs/>
                <w:i/>
                <w:iCs/>
                <w:sz w:val="14"/>
                <w:szCs w:val="14"/>
              </w:rPr>
              <w:t>tipping-point</w:t>
            </w:r>
            <w:r w:rsidRPr="000A40A4">
              <w:rPr>
                <w:rFonts w:ascii="Arial" w:hAnsi="Arial" w:cs="Arial"/>
                <w:bCs/>
                <w:sz w:val="14"/>
                <w:szCs w:val="14"/>
              </w:rPr>
              <w:t xml:space="preserve"> occurs when, due to changes in climate or socioeconomic circumstances, the existing measure, policy, or infrastructure, becomes insufficient to comply with the defined criteria (due to physical, technical, or financial constraints or socially unacceptable effects); the analysis of ATPs sets out which and when decisions and new measures must be taken (</w:t>
            </w:r>
            <w:r w:rsidRPr="000A40A4">
              <w:rPr>
                <w:rFonts w:ascii="Arial" w:hAnsi="Arial" w:cs="Arial"/>
                <w:bCs/>
                <w:color w:val="7F7F7F" w:themeColor="text1" w:themeTint="80"/>
                <w:sz w:val="14"/>
                <w:szCs w:val="14"/>
              </w:rPr>
              <w:t>DP 2011, p.71, 55</w:t>
            </w:r>
            <w:r w:rsidRPr="000A40A4">
              <w:rPr>
                <w:rFonts w:ascii="Arial" w:hAnsi="Arial" w:cs="Arial"/>
                <w:bCs/>
                <w:sz w:val="14"/>
                <w:szCs w:val="14"/>
              </w:rPr>
              <w:t>).</w:t>
            </w:r>
            <w:r w:rsidRPr="000A40A4">
              <w:rPr>
                <w:rStyle w:val="Refdenotaderodap"/>
                <w:rFonts w:ascii="Arial" w:hAnsi="Arial" w:cs="Arial"/>
                <w:bCs/>
                <w:color w:val="000000"/>
                <w:sz w:val="14"/>
                <w:szCs w:val="14"/>
              </w:rPr>
              <w:t xml:space="preserve"> </w:t>
            </w:r>
          </w:p>
          <w:p w14:paraId="02C6E41D" w14:textId="77777777" w:rsidR="000A0954" w:rsidRPr="000A40A4" w:rsidRDefault="000A0954" w:rsidP="000A40A4">
            <w:pPr>
              <w:pStyle w:val="TEXTBODY"/>
              <w:spacing w:after="120"/>
              <w:rPr>
                <w:rFonts w:ascii="Arial" w:hAnsi="Arial" w:cs="Arial"/>
                <w:bCs/>
                <w:sz w:val="14"/>
                <w:szCs w:val="14"/>
              </w:rPr>
            </w:pPr>
            <w:r w:rsidRPr="000A40A4">
              <w:rPr>
                <w:rFonts w:ascii="Arial" w:hAnsi="Arial" w:cs="Arial"/>
                <w:bCs/>
                <w:sz w:val="14"/>
                <w:szCs w:val="14"/>
              </w:rPr>
              <w:t xml:space="preserve">An important aspect in the DP was taking the vulnerability of the current system as the starting point of the analysis; by questioning </w:t>
            </w:r>
            <w:r w:rsidRPr="000A40A4">
              <w:rPr>
                <w:rFonts w:ascii="Arial" w:hAnsi="Arial" w:cs="Arial"/>
                <w:bCs/>
                <w:i/>
                <w:iCs/>
                <w:sz w:val="14"/>
                <w:szCs w:val="14"/>
              </w:rPr>
              <w:t xml:space="preserve">what change can the system handle before it runs into trouble, </w:t>
            </w:r>
            <w:r w:rsidRPr="000A40A4">
              <w:rPr>
                <w:rFonts w:ascii="Arial" w:hAnsi="Arial" w:cs="Arial"/>
                <w:bCs/>
                <w:sz w:val="14"/>
                <w:szCs w:val="14"/>
              </w:rPr>
              <w:t>the Teams could identify</w:t>
            </w:r>
            <w:r w:rsidRPr="000A40A4">
              <w:rPr>
                <w:rFonts w:ascii="Arial" w:hAnsi="Arial" w:cs="Arial"/>
                <w:bCs/>
                <w:i/>
                <w:iCs/>
                <w:sz w:val="14"/>
                <w:szCs w:val="14"/>
              </w:rPr>
              <w:t xml:space="preserve"> </w:t>
            </w:r>
            <w:r w:rsidRPr="000A40A4">
              <w:rPr>
                <w:rFonts w:ascii="Arial" w:hAnsi="Arial" w:cs="Arial"/>
                <w:bCs/>
                <w:sz w:val="14"/>
                <w:szCs w:val="14"/>
              </w:rPr>
              <w:t>ATPs in the system’s vulnerability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and Reeder 2011, p.2, 3</w:t>
            </w:r>
            <w:r w:rsidRPr="000A40A4">
              <w:rPr>
                <w:rFonts w:ascii="Arial" w:hAnsi="Arial" w:cs="Arial"/>
                <w:bCs/>
                <w:sz w:val="14"/>
                <w:szCs w:val="14"/>
              </w:rPr>
              <w:t>).</w:t>
            </w:r>
            <w:r w:rsidRPr="000A40A4">
              <w:rPr>
                <w:rStyle w:val="Refdenotaderodap"/>
                <w:rFonts w:ascii="Arial" w:hAnsi="Arial" w:cs="Arial"/>
                <w:bCs/>
                <w:sz w:val="14"/>
                <w:szCs w:val="14"/>
              </w:rPr>
              <w:footnoteReference w:id="128"/>
            </w:r>
            <w:r w:rsidRPr="000A40A4">
              <w:rPr>
                <w:rFonts w:ascii="Arial" w:hAnsi="Arial" w:cs="Arial"/>
                <w:bCs/>
                <w:sz w:val="14"/>
                <w:szCs w:val="14"/>
              </w:rPr>
              <w:t xml:space="preserve"> The DP and its Subprogrammes sought to identify </w:t>
            </w:r>
            <w:r w:rsidRPr="000A40A4">
              <w:rPr>
                <w:rFonts w:ascii="Arial" w:hAnsi="Arial" w:cs="Arial"/>
                <w:bCs/>
                <w:i/>
                <w:iCs/>
                <w:sz w:val="14"/>
                <w:szCs w:val="14"/>
              </w:rPr>
              <w:t>adaptation tipping-points</w:t>
            </w:r>
            <w:r w:rsidRPr="000A40A4">
              <w:rPr>
                <w:rFonts w:ascii="Arial" w:hAnsi="Arial" w:cs="Arial"/>
                <w:bCs/>
                <w:sz w:val="14"/>
                <w:szCs w:val="14"/>
              </w:rPr>
              <w:t xml:space="preserve"> (i.e. points / conditions at which the objectives of FRM policy along the coast and rivers are no longer met, or points under which the existing management strategies, are no longer able to meet the objectives, and alternative strategies are needed), and analyse when these ATPs might be reached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and Reeder 2011, p.3, 4</w:t>
            </w:r>
            <w:r w:rsidRPr="000A40A4">
              <w:rPr>
                <w:rFonts w:ascii="Arial" w:hAnsi="Arial" w:cs="Arial"/>
                <w:bCs/>
                <w:sz w:val="14"/>
                <w:szCs w:val="14"/>
              </w:rPr>
              <w:t xml:space="preserve">). </w:t>
            </w:r>
          </w:p>
          <w:p w14:paraId="2329CE8E" w14:textId="77777777" w:rsidR="000A0954" w:rsidRPr="000A40A4" w:rsidRDefault="000A0954" w:rsidP="000A40A4">
            <w:pPr>
              <w:pStyle w:val="TEXTBODY"/>
              <w:spacing w:after="120"/>
              <w:ind w:left="130"/>
              <w:rPr>
                <w:rFonts w:ascii="Arial" w:hAnsi="Arial" w:cs="Arial"/>
                <w:bCs/>
                <w:sz w:val="14"/>
                <w:szCs w:val="14"/>
              </w:rPr>
            </w:pPr>
            <w:r w:rsidRPr="000A40A4">
              <w:rPr>
                <w:rFonts w:ascii="Arial" w:hAnsi="Arial" w:cs="Arial"/>
                <w:bCs/>
                <w:sz w:val="14"/>
                <w:szCs w:val="14"/>
              </w:rPr>
              <w:t>First, the Subprogrammes sought to identify ATPs in the existing FRM system; to this end, they assessed technical and physical limits of the flood defence system, quantified its current overcapacity, and, based on this and on climate projections, defined new design criteria</w:t>
            </w:r>
            <w:r w:rsidRPr="000A40A4">
              <w:rPr>
                <w:rFonts w:ascii="Arial" w:hAnsi="Arial" w:cs="Arial"/>
                <w:bCs/>
                <w:i/>
                <w:iCs/>
                <w:sz w:val="14"/>
                <w:szCs w:val="14"/>
              </w:rPr>
              <w:t xml:space="preserve"> </w:t>
            </w:r>
            <w:r w:rsidRPr="000A40A4">
              <w:rPr>
                <w:rFonts w:ascii="Arial" w:hAnsi="Arial" w:cs="Arial"/>
                <w:bCs/>
                <w:sz w:val="14"/>
                <w:szCs w:val="14"/>
              </w:rPr>
              <w:t>(</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and Reeder 2011, p.6</w:t>
            </w:r>
            <w:r w:rsidRPr="000A40A4">
              <w:rPr>
                <w:rFonts w:ascii="Arial" w:hAnsi="Arial" w:cs="Arial"/>
                <w:bCs/>
                <w:sz w:val="14"/>
                <w:szCs w:val="14"/>
              </w:rPr>
              <w:t>). The Subprogrammes identified limits (thresholds) of</w:t>
            </w:r>
            <w:r w:rsidRPr="000A40A4">
              <w:rPr>
                <w:rFonts w:ascii="Arial" w:hAnsi="Arial" w:cs="Arial"/>
                <w:bCs/>
                <w:color w:val="C00000"/>
                <w:sz w:val="14"/>
                <w:szCs w:val="14"/>
              </w:rPr>
              <w:t xml:space="preserve"> </w:t>
            </w:r>
            <w:r w:rsidRPr="000A40A4">
              <w:rPr>
                <w:rFonts w:ascii="Arial" w:hAnsi="Arial" w:cs="Arial"/>
                <w:bCs/>
                <w:sz w:val="14"/>
                <w:szCs w:val="14"/>
              </w:rPr>
              <w:t>the existing flood defence system, but also limits of the existing management measures and FRM policies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and Reeder 2011, p.7</w:t>
            </w:r>
            <w:r w:rsidRPr="000A40A4">
              <w:rPr>
                <w:rFonts w:ascii="Arial" w:hAnsi="Arial" w:cs="Arial"/>
                <w:bCs/>
                <w:sz w:val="14"/>
                <w:szCs w:val="14"/>
              </w:rPr>
              <w:t>). Then, the Subprogrammes used various scenarios to determine the moment of an ATP at earliest and latest, and the moment to adapt (to take a new measure)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and Reeder 2011, p.6</w:t>
            </w:r>
            <w:r w:rsidRPr="000A40A4">
              <w:rPr>
                <w:rFonts w:ascii="Arial" w:hAnsi="Arial" w:cs="Arial"/>
                <w:bCs/>
                <w:sz w:val="14"/>
                <w:szCs w:val="14"/>
              </w:rPr>
              <w:t>). Overall, in the DP, ATPs describe conditions under which the current or alternative management measures or policies might fail; such ATPs are associated to acceptable return periods for flood events, which were translated into design criteria for flood defences (</w:t>
            </w:r>
            <w:r w:rsidRPr="000A40A4">
              <w:rPr>
                <w:rFonts w:ascii="Arial" w:hAnsi="Arial" w:cs="Arial"/>
                <w:bCs/>
                <w:i/>
                <w:iCs/>
                <w:sz w:val="14"/>
                <w:szCs w:val="14"/>
              </w:rPr>
              <w:t>in</w:t>
            </w:r>
            <w:r w:rsidRPr="000A40A4">
              <w:rPr>
                <w:rFonts w:ascii="Arial" w:hAnsi="Arial" w:cs="Arial"/>
                <w:bCs/>
                <w:sz w:val="14"/>
                <w:szCs w:val="14"/>
              </w:rPr>
              <w:t xml:space="preserve">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et al. 2014, p.17</w:t>
            </w:r>
            <w:r w:rsidRPr="000A40A4">
              <w:rPr>
                <w:rFonts w:ascii="Arial" w:hAnsi="Arial" w:cs="Arial"/>
                <w:bCs/>
                <w:sz w:val="14"/>
                <w:szCs w:val="14"/>
              </w:rPr>
              <w:t>).</w:t>
            </w:r>
          </w:p>
          <w:p w14:paraId="15E5E2E6" w14:textId="618E5489"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In the ADM process, Step 1 (</w:t>
            </w:r>
            <w:r w:rsidRPr="000A40A4">
              <w:rPr>
                <w:rFonts w:ascii="Arial" w:hAnsi="Arial" w:cs="Arial"/>
                <w:bCs/>
                <w:i/>
                <w:iCs/>
                <w:sz w:val="14"/>
                <w:szCs w:val="14"/>
              </w:rPr>
              <w:t>analyse objectives, current and future vulnerabilities and opportunities under different future scenarios</w:t>
            </w:r>
            <w:r w:rsidRPr="000A40A4">
              <w:rPr>
                <w:rFonts w:ascii="Arial" w:hAnsi="Arial" w:cs="Arial"/>
                <w:bCs/>
                <w:sz w:val="14"/>
                <w:szCs w:val="14"/>
              </w:rPr>
              <w:t xml:space="preserve">) required assessing what amount of change can the system handle and specifying </w:t>
            </w:r>
            <w:r w:rsidRPr="000A40A4">
              <w:rPr>
                <w:rFonts w:ascii="Arial" w:hAnsi="Arial" w:cs="Arial"/>
                <w:bCs/>
                <w:i/>
                <w:iCs/>
                <w:sz w:val="14"/>
                <w:szCs w:val="14"/>
              </w:rPr>
              <w:t>Adaptation Tipping-points</w:t>
            </w:r>
            <w:r w:rsidRPr="000A40A4">
              <w:rPr>
                <w:rFonts w:ascii="Arial" w:hAnsi="Arial" w:cs="Arial"/>
                <w:bCs/>
                <w:sz w:val="14"/>
                <w:szCs w:val="14"/>
              </w:rPr>
              <w:t xml:space="preserve"> (i.e. assessing what are the critical levels at which the objectives are not met anymore) and when these ATPs will occur by using various scenarios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et al. 2014, p.4-5</w:t>
            </w:r>
            <w:r w:rsidRPr="000A40A4">
              <w:rPr>
                <w:rFonts w:ascii="Arial" w:hAnsi="Arial" w:cs="Arial"/>
                <w:bCs/>
                <w:sz w:val="14"/>
                <w:szCs w:val="14"/>
              </w:rPr>
              <w:t xml:space="preserve">), namely by examining </w:t>
            </w:r>
            <w:r w:rsidRPr="000A40A4">
              <w:rPr>
                <w:rFonts w:ascii="Arial" w:hAnsi="Arial" w:cs="Arial"/>
                <w:bCs/>
                <w:i/>
                <w:iCs/>
                <w:sz w:val="14"/>
                <w:szCs w:val="14"/>
              </w:rPr>
              <w:t>how long the current management strategies continue to be effective under different CC scenarios</w:t>
            </w:r>
            <w:r w:rsidRPr="000A40A4">
              <w:rPr>
                <w:rFonts w:ascii="Arial" w:hAnsi="Arial" w:cs="Arial"/>
                <w:bCs/>
                <w:iCs/>
                <w:sz w:val="14"/>
                <w:szCs w:val="14"/>
              </w:rPr>
              <w:t xml:space="preserve"> </w:t>
            </w:r>
            <w:r w:rsidRPr="000A40A4">
              <w:rPr>
                <w:rFonts w:ascii="Arial" w:hAnsi="Arial" w:cs="Arial"/>
                <w:bCs/>
                <w:sz w:val="14"/>
                <w:szCs w:val="14"/>
              </w:rPr>
              <w:t>(</w:t>
            </w:r>
            <w:proofErr w:type="spellStart"/>
            <w:r w:rsidR="005C558F" w:rsidRPr="000A40A4">
              <w:rPr>
                <w:rFonts w:ascii="Arial" w:hAnsi="Arial" w:cs="Arial"/>
                <w:bCs/>
                <w:color w:val="7F7F7F" w:themeColor="text1" w:themeTint="80"/>
                <w:sz w:val="14"/>
                <w:szCs w:val="14"/>
              </w:rPr>
              <w:t>Deltares</w:t>
            </w:r>
            <w:proofErr w:type="spellEnd"/>
            <w:r w:rsidR="005C558F" w:rsidRPr="000A40A4">
              <w:rPr>
                <w:rFonts w:ascii="Arial" w:hAnsi="Arial" w:cs="Arial"/>
                <w:bCs/>
                <w:color w:val="7F7F7F" w:themeColor="text1" w:themeTint="80"/>
                <w:sz w:val="14"/>
                <w:szCs w:val="14"/>
              </w:rPr>
              <w:t xml:space="preserve"> 2018</w:t>
            </w:r>
            <w:r w:rsidRPr="000A40A4">
              <w:rPr>
                <w:rFonts w:ascii="Arial" w:hAnsi="Arial" w:cs="Arial"/>
                <w:bCs/>
                <w:color w:val="7F7F7F" w:themeColor="text1" w:themeTint="80"/>
                <w:sz w:val="14"/>
                <w:szCs w:val="14"/>
              </w:rPr>
              <w:t>, p.2</w:t>
            </w:r>
            <w:r w:rsidRPr="000A40A4">
              <w:rPr>
                <w:rFonts w:ascii="Arial" w:hAnsi="Arial" w:cs="Arial"/>
                <w:bCs/>
                <w:sz w:val="14"/>
                <w:szCs w:val="14"/>
              </w:rPr>
              <w:t xml:space="preserve">). Thus, it was necessary to specify (define) what are </w:t>
            </w:r>
            <w:r w:rsidRPr="000A40A4">
              <w:rPr>
                <w:rFonts w:ascii="Arial" w:hAnsi="Arial" w:cs="Arial"/>
                <w:bCs/>
                <w:i/>
                <w:iCs/>
                <w:sz w:val="14"/>
                <w:szCs w:val="14"/>
              </w:rPr>
              <w:t>adaptation tipping-points</w:t>
            </w:r>
            <w:r w:rsidRPr="000A40A4">
              <w:rPr>
                <w:rFonts w:ascii="Arial" w:hAnsi="Arial" w:cs="Arial"/>
                <w:bCs/>
                <w:sz w:val="14"/>
                <w:szCs w:val="14"/>
              </w:rPr>
              <w:t>’, i.e. the ‘boundary conditions’/ points under which the objectives are no longer met (e.g. an unacceptable level of SLR) (</w:t>
            </w:r>
            <w:proofErr w:type="spellStart"/>
            <w:r w:rsidRPr="000A40A4">
              <w:rPr>
                <w:rFonts w:ascii="Arial" w:hAnsi="Arial" w:cs="Arial"/>
                <w:bCs/>
                <w:color w:val="7F7F7F" w:themeColor="text1" w:themeTint="80"/>
                <w:sz w:val="14"/>
                <w:szCs w:val="14"/>
              </w:rPr>
              <w:t>Kwadjik</w:t>
            </w:r>
            <w:proofErr w:type="spellEnd"/>
            <w:r w:rsidRPr="000A40A4">
              <w:rPr>
                <w:rFonts w:ascii="Arial" w:hAnsi="Arial" w:cs="Arial"/>
                <w:bCs/>
                <w:color w:val="7F7F7F" w:themeColor="text1" w:themeTint="80"/>
                <w:sz w:val="14"/>
                <w:szCs w:val="14"/>
              </w:rPr>
              <w:t xml:space="preserve"> et al. 2010</w:t>
            </w:r>
            <w:r w:rsidRPr="000A40A4">
              <w:rPr>
                <w:rFonts w:ascii="Arial" w:hAnsi="Arial" w:cs="Arial"/>
                <w:bCs/>
                <w:sz w:val="14"/>
                <w:szCs w:val="14"/>
              </w:rPr>
              <w:t>), and then, confront such ATPs with a range plausible futures to estimate the moment when such ATPs might occur (</w:t>
            </w:r>
            <w:proofErr w:type="spellStart"/>
            <w:r w:rsidRPr="000A40A4">
              <w:rPr>
                <w:rFonts w:ascii="Arial" w:hAnsi="Arial" w:cs="Arial"/>
                <w:bCs/>
                <w:color w:val="7F7F7F" w:themeColor="text1" w:themeTint="80"/>
                <w:sz w:val="14"/>
                <w:szCs w:val="14"/>
              </w:rPr>
              <w:t>Gersonius</w:t>
            </w:r>
            <w:proofErr w:type="spellEnd"/>
            <w:r w:rsidRPr="000A40A4">
              <w:rPr>
                <w:rFonts w:ascii="Arial" w:hAnsi="Arial" w:cs="Arial"/>
                <w:bCs/>
                <w:color w:val="7F7F7F" w:themeColor="text1" w:themeTint="80"/>
                <w:sz w:val="14"/>
                <w:szCs w:val="14"/>
              </w:rPr>
              <w:t xml:space="preserve"> et al.2016, p.204-206</w:t>
            </w:r>
            <w:r w:rsidRPr="000A40A4">
              <w:rPr>
                <w:rFonts w:ascii="Arial" w:hAnsi="Arial" w:cs="Arial"/>
                <w:bCs/>
                <w:sz w:val="14"/>
                <w:szCs w:val="14"/>
              </w:rPr>
              <w:t>).</w:t>
            </w:r>
          </w:p>
          <w:p w14:paraId="2F3E5CB6" w14:textId="77777777" w:rsidR="000A0954" w:rsidRPr="000A40A4" w:rsidRDefault="000A0954" w:rsidP="000A40A4">
            <w:pPr>
              <w:pStyle w:val="TEXTBODY"/>
              <w:spacing w:after="60"/>
              <w:ind w:left="130"/>
              <w:rPr>
                <w:rFonts w:ascii="Arial" w:hAnsi="Arial" w:cs="Arial"/>
                <w:bCs/>
                <w:color w:val="000000"/>
                <w:sz w:val="14"/>
                <w:szCs w:val="14"/>
              </w:rPr>
            </w:pPr>
            <w:r w:rsidRPr="000A40A4">
              <w:rPr>
                <w:rFonts w:ascii="Arial" w:hAnsi="Arial" w:cs="Arial"/>
                <w:bCs/>
                <w:sz w:val="14"/>
                <w:szCs w:val="14"/>
              </w:rPr>
              <w:t xml:space="preserve">In 2009/2010, the DP Team and the Subprogrammes assessed how much longer the current measures (policy and management actions) will suffice and when adjustments will be required, that is, when the first </w:t>
            </w:r>
            <w:r w:rsidRPr="000A40A4">
              <w:rPr>
                <w:rFonts w:ascii="Arial" w:hAnsi="Arial" w:cs="Arial"/>
                <w:bCs/>
                <w:sz w:val="14"/>
                <w:szCs w:val="14"/>
              </w:rPr>
              <w:lastRenderedPageBreak/>
              <w:t xml:space="preserve">tipping-point for the existing system (at which such measures are no longer tenable) will be reached; and, to </w:t>
            </w:r>
            <w:r w:rsidRPr="000A40A4">
              <w:rPr>
                <w:rFonts w:ascii="Arial" w:eastAsia="RijksoverheidSansText-Regular" w:hAnsi="Arial" w:cs="Arial"/>
                <w:bCs/>
                <w:sz w:val="14"/>
                <w:szCs w:val="14"/>
              </w:rPr>
              <w:t xml:space="preserve">answer this, the </w:t>
            </w:r>
            <w:r w:rsidRPr="000A40A4">
              <w:rPr>
                <w:rFonts w:ascii="Arial" w:eastAsia="RijksoverheidSansText-Regular" w:hAnsi="Arial" w:cs="Arial"/>
                <w:bCs/>
                <w:i/>
                <w:iCs/>
                <w:sz w:val="14"/>
                <w:szCs w:val="14"/>
              </w:rPr>
              <w:t>Delta Scenari</w:t>
            </w:r>
            <w:r w:rsidRPr="000A40A4">
              <w:rPr>
                <w:rFonts w:ascii="Arial" w:eastAsia="RijksoverheidSansText-Regular" w:hAnsi="Arial" w:cs="Arial"/>
                <w:bCs/>
                <w:i/>
                <w:iCs/>
                <w:color w:val="C00000"/>
                <w:sz w:val="14"/>
                <w:szCs w:val="14"/>
              </w:rPr>
              <w:t>os</w:t>
            </w:r>
            <w:r w:rsidRPr="000A40A4">
              <w:rPr>
                <w:rFonts w:ascii="Arial" w:eastAsia="RijksoverheidSansText-Regular" w:hAnsi="Arial" w:cs="Arial"/>
                <w:bCs/>
                <w:color w:val="C00000"/>
                <w:sz w:val="14"/>
                <w:szCs w:val="14"/>
              </w:rPr>
              <w:t xml:space="preserve"> </w:t>
            </w:r>
            <w:r w:rsidRPr="000A40A4">
              <w:rPr>
                <w:rFonts w:ascii="Arial" w:eastAsia="RijksoverheidSansText-Regular" w:hAnsi="Arial" w:cs="Arial"/>
                <w:bCs/>
                <w:color w:val="000000"/>
                <w:sz w:val="14"/>
                <w:szCs w:val="14"/>
              </w:rPr>
              <w:t>were used</w:t>
            </w:r>
            <w:r w:rsidRPr="000A40A4">
              <w:rPr>
                <w:rFonts w:ascii="Arial" w:hAnsi="Arial" w:cs="Arial"/>
                <w:bCs/>
                <w:sz w:val="14"/>
                <w:szCs w:val="14"/>
              </w:rPr>
              <w:t xml:space="preserve"> (</w:t>
            </w:r>
            <w:r w:rsidRPr="000A40A4">
              <w:rPr>
                <w:rFonts w:ascii="Arial" w:hAnsi="Arial" w:cs="Arial"/>
                <w:bCs/>
                <w:color w:val="595959" w:themeColor="text1" w:themeTint="A6"/>
                <w:sz w:val="14"/>
                <w:szCs w:val="14"/>
              </w:rPr>
              <w:t>DP 2010, p.3-4, 32, 68; Werners et al. 2016</w:t>
            </w:r>
            <w:r w:rsidRPr="000A40A4">
              <w:rPr>
                <w:rFonts w:ascii="Arial" w:hAnsi="Arial" w:cs="Arial"/>
                <w:bCs/>
                <w:sz w:val="14"/>
                <w:szCs w:val="14"/>
              </w:rPr>
              <w:t>).</w:t>
            </w:r>
            <w:r w:rsidRPr="000A40A4">
              <w:rPr>
                <w:rStyle w:val="Refdenotaderodap"/>
                <w:rFonts w:ascii="Arial" w:eastAsia="RijksoverheidSansText-Regular" w:hAnsi="Arial" w:cs="Arial"/>
                <w:bCs/>
                <w:color w:val="000000"/>
                <w:sz w:val="14"/>
                <w:szCs w:val="14"/>
              </w:rPr>
              <w:footnoteReference w:id="129"/>
            </w:r>
            <w:r w:rsidRPr="000A40A4">
              <w:rPr>
                <w:rFonts w:ascii="Arial" w:hAnsi="Arial" w:cs="Arial"/>
                <w:bCs/>
                <w:sz w:val="14"/>
                <w:szCs w:val="14"/>
              </w:rPr>
              <w:t xml:space="preserve"> The main issue was analysing if and for how long the current measures will still be satisfactory under a changing climate (more than determining the exact levels of SLR) (</w:t>
            </w:r>
            <w:r w:rsidRPr="000A40A4">
              <w:rPr>
                <w:rFonts w:ascii="Arial" w:hAnsi="Arial" w:cs="Arial"/>
                <w:bCs/>
                <w:color w:val="595959" w:themeColor="text1" w:themeTint="A6"/>
                <w:sz w:val="14"/>
                <w:szCs w:val="14"/>
              </w:rPr>
              <w:t>DP 2010, p.36</w:t>
            </w:r>
            <w:r w:rsidRPr="000A40A4">
              <w:rPr>
                <w:rFonts w:ascii="Arial" w:eastAsia="RijksoverheidSansText-Regular" w:hAnsi="Arial" w:cs="Arial"/>
                <w:bCs/>
                <w:color w:val="000000"/>
                <w:sz w:val="14"/>
                <w:szCs w:val="14"/>
              </w:rPr>
              <w:t xml:space="preserve">). </w:t>
            </w:r>
          </w:p>
          <w:p w14:paraId="06776CB7" w14:textId="0787BC27" w:rsidR="000A0954" w:rsidRPr="000A40A4" w:rsidRDefault="000A0954" w:rsidP="000A40A4">
            <w:pPr>
              <w:pStyle w:val="TEXTBODY"/>
              <w:rPr>
                <w:rFonts w:ascii="Arial" w:hAnsi="Arial" w:cs="Arial"/>
                <w:bCs/>
                <w:sz w:val="14"/>
                <w:szCs w:val="14"/>
              </w:rPr>
            </w:pPr>
            <w:r w:rsidRPr="000A40A4">
              <w:rPr>
                <w:rFonts w:ascii="Arial" w:hAnsi="Arial" w:cs="Arial"/>
                <w:bCs/>
                <w:sz w:val="14"/>
                <w:szCs w:val="14"/>
              </w:rPr>
              <w:t>Furthermore, in the ADM process, Step 2 implied assessing the performance and effectiveness of each measure and determining its tipping-point. Thus, the ATPs were crucial to the design of adaptation pathways; when an ATP is reached, other / additional measures are required to achieve the objectives, the APs map shows which measures are available and when these will be needed (</w:t>
            </w:r>
            <w:proofErr w:type="spellStart"/>
            <w:r w:rsidR="005C558F" w:rsidRPr="000A40A4">
              <w:rPr>
                <w:rFonts w:ascii="Arial" w:hAnsi="Arial" w:cs="Arial"/>
                <w:bCs/>
                <w:color w:val="7F7F7F" w:themeColor="text1" w:themeTint="80"/>
                <w:sz w:val="14"/>
                <w:szCs w:val="14"/>
              </w:rPr>
              <w:t>Deltares</w:t>
            </w:r>
            <w:proofErr w:type="spellEnd"/>
            <w:r w:rsidR="005C558F" w:rsidRPr="000A40A4">
              <w:rPr>
                <w:rFonts w:ascii="Arial" w:hAnsi="Arial" w:cs="Arial"/>
                <w:bCs/>
                <w:color w:val="7F7F7F" w:themeColor="text1" w:themeTint="80"/>
                <w:sz w:val="14"/>
                <w:szCs w:val="14"/>
              </w:rPr>
              <w:t xml:space="preserve"> 2018</w:t>
            </w:r>
            <w:r w:rsidRPr="000A40A4">
              <w:rPr>
                <w:rFonts w:ascii="Arial" w:hAnsi="Arial" w:cs="Arial"/>
                <w:bCs/>
                <w:color w:val="7F7F7F" w:themeColor="text1" w:themeTint="80"/>
                <w:sz w:val="14"/>
                <w:szCs w:val="14"/>
              </w:rPr>
              <w:t>, p.2-4</w:t>
            </w:r>
            <w:r w:rsidRPr="000A40A4">
              <w:rPr>
                <w:rFonts w:ascii="Arial" w:hAnsi="Arial" w:cs="Arial"/>
                <w:bCs/>
                <w:sz w:val="14"/>
                <w:szCs w:val="14"/>
              </w:rPr>
              <w:t xml:space="preserve">). In the DP, the design of the </w:t>
            </w:r>
            <w:r w:rsidRPr="000A40A4">
              <w:rPr>
                <w:rFonts w:ascii="Arial" w:hAnsi="Arial" w:cs="Arial"/>
                <w:bCs/>
                <w:i/>
                <w:iCs/>
                <w:sz w:val="14"/>
                <w:szCs w:val="14"/>
              </w:rPr>
              <w:t>Strategies</w:t>
            </w:r>
            <w:r w:rsidRPr="000A40A4">
              <w:rPr>
                <w:rFonts w:ascii="Arial" w:hAnsi="Arial" w:cs="Arial"/>
                <w:bCs/>
                <w:sz w:val="14"/>
                <w:szCs w:val="14"/>
              </w:rPr>
              <w:t xml:space="preserve">, i.e. of their </w:t>
            </w:r>
            <w:r w:rsidRPr="000A40A4">
              <w:rPr>
                <w:rFonts w:ascii="Arial" w:hAnsi="Arial" w:cs="Arial"/>
                <w:bCs/>
                <w:i/>
                <w:iCs/>
                <w:sz w:val="14"/>
                <w:szCs w:val="14"/>
              </w:rPr>
              <w:t>adaptation paths</w:t>
            </w:r>
            <w:r w:rsidRPr="000A40A4">
              <w:rPr>
                <w:rFonts w:ascii="Arial" w:hAnsi="Arial" w:cs="Arial"/>
                <w:bCs/>
                <w:sz w:val="14"/>
                <w:szCs w:val="14"/>
              </w:rPr>
              <w:t>,</w:t>
            </w:r>
            <w:r w:rsidRPr="000A40A4">
              <w:rPr>
                <w:rFonts w:ascii="Arial" w:hAnsi="Arial" w:cs="Arial"/>
                <w:bCs/>
                <w:i/>
                <w:iCs/>
                <w:sz w:val="14"/>
                <w:szCs w:val="14"/>
              </w:rPr>
              <w:t xml:space="preserve"> </w:t>
            </w:r>
            <w:r w:rsidRPr="000A40A4">
              <w:rPr>
                <w:rFonts w:ascii="Arial" w:hAnsi="Arial" w:cs="Arial"/>
                <w:bCs/>
                <w:sz w:val="14"/>
                <w:szCs w:val="14"/>
              </w:rPr>
              <w:t xml:space="preserve">required the identification of ATPs; ATPs played a key role in phasing the possible measures within each </w:t>
            </w:r>
            <w:r w:rsidRPr="000A40A4">
              <w:rPr>
                <w:rFonts w:ascii="Arial" w:hAnsi="Arial" w:cs="Arial"/>
                <w:bCs/>
                <w:i/>
                <w:iCs/>
                <w:sz w:val="14"/>
                <w:szCs w:val="14"/>
              </w:rPr>
              <w:t>Strategy</w:t>
            </w:r>
            <w:r w:rsidRPr="000A40A4">
              <w:rPr>
                <w:rFonts w:ascii="Arial" w:hAnsi="Arial" w:cs="Arial"/>
                <w:bCs/>
                <w:sz w:val="14"/>
                <w:szCs w:val="14"/>
              </w:rPr>
              <w:t xml:space="preserve"> (successive measures were sequenced to assemble pathways)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et al. 2014, p.17</w:t>
            </w:r>
            <w:r w:rsidRPr="000A40A4">
              <w:rPr>
                <w:rFonts w:ascii="Arial" w:hAnsi="Arial" w:cs="Arial"/>
                <w:bCs/>
                <w:sz w:val="14"/>
                <w:szCs w:val="14"/>
              </w:rPr>
              <w:t xml:space="preserve">). The reaching of an ATP indicated that a new measure is required. The Subprogrammes sought to identify the ATP for diverse FRM measures, and then analysed when this might occur (i.e. the moment of an ATP for different measures). </w:t>
            </w:r>
          </w:p>
          <w:p w14:paraId="2E925D9B" w14:textId="77777777" w:rsidR="000A0954" w:rsidRPr="000A40A4" w:rsidRDefault="000A0954" w:rsidP="000A40A4">
            <w:pPr>
              <w:pStyle w:val="TEXTBODY"/>
              <w:spacing w:after="60"/>
              <w:ind w:left="144"/>
              <w:rPr>
                <w:rFonts w:ascii="Arial" w:eastAsia="RijksoverheidSansText-Regular" w:hAnsi="Arial" w:cs="Arial"/>
                <w:bCs/>
                <w:color w:val="000000"/>
                <w:sz w:val="14"/>
                <w:szCs w:val="14"/>
              </w:rPr>
            </w:pPr>
            <w:r w:rsidRPr="000A40A4">
              <w:rPr>
                <w:rFonts w:ascii="Arial" w:eastAsia="RijksoverheidSansText-Regular" w:hAnsi="Arial" w:cs="Arial"/>
                <w:bCs/>
                <w:sz w:val="14"/>
                <w:szCs w:val="14"/>
              </w:rPr>
              <w:t xml:space="preserve">In 2011/2012, to start developing their </w:t>
            </w:r>
            <w:r w:rsidRPr="000A40A4">
              <w:rPr>
                <w:rFonts w:ascii="Arial" w:hAnsi="Arial" w:cs="Arial"/>
                <w:bCs/>
                <w:i/>
                <w:iCs/>
                <w:sz w:val="14"/>
                <w:szCs w:val="14"/>
              </w:rPr>
              <w:t>paths</w:t>
            </w:r>
            <w:r w:rsidRPr="000A40A4">
              <w:rPr>
                <w:rFonts w:ascii="Arial" w:hAnsi="Arial" w:cs="Arial"/>
                <w:bCs/>
                <w:sz w:val="14"/>
                <w:szCs w:val="14"/>
              </w:rPr>
              <w:t xml:space="preserve">, some Subprogrammes sought to analyse at what times measures will be required, which implied examining the moment of </w:t>
            </w:r>
            <w:r w:rsidRPr="000A40A4">
              <w:rPr>
                <w:rFonts w:ascii="Arial" w:hAnsi="Arial" w:cs="Arial"/>
                <w:bCs/>
                <w:i/>
                <w:iCs/>
                <w:sz w:val="14"/>
                <w:szCs w:val="14"/>
              </w:rPr>
              <w:t>tipping-points</w:t>
            </w:r>
            <w:r w:rsidRPr="000A40A4">
              <w:rPr>
                <w:rFonts w:ascii="Arial" w:hAnsi="Arial" w:cs="Arial"/>
                <w:bCs/>
                <w:sz w:val="14"/>
                <w:szCs w:val="14"/>
              </w:rPr>
              <w:t xml:space="preserve"> </w:t>
            </w:r>
            <w:r w:rsidRPr="000A40A4">
              <w:rPr>
                <w:rFonts w:ascii="Arial" w:eastAsia="RijksoverheidSansText-Regular" w:hAnsi="Arial" w:cs="Arial"/>
                <w:bCs/>
                <w:color w:val="000000"/>
                <w:sz w:val="14"/>
                <w:szCs w:val="14"/>
              </w:rPr>
              <w:t>(</w:t>
            </w:r>
            <w:r w:rsidRPr="000A40A4">
              <w:rPr>
                <w:rFonts w:ascii="Arial" w:eastAsia="RijksoverheidSansText-Regular" w:hAnsi="Arial" w:cs="Arial"/>
                <w:bCs/>
                <w:color w:val="7F7F7F" w:themeColor="text1" w:themeTint="80"/>
                <w:sz w:val="14"/>
                <w:szCs w:val="14"/>
              </w:rPr>
              <w:t>DP 2012, p.90</w:t>
            </w:r>
            <w:r w:rsidRPr="000A40A4">
              <w:rPr>
                <w:rFonts w:ascii="Arial" w:eastAsia="RijksoverheidSansText-Regular" w:hAnsi="Arial" w:cs="Arial"/>
                <w:bCs/>
                <w:color w:val="000000"/>
                <w:sz w:val="14"/>
                <w:szCs w:val="14"/>
              </w:rPr>
              <w:t>).</w:t>
            </w:r>
          </w:p>
          <w:p w14:paraId="401DD4D5" w14:textId="77777777" w:rsidR="000A0954" w:rsidRPr="000A40A4" w:rsidRDefault="000A0954" w:rsidP="000A40A4">
            <w:pPr>
              <w:pStyle w:val="TEXTBODY"/>
              <w:spacing w:after="60"/>
              <w:ind w:left="144"/>
              <w:rPr>
                <w:rFonts w:ascii="Arial" w:eastAsia="RijksoverheidSansText-Regular" w:hAnsi="Arial" w:cs="Arial"/>
                <w:bCs/>
                <w:color w:val="000000"/>
                <w:sz w:val="14"/>
                <w:szCs w:val="14"/>
              </w:rPr>
            </w:pPr>
            <w:r w:rsidRPr="000A40A4">
              <w:rPr>
                <w:rFonts w:ascii="Arial" w:hAnsi="Arial" w:cs="Arial"/>
                <w:bCs/>
                <w:sz w:val="14"/>
                <w:szCs w:val="14"/>
              </w:rPr>
              <w:t xml:space="preserve">Subsequently, in 2012/2013, each Subprogramme sought to design </w:t>
            </w:r>
            <w:r w:rsidRPr="000A40A4">
              <w:rPr>
                <w:rFonts w:ascii="Arial" w:hAnsi="Arial" w:cs="Arial"/>
                <w:bCs/>
                <w:i/>
                <w:iCs/>
                <w:sz w:val="14"/>
                <w:szCs w:val="14"/>
              </w:rPr>
              <w:t xml:space="preserve">development paths </w:t>
            </w:r>
            <w:r w:rsidRPr="000A40A4">
              <w:rPr>
                <w:rFonts w:ascii="Arial" w:hAnsi="Arial" w:cs="Arial"/>
                <w:bCs/>
                <w:sz w:val="14"/>
                <w:szCs w:val="14"/>
              </w:rPr>
              <w:t xml:space="preserve">or </w:t>
            </w:r>
            <w:r w:rsidRPr="000A40A4">
              <w:rPr>
                <w:rFonts w:ascii="Arial" w:hAnsi="Arial" w:cs="Arial"/>
                <w:bCs/>
                <w:i/>
                <w:iCs/>
                <w:sz w:val="14"/>
                <w:szCs w:val="14"/>
              </w:rPr>
              <w:t>adaptation paths</w:t>
            </w:r>
            <w:r w:rsidRPr="000A40A4">
              <w:rPr>
                <w:rFonts w:ascii="Arial" w:hAnsi="Arial" w:cs="Arial"/>
                <w:bCs/>
                <w:sz w:val="14"/>
                <w:szCs w:val="14"/>
              </w:rPr>
              <w:t xml:space="preserve"> as part of its </w:t>
            </w:r>
            <w:r w:rsidRPr="000A40A4">
              <w:rPr>
                <w:rFonts w:ascii="Arial" w:hAnsi="Arial" w:cs="Arial"/>
                <w:bCs/>
                <w:i/>
                <w:iCs/>
                <w:sz w:val="14"/>
                <w:szCs w:val="14"/>
              </w:rPr>
              <w:t>Promising Strategies</w:t>
            </w:r>
            <w:r w:rsidRPr="000A40A4">
              <w:rPr>
                <w:rFonts w:ascii="Arial" w:hAnsi="Arial" w:cs="Arial"/>
                <w:bCs/>
                <w:sz w:val="14"/>
                <w:szCs w:val="14"/>
              </w:rPr>
              <w:t xml:space="preserve">, and this implied analysing the conditions under which it is logical to move from a measure to another (i.e. ATPs), and what and how options can be kept open to allow such transition </w:t>
            </w:r>
            <w:r w:rsidRPr="000A40A4">
              <w:rPr>
                <w:rFonts w:ascii="Arial" w:eastAsia="RijksoverheidSansText-Regular" w:hAnsi="Arial" w:cs="Arial"/>
                <w:bCs/>
                <w:color w:val="000000"/>
                <w:sz w:val="14"/>
                <w:szCs w:val="14"/>
              </w:rPr>
              <w:t>(</w:t>
            </w:r>
            <w:r w:rsidRPr="000A40A4">
              <w:rPr>
                <w:rFonts w:ascii="Arial" w:eastAsia="RijksoverheidSansText-Regular" w:hAnsi="Arial" w:cs="Arial"/>
                <w:bCs/>
                <w:color w:val="7F7F7F" w:themeColor="text1" w:themeTint="80"/>
                <w:sz w:val="14"/>
                <w:szCs w:val="14"/>
              </w:rPr>
              <w:t>DP 2012, p.81, 80</w:t>
            </w:r>
            <w:r w:rsidRPr="000A40A4">
              <w:rPr>
                <w:rFonts w:ascii="Arial" w:eastAsia="RijksoverheidSansText-Regular" w:hAnsi="Arial" w:cs="Arial"/>
                <w:bCs/>
                <w:color w:val="000000"/>
                <w:sz w:val="14"/>
                <w:szCs w:val="14"/>
              </w:rPr>
              <w:t>).</w:t>
            </w:r>
          </w:p>
          <w:p w14:paraId="537ABAD5" w14:textId="77777777" w:rsidR="000A0954" w:rsidRPr="000A40A4" w:rsidRDefault="000A0954" w:rsidP="000A40A4">
            <w:pPr>
              <w:pStyle w:val="TEXTBODY"/>
              <w:spacing w:after="120"/>
              <w:ind w:left="130"/>
              <w:rPr>
                <w:rFonts w:ascii="Arial" w:hAnsi="Arial" w:cs="Arial"/>
                <w:bCs/>
                <w:sz w:val="14"/>
                <w:szCs w:val="14"/>
              </w:rPr>
            </w:pPr>
            <w:r w:rsidRPr="000A40A4">
              <w:rPr>
                <w:rFonts w:ascii="Arial" w:hAnsi="Arial" w:cs="Arial"/>
                <w:bCs/>
                <w:sz w:val="14"/>
                <w:szCs w:val="14"/>
              </w:rPr>
              <w:t>The ATPs’ method helped to determine at which point in time new management measures will be necessary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and Reeder 2011, p.4</w:t>
            </w:r>
            <w:r w:rsidRPr="000A40A4">
              <w:rPr>
                <w:rFonts w:ascii="Arial" w:hAnsi="Arial" w:cs="Arial"/>
                <w:bCs/>
                <w:sz w:val="14"/>
                <w:szCs w:val="14"/>
              </w:rPr>
              <w:t xml:space="preserve">). </w:t>
            </w:r>
            <w:r w:rsidRPr="000A40A4">
              <w:rPr>
                <w:rStyle w:val="Refdenotaderodap"/>
                <w:rFonts w:ascii="Arial" w:hAnsi="Arial" w:cs="Arial"/>
                <w:bCs/>
                <w:sz w:val="14"/>
                <w:szCs w:val="14"/>
              </w:rPr>
              <w:footnoteReference w:id="130"/>
            </w:r>
          </w:p>
          <w:p w14:paraId="265E53D9" w14:textId="77777777"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It can, thus, be argued that the identification of </w:t>
            </w:r>
            <w:r w:rsidRPr="000A40A4">
              <w:rPr>
                <w:rFonts w:ascii="Arial" w:hAnsi="Arial" w:cs="Arial"/>
                <w:bCs/>
                <w:i/>
                <w:iCs/>
                <w:sz w:val="14"/>
                <w:szCs w:val="14"/>
              </w:rPr>
              <w:t>Adaptation Tipping-Points</w:t>
            </w:r>
            <w:r w:rsidRPr="000A40A4">
              <w:rPr>
                <w:rFonts w:ascii="Arial" w:hAnsi="Arial" w:cs="Arial"/>
                <w:bCs/>
                <w:sz w:val="14"/>
                <w:szCs w:val="14"/>
              </w:rPr>
              <w:t xml:space="preserve"> (ATPs) is another key-element of ADM that was essential to develop a </w:t>
            </w:r>
            <w:r w:rsidRPr="000A40A4">
              <w:rPr>
                <w:rFonts w:ascii="Arial" w:hAnsi="Arial" w:cs="Arial"/>
                <w:bCs/>
                <w:i/>
                <w:iCs/>
                <w:sz w:val="14"/>
                <w:szCs w:val="14"/>
              </w:rPr>
              <w:t>robust flexible strategy</w:t>
            </w:r>
            <w:r w:rsidRPr="000A40A4">
              <w:rPr>
                <w:rFonts w:ascii="Arial" w:hAnsi="Arial" w:cs="Arial"/>
                <w:bCs/>
                <w:sz w:val="14"/>
                <w:szCs w:val="14"/>
              </w:rPr>
              <w:t xml:space="preserve"> in each Subprogramme, and to operationalize a process of </w:t>
            </w:r>
            <w:r w:rsidRPr="000A40A4">
              <w:rPr>
                <w:rFonts w:ascii="Arial" w:hAnsi="Arial" w:cs="Arial"/>
                <w:bCs/>
                <w:i/>
                <w:iCs/>
                <w:sz w:val="14"/>
                <w:szCs w:val="14"/>
              </w:rPr>
              <w:t>Adaptive Delta Management</w:t>
            </w:r>
            <w:r w:rsidRPr="000A40A4">
              <w:rPr>
                <w:rFonts w:ascii="Arial" w:hAnsi="Arial" w:cs="Arial"/>
                <w:bCs/>
                <w:sz w:val="14"/>
                <w:szCs w:val="14"/>
              </w:rPr>
              <w:t xml:space="preserve">.  </w:t>
            </w:r>
          </w:p>
        </w:tc>
        <w:tc>
          <w:tcPr>
            <w:tcW w:w="2126" w:type="dxa"/>
          </w:tcPr>
          <w:p w14:paraId="0BC376D7" w14:textId="77777777" w:rsidR="000A0954" w:rsidRPr="000A40A4" w:rsidRDefault="000A0954" w:rsidP="000A40A4">
            <w:pPr>
              <w:pStyle w:val="tablecontenttext"/>
              <w:spacing w:line="240" w:lineRule="auto"/>
              <w:rPr>
                <w:color w:val="C00000"/>
                <w:sz w:val="14"/>
                <w:szCs w:val="14"/>
              </w:rPr>
            </w:pPr>
            <w:r w:rsidRPr="000A40A4">
              <w:rPr>
                <w:sz w:val="14"/>
                <w:szCs w:val="14"/>
              </w:rPr>
              <w:lastRenderedPageBreak/>
              <w:t xml:space="preserve">KE2: Identifying </w:t>
            </w:r>
            <w:r w:rsidRPr="000A40A4">
              <w:rPr>
                <w:i/>
                <w:iCs w:val="0"/>
                <w:sz w:val="14"/>
                <w:szCs w:val="14"/>
              </w:rPr>
              <w:t>Adaptation Tipping-points</w:t>
            </w:r>
            <w:r w:rsidRPr="000A40A4">
              <w:rPr>
                <w:sz w:val="14"/>
                <w:szCs w:val="14"/>
              </w:rPr>
              <w:t>, i.e. conditions under which the current or an alternative measure fails (ceases to be effective / no longer meets the objectives, or the current system performs unacceptably) and a new measure is needed (</w:t>
            </w:r>
            <w:r w:rsidRPr="000A40A4">
              <w:rPr>
                <w:color w:val="7F7F7F" w:themeColor="text1" w:themeTint="80"/>
                <w:sz w:val="14"/>
                <w:szCs w:val="14"/>
              </w:rPr>
              <w:t xml:space="preserve">Walker et al. 2013; </w:t>
            </w:r>
            <w:proofErr w:type="spellStart"/>
            <w:r w:rsidRPr="000A40A4">
              <w:rPr>
                <w:color w:val="7F7F7F" w:themeColor="text1" w:themeTint="80"/>
                <w:sz w:val="14"/>
                <w:szCs w:val="14"/>
              </w:rPr>
              <w:t>Jeuken</w:t>
            </w:r>
            <w:proofErr w:type="spellEnd"/>
            <w:r w:rsidRPr="000A40A4">
              <w:rPr>
                <w:color w:val="7F7F7F" w:themeColor="text1" w:themeTint="80"/>
                <w:sz w:val="14"/>
                <w:szCs w:val="14"/>
              </w:rPr>
              <w:t xml:space="preserve"> et al. 2014; </w:t>
            </w:r>
            <w:proofErr w:type="spellStart"/>
            <w:r w:rsidRPr="000A40A4">
              <w:rPr>
                <w:color w:val="7F7F7F" w:themeColor="text1" w:themeTint="80"/>
                <w:sz w:val="14"/>
                <w:szCs w:val="14"/>
              </w:rPr>
              <w:t>Jeuken</w:t>
            </w:r>
            <w:proofErr w:type="spellEnd"/>
            <w:r w:rsidRPr="000A40A4">
              <w:rPr>
                <w:color w:val="7F7F7F" w:themeColor="text1" w:themeTint="80"/>
                <w:sz w:val="14"/>
                <w:szCs w:val="14"/>
              </w:rPr>
              <w:t xml:space="preserve"> and Reeder 2011; Zandvoort et al. 2018</w:t>
            </w:r>
            <w:r w:rsidRPr="000A40A4">
              <w:rPr>
                <w:sz w:val="14"/>
                <w:szCs w:val="14"/>
              </w:rPr>
              <w:t xml:space="preserve">). </w:t>
            </w:r>
          </w:p>
          <w:p w14:paraId="64B2C2C3" w14:textId="77777777" w:rsidR="000A0954" w:rsidRPr="000A40A4" w:rsidRDefault="000A0954" w:rsidP="000A40A4">
            <w:pPr>
              <w:pStyle w:val="tablecontenttext"/>
              <w:spacing w:line="240" w:lineRule="auto"/>
              <w:rPr>
                <w:sz w:val="14"/>
                <w:szCs w:val="14"/>
              </w:rPr>
            </w:pPr>
          </w:p>
        </w:tc>
      </w:tr>
      <w:tr w:rsidR="000A0954" w:rsidRPr="000A40A4" w14:paraId="692E2E74" w14:textId="77777777" w:rsidTr="004E5214">
        <w:trPr>
          <w:trHeight w:val="1128"/>
        </w:trPr>
        <w:tc>
          <w:tcPr>
            <w:tcW w:w="753" w:type="dxa"/>
          </w:tcPr>
          <w:p w14:paraId="012B2FD1" w14:textId="77777777" w:rsidR="000A0954" w:rsidRPr="000A40A4" w:rsidRDefault="000A0954" w:rsidP="000A40A4">
            <w:pPr>
              <w:pStyle w:val="tablecontenttext"/>
              <w:spacing w:line="240" w:lineRule="auto"/>
              <w:rPr>
                <w:sz w:val="14"/>
                <w:szCs w:val="14"/>
              </w:rPr>
            </w:pPr>
            <w:r w:rsidRPr="000A40A4">
              <w:rPr>
                <w:sz w:val="14"/>
                <w:szCs w:val="14"/>
              </w:rPr>
              <w:t>Step 3</w:t>
            </w:r>
          </w:p>
        </w:tc>
        <w:tc>
          <w:tcPr>
            <w:tcW w:w="7039" w:type="dxa"/>
          </w:tcPr>
          <w:p w14:paraId="70D6110E" w14:textId="77777777"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The ADM approach aims at developing strategies that are </w:t>
            </w:r>
            <w:r w:rsidRPr="000A40A4">
              <w:rPr>
                <w:rFonts w:ascii="Arial" w:hAnsi="Arial" w:cs="Arial"/>
                <w:bCs/>
                <w:i/>
                <w:iCs/>
                <w:sz w:val="14"/>
                <w:szCs w:val="14"/>
              </w:rPr>
              <w:t>robust</w:t>
            </w:r>
            <w:r w:rsidRPr="000A40A4">
              <w:rPr>
                <w:rFonts w:ascii="Arial" w:hAnsi="Arial" w:cs="Arial"/>
                <w:bCs/>
                <w:sz w:val="14"/>
                <w:szCs w:val="14"/>
              </w:rPr>
              <w:t xml:space="preserve"> and </w:t>
            </w:r>
            <w:r w:rsidRPr="000A40A4">
              <w:rPr>
                <w:rFonts w:ascii="Arial" w:hAnsi="Arial" w:cs="Arial"/>
                <w:bCs/>
                <w:i/>
                <w:sz w:val="14"/>
                <w:szCs w:val="14"/>
              </w:rPr>
              <w:t>flexible</w:t>
            </w:r>
            <w:r w:rsidRPr="000A40A4">
              <w:rPr>
                <w:rFonts w:ascii="Arial" w:hAnsi="Arial" w:cs="Arial"/>
                <w:bCs/>
                <w:iCs/>
                <w:sz w:val="14"/>
                <w:szCs w:val="14"/>
              </w:rPr>
              <w:t xml:space="preserve"> </w:t>
            </w:r>
            <w:r w:rsidRPr="000A40A4">
              <w:rPr>
                <w:rFonts w:ascii="Arial" w:hAnsi="Arial" w:cs="Arial"/>
                <w:bCs/>
                <w:sz w:val="14"/>
                <w:szCs w:val="14"/>
              </w:rPr>
              <w:t>(</w:t>
            </w:r>
            <w:proofErr w:type="spellStart"/>
            <w:r w:rsidRPr="000A40A4">
              <w:rPr>
                <w:rFonts w:ascii="Arial" w:hAnsi="Arial" w:cs="Arial"/>
                <w:bCs/>
                <w:color w:val="7F7F7F" w:themeColor="text1" w:themeTint="80"/>
                <w:sz w:val="14"/>
                <w:szCs w:val="14"/>
              </w:rPr>
              <w:t>Haasnoot</w:t>
            </w:r>
            <w:proofErr w:type="spellEnd"/>
            <w:r w:rsidRPr="000A40A4">
              <w:rPr>
                <w:rFonts w:ascii="Arial" w:hAnsi="Arial" w:cs="Arial"/>
                <w:bCs/>
                <w:color w:val="7F7F7F" w:themeColor="text1" w:themeTint="80"/>
                <w:sz w:val="14"/>
                <w:szCs w:val="14"/>
              </w:rPr>
              <w:t xml:space="preserve"> 2013, </w:t>
            </w:r>
            <w:r w:rsidRPr="000A40A4">
              <w:rPr>
                <w:rFonts w:ascii="Arial" w:hAnsi="Arial" w:cs="Arial"/>
                <w:bCs/>
                <w:i/>
                <w:iCs/>
                <w:sz w:val="14"/>
                <w:szCs w:val="14"/>
              </w:rPr>
              <w:t>in</w:t>
            </w:r>
            <w:r w:rsidRPr="000A40A4">
              <w:rPr>
                <w:rFonts w:ascii="Arial" w:hAnsi="Arial" w:cs="Arial"/>
                <w:bCs/>
                <w:sz w:val="14"/>
                <w:szCs w:val="14"/>
              </w:rPr>
              <w:t xml:space="preserve"> </w:t>
            </w:r>
            <w:r w:rsidRPr="000A40A4">
              <w:rPr>
                <w:rFonts w:ascii="Arial" w:hAnsi="Arial" w:cs="Arial"/>
                <w:bCs/>
                <w:color w:val="7F7F7F" w:themeColor="text1" w:themeTint="80"/>
                <w:sz w:val="14"/>
                <w:szCs w:val="14"/>
              </w:rPr>
              <w:t>Marchand and Ludwig 2014, p.8, 15</w:t>
            </w:r>
            <w:r w:rsidRPr="000A40A4">
              <w:rPr>
                <w:rFonts w:ascii="Arial" w:hAnsi="Arial" w:cs="Arial"/>
                <w:bCs/>
                <w:sz w:val="14"/>
                <w:szCs w:val="14"/>
              </w:rPr>
              <w:t>). The 2</w:t>
            </w:r>
            <w:r w:rsidRPr="000A40A4">
              <w:rPr>
                <w:rFonts w:ascii="Arial" w:hAnsi="Arial" w:cs="Arial"/>
                <w:bCs/>
                <w:sz w:val="14"/>
                <w:szCs w:val="14"/>
                <w:vertAlign w:val="superscript"/>
              </w:rPr>
              <w:t>nd</w:t>
            </w:r>
            <w:r w:rsidRPr="000A40A4">
              <w:rPr>
                <w:rFonts w:ascii="Arial" w:hAnsi="Arial" w:cs="Arial"/>
                <w:bCs/>
                <w:sz w:val="14"/>
                <w:szCs w:val="14"/>
              </w:rPr>
              <w:t xml:space="preserve"> and 3</w:t>
            </w:r>
            <w:r w:rsidRPr="000A40A4">
              <w:rPr>
                <w:rFonts w:ascii="Arial" w:hAnsi="Arial" w:cs="Arial"/>
                <w:bCs/>
                <w:sz w:val="14"/>
                <w:szCs w:val="14"/>
                <w:vertAlign w:val="superscript"/>
              </w:rPr>
              <w:t>rd</w:t>
            </w:r>
            <w:r w:rsidRPr="000A40A4">
              <w:rPr>
                <w:rFonts w:ascii="Arial" w:hAnsi="Arial" w:cs="Arial"/>
                <w:bCs/>
                <w:sz w:val="14"/>
                <w:szCs w:val="14"/>
              </w:rPr>
              <w:t xml:space="preserve"> principles of the DP’s ADM are clearly related to </w:t>
            </w:r>
            <w:r w:rsidRPr="000A40A4">
              <w:rPr>
                <w:rFonts w:ascii="Arial" w:hAnsi="Arial" w:cs="Arial"/>
                <w:bCs/>
                <w:i/>
                <w:iCs/>
                <w:sz w:val="14"/>
                <w:szCs w:val="14"/>
              </w:rPr>
              <w:t xml:space="preserve">robustness </w:t>
            </w:r>
            <w:r w:rsidRPr="000A40A4">
              <w:rPr>
                <w:rFonts w:ascii="Arial" w:hAnsi="Arial" w:cs="Arial"/>
                <w:bCs/>
                <w:sz w:val="14"/>
                <w:szCs w:val="14"/>
              </w:rPr>
              <w:t xml:space="preserve">and </w:t>
            </w:r>
            <w:r w:rsidRPr="000A40A4">
              <w:rPr>
                <w:rFonts w:ascii="Arial" w:hAnsi="Arial" w:cs="Arial"/>
                <w:bCs/>
                <w:i/>
                <w:iCs/>
                <w:sz w:val="14"/>
                <w:szCs w:val="14"/>
              </w:rPr>
              <w:t xml:space="preserve">flexibility </w:t>
            </w:r>
            <w:r w:rsidRPr="000A40A4">
              <w:rPr>
                <w:rFonts w:ascii="Arial" w:hAnsi="Arial" w:cs="Arial"/>
                <w:bCs/>
                <w:sz w:val="14"/>
                <w:szCs w:val="14"/>
              </w:rPr>
              <w:t>(</w:t>
            </w:r>
            <w:r w:rsidRPr="000A40A4">
              <w:rPr>
                <w:rFonts w:ascii="Arial" w:hAnsi="Arial" w:cs="Arial"/>
                <w:bCs/>
                <w:color w:val="7F7F7F" w:themeColor="text1" w:themeTint="80"/>
                <w:sz w:val="14"/>
                <w:szCs w:val="14"/>
              </w:rPr>
              <w:t>DP 2013, p.103</w:t>
            </w:r>
            <w:r w:rsidRPr="000A40A4">
              <w:rPr>
                <w:rFonts w:ascii="Arial" w:hAnsi="Arial" w:cs="Arial"/>
                <w:bCs/>
                <w:sz w:val="14"/>
                <w:szCs w:val="14"/>
              </w:rPr>
              <w:t xml:space="preserve">). The </w:t>
            </w:r>
            <w:r w:rsidRPr="000A40A4">
              <w:rPr>
                <w:rFonts w:ascii="Arial" w:hAnsi="Arial" w:cs="Arial"/>
                <w:bCs/>
                <w:i/>
                <w:iCs/>
                <w:sz w:val="14"/>
                <w:szCs w:val="14"/>
              </w:rPr>
              <w:t>ADM Implementation Guide</w:t>
            </w:r>
            <w:r w:rsidRPr="000A40A4">
              <w:rPr>
                <w:rFonts w:ascii="Arial" w:hAnsi="Arial" w:cs="Arial"/>
                <w:bCs/>
                <w:sz w:val="14"/>
                <w:szCs w:val="14"/>
              </w:rPr>
              <w:t xml:space="preserve"> advocates that strategies should be simultaneously </w:t>
            </w:r>
            <w:r w:rsidRPr="000A40A4">
              <w:rPr>
                <w:rFonts w:ascii="Arial" w:hAnsi="Arial" w:cs="Arial"/>
                <w:bCs/>
                <w:i/>
                <w:sz w:val="14"/>
                <w:szCs w:val="14"/>
              </w:rPr>
              <w:t>robust</w:t>
            </w:r>
            <w:r w:rsidRPr="000A40A4">
              <w:rPr>
                <w:rFonts w:ascii="Arial" w:hAnsi="Arial" w:cs="Arial"/>
                <w:bCs/>
                <w:sz w:val="14"/>
                <w:szCs w:val="14"/>
              </w:rPr>
              <w:t xml:space="preserve"> and </w:t>
            </w:r>
            <w:r w:rsidRPr="000A40A4">
              <w:rPr>
                <w:rFonts w:ascii="Arial" w:hAnsi="Arial" w:cs="Arial"/>
                <w:bCs/>
                <w:i/>
                <w:sz w:val="14"/>
                <w:szCs w:val="14"/>
              </w:rPr>
              <w:t>flexible</w:t>
            </w:r>
            <w:r w:rsidRPr="000A40A4">
              <w:rPr>
                <w:rFonts w:ascii="Arial" w:hAnsi="Arial" w:cs="Arial"/>
                <w:bCs/>
                <w:iCs/>
                <w:sz w:val="14"/>
                <w:szCs w:val="14"/>
              </w:rPr>
              <w:t xml:space="preserve">, </w:t>
            </w:r>
            <w:r w:rsidRPr="000A40A4">
              <w:rPr>
                <w:rFonts w:ascii="Arial" w:hAnsi="Arial" w:cs="Arial"/>
                <w:bCs/>
                <w:sz w:val="14"/>
                <w:szCs w:val="14"/>
              </w:rPr>
              <w:t xml:space="preserve">and it suggests working with </w:t>
            </w:r>
            <w:r w:rsidRPr="000A40A4">
              <w:rPr>
                <w:rFonts w:ascii="Arial" w:hAnsi="Arial" w:cs="Arial"/>
                <w:bCs/>
                <w:i/>
                <w:iCs/>
                <w:sz w:val="14"/>
                <w:szCs w:val="14"/>
              </w:rPr>
              <w:t>Scenarios</w:t>
            </w:r>
            <w:r w:rsidRPr="000A40A4">
              <w:rPr>
                <w:rFonts w:ascii="Arial" w:hAnsi="Arial" w:cs="Arial"/>
                <w:bCs/>
                <w:sz w:val="14"/>
                <w:szCs w:val="14"/>
              </w:rPr>
              <w:t xml:space="preserve">, </w:t>
            </w:r>
            <w:r w:rsidRPr="000A40A4">
              <w:rPr>
                <w:rFonts w:ascii="Arial" w:hAnsi="Arial" w:cs="Arial"/>
                <w:bCs/>
                <w:i/>
                <w:iCs/>
                <w:sz w:val="14"/>
                <w:szCs w:val="14"/>
              </w:rPr>
              <w:t>Tipping-points</w:t>
            </w:r>
            <w:r w:rsidRPr="000A40A4">
              <w:rPr>
                <w:rFonts w:ascii="Arial" w:hAnsi="Arial" w:cs="Arial"/>
                <w:bCs/>
                <w:sz w:val="14"/>
                <w:szCs w:val="14"/>
              </w:rPr>
              <w:t xml:space="preserve">, and </w:t>
            </w:r>
            <w:r w:rsidRPr="000A40A4">
              <w:rPr>
                <w:rFonts w:ascii="Arial" w:hAnsi="Arial" w:cs="Arial"/>
                <w:bCs/>
                <w:i/>
                <w:iCs/>
                <w:sz w:val="14"/>
                <w:szCs w:val="14"/>
              </w:rPr>
              <w:t>Adaptation</w:t>
            </w:r>
            <w:r w:rsidRPr="000A40A4">
              <w:rPr>
                <w:rFonts w:ascii="Arial" w:hAnsi="Arial" w:cs="Arial"/>
                <w:bCs/>
                <w:sz w:val="14"/>
                <w:szCs w:val="14"/>
              </w:rPr>
              <w:t xml:space="preserve"> </w:t>
            </w:r>
            <w:r w:rsidRPr="000A40A4">
              <w:rPr>
                <w:rFonts w:ascii="Arial" w:hAnsi="Arial" w:cs="Arial"/>
                <w:bCs/>
                <w:i/>
                <w:iCs/>
                <w:sz w:val="14"/>
                <w:szCs w:val="14"/>
              </w:rPr>
              <w:t>Pathways</w:t>
            </w:r>
            <w:r w:rsidRPr="000A40A4">
              <w:rPr>
                <w:rFonts w:ascii="Arial" w:hAnsi="Arial" w:cs="Arial"/>
                <w:bCs/>
                <w:sz w:val="14"/>
                <w:szCs w:val="14"/>
              </w:rPr>
              <w:t xml:space="preserve">, to find (and design) </w:t>
            </w:r>
            <w:r w:rsidRPr="000A40A4">
              <w:rPr>
                <w:rFonts w:ascii="Arial" w:hAnsi="Arial" w:cs="Arial"/>
                <w:bCs/>
                <w:i/>
                <w:iCs/>
                <w:sz w:val="14"/>
                <w:szCs w:val="14"/>
              </w:rPr>
              <w:t>robust and flexible strategies</w:t>
            </w:r>
            <w:r w:rsidRPr="000A40A4">
              <w:rPr>
                <w:rFonts w:ascii="Arial" w:hAnsi="Arial" w:cs="Arial"/>
                <w:bCs/>
                <w:sz w:val="14"/>
                <w:szCs w:val="14"/>
              </w:rPr>
              <w:t xml:space="preserve"> (</w:t>
            </w:r>
            <w:r w:rsidRPr="000A40A4">
              <w:rPr>
                <w:rFonts w:ascii="Arial" w:hAnsi="Arial" w:cs="Arial"/>
                <w:bCs/>
                <w:i/>
                <w:iCs/>
                <w:sz w:val="14"/>
                <w:szCs w:val="14"/>
              </w:rPr>
              <w:t>in</w:t>
            </w:r>
            <w:r w:rsidRPr="000A40A4">
              <w:rPr>
                <w:rFonts w:ascii="Arial" w:hAnsi="Arial" w:cs="Arial"/>
                <w:bCs/>
                <w:sz w:val="14"/>
                <w:szCs w:val="14"/>
              </w:rPr>
              <w:t xml:space="preserve"> </w:t>
            </w:r>
            <w:proofErr w:type="spellStart"/>
            <w:r w:rsidRPr="000A40A4">
              <w:rPr>
                <w:rFonts w:ascii="Arial" w:hAnsi="Arial" w:cs="Arial"/>
                <w:bCs/>
                <w:color w:val="7F7F7F" w:themeColor="text1" w:themeTint="80"/>
                <w:sz w:val="14"/>
                <w:szCs w:val="14"/>
              </w:rPr>
              <w:t>Restemeyer</w:t>
            </w:r>
            <w:proofErr w:type="spellEnd"/>
            <w:r w:rsidRPr="000A40A4">
              <w:rPr>
                <w:rFonts w:ascii="Arial" w:hAnsi="Arial" w:cs="Arial"/>
                <w:bCs/>
                <w:color w:val="7F7F7F" w:themeColor="text1" w:themeTint="80"/>
                <w:sz w:val="14"/>
                <w:szCs w:val="14"/>
              </w:rPr>
              <w:t xml:space="preserve"> et al. 2017, p.930, 931</w:t>
            </w:r>
            <w:r w:rsidRPr="000A40A4">
              <w:rPr>
                <w:rFonts w:ascii="Arial" w:hAnsi="Arial" w:cs="Arial"/>
                <w:bCs/>
                <w:sz w:val="14"/>
                <w:szCs w:val="14"/>
              </w:rPr>
              <w:t xml:space="preserve">). </w:t>
            </w:r>
          </w:p>
          <w:p w14:paraId="5F5945C3" w14:textId="77777777"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The DP assumed that each Strategy developed should be both </w:t>
            </w:r>
            <w:r w:rsidRPr="000A40A4">
              <w:rPr>
                <w:rFonts w:ascii="Arial" w:hAnsi="Arial" w:cs="Arial"/>
                <w:bCs/>
                <w:i/>
                <w:iCs/>
                <w:sz w:val="14"/>
                <w:szCs w:val="14"/>
              </w:rPr>
              <w:t>robust</w:t>
            </w:r>
            <w:r w:rsidRPr="000A40A4">
              <w:rPr>
                <w:rFonts w:ascii="Arial" w:hAnsi="Arial" w:cs="Arial"/>
                <w:bCs/>
                <w:sz w:val="14"/>
                <w:szCs w:val="14"/>
              </w:rPr>
              <w:t xml:space="preserve"> (with it, the objectives can be achieved in all scenarios of CC and socioeconomic development considered, i.e. under all </w:t>
            </w:r>
            <w:r w:rsidRPr="000A40A4">
              <w:rPr>
                <w:rFonts w:ascii="Arial" w:hAnsi="Arial" w:cs="Arial"/>
                <w:bCs/>
                <w:i/>
                <w:iCs/>
                <w:sz w:val="14"/>
                <w:szCs w:val="14"/>
              </w:rPr>
              <w:t>Delta Scenarios</w:t>
            </w:r>
            <w:r w:rsidRPr="000A40A4">
              <w:rPr>
                <w:rFonts w:ascii="Arial" w:eastAsia="RijksoverheidSerif-Regular" w:hAnsi="Arial" w:cs="Arial"/>
                <w:bCs/>
                <w:sz w:val="14"/>
                <w:szCs w:val="14"/>
                <w:lang w:eastAsia="en-US"/>
              </w:rPr>
              <w:t xml:space="preserve">) </w:t>
            </w:r>
            <w:r w:rsidRPr="000A40A4">
              <w:rPr>
                <w:rFonts w:ascii="Arial" w:hAnsi="Arial" w:cs="Arial"/>
                <w:bCs/>
                <w:sz w:val="14"/>
                <w:szCs w:val="14"/>
              </w:rPr>
              <w:t xml:space="preserve">and </w:t>
            </w:r>
            <w:r w:rsidRPr="000A40A4">
              <w:rPr>
                <w:rFonts w:ascii="Arial" w:hAnsi="Arial" w:cs="Arial"/>
                <w:bCs/>
                <w:i/>
                <w:iCs/>
                <w:sz w:val="14"/>
                <w:szCs w:val="14"/>
              </w:rPr>
              <w:t>flexible</w:t>
            </w:r>
            <w:r w:rsidRPr="000A40A4">
              <w:rPr>
                <w:rFonts w:ascii="Arial" w:hAnsi="Arial" w:cs="Arial"/>
                <w:bCs/>
                <w:sz w:val="14"/>
                <w:szCs w:val="14"/>
              </w:rPr>
              <w:t xml:space="preserve"> (i.e. the implementation of its strategy(</w:t>
            </w:r>
            <w:proofErr w:type="spellStart"/>
            <w:r w:rsidRPr="000A40A4">
              <w:rPr>
                <w:rFonts w:ascii="Arial" w:hAnsi="Arial" w:cs="Arial"/>
                <w:bCs/>
                <w:sz w:val="14"/>
                <w:szCs w:val="14"/>
              </w:rPr>
              <w:t>ies</w:t>
            </w:r>
            <w:proofErr w:type="spellEnd"/>
            <w:r w:rsidRPr="000A40A4">
              <w:rPr>
                <w:rFonts w:ascii="Arial" w:hAnsi="Arial" w:cs="Arial"/>
                <w:bCs/>
                <w:sz w:val="14"/>
                <w:szCs w:val="14"/>
              </w:rPr>
              <w:t>), or its measures, can be sped up / slowed down and it should be possible to change to a different measure or to a different strategy (</w:t>
            </w:r>
            <w:r w:rsidRPr="000A40A4">
              <w:rPr>
                <w:rFonts w:ascii="Arial" w:hAnsi="Arial" w:cs="Arial"/>
                <w:bCs/>
                <w:i/>
                <w:iCs/>
                <w:sz w:val="14"/>
                <w:szCs w:val="14"/>
              </w:rPr>
              <w:t>path</w:t>
            </w:r>
            <w:r w:rsidRPr="000A40A4">
              <w:rPr>
                <w:rFonts w:ascii="Arial" w:hAnsi="Arial" w:cs="Arial"/>
                <w:bCs/>
                <w:sz w:val="14"/>
                <w:szCs w:val="14"/>
              </w:rPr>
              <w:t>), if necessary</w:t>
            </w:r>
            <w:r w:rsidRPr="000A40A4">
              <w:rPr>
                <w:rFonts w:ascii="Arial" w:hAnsi="Arial" w:cs="Arial"/>
                <w:bCs/>
                <w:color w:val="0070C0"/>
                <w:sz w:val="14"/>
                <w:szCs w:val="14"/>
              </w:rPr>
              <w:t xml:space="preserve"> </w:t>
            </w:r>
            <w:r w:rsidRPr="000A40A4">
              <w:rPr>
                <w:rFonts w:ascii="Arial" w:hAnsi="Arial" w:cs="Arial"/>
                <w:bCs/>
                <w:sz w:val="14"/>
                <w:szCs w:val="14"/>
              </w:rPr>
              <w:t xml:space="preserve">(it allows for </w:t>
            </w:r>
            <w:r w:rsidRPr="000A40A4">
              <w:rPr>
                <w:rFonts w:ascii="Arial" w:eastAsia="RijksoverheidSerif-Regular" w:hAnsi="Arial" w:cs="Arial"/>
                <w:bCs/>
                <w:i/>
                <w:iCs/>
                <w:sz w:val="14"/>
                <w:szCs w:val="14"/>
                <w:lang w:eastAsia="en-US"/>
              </w:rPr>
              <w:t>switching between strategies</w:t>
            </w:r>
            <w:r w:rsidRPr="000A40A4">
              <w:rPr>
                <w:rFonts w:ascii="Arial" w:eastAsia="RijksoverheidSerif-Regular" w:hAnsi="Arial" w:cs="Arial"/>
                <w:bCs/>
                <w:sz w:val="14"/>
                <w:szCs w:val="14"/>
                <w:lang w:eastAsia="en-US"/>
              </w:rPr>
              <w:t xml:space="preserve">, or </w:t>
            </w:r>
            <w:r w:rsidRPr="000A40A4">
              <w:rPr>
                <w:rFonts w:ascii="Arial" w:eastAsia="RijksoverheidSerif-Regular" w:hAnsi="Arial" w:cs="Arial"/>
                <w:bCs/>
                <w:i/>
                <w:iCs/>
                <w:sz w:val="14"/>
                <w:szCs w:val="14"/>
                <w:lang w:eastAsia="en-US"/>
              </w:rPr>
              <w:t>stepping up</w:t>
            </w:r>
            <w:r w:rsidRPr="000A40A4">
              <w:rPr>
                <w:rFonts w:ascii="Arial" w:eastAsia="RijksoverheidSerif-Regular" w:hAnsi="Arial" w:cs="Arial"/>
                <w:bCs/>
                <w:sz w:val="14"/>
                <w:szCs w:val="14"/>
                <w:lang w:eastAsia="en-US"/>
              </w:rPr>
              <w:t xml:space="preserve"> measures, or </w:t>
            </w:r>
            <w:r w:rsidRPr="000A40A4">
              <w:rPr>
                <w:rFonts w:ascii="Arial" w:eastAsia="RijksoverheidSerif-Regular" w:hAnsi="Arial" w:cs="Arial"/>
                <w:bCs/>
                <w:i/>
                <w:iCs/>
                <w:sz w:val="14"/>
                <w:szCs w:val="14"/>
                <w:lang w:eastAsia="en-US"/>
              </w:rPr>
              <w:t>changing strategies</w:t>
            </w:r>
            <w:r w:rsidRPr="000A40A4">
              <w:rPr>
                <w:rFonts w:ascii="Arial" w:eastAsia="RijksoverheidSerif-Regular" w:hAnsi="Arial" w:cs="Arial"/>
                <w:bCs/>
                <w:color w:val="0070C0"/>
                <w:sz w:val="14"/>
                <w:szCs w:val="14"/>
                <w:lang w:eastAsia="en-US"/>
              </w:rPr>
              <w:t xml:space="preserve">) </w:t>
            </w:r>
            <w:r w:rsidRPr="000A40A4">
              <w:rPr>
                <w:rFonts w:ascii="Arial" w:eastAsia="RijksoverheidSerif-Regular" w:hAnsi="Arial" w:cs="Arial"/>
                <w:bCs/>
                <w:color w:val="000000" w:themeColor="text1"/>
                <w:sz w:val="14"/>
                <w:szCs w:val="14"/>
                <w:lang w:eastAsia="en-US"/>
              </w:rPr>
              <w:t>(</w:t>
            </w:r>
            <w:r w:rsidRPr="000A40A4">
              <w:rPr>
                <w:rFonts w:ascii="Arial" w:eastAsia="RijksoverheidSerif-Regular" w:hAnsi="Arial" w:cs="Arial"/>
                <w:bCs/>
                <w:color w:val="7F7F7F" w:themeColor="text1" w:themeTint="80"/>
                <w:sz w:val="14"/>
                <w:szCs w:val="14"/>
                <w:lang w:eastAsia="en-US"/>
              </w:rPr>
              <w:t>DP 2013, p.103, 94-95; 2014, p.6</w:t>
            </w:r>
            <w:r w:rsidRPr="000A40A4">
              <w:rPr>
                <w:rFonts w:ascii="Arial" w:hAnsi="Arial" w:cs="Arial"/>
                <w:bCs/>
                <w:sz w:val="14"/>
                <w:szCs w:val="14"/>
              </w:rPr>
              <w:t xml:space="preserve">). The </w:t>
            </w:r>
            <w:proofErr w:type="gramStart"/>
            <w:r w:rsidRPr="000A40A4">
              <w:rPr>
                <w:rFonts w:ascii="Arial" w:hAnsi="Arial" w:cs="Arial"/>
                <w:bCs/>
                <w:sz w:val="14"/>
                <w:szCs w:val="14"/>
              </w:rPr>
              <w:t>ultimate goal</w:t>
            </w:r>
            <w:proofErr w:type="gramEnd"/>
            <w:r w:rsidRPr="000A40A4">
              <w:rPr>
                <w:rFonts w:ascii="Arial" w:hAnsi="Arial" w:cs="Arial"/>
                <w:bCs/>
                <w:sz w:val="14"/>
                <w:szCs w:val="14"/>
              </w:rPr>
              <w:t xml:space="preserve"> is that the FRM system meets the requirements </w:t>
            </w:r>
            <w:r w:rsidRPr="000A40A4">
              <w:rPr>
                <w:rFonts w:ascii="Arial" w:hAnsi="Arial" w:cs="Arial"/>
                <w:bCs/>
                <w:i/>
                <w:iCs/>
                <w:sz w:val="14"/>
                <w:szCs w:val="14"/>
              </w:rPr>
              <w:t>at all times</w:t>
            </w:r>
            <w:r w:rsidRPr="000A40A4">
              <w:rPr>
                <w:rFonts w:ascii="Arial" w:hAnsi="Arial" w:cs="Arial"/>
                <w:bCs/>
                <w:sz w:val="14"/>
                <w:szCs w:val="14"/>
              </w:rPr>
              <w:t xml:space="preserve"> (in all scenarios), which required a strategy </w:t>
            </w:r>
            <w:r w:rsidRPr="000A40A4">
              <w:rPr>
                <w:rFonts w:ascii="Arial" w:hAnsi="Arial" w:cs="Arial"/>
                <w:bCs/>
                <w:i/>
                <w:iCs/>
                <w:sz w:val="14"/>
                <w:szCs w:val="14"/>
              </w:rPr>
              <w:t>able to adapt to new insights and circumstances</w:t>
            </w:r>
            <w:r w:rsidRPr="000A40A4">
              <w:rPr>
                <w:rFonts w:ascii="Arial" w:hAnsi="Arial" w:cs="Arial"/>
                <w:bCs/>
                <w:sz w:val="14"/>
                <w:szCs w:val="14"/>
              </w:rPr>
              <w:t xml:space="preserve"> and containing </w:t>
            </w:r>
            <w:r w:rsidRPr="000A40A4">
              <w:rPr>
                <w:rFonts w:ascii="Arial" w:hAnsi="Arial" w:cs="Arial"/>
                <w:bCs/>
                <w:i/>
                <w:iCs/>
                <w:sz w:val="14"/>
                <w:szCs w:val="14"/>
              </w:rPr>
              <w:t>sufficient options to remain open in the future to take the required measures</w:t>
            </w:r>
            <w:r w:rsidRPr="000A40A4">
              <w:rPr>
                <w:rFonts w:ascii="Arial" w:hAnsi="Arial" w:cs="Arial"/>
                <w:bCs/>
                <w:sz w:val="14"/>
                <w:szCs w:val="14"/>
              </w:rPr>
              <w:t xml:space="preserve"> (</w:t>
            </w:r>
            <w:r w:rsidRPr="000A40A4">
              <w:rPr>
                <w:rFonts w:ascii="Arial" w:hAnsi="Arial" w:cs="Arial"/>
                <w:bCs/>
                <w:color w:val="7F7F7F" w:themeColor="text1" w:themeTint="80"/>
                <w:sz w:val="14"/>
                <w:szCs w:val="14"/>
              </w:rPr>
              <w:t>DP 2013, p.102</w:t>
            </w:r>
            <w:r w:rsidRPr="000A40A4">
              <w:rPr>
                <w:rFonts w:ascii="Arial" w:hAnsi="Arial" w:cs="Arial"/>
                <w:bCs/>
                <w:sz w:val="14"/>
                <w:szCs w:val="14"/>
              </w:rPr>
              <w:t>).</w:t>
            </w:r>
          </w:p>
          <w:p w14:paraId="7ED642FF" w14:textId="77777777" w:rsidR="000A0954" w:rsidRPr="000A40A4" w:rsidRDefault="000A0954" w:rsidP="000A40A4">
            <w:pPr>
              <w:pStyle w:val="TEXTBODY"/>
              <w:spacing w:after="60"/>
              <w:rPr>
                <w:rFonts w:ascii="Arial" w:hAnsi="Arial" w:cs="Arial"/>
                <w:bCs/>
                <w:sz w:val="14"/>
                <w:szCs w:val="14"/>
              </w:rPr>
            </w:pPr>
            <w:r w:rsidRPr="000A40A4">
              <w:rPr>
                <w:rFonts w:ascii="Arial" w:hAnsi="Arial" w:cs="Arial"/>
                <w:bCs/>
                <w:noProof/>
                <w:sz w:val="14"/>
                <w:szCs w:val="14"/>
              </w:rPr>
              <w:t xml:space="preserve">Hence, the </w:t>
            </w:r>
            <w:r w:rsidRPr="000A40A4">
              <w:rPr>
                <w:rFonts w:ascii="Arial" w:eastAsia="RijksoverheidSerif-Regular" w:hAnsi="Arial" w:cs="Arial"/>
                <w:bCs/>
                <w:i/>
                <w:iCs/>
                <w:sz w:val="14"/>
                <w:szCs w:val="14"/>
                <w:lang w:eastAsia="en-US"/>
              </w:rPr>
              <w:t xml:space="preserve">Strategy </w:t>
            </w:r>
            <w:r w:rsidRPr="000A40A4">
              <w:rPr>
                <w:rFonts w:ascii="Arial" w:eastAsia="RijksoverheidSerif-Regular" w:hAnsi="Arial" w:cs="Arial"/>
                <w:bCs/>
                <w:sz w:val="14"/>
                <w:szCs w:val="14"/>
                <w:lang w:eastAsia="en-US"/>
              </w:rPr>
              <w:t>of each Subprogramme</w:t>
            </w:r>
            <w:r w:rsidRPr="000A40A4">
              <w:rPr>
                <w:rFonts w:ascii="Arial" w:eastAsia="RijksoverheidSerif-Regular" w:hAnsi="Arial" w:cs="Arial"/>
                <w:bCs/>
                <w:i/>
                <w:iCs/>
                <w:sz w:val="14"/>
                <w:szCs w:val="14"/>
                <w:lang w:eastAsia="en-US"/>
              </w:rPr>
              <w:t xml:space="preserve"> </w:t>
            </w:r>
            <w:r w:rsidRPr="000A40A4">
              <w:rPr>
                <w:rFonts w:ascii="Arial" w:eastAsia="RijksoverheidSerif-Regular" w:hAnsi="Arial" w:cs="Arial"/>
                <w:bCs/>
                <w:sz w:val="14"/>
                <w:szCs w:val="14"/>
                <w:lang w:eastAsia="en-US"/>
              </w:rPr>
              <w:t xml:space="preserve">should be </w:t>
            </w:r>
            <w:r w:rsidRPr="000A40A4">
              <w:rPr>
                <w:rFonts w:ascii="Arial" w:eastAsia="RijksoverheidSerif-Regular" w:hAnsi="Arial" w:cs="Arial"/>
                <w:bCs/>
                <w:i/>
                <w:iCs/>
                <w:sz w:val="14"/>
                <w:szCs w:val="14"/>
                <w:lang w:eastAsia="en-US"/>
              </w:rPr>
              <w:t>robust</w:t>
            </w:r>
            <w:r w:rsidRPr="000A40A4">
              <w:rPr>
                <w:rFonts w:ascii="Arial" w:eastAsia="RijksoverheidSerif-Regular" w:hAnsi="Arial" w:cs="Arial"/>
                <w:bCs/>
                <w:sz w:val="14"/>
                <w:szCs w:val="14"/>
                <w:lang w:eastAsia="en-US"/>
              </w:rPr>
              <w:t xml:space="preserve"> and</w:t>
            </w:r>
            <w:r w:rsidRPr="000A40A4">
              <w:rPr>
                <w:rFonts w:ascii="Arial" w:eastAsia="RijksoverheidSerif-Regular" w:hAnsi="Arial" w:cs="Arial"/>
                <w:bCs/>
                <w:i/>
                <w:iCs/>
                <w:sz w:val="14"/>
                <w:szCs w:val="14"/>
                <w:lang w:eastAsia="en-US"/>
              </w:rPr>
              <w:t xml:space="preserve"> flexible</w:t>
            </w:r>
            <w:r w:rsidRPr="000A40A4">
              <w:rPr>
                <w:rFonts w:ascii="Arial" w:eastAsia="RijksoverheidSerif-Regular" w:hAnsi="Arial" w:cs="Arial"/>
                <w:bCs/>
                <w:sz w:val="14"/>
                <w:szCs w:val="14"/>
                <w:lang w:eastAsia="en-US"/>
              </w:rPr>
              <w:t xml:space="preserve"> and should be based on the four basic principles of ADM </w:t>
            </w:r>
            <w:r w:rsidRPr="000A40A4">
              <w:rPr>
                <w:rFonts w:ascii="Arial" w:hAnsi="Arial" w:cs="Arial"/>
                <w:bCs/>
                <w:sz w:val="14"/>
                <w:szCs w:val="14"/>
              </w:rPr>
              <w:t>(</w:t>
            </w:r>
            <w:r w:rsidRPr="000A40A4">
              <w:rPr>
                <w:rFonts w:ascii="Arial" w:hAnsi="Arial" w:cs="Arial"/>
                <w:bCs/>
                <w:color w:val="7F7F7F" w:themeColor="text1" w:themeTint="80"/>
                <w:sz w:val="14"/>
                <w:szCs w:val="14"/>
              </w:rPr>
              <w:t>DP 2013, p.103, 102, 95; 2012, p.88; 2011, p.48; Werners et al. 2016</w:t>
            </w:r>
            <w:r w:rsidRPr="000A40A4">
              <w:rPr>
                <w:rFonts w:ascii="Arial" w:hAnsi="Arial" w:cs="Arial"/>
                <w:bCs/>
                <w:sz w:val="14"/>
                <w:szCs w:val="14"/>
              </w:rPr>
              <w:t>).</w:t>
            </w:r>
            <w:r w:rsidRPr="000A40A4">
              <w:rPr>
                <w:rFonts w:ascii="Arial" w:hAnsi="Arial" w:cs="Arial"/>
                <w:bCs/>
                <w:color w:val="7030A0"/>
                <w:sz w:val="14"/>
                <w:szCs w:val="14"/>
              </w:rPr>
              <w:t xml:space="preserve"> </w:t>
            </w:r>
          </w:p>
          <w:p w14:paraId="7CD525D2" w14:textId="327271F7"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To develop their </w:t>
            </w:r>
            <w:r w:rsidRPr="000A40A4">
              <w:rPr>
                <w:rFonts w:ascii="Arial" w:hAnsi="Arial" w:cs="Arial"/>
                <w:bCs/>
                <w:i/>
                <w:iCs/>
                <w:sz w:val="14"/>
                <w:szCs w:val="14"/>
              </w:rPr>
              <w:t>Preferential Strategy</w:t>
            </w:r>
            <w:r w:rsidRPr="000A40A4">
              <w:rPr>
                <w:rFonts w:ascii="Arial" w:hAnsi="Arial" w:cs="Arial"/>
                <w:bCs/>
                <w:sz w:val="14"/>
                <w:szCs w:val="14"/>
              </w:rPr>
              <w:t>, the Subprogrammes applied the ADM approach, and ADM itself employs the method of Adaptation Pathways (APs) (</w:t>
            </w:r>
            <w:r w:rsidRPr="000A40A4">
              <w:rPr>
                <w:rFonts w:ascii="Arial" w:hAnsi="Arial" w:cs="Arial"/>
                <w:bCs/>
                <w:i/>
                <w:iCs/>
                <w:sz w:val="14"/>
                <w:szCs w:val="14"/>
              </w:rPr>
              <w:t>in</w:t>
            </w:r>
            <w:r w:rsidRPr="000A40A4">
              <w:rPr>
                <w:rFonts w:ascii="Arial" w:hAnsi="Arial" w:cs="Arial"/>
                <w:bCs/>
                <w:sz w:val="14"/>
                <w:szCs w:val="14"/>
              </w:rPr>
              <w:t xml:space="preserve"> </w:t>
            </w:r>
            <w:r w:rsidRPr="000A40A4">
              <w:rPr>
                <w:rFonts w:ascii="Arial" w:hAnsi="Arial" w:cs="Arial"/>
                <w:bCs/>
                <w:color w:val="7F7F7F" w:themeColor="text1" w:themeTint="80"/>
                <w:sz w:val="14"/>
                <w:szCs w:val="14"/>
              </w:rPr>
              <w:t xml:space="preserve">Haegen and </w:t>
            </w:r>
            <w:proofErr w:type="spellStart"/>
            <w:r w:rsidRPr="000A40A4">
              <w:rPr>
                <w:rFonts w:ascii="Arial" w:hAnsi="Arial" w:cs="Arial"/>
                <w:bCs/>
                <w:color w:val="7F7F7F" w:themeColor="text1" w:themeTint="80"/>
                <w:sz w:val="14"/>
                <w:szCs w:val="14"/>
              </w:rPr>
              <w:t>Wieriks</w:t>
            </w:r>
            <w:proofErr w:type="spellEnd"/>
            <w:r w:rsidRPr="000A40A4">
              <w:rPr>
                <w:rFonts w:ascii="Arial" w:hAnsi="Arial" w:cs="Arial"/>
                <w:bCs/>
                <w:color w:val="7F7F7F" w:themeColor="text1" w:themeTint="80"/>
                <w:sz w:val="14"/>
                <w:szCs w:val="14"/>
              </w:rPr>
              <w:t xml:space="preserve"> 2015, p.56, 54-55, 48</w:t>
            </w:r>
            <w:r w:rsidRPr="000A40A4">
              <w:rPr>
                <w:rFonts w:ascii="Arial" w:hAnsi="Arial" w:cs="Arial"/>
                <w:bCs/>
                <w:sz w:val="14"/>
                <w:szCs w:val="14"/>
              </w:rPr>
              <w:t xml:space="preserve">; </w:t>
            </w:r>
            <w:proofErr w:type="spellStart"/>
            <w:r w:rsidRPr="000A40A4">
              <w:rPr>
                <w:rFonts w:ascii="Arial" w:hAnsi="Arial" w:cs="Arial"/>
                <w:bCs/>
                <w:color w:val="7F7F7F" w:themeColor="text1" w:themeTint="80"/>
                <w:sz w:val="14"/>
                <w:szCs w:val="14"/>
              </w:rPr>
              <w:t>Restemeyer</w:t>
            </w:r>
            <w:proofErr w:type="spellEnd"/>
            <w:r w:rsidRPr="000A40A4">
              <w:rPr>
                <w:rFonts w:ascii="Arial" w:hAnsi="Arial" w:cs="Arial"/>
                <w:bCs/>
                <w:color w:val="7F7F7F" w:themeColor="text1" w:themeTint="80"/>
                <w:sz w:val="14"/>
                <w:szCs w:val="14"/>
              </w:rPr>
              <w:t xml:space="preserve"> et al. 2017, p.935, 930;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and Reeder 2011, p.5; Marchand and Ludwig 2014, p.2, 17; </w:t>
            </w:r>
            <w:r w:rsidR="005C558F" w:rsidRPr="000A40A4">
              <w:rPr>
                <w:rFonts w:ascii="Arial" w:hAnsi="Arial" w:cs="Arial"/>
                <w:bCs/>
                <w:color w:val="7F7F7F" w:themeColor="text1" w:themeTint="80"/>
                <w:sz w:val="14"/>
                <w:szCs w:val="14"/>
              </w:rPr>
              <w:t>Brugge and Bruggeman 2019</w:t>
            </w:r>
            <w:r w:rsidRPr="000A40A4">
              <w:rPr>
                <w:rFonts w:ascii="Arial" w:hAnsi="Arial" w:cs="Arial"/>
                <w:bCs/>
                <w:color w:val="7F7F7F" w:themeColor="text1" w:themeTint="80"/>
                <w:sz w:val="14"/>
                <w:szCs w:val="14"/>
              </w:rPr>
              <w:t>, p.2; Zandvoort et al. 2018, p.189; Klijn et al. 2015, p.849; Bloemen et al. 2018, p.5</w:t>
            </w:r>
            <w:r w:rsidRPr="000A40A4">
              <w:rPr>
                <w:rFonts w:ascii="Arial" w:hAnsi="Arial" w:cs="Arial"/>
                <w:bCs/>
                <w:sz w:val="14"/>
                <w:szCs w:val="14"/>
              </w:rPr>
              <w:t>).</w:t>
            </w:r>
            <w:r w:rsidRPr="000A40A4">
              <w:rPr>
                <w:rStyle w:val="Refdenotaderodap"/>
                <w:rFonts w:ascii="Arial" w:hAnsi="Arial" w:cs="Arial"/>
                <w:bCs/>
                <w:sz w:val="14"/>
                <w:szCs w:val="14"/>
              </w:rPr>
              <w:footnoteReference w:id="131"/>
            </w:r>
            <w:r w:rsidRPr="000A40A4">
              <w:rPr>
                <w:rFonts w:ascii="Arial" w:hAnsi="Arial" w:cs="Arial"/>
                <w:bCs/>
                <w:sz w:val="14"/>
                <w:szCs w:val="14"/>
              </w:rPr>
              <w:t xml:space="preserve"> In its process, ADM uses the APs method (of </w:t>
            </w:r>
            <w:proofErr w:type="spellStart"/>
            <w:r w:rsidRPr="000A40A4">
              <w:rPr>
                <w:rFonts w:ascii="Arial" w:hAnsi="Arial" w:cs="Arial"/>
                <w:bCs/>
                <w:color w:val="7F7F7F" w:themeColor="text1" w:themeTint="80"/>
                <w:sz w:val="14"/>
                <w:szCs w:val="14"/>
              </w:rPr>
              <w:t>Haasnoot</w:t>
            </w:r>
            <w:proofErr w:type="spellEnd"/>
            <w:r w:rsidRPr="000A40A4">
              <w:rPr>
                <w:rFonts w:ascii="Arial" w:hAnsi="Arial" w:cs="Arial"/>
                <w:bCs/>
                <w:color w:val="7F7F7F" w:themeColor="text1" w:themeTint="80"/>
                <w:sz w:val="14"/>
                <w:szCs w:val="14"/>
              </w:rPr>
              <w:t xml:space="preserve"> et al. 2012, 2013</w:t>
            </w:r>
            <w:r w:rsidRPr="000A40A4">
              <w:rPr>
                <w:rFonts w:ascii="Arial" w:hAnsi="Arial" w:cs="Arial"/>
                <w:bCs/>
                <w:sz w:val="14"/>
                <w:szCs w:val="14"/>
              </w:rPr>
              <w:t>): the 3</w:t>
            </w:r>
            <w:r w:rsidRPr="000A40A4">
              <w:rPr>
                <w:rFonts w:ascii="Arial" w:hAnsi="Arial" w:cs="Arial"/>
                <w:bCs/>
                <w:sz w:val="14"/>
                <w:szCs w:val="14"/>
                <w:vertAlign w:val="superscript"/>
              </w:rPr>
              <w:t>rd</w:t>
            </w:r>
            <w:r w:rsidRPr="000A40A4">
              <w:rPr>
                <w:rFonts w:ascii="Arial" w:hAnsi="Arial" w:cs="Arial"/>
                <w:bCs/>
                <w:sz w:val="14"/>
                <w:szCs w:val="14"/>
              </w:rPr>
              <w:t xml:space="preserve"> step of the ADM process is the development of adaptation pathways and their representation in a map. The APs is a methodological </w:t>
            </w:r>
            <w:r w:rsidRPr="000A40A4">
              <w:rPr>
                <w:rFonts w:ascii="Arial" w:hAnsi="Arial" w:cs="Arial"/>
                <w:bCs/>
                <w:i/>
                <w:iCs/>
                <w:sz w:val="14"/>
                <w:szCs w:val="14"/>
              </w:rPr>
              <w:t>approach for</w:t>
            </w:r>
            <w:r w:rsidRPr="000A40A4">
              <w:rPr>
                <w:rFonts w:ascii="Arial" w:hAnsi="Arial" w:cs="Arial"/>
                <w:bCs/>
                <w:sz w:val="14"/>
                <w:szCs w:val="14"/>
              </w:rPr>
              <w:t xml:space="preserve"> </w:t>
            </w:r>
            <w:r w:rsidRPr="000A40A4">
              <w:rPr>
                <w:rFonts w:ascii="Arial" w:hAnsi="Arial" w:cs="Arial"/>
                <w:bCs/>
                <w:i/>
                <w:sz w:val="14"/>
                <w:szCs w:val="14"/>
              </w:rPr>
              <w:t xml:space="preserve">exploring and sequencing a set of possible actions based on alternative external developments over time </w:t>
            </w:r>
            <w:r w:rsidRPr="000A40A4">
              <w:rPr>
                <w:rFonts w:ascii="Arial" w:hAnsi="Arial" w:cs="Arial"/>
                <w:bCs/>
                <w:sz w:val="14"/>
                <w:szCs w:val="14"/>
              </w:rPr>
              <w:t>(</w:t>
            </w:r>
            <w:proofErr w:type="spellStart"/>
            <w:r w:rsidRPr="000A40A4">
              <w:rPr>
                <w:rFonts w:ascii="Arial" w:hAnsi="Arial" w:cs="Arial"/>
                <w:bCs/>
                <w:color w:val="7F7F7F" w:themeColor="text1" w:themeTint="80"/>
                <w:sz w:val="14"/>
                <w:szCs w:val="14"/>
              </w:rPr>
              <w:t>Haasnoot</w:t>
            </w:r>
            <w:proofErr w:type="spellEnd"/>
            <w:r w:rsidRPr="000A40A4">
              <w:rPr>
                <w:rFonts w:ascii="Arial" w:hAnsi="Arial" w:cs="Arial"/>
                <w:bCs/>
                <w:color w:val="7F7F7F" w:themeColor="text1" w:themeTint="80"/>
                <w:sz w:val="14"/>
                <w:szCs w:val="14"/>
              </w:rPr>
              <w:t xml:space="preserve"> et al. 2012, p.485</w:t>
            </w:r>
            <w:r w:rsidRPr="000A40A4">
              <w:rPr>
                <w:rFonts w:ascii="Arial" w:hAnsi="Arial" w:cs="Arial"/>
                <w:bCs/>
                <w:sz w:val="14"/>
                <w:szCs w:val="14"/>
              </w:rPr>
              <w:t>).</w:t>
            </w:r>
            <w:r w:rsidRPr="000A40A4">
              <w:rPr>
                <w:rStyle w:val="Refdenotaderodap"/>
                <w:rFonts w:ascii="Arial" w:hAnsi="Arial" w:cs="Arial"/>
                <w:bCs/>
                <w:sz w:val="14"/>
                <w:szCs w:val="14"/>
              </w:rPr>
              <w:footnoteReference w:id="132"/>
            </w:r>
            <w:r w:rsidRPr="000A40A4">
              <w:rPr>
                <w:rFonts w:ascii="Arial" w:hAnsi="Arial" w:cs="Arial"/>
                <w:bCs/>
                <w:sz w:val="14"/>
                <w:szCs w:val="14"/>
              </w:rPr>
              <w:t xml:space="preserve"> The APs approach that was applied in the DP (as part of ADM) was inspired by the APs approach of the TE2100 Project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and Reeder 2011, p.5; DP 2011, p.48</w:t>
            </w:r>
            <w:r w:rsidRPr="000A40A4">
              <w:rPr>
                <w:rFonts w:ascii="Arial" w:hAnsi="Arial" w:cs="Arial"/>
                <w:bCs/>
                <w:sz w:val="14"/>
                <w:szCs w:val="14"/>
              </w:rPr>
              <w:t>).</w:t>
            </w:r>
            <w:r w:rsidRPr="000A40A4">
              <w:rPr>
                <w:rFonts w:ascii="Arial" w:hAnsi="Arial" w:cs="Arial"/>
                <w:bCs/>
                <w:color w:val="C00000"/>
                <w:sz w:val="14"/>
                <w:szCs w:val="14"/>
              </w:rPr>
              <w:t xml:space="preserve"> </w:t>
            </w:r>
          </w:p>
          <w:p w14:paraId="1818ECCA" w14:textId="77777777" w:rsidR="000A0954" w:rsidRPr="000A40A4" w:rsidRDefault="000A0954" w:rsidP="000A40A4">
            <w:pPr>
              <w:pStyle w:val="TEXTBODY"/>
              <w:spacing w:after="120"/>
              <w:rPr>
                <w:rFonts w:ascii="Arial" w:hAnsi="Arial" w:cs="Arial"/>
                <w:bCs/>
                <w:sz w:val="14"/>
                <w:szCs w:val="14"/>
              </w:rPr>
            </w:pPr>
            <w:r w:rsidRPr="000A40A4">
              <w:rPr>
                <w:rFonts w:ascii="Arial" w:hAnsi="Arial" w:cs="Arial"/>
                <w:bCs/>
                <w:sz w:val="14"/>
                <w:szCs w:val="14"/>
              </w:rPr>
              <w:t xml:space="preserve">The </w:t>
            </w:r>
            <w:r w:rsidRPr="000A40A4">
              <w:rPr>
                <w:rFonts w:ascii="Arial" w:hAnsi="Arial" w:cs="Arial"/>
                <w:bCs/>
                <w:i/>
                <w:iCs/>
                <w:sz w:val="14"/>
                <w:szCs w:val="14"/>
              </w:rPr>
              <w:t>Preferential Strategies</w:t>
            </w:r>
            <w:r w:rsidRPr="000A40A4">
              <w:rPr>
                <w:rFonts w:ascii="Arial" w:hAnsi="Arial" w:cs="Arial"/>
                <w:bCs/>
                <w:sz w:val="14"/>
                <w:szCs w:val="14"/>
              </w:rPr>
              <w:t xml:space="preserve"> were developed based on the four basic principles of ADM</w:t>
            </w:r>
            <w:r w:rsidRPr="000A40A4">
              <w:rPr>
                <w:rFonts w:ascii="Arial" w:hAnsi="Arial" w:cs="Arial"/>
                <w:bCs/>
                <w:color w:val="7030A0"/>
                <w:sz w:val="14"/>
                <w:szCs w:val="14"/>
              </w:rPr>
              <w:t xml:space="preserve"> </w:t>
            </w:r>
            <w:r w:rsidRPr="000A40A4">
              <w:rPr>
                <w:rFonts w:ascii="Arial" w:hAnsi="Arial" w:cs="Arial"/>
                <w:bCs/>
                <w:sz w:val="14"/>
                <w:szCs w:val="14"/>
              </w:rPr>
              <w:t>– these principles substantiated them (</w:t>
            </w:r>
            <w:r w:rsidRPr="000A40A4">
              <w:rPr>
                <w:rFonts w:ascii="Arial" w:hAnsi="Arial" w:cs="Arial"/>
                <w:bCs/>
                <w:color w:val="7F7F7F" w:themeColor="text1" w:themeTint="80"/>
                <w:sz w:val="14"/>
                <w:szCs w:val="14"/>
              </w:rPr>
              <w:t xml:space="preserve">DP 2014, p.47; 2013, p.102; 2012, p.88; </w:t>
            </w:r>
            <w:r w:rsidRPr="000A40A4">
              <w:rPr>
                <w:rFonts w:ascii="Arial" w:eastAsia="RijksoverheidSansText-Regular" w:hAnsi="Arial" w:cs="Arial"/>
                <w:bCs/>
                <w:color w:val="7F7F7F" w:themeColor="text1" w:themeTint="80"/>
                <w:sz w:val="14"/>
                <w:szCs w:val="14"/>
              </w:rPr>
              <w:t xml:space="preserve">2011, p.48-49; </w:t>
            </w:r>
            <w:r w:rsidRPr="000A40A4">
              <w:rPr>
                <w:rFonts w:ascii="Arial" w:hAnsi="Arial" w:cs="Arial"/>
                <w:bCs/>
                <w:color w:val="7F7F7F" w:themeColor="text1" w:themeTint="80"/>
                <w:sz w:val="14"/>
                <w:szCs w:val="14"/>
              </w:rPr>
              <w:t>2016, p.7; 2017, p.7</w:t>
            </w:r>
            <w:r w:rsidRPr="000A40A4">
              <w:rPr>
                <w:rFonts w:ascii="Arial" w:hAnsi="Arial" w:cs="Arial"/>
                <w:bCs/>
                <w:sz w:val="14"/>
                <w:szCs w:val="14"/>
              </w:rPr>
              <w:t>).</w:t>
            </w:r>
            <w:r w:rsidRPr="000A40A4">
              <w:rPr>
                <w:rStyle w:val="Refdenotaderodap"/>
                <w:rFonts w:ascii="Arial" w:hAnsi="Arial" w:cs="Arial"/>
                <w:bCs/>
                <w:sz w:val="14"/>
                <w:szCs w:val="14"/>
              </w:rPr>
              <w:footnoteReference w:id="133"/>
            </w:r>
            <w:r w:rsidRPr="000A40A4">
              <w:rPr>
                <w:rFonts w:ascii="Arial" w:hAnsi="Arial" w:cs="Arial"/>
                <w:bCs/>
                <w:color w:val="000000"/>
                <w:sz w:val="14"/>
                <w:szCs w:val="14"/>
              </w:rPr>
              <w:t xml:space="preserve">To support the application of ADM and its principles </w:t>
            </w:r>
            <w:r w:rsidRPr="000A40A4">
              <w:rPr>
                <w:rFonts w:ascii="Arial" w:hAnsi="Arial" w:cs="Arial"/>
                <w:bCs/>
                <w:sz w:val="14"/>
                <w:szCs w:val="14"/>
              </w:rPr>
              <w:t xml:space="preserve">in the DP, two main methods </w:t>
            </w:r>
            <w:r w:rsidRPr="000A40A4">
              <w:rPr>
                <w:rFonts w:ascii="Arial" w:hAnsi="Arial" w:cs="Arial"/>
                <w:bCs/>
                <w:color w:val="000000"/>
                <w:sz w:val="14"/>
                <w:szCs w:val="14"/>
              </w:rPr>
              <w:t xml:space="preserve">were used: </w:t>
            </w:r>
            <w:r w:rsidRPr="000A40A4">
              <w:rPr>
                <w:rFonts w:ascii="Arial" w:hAnsi="Arial" w:cs="Arial"/>
                <w:bCs/>
                <w:sz w:val="14"/>
                <w:szCs w:val="14"/>
              </w:rPr>
              <w:t xml:space="preserve">Adaptation Tipping-Points </w:t>
            </w:r>
            <w:r w:rsidRPr="000A40A4">
              <w:rPr>
                <w:rFonts w:ascii="Arial" w:hAnsi="Arial" w:cs="Arial"/>
                <w:bCs/>
                <w:sz w:val="14"/>
                <w:szCs w:val="14"/>
              </w:rPr>
              <w:lastRenderedPageBreak/>
              <w:t>(ATPs) (</w:t>
            </w:r>
            <w:proofErr w:type="spellStart"/>
            <w:r w:rsidRPr="000A40A4">
              <w:rPr>
                <w:rFonts w:ascii="Arial" w:hAnsi="Arial" w:cs="Arial"/>
                <w:bCs/>
                <w:color w:val="7F7F7F" w:themeColor="text1" w:themeTint="80"/>
                <w:sz w:val="14"/>
                <w:szCs w:val="14"/>
              </w:rPr>
              <w:t>Kwadijk</w:t>
            </w:r>
            <w:proofErr w:type="spellEnd"/>
            <w:r w:rsidRPr="000A40A4">
              <w:rPr>
                <w:rFonts w:ascii="Arial" w:hAnsi="Arial" w:cs="Arial"/>
                <w:bCs/>
                <w:color w:val="7F7F7F" w:themeColor="text1" w:themeTint="80"/>
                <w:sz w:val="14"/>
                <w:szCs w:val="14"/>
              </w:rPr>
              <w:t xml:space="preserve"> et al. 2010</w:t>
            </w:r>
            <w:r w:rsidRPr="000A40A4">
              <w:rPr>
                <w:rFonts w:ascii="Arial" w:hAnsi="Arial" w:cs="Arial"/>
                <w:bCs/>
                <w:sz w:val="14"/>
                <w:szCs w:val="14"/>
              </w:rPr>
              <w:t>) and Adaptation Pathways (APs) (</w:t>
            </w:r>
            <w:proofErr w:type="spellStart"/>
            <w:r w:rsidRPr="000A40A4">
              <w:rPr>
                <w:rFonts w:ascii="Arial" w:hAnsi="Arial" w:cs="Arial"/>
                <w:bCs/>
                <w:color w:val="7F7F7F" w:themeColor="text1" w:themeTint="80"/>
                <w:sz w:val="14"/>
                <w:szCs w:val="14"/>
              </w:rPr>
              <w:t>Haasnoot</w:t>
            </w:r>
            <w:proofErr w:type="spellEnd"/>
            <w:r w:rsidRPr="000A40A4">
              <w:rPr>
                <w:rFonts w:ascii="Arial" w:hAnsi="Arial" w:cs="Arial"/>
                <w:bCs/>
                <w:color w:val="7F7F7F" w:themeColor="text1" w:themeTint="80"/>
                <w:sz w:val="14"/>
                <w:szCs w:val="14"/>
              </w:rPr>
              <w:t xml:space="preserve"> et al. 2013; </w:t>
            </w:r>
            <w:proofErr w:type="spellStart"/>
            <w:r w:rsidRPr="000A40A4">
              <w:rPr>
                <w:rFonts w:ascii="Arial" w:hAnsi="Arial" w:cs="Arial"/>
                <w:bCs/>
                <w:color w:val="7F7F7F" w:themeColor="text1" w:themeTint="80"/>
                <w:sz w:val="14"/>
                <w:szCs w:val="14"/>
              </w:rPr>
              <w:t>Haasnoot</w:t>
            </w:r>
            <w:proofErr w:type="spellEnd"/>
            <w:r w:rsidRPr="000A40A4">
              <w:rPr>
                <w:rFonts w:ascii="Arial" w:hAnsi="Arial" w:cs="Arial"/>
                <w:bCs/>
                <w:color w:val="7F7F7F" w:themeColor="text1" w:themeTint="80"/>
                <w:sz w:val="14"/>
                <w:szCs w:val="14"/>
              </w:rPr>
              <w:t xml:space="preserve"> 2013</w:t>
            </w:r>
            <w:r w:rsidRPr="000A40A4">
              <w:rPr>
                <w:rFonts w:ascii="Arial" w:hAnsi="Arial" w:cs="Arial"/>
                <w:bCs/>
                <w:color w:val="231F20"/>
                <w:sz w:val="14"/>
                <w:szCs w:val="14"/>
              </w:rPr>
              <w:t xml:space="preserve">) </w:t>
            </w:r>
            <w:r w:rsidRPr="000A40A4">
              <w:rPr>
                <w:rFonts w:ascii="Arial" w:hAnsi="Arial" w:cs="Arial"/>
                <w:bCs/>
                <w:sz w:val="14"/>
                <w:szCs w:val="14"/>
              </w:rPr>
              <w:t>(</w:t>
            </w:r>
            <w:r w:rsidRPr="000A40A4">
              <w:rPr>
                <w:rFonts w:ascii="Arial" w:hAnsi="Arial" w:cs="Arial"/>
                <w:bCs/>
                <w:i/>
                <w:iCs/>
                <w:color w:val="7F7F7F" w:themeColor="text1" w:themeTint="80"/>
                <w:sz w:val="14"/>
                <w:szCs w:val="14"/>
              </w:rPr>
              <w:t>in</w:t>
            </w:r>
            <w:r w:rsidRPr="000A40A4">
              <w:rPr>
                <w:rFonts w:ascii="Arial" w:hAnsi="Arial" w:cs="Arial"/>
                <w:bCs/>
                <w:color w:val="7F7F7F" w:themeColor="text1" w:themeTint="80"/>
                <w:sz w:val="14"/>
                <w:szCs w:val="14"/>
              </w:rPr>
              <w:t xml:space="preserve"> Klijn et al. 2015, p.849;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and Reeder 2011, p.5</w:t>
            </w:r>
            <w:r w:rsidRPr="000A40A4">
              <w:rPr>
                <w:rFonts w:ascii="Arial" w:hAnsi="Arial" w:cs="Arial"/>
                <w:bCs/>
                <w:sz w:val="14"/>
                <w:szCs w:val="14"/>
              </w:rPr>
              <w:t>;</w:t>
            </w:r>
            <w:r w:rsidRPr="000A40A4">
              <w:rPr>
                <w:rFonts w:ascii="Arial" w:hAnsi="Arial" w:cs="Arial"/>
                <w:bCs/>
                <w:sz w:val="14"/>
                <w:szCs w:val="14"/>
                <w:lang w:val="en-US"/>
              </w:rPr>
              <w:t xml:space="preserve"> </w:t>
            </w:r>
            <w:r w:rsidRPr="000A40A4">
              <w:rPr>
                <w:rFonts w:ascii="Arial" w:hAnsi="Arial" w:cs="Arial"/>
                <w:bCs/>
                <w:color w:val="7F7F7F" w:themeColor="text1" w:themeTint="80"/>
                <w:sz w:val="14"/>
                <w:szCs w:val="14"/>
                <w:lang w:val="en-US"/>
              </w:rPr>
              <w:t>Marchand and Ludwig 2014, p.27</w:t>
            </w:r>
            <w:r w:rsidRPr="000A40A4">
              <w:rPr>
                <w:rFonts w:ascii="Arial" w:hAnsi="Arial" w:cs="Arial"/>
                <w:bCs/>
                <w:color w:val="231F20"/>
                <w:sz w:val="14"/>
                <w:szCs w:val="14"/>
              </w:rPr>
              <w:t>).</w:t>
            </w:r>
            <w:r w:rsidRPr="000A40A4">
              <w:rPr>
                <w:rFonts w:ascii="Arial" w:hAnsi="Arial" w:cs="Arial"/>
                <w:bCs/>
                <w:color w:val="C00000"/>
                <w:sz w:val="14"/>
                <w:szCs w:val="14"/>
              </w:rPr>
              <w:t xml:space="preserve"> </w:t>
            </w:r>
            <w:r w:rsidRPr="000A40A4">
              <w:rPr>
                <w:rFonts w:ascii="Arial" w:hAnsi="Arial" w:cs="Arial"/>
                <w:bCs/>
                <w:sz w:val="14"/>
                <w:szCs w:val="14"/>
              </w:rPr>
              <w:t>The ADM approach (namely its 3</w:t>
            </w:r>
            <w:r w:rsidRPr="000A40A4">
              <w:rPr>
                <w:rFonts w:ascii="Arial" w:hAnsi="Arial" w:cs="Arial"/>
                <w:bCs/>
                <w:sz w:val="14"/>
                <w:szCs w:val="14"/>
                <w:vertAlign w:val="superscript"/>
              </w:rPr>
              <w:t>rd</w:t>
            </w:r>
            <w:r w:rsidRPr="000A40A4">
              <w:rPr>
                <w:rFonts w:ascii="Arial" w:hAnsi="Arial" w:cs="Arial"/>
                <w:bCs/>
                <w:sz w:val="14"/>
                <w:szCs w:val="14"/>
              </w:rPr>
              <w:t xml:space="preserve"> principle) implied the development of adaptation pathways. The design of pathways is one of the main steps of the ADM process.</w:t>
            </w:r>
          </w:p>
          <w:p w14:paraId="0F40D2D5" w14:textId="4AFC98B8"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T</w:t>
            </w:r>
            <w:r w:rsidRPr="000A40A4">
              <w:rPr>
                <w:rFonts w:ascii="Arial" w:eastAsia="RijksoverheidSansText-Regular" w:hAnsi="Arial" w:cs="Arial"/>
                <w:bCs/>
                <w:sz w:val="14"/>
                <w:szCs w:val="14"/>
              </w:rPr>
              <w:t>he 3</w:t>
            </w:r>
            <w:r w:rsidRPr="000A40A4">
              <w:rPr>
                <w:rFonts w:ascii="Arial" w:eastAsia="RijksoverheidSansText-Regular" w:hAnsi="Arial" w:cs="Arial"/>
                <w:bCs/>
                <w:sz w:val="14"/>
                <w:szCs w:val="14"/>
                <w:vertAlign w:val="superscript"/>
              </w:rPr>
              <w:t>rd</w:t>
            </w:r>
            <w:r w:rsidRPr="000A40A4">
              <w:rPr>
                <w:rFonts w:ascii="Arial" w:eastAsia="RijksoverheidSansText-Regular" w:hAnsi="Arial" w:cs="Arial"/>
                <w:bCs/>
                <w:sz w:val="14"/>
                <w:szCs w:val="14"/>
              </w:rPr>
              <w:t xml:space="preserve"> principle of ADM (</w:t>
            </w:r>
            <w:r w:rsidRPr="000A40A4">
              <w:rPr>
                <w:rFonts w:ascii="Arial" w:hAnsi="Arial" w:cs="Arial"/>
                <w:bCs/>
                <w:i/>
                <w:iCs/>
                <w:sz w:val="14"/>
                <w:szCs w:val="14"/>
              </w:rPr>
              <w:t>working with multiple strategies that can be alternated between</w:t>
            </w:r>
            <w:r w:rsidRPr="000A40A4">
              <w:rPr>
                <w:rFonts w:ascii="Arial" w:hAnsi="Arial" w:cs="Arial"/>
                <w:bCs/>
                <w:sz w:val="14"/>
                <w:szCs w:val="14"/>
              </w:rPr>
              <w:t xml:space="preserve">, </w:t>
            </w:r>
            <w:r w:rsidRPr="000A40A4">
              <w:rPr>
                <w:rFonts w:ascii="Arial" w:hAnsi="Arial" w:cs="Arial"/>
                <w:bCs/>
                <w:i/>
                <w:iCs/>
                <w:sz w:val="14"/>
                <w:szCs w:val="14"/>
              </w:rPr>
              <w:t>i.e.</w:t>
            </w:r>
            <w:r w:rsidRPr="000A40A4">
              <w:rPr>
                <w:rFonts w:ascii="Arial" w:hAnsi="Arial" w:cs="Arial"/>
                <w:bCs/>
                <w:sz w:val="14"/>
                <w:szCs w:val="14"/>
              </w:rPr>
              <w:t xml:space="preserve"> </w:t>
            </w:r>
            <w:r w:rsidRPr="000A40A4">
              <w:rPr>
                <w:rFonts w:ascii="Arial" w:hAnsi="Arial" w:cs="Arial"/>
                <w:bCs/>
                <w:i/>
                <w:iCs/>
                <w:sz w:val="14"/>
                <w:szCs w:val="14"/>
              </w:rPr>
              <w:t>with</w:t>
            </w:r>
            <w:r w:rsidRPr="000A40A4">
              <w:rPr>
                <w:rFonts w:ascii="Arial" w:hAnsi="Arial" w:cs="Arial"/>
                <w:bCs/>
                <w:sz w:val="14"/>
                <w:szCs w:val="14"/>
              </w:rPr>
              <w:t xml:space="preserve"> </w:t>
            </w:r>
            <w:r w:rsidRPr="000A40A4">
              <w:rPr>
                <w:rFonts w:ascii="Arial" w:hAnsi="Arial" w:cs="Arial"/>
                <w:bCs/>
                <w:i/>
                <w:iCs/>
                <w:sz w:val="14"/>
                <w:szCs w:val="14"/>
              </w:rPr>
              <w:t>adaptation paths</w:t>
            </w:r>
            <w:r w:rsidRPr="000A40A4">
              <w:rPr>
                <w:rFonts w:ascii="Arial" w:hAnsi="Arial" w:cs="Arial"/>
                <w:bCs/>
                <w:sz w:val="14"/>
                <w:szCs w:val="14"/>
              </w:rPr>
              <w:t>)</w:t>
            </w:r>
            <w:r w:rsidRPr="000A40A4">
              <w:rPr>
                <w:rFonts w:ascii="Arial" w:hAnsi="Arial" w:cs="Arial"/>
                <w:bCs/>
                <w:i/>
                <w:iCs/>
                <w:sz w:val="14"/>
                <w:szCs w:val="14"/>
              </w:rPr>
              <w:t xml:space="preserve"> </w:t>
            </w:r>
            <w:r w:rsidRPr="000A40A4">
              <w:rPr>
                <w:rFonts w:ascii="Arial" w:hAnsi="Arial" w:cs="Arial"/>
                <w:bCs/>
                <w:sz w:val="14"/>
                <w:szCs w:val="14"/>
              </w:rPr>
              <w:t>(</w:t>
            </w:r>
            <w:r w:rsidRPr="000A40A4">
              <w:rPr>
                <w:rFonts w:ascii="Arial" w:hAnsi="Arial" w:cs="Arial"/>
                <w:bCs/>
                <w:color w:val="7F7F7F" w:themeColor="text1" w:themeTint="80"/>
                <w:sz w:val="14"/>
                <w:szCs w:val="14"/>
              </w:rPr>
              <w:t>DP 2012, p.88, 81; 2013, p.102; 2011, p.48</w:t>
            </w:r>
            <w:r w:rsidRPr="000A40A4">
              <w:rPr>
                <w:rFonts w:ascii="Arial" w:eastAsia="RijksoverheidSansText-Regular" w:hAnsi="Arial" w:cs="Arial"/>
                <w:bCs/>
                <w:color w:val="7F7F7F" w:themeColor="text1" w:themeTint="80"/>
                <w:sz w:val="14"/>
                <w:szCs w:val="14"/>
              </w:rPr>
              <w:t xml:space="preserve">; </w:t>
            </w:r>
            <w:r w:rsidRPr="000A40A4">
              <w:rPr>
                <w:rFonts w:ascii="Arial" w:hAnsi="Arial" w:cs="Arial"/>
                <w:bCs/>
                <w:color w:val="7F7F7F" w:themeColor="text1" w:themeTint="80"/>
                <w:sz w:val="14"/>
                <w:szCs w:val="14"/>
              </w:rPr>
              <w:t xml:space="preserve">Rhee 2012 </w:t>
            </w:r>
            <w:r w:rsidRPr="000A40A4">
              <w:rPr>
                <w:rFonts w:ascii="Arial" w:hAnsi="Arial" w:cs="Arial"/>
                <w:bCs/>
                <w:i/>
                <w:iCs/>
                <w:color w:val="7F7F7F" w:themeColor="text1" w:themeTint="80"/>
                <w:sz w:val="14"/>
                <w:szCs w:val="14"/>
              </w:rPr>
              <w:t>in</w:t>
            </w:r>
            <w:r w:rsidRPr="000A40A4">
              <w:rPr>
                <w:rFonts w:ascii="Arial" w:hAnsi="Arial" w:cs="Arial"/>
                <w:bCs/>
                <w:color w:val="7F7F7F" w:themeColor="text1" w:themeTint="80"/>
                <w:sz w:val="14"/>
                <w:szCs w:val="14"/>
              </w:rPr>
              <w:t xml:space="preserve"> Werners et al. 2016, p.118</w:t>
            </w:r>
            <w:r w:rsidRPr="000A40A4">
              <w:rPr>
                <w:rFonts w:ascii="Arial" w:hAnsi="Arial" w:cs="Arial"/>
                <w:bCs/>
                <w:sz w:val="14"/>
                <w:szCs w:val="14"/>
              </w:rPr>
              <w:t>) implied developing multiple strategies that can be used alternatingly (in an alternative pattern) (</w:t>
            </w:r>
            <w:r w:rsidRPr="000A40A4">
              <w:rPr>
                <w:rFonts w:ascii="Arial" w:hAnsi="Arial" w:cs="Arial"/>
                <w:bCs/>
                <w:color w:val="7F7F7F" w:themeColor="text1" w:themeTint="80"/>
                <w:sz w:val="14"/>
                <w:szCs w:val="14"/>
              </w:rPr>
              <w:t xml:space="preserve">Marchand and Ludwig 2014, p.8; </w:t>
            </w:r>
            <w:proofErr w:type="spellStart"/>
            <w:r w:rsidRPr="000A40A4">
              <w:rPr>
                <w:rFonts w:ascii="Arial" w:hAnsi="Arial" w:cs="Arial"/>
                <w:bCs/>
                <w:color w:val="7F7F7F" w:themeColor="text1" w:themeTint="80"/>
                <w:sz w:val="14"/>
                <w:szCs w:val="14"/>
              </w:rPr>
              <w:t>Gersonius</w:t>
            </w:r>
            <w:proofErr w:type="spellEnd"/>
            <w:r w:rsidRPr="000A40A4">
              <w:rPr>
                <w:rFonts w:ascii="Arial" w:hAnsi="Arial" w:cs="Arial"/>
                <w:bCs/>
                <w:color w:val="7F7F7F" w:themeColor="text1" w:themeTint="80"/>
                <w:sz w:val="14"/>
                <w:szCs w:val="14"/>
              </w:rPr>
              <w:t xml:space="preserve"> et al. 2016, p.202)</w:t>
            </w:r>
            <w:r w:rsidRPr="000A40A4">
              <w:rPr>
                <w:rFonts w:ascii="Arial" w:hAnsi="Arial" w:cs="Arial"/>
                <w:bCs/>
                <w:sz w:val="14"/>
                <w:szCs w:val="14"/>
              </w:rPr>
              <w:t>, that is, designing several adaptation pathways, called ‘</w:t>
            </w:r>
            <w:r w:rsidRPr="000A40A4">
              <w:rPr>
                <w:rFonts w:ascii="Arial" w:hAnsi="Arial" w:cs="Arial"/>
                <w:bCs/>
                <w:i/>
                <w:iCs/>
                <w:sz w:val="14"/>
                <w:szCs w:val="14"/>
              </w:rPr>
              <w:t>adaptation p</w:t>
            </w:r>
            <w:r w:rsidRPr="000A40A4">
              <w:rPr>
                <w:rFonts w:ascii="Arial" w:hAnsi="Arial" w:cs="Arial"/>
                <w:bCs/>
                <w:i/>
                <w:sz w:val="14"/>
                <w:szCs w:val="14"/>
              </w:rPr>
              <w:t>aths</w:t>
            </w:r>
            <w:r w:rsidRPr="000A40A4">
              <w:rPr>
                <w:rFonts w:ascii="Arial" w:hAnsi="Arial" w:cs="Arial"/>
                <w:bCs/>
                <w:iCs/>
                <w:sz w:val="14"/>
                <w:szCs w:val="14"/>
              </w:rPr>
              <w:t xml:space="preserve">’ in the DP, </w:t>
            </w:r>
            <w:r w:rsidRPr="000A40A4">
              <w:rPr>
                <w:rFonts w:ascii="Arial" w:hAnsi="Arial" w:cs="Arial"/>
                <w:bCs/>
                <w:sz w:val="14"/>
                <w:szCs w:val="14"/>
              </w:rPr>
              <w:t>between which it is possible to alternate</w:t>
            </w:r>
            <w:r w:rsidRPr="000A40A4">
              <w:rPr>
                <w:rFonts w:ascii="Arial" w:hAnsi="Arial" w:cs="Arial"/>
                <w:bCs/>
                <w:i/>
                <w:iCs/>
                <w:sz w:val="14"/>
                <w:szCs w:val="14"/>
              </w:rPr>
              <w:t xml:space="preserve"> </w:t>
            </w:r>
            <w:r w:rsidRPr="000A40A4">
              <w:rPr>
                <w:rFonts w:ascii="Arial" w:hAnsi="Arial" w:cs="Arial"/>
                <w:bCs/>
                <w:sz w:val="14"/>
                <w:szCs w:val="14"/>
              </w:rPr>
              <w:t>(switch)</w:t>
            </w:r>
            <w:r w:rsidRPr="000A40A4">
              <w:rPr>
                <w:rFonts w:ascii="Arial" w:hAnsi="Arial" w:cs="Arial"/>
                <w:bCs/>
                <w:i/>
                <w:iCs/>
                <w:sz w:val="14"/>
                <w:szCs w:val="14"/>
              </w:rPr>
              <w:t xml:space="preserve"> </w:t>
            </w:r>
            <w:r w:rsidRPr="000A40A4">
              <w:rPr>
                <w:rFonts w:ascii="Arial" w:hAnsi="Arial" w:cs="Arial"/>
                <w:bCs/>
                <w:sz w:val="14"/>
                <w:szCs w:val="14"/>
              </w:rPr>
              <w:t>depending on developments. This required the design of adaptation pathways (as sets of</w:t>
            </w:r>
            <w:r w:rsidRPr="000A40A4">
              <w:rPr>
                <w:rFonts w:ascii="Arial" w:hAnsi="Arial" w:cs="Arial"/>
                <w:bCs/>
                <w:color w:val="C00000"/>
                <w:sz w:val="14"/>
                <w:szCs w:val="14"/>
              </w:rPr>
              <w:t xml:space="preserve"> </w:t>
            </w:r>
            <w:r w:rsidRPr="000A40A4">
              <w:rPr>
                <w:rFonts w:ascii="Arial" w:hAnsi="Arial" w:cs="Arial"/>
                <w:bCs/>
                <w:sz w:val="14"/>
                <w:szCs w:val="14"/>
              </w:rPr>
              <w:t>sequenced measures) that together provided a general adaptive strategy</w:t>
            </w:r>
            <w:r w:rsidRPr="000A40A4">
              <w:rPr>
                <w:rFonts w:ascii="Arial" w:hAnsi="Arial" w:cs="Arial"/>
                <w:bCs/>
                <w:i/>
                <w:iCs/>
                <w:sz w:val="14"/>
                <w:szCs w:val="14"/>
              </w:rPr>
              <w:t xml:space="preserve"> </w:t>
            </w:r>
            <w:r w:rsidRPr="000A40A4">
              <w:rPr>
                <w:rFonts w:ascii="Arial" w:hAnsi="Arial" w:cs="Arial"/>
                <w:bCs/>
                <w:sz w:val="14"/>
                <w:szCs w:val="14"/>
              </w:rPr>
              <w:t>(</w:t>
            </w:r>
            <w:r w:rsidRPr="000A40A4">
              <w:rPr>
                <w:rFonts w:ascii="Arial" w:hAnsi="Arial" w:cs="Arial"/>
                <w:bCs/>
                <w:color w:val="7F7F7F" w:themeColor="text1" w:themeTint="80"/>
                <w:sz w:val="14"/>
                <w:szCs w:val="14"/>
              </w:rPr>
              <w:t xml:space="preserve">Haegen and </w:t>
            </w:r>
            <w:proofErr w:type="spellStart"/>
            <w:r w:rsidRPr="000A40A4">
              <w:rPr>
                <w:rFonts w:ascii="Arial" w:hAnsi="Arial" w:cs="Arial"/>
                <w:bCs/>
                <w:color w:val="7F7F7F" w:themeColor="text1" w:themeTint="80"/>
                <w:sz w:val="14"/>
                <w:szCs w:val="14"/>
              </w:rPr>
              <w:t>Wieriks</w:t>
            </w:r>
            <w:proofErr w:type="spellEnd"/>
            <w:r w:rsidRPr="000A40A4">
              <w:rPr>
                <w:rFonts w:ascii="Arial" w:hAnsi="Arial" w:cs="Arial"/>
                <w:bCs/>
                <w:color w:val="7F7F7F" w:themeColor="text1" w:themeTint="80"/>
                <w:sz w:val="14"/>
                <w:szCs w:val="14"/>
              </w:rPr>
              <w:t xml:space="preserve"> 2015</w:t>
            </w:r>
            <w:r w:rsidRPr="000A40A4">
              <w:rPr>
                <w:rFonts w:ascii="Arial" w:hAnsi="Arial" w:cs="Arial"/>
                <w:bCs/>
                <w:sz w:val="14"/>
                <w:szCs w:val="14"/>
              </w:rPr>
              <w:t>). This principle involved using the method of APs to design the strategies (</w:t>
            </w:r>
            <w:r w:rsidR="005C558F" w:rsidRPr="000A40A4">
              <w:rPr>
                <w:rFonts w:ascii="Arial" w:hAnsi="Arial" w:cs="Arial"/>
                <w:bCs/>
                <w:color w:val="7F7F7F" w:themeColor="text1" w:themeTint="80"/>
                <w:sz w:val="14"/>
                <w:szCs w:val="14"/>
              </w:rPr>
              <w:t>Brugge and Bruggeman 2019</w:t>
            </w:r>
            <w:r w:rsidRPr="000A40A4">
              <w:rPr>
                <w:rFonts w:ascii="Arial" w:hAnsi="Arial" w:cs="Arial"/>
                <w:bCs/>
                <w:sz w:val="14"/>
                <w:szCs w:val="14"/>
              </w:rPr>
              <w:t>).</w:t>
            </w:r>
          </w:p>
          <w:p w14:paraId="44E4F9DD" w14:textId="3A925FD9" w:rsidR="000A0954" w:rsidRPr="000A40A4" w:rsidRDefault="000A0954" w:rsidP="000A40A4">
            <w:pPr>
              <w:pStyle w:val="TEXTBODY"/>
              <w:spacing w:after="60"/>
              <w:rPr>
                <w:rFonts w:ascii="Arial" w:hAnsi="Arial" w:cs="Arial"/>
                <w:bCs/>
                <w:sz w:val="14"/>
                <w:szCs w:val="14"/>
              </w:rPr>
            </w:pPr>
            <w:r w:rsidRPr="000A40A4">
              <w:rPr>
                <w:rFonts w:ascii="Arial" w:hAnsi="Arial" w:cs="Arial"/>
                <w:bCs/>
                <w:iCs/>
                <w:sz w:val="14"/>
                <w:szCs w:val="14"/>
              </w:rPr>
              <w:t>For the Subprogrammes, the 3</w:t>
            </w:r>
            <w:r w:rsidRPr="000A40A4">
              <w:rPr>
                <w:rFonts w:ascii="Arial" w:hAnsi="Arial" w:cs="Arial"/>
                <w:bCs/>
                <w:iCs/>
                <w:sz w:val="14"/>
                <w:szCs w:val="14"/>
                <w:vertAlign w:val="superscript"/>
              </w:rPr>
              <w:t>rd</w:t>
            </w:r>
            <w:r w:rsidRPr="000A40A4">
              <w:rPr>
                <w:rFonts w:ascii="Arial" w:hAnsi="Arial" w:cs="Arial"/>
                <w:bCs/>
                <w:iCs/>
                <w:sz w:val="14"/>
                <w:szCs w:val="14"/>
              </w:rPr>
              <w:t xml:space="preserve"> principle involved </w:t>
            </w:r>
            <w:r w:rsidRPr="000A40A4">
              <w:rPr>
                <w:rFonts w:ascii="Arial" w:hAnsi="Arial" w:cs="Arial"/>
                <w:bCs/>
                <w:i/>
                <w:sz w:val="14"/>
                <w:szCs w:val="14"/>
              </w:rPr>
              <w:t>working with several potential strategies</w:t>
            </w:r>
            <w:r w:rsidRPr="000A40A4">
              <w:rPr>
                <w:rFonts w:ascii="Arial" w:hAnsi="Arial" w:cs="Arial"/>
                <w:bCs/>
                <w:iCs/>
                <w:sz w:val="14"/>
                <w:szCs w:val="14"/>
              </w:rPr>
              <w:t xml:space="preserve">, i.e. with </w:t>
            </w:r>
            <w:r w:rsidRPr="000A40A4">
              <w:rPr>
                <w:rFonts w:ascii="Arial" w:hAnsi="Arial" w:cs="Arial"/>
                <w:bCs/>
                <w:i/>
                <w:sz w:val="14"/>
                <w:szCs w:val="14"/>
              </w:rPr>
              <w:t>adaptation paths</w:t>
            </w:r>
            <w:r w:rsidRPr="000A40A4">
              <w:rPr>
                <w:rFonts w:ascii="Arial" w:hAnsi="Arial" w:cs="Arial"/>
                <w:bCs/>
                <w:iCs/>
                <w:sz w:val="14"/>
                <w:szCs w:val="14"/>
              </w:rPr>
              <w:t xml:space="preserve">, and appraising the </w:t>
            </w:r>
            <w:r w:rsidRPr="000A40A4">
              <w:rPr>
                <w:rFonts w:ascii="Arial" w:hAnsi="Arial" w:cs="Arial"/>
                <w:bCs/>
                <w:i/>
                <w:sz w:val="14"/>
                <w:szCs w:val="14"/>
              </w:rPr>
              <w:t xml:space="preserve">flexibility </w:t>
            </w:r>
            <w:r w:rsidRPr="000A40A4">
              <w:rPr>
                <w:rFonts w:ascii="Arial" w:hAnsi="Arial" w:cs="Arial"/>
                <w:bCs/>
                <w:iCs/>
                <w:sz w:val="14"/>
                <w:szCs w:val="14"/>
              </w:rPr>
              <w:t>around</w:t>
            </w:r>
            <w:r w:rsidRPr="000A40A4">
              <w:rPr>
                <w:rFonts w:ascii="Arial" w:hAnsi="Arial" w:cs="Arial"/>
                <w:bCs/>
                <w:i/>
                <w:sz w:val="14"/>
                <w:szCs w:val="14"/>
              </w:rPr>
              <w:t xml:space="preserve"> </w:t>
            </w:r>
            <w:r w:rsidRPr="000A40A4">
              <w:rPr>
                <w:rFonts w:ascii="Arial" w:hAnsi="Arial" w:cs="Arial"/>
                <w:bCs/>
                <w:iCs/>
                <w:sz w:val="14"/>
                <w:szCs w:val="14"/>
              </w:rPr>
              <w:t xml:space="preserve">such </w:t>
            </w:r>
            <w:r w:rsidRPr="000A40A4">
              <w:rPr>
                <w:rFonts w:ascii="Arial" w:hAnsi="Arial" w:cs="Arial"/>
                <w:bCs/>
                <w:i/>
                <w:sz w:val="14"/>
                <w:szCs w:val="14"/>
              </w:rPr>
              <w:t>paths</w:t>
            </w:r>
            <w:r w:rsidRPr="000A40A4">
              <w:rPr>
                <w:rFonts w:ascii="Arial" w:hAnsi="Arial" w:cs="Arial"/>
                <w:bCs/>
                <w:iCs/>
                <w:sz w:val="14"/>
                <w:szCs w:val="14"/>
              </w:rPr>
              <w:t xml:space="preserve"> (</w:t>
            </w:r>
            <w:r w:rsidRPr="000A40A4">
              <w:rPr>
                <w:rFonts w:ascii="Arial" w:hAnsi="Arial" w:cs="Arial"/>
                <w:bCs/>
                <w:iCs/>
                <w:color w:val="7F7F7F" w:themeColor="text1" w:themeTint="80"/>
                <w:sz w:val="14"/>
                <w:szCs w:val="14"/>
              </w:rPr>
              <w:t xml:space="preserve">DP </w:t>
            </w:r>
            <w:r w:rsidRPr="000A40A4">
              <w:rPr>
                <w:rFonts w:ascii="Arial" w:eastAsia="RijksoverheidSansText-Regular" w:hAnsi="Arial" w:cs="Arial"/>
                <w:bCs/>
                <w:color w:val="7F7F7F" w:themeColor="text1" w:themeTint="80"/>
                <w:sz w:val="14"/>
                <w:szCs w:val="14"/>
              </w:rPr>
              <w:t>2011, p.48</w:t>
            </w:r>
            <w:r w:rsidRPr="000A40A4">
              <w:rPr>
                <w:rFonts w:ascii="Arial" w:eastAsia="RijksoverheidSansText-Regular" w:hAnsi="Arial" w:cs="Arial"/>
                <w:bCs/>
                <w:sz w:val="14"/>
                <w:szCs w:val="14"/>
              </w:rPr>
              <w:t xml:space="preserve">). </w:t>
            </w:r>
            <w:r w:rsidRPr="000A40A4">
              <w:rPr>
                <w:rFonts w:ascii="Arial" w:hAnsi="Arial" w:cs="Arial"/>
                <w:bCs/>
                <w:sz w:val="14"/>
                <w:szCs w:val="14"/>
              </w:rPr>
              <w:t>The 3</w:t>
            </w:r>
            <w:r w:rsidRPr="000A40A4">
              <w:rPr>
                <w:rFonts w:ascii="Arial" w:hAnsi="Arial" w:cs="Arial"/>
                <w:bCs/>
                <w:sz w:val="14"/>
                <w:szCs w:val="14"/>
                <w:vertAlign w:val="superscript"/>
              </w:rPr>
              <w:t>rd</w:t>
            </w:r>
            <w:r w:rsidRPr="000A40A4">
              <w:rPr>
                <w:rFonts w:ascii="Arial" w:hAnsi="Arial" w:cs="Arial"/>
                <w:bCs/>
                <w:sz w:val="14"/>
                <w:szCs w:val="14"/>
              </w:rPr>
              <w:t xml:space="preserve"> principle of ADM has translated into the design of </w:t>
            </w:r>
            <w:r w:rsidRPr="000A40A4">
              <w:rPr>
                <w:rFonts w:ascii="Arial" w:hAnsi="Arial" w:cs="Arial"/>
                <w:bCs/>
                <w:i/>
                <w:iCs/>
                <w:sz w:val="14"/>
                <w:szCs w:val="14"/>
              </w:rPr>
              <w:t>adaptation paths</w:t>
            </w:r>
            <w:r w:rsidRPr="000A40A4">
              <w:rPr>
                <w:rFonts w:ascii="Arial" w:hAnsi="Arial" w:cs="Arial"/>
                <w:bCs/>
                <w:sz w:val="14"/>
                <w:szCs w:val="14"/>
              </w:rPr>
              <w:t xml:space="preserve"> in each </w:t>
            </w:r>
            <w:r w:rsidRPr="000A40A4">
              <w:rPr>
                <w:rFonts w:ascii="Arial" w:hAnsi="Arial" w:cs="Arial"/>
                <w:bCs/>
                <w:i/>
                <w:iCs/>
                <w:sz w:val="14"/>
                <w:szCs w:val="14"/>
              </w:rPr>
              <w:t xml:space="preserve">Preferential Strategy </w:t>
            </w:r>
            <w:r w:rsidRPr="000A40A4">
              <w:rPr>
                <w:rFonts w:ascii="Arial" w:hAnsi="Arial" w:cs="Arial"/>
                <w:bCs/>
                <w:sz w:val="14"/>
                <w:szCs w:val="14"/>
              </w:rPr>
              <w:t>(</w:t>
            </w:r>
            <w:r w:rsidRPr="000A40A4">
              <w:rPr>
                <w:rFonts w:ascii="Arial" w:hAnsi="Arial" w:cs="Arial"/>
                <w:bCs/>
                <w:color w:val="7F7F7F" w:themeColor="text1" w:themeTint="80"/>
                <w:sz w:val="14"/>
                <w:szCs w:val="14"/>
              </w:rPr>
              <w:t xml:space="preserve">DP 2012, p.81; </w:t>
            </w:r>
            <w:r w:rsidRPr="000A40A4">
              <w:rPr>
                <w:rFonts w:ascii="Arial" w:eastAsia="RijksoverheidSansText-Regular" w:hAnsi="Arial" w:cs="Arial"/>
                <w:bCs/>
                <w:color w:val="7F7F7F" w:themeColor="text1" w:themeTint="80"/>
                <w:sz w:val="14"/>
                <w:szCs w:val="14"/>
              </w:rPr>
              <w:t xml:space="preserve">2011, p.48; </w:t>
            </w:r>
            <w:r w:rsidRPr="000A40A4">
              <w:rPr>
                <w:rFonts w:ascii="Arial" w:hAnsi="Arial" w:cs="Arial"/>
                <w:bCs/>
                <w:color w:val="7F7F7F" w:themeColor="text1" w:themeTint="80"/>
                <w:sz w:val="14"/>
                <w:szCs w:val="14"/>
              </w:rPr>
              <w:t>2014, p.47</w:t>
            </w:r>
            <w:r w:rsidRPr="000A40A4">
              <w:rPr>
                <w:rFonts w:ascii="Arial" w:eastAsia="RijksoverheidSansText-Regular" w:hAnsi="Arial" w:cs="Arial"/>
                <w:bCs/>
                <w:color w:val="000000"/>
                <w:sz w:val="14"/>
                <w:szCs w:val="14"/>
              </w:rPr>
              <w:t xml:space="preserve">). </w:t>
            </w:r>
            <w:r w:rsidRPr="000A40A4">
              <w:rPr>
                <w:rFonts w:ascii="Arial" w:hAnsi="Arial" w:cs="Arial"/>
                <w:bCs/>
                <w:iCs/>
                <w:sz w:val="14"/>
                <w:szCs w:val="14"/>
              </w:rPr>
              <w:t>In line with the 3</w:t>
            </w:r>
            <w:r w:rsidRPr="000A40A4">
              <w:rPr>
                <w:rFonts w:ascii="Arial" w:hAnsi="Arial" w:cs="Arial"/>
                <w:bCs/>
                <w:iCs/>
                <w:sz w:val="14"/>
                <w:szCs w:val="14"/>
                <w:vertAlign w:val="superscript"/>
              </w:rPr>
              <w:t>rd</w:t>
            </w:r>
            <w:r w:rsidRPr="000A40A4">
              <w:rPr>
                <w:rFonts w:ascii="Arial" w:hAnsi="Arial" w:cs="Arial"/>
                <w:bCs/>
                <w:iCs/>
                <w:sz w:val="14"/>
                <w:szCs w:val="14"/>
              </w:rPr>
              <w:t xml:space="preserve"> principle, each regional Subprogramme developed </w:t>
            </w:r>
            <w:r w:rsidRPr="000A40A4">
              <w:rPr>
                <w:rFonts w:ascii="Arial" w:hAnsi="Arial" w:cs="Arial"/>
                <w:bCs/>
                <w:sz w:val="14"/>
                <w:szCs w:val="14"/>
              </w:rPr>
              <w:t xml:space="preserve">a map of </w:t>
            </w:r>
            <w:r w:rsidRPr="000A40A4">
              <w:rPr>
                <w:rFonts w:ascii="Arial" w:hAnsi="Arial" w:cs="Arial"/>
                <w:bCs/>
                <w:i/>
                <w:iCs/>
                <w:sz w:val="14"/>
                <w:szCs w:val="14"/>
              </w:rPr>
              <w:t>adaptation paths</w:t>
            </w:r>
            <w:r w:rsidRPr="000A40A4">
              <w:rPr>
                <w:rFonts w:ascii="Arial" w:hAnsi="Arial" w:cs="Arial"/>
                <w:bCs/>
                <w:sz w:val="14"/>
                <w:szCs w:val="14"/>
              </w:rPr>
              <w:t xml:space="preserve"> in its</w:t>
            </w:r>
            <w:r w:rsidRPr="000A40A4">
              <w:rPr>
                <w:rFonts w:ascii="Arial" w:hAnsi="Arial" w:cs="Arial"/>
                <w:bCs/>
                <w:color w:val="C00000"/>
                <w:sz w:val="14"/>
                <w:szCs w:val="14"/>
              </w:rPr>
              <w:t xml:space="preserve"> </w:t>
            </w:r>
            <w:r w:rsidRPr="000A40A4">
              <w:rPr>
                <w:rFonts w:ascii="Arial" w:hAnsi="Arial" w:cs="Arial"/>
                <w:bCs/>
                <w:i/>
                <w:iCs/>
                <w:sz w:val="14"/>
                <w:szCs w:val="14"/>
              </w:rPr>
              <w:t xml:space="preserve">Strategy </w:t>
            </w:r>
            <w:r w:rsidRPr="000A40A4">
              <w:rPr>
                <w:rFonts w:ascii="Arial" w:hAnsi="Arial" w:cs="Arial"/>
                <w:bCs/>
                <w:sz w:val="14"/>
                <w:szCs w:val="14"/>
              </w:rPr>
              <w:t>(</w:t>
            </w:r>
            <w:r w:rsidRPr="000A40A4">
              <w:rPr>
                <w:rFonts w:ascii="Arial" w:eastAsia="RijksoverheidSansText-Regular" w:hAnsi="Arial" w:cs="Arial"/>
                <w:bCs/>
                <w:color w:val="000000"/>
                <w:sz w:val="14"/>
                <w:szCs w:val="14"/>
              </w:rPr>
              <w:t>e</w:t>
            </w:r>
            <w:r w:rsidRPr="000A40A4">
              <w:rPr>
                <w:rFonts w:ascii="Arial" w:hAnsi="Arial" w:cs="Arial"/>
                <w:bCs/>
                <w:sz w:val="14"/>
                <w:szCs w:val="14"/>
              </w:rPr>
              <w:t xml:space="preserve">ach </w:t>
            </w:r>
            <w:r w:rsidRPr="000A40A4">
              <w:rPr>
                <w:rFonts w:ascii="Arial" w:hAnsi="Arial" w:cs="Arial"/>
                <w:bCs/>
                <w:i/>
                <w:sz w:val="14"/>
                <w:szCs w:val="14"/>
              </w:rPr>
              <w:t xml:space="preserve">Strategy </w:t>
            </w:r>
            <w:r w:rsidRPr="000A40A4">
              <w:rPr>
                <w:rFonts w:ascii="Arial" w:hAnsi="Arial" w:cs="Arial"/>
                <w:bCs/>
                <w:iCs/>
                <w:sz w:val="14"/>
                <w:szCs w:val="14"/>
              </w:rPr>
              <w:t xml:space="preserve">contains a map with one or more </w:t>
            </w:r>
            <w:r w:rsidRPr="000A40A4">
              <w:rPr>
                <w:rFonts w:ascii="Arial" w:hAnsi="Arial" w:cs="Arial"/>
                <w:bCs/>
                <w:i/>
                <w:sz w:val="14"/>
                <w:szCs w:val="14"/>
              </w:rPr>
              <w:t>adaptation paths</w:t>
            </w:r>
            <w:r w:rsidRPr="000A40A4">
              <w:rPr>
                <w:rFonts w:ascii="Arial" w:hAnsi="Arial" w:cs="Arial"/>
                <w:bCs/>
                <w:iCs/>
                <w:sz w:val="14"/>
                <w:szCs w:val="14"/>
              </w:rPr>
              <w:t>)</w:t>
            </w:r>
            <w:r w:rsidRPr="000A40A4">
              <w:rPr>
                <w:rFonts w:ascii="Arial" w:hAnsi="Arial" w:cs="Arial"/>
                <w:bCs/>
                <w:sz w:val="14"/>
                <w:szCs w:val="14"/>
              </w:rPr>
              <w:t xml:space="preserve"> (</w:t>
            </w:r>
            <w:r w:rsidRPr="000A40A4">
              <w:rPr>
                <w:rFonts w:ascii="Arial" w:hAnsi="Arial" w:cs="Arial"/>
                <w:bCs/>
                <w:color w:val="7F7F7F" w:themeColor="text1" w:themeTint="80"/>
                <w:sz w:val="14"/>
                <w:szCs w:val="14"/>
              </w:rPr>
              <w:t>DP 2014, p.47; 2013, p.56; 2012, p.81; 2011, p.48</w:t>
            </w:r>
            <w:r w:rsidRPr="000A40A4">
              <w:rPr>
                <w:rFonts w:ascii="Arial" w:eastAsia="RijksoverheidSansText-Regular" w:hAnsi="Arial" w:cs="Arial"/>
                <w:bCs/>
                <w:color w:val="000000"/>
                <w:sz w:val="14"/>
                <w:szCs w:val="14"/>
              </w:rPr>
              <w:t>)</w:t>
            </w:r>
            <w:r w:rsidRPr="000A40A4">
              <w:rPr>
                <w:rFonts w:ascii="Arial" w:hAnsi="Arial" w:cs="Arial"/>
                <w:bCs/>
                <w:iCs/>
                <w:sz w:val="14"/>
                <w:szCs w:val="14"/>
              </w:rPr>
              <w:t>.</w:t>
            </w:r>
          </w:p>
          <w:p w14:paraId="1F526DE0" w14:textId="77777777" w:rsidR="000A0954" w:rsidRPr="000A40A4" w:rsidRDefault="000A0954" w:rsidP="000A40A4">
            <w:pPr>
              <w:pStyle w:val="TEXTBODY"/>
              <w:spacing w:after="60"/>
              <w:ind w:left="142"/>
              <w:rPr>
                <w:rFonts w:ascii="Arial" w:hAnsi="Arial" w:cs="Arial"/>
                <w:bCs/>
                <w:sz w:val="14"/>
                <w:szCs w:val="14"/>
              </w:rPr>
            </w:pPr>
            <w:r w:rsidRPr="000A40A4">
              <w:rPr>
                <w:rFonts w:ascii="Arial" w:hAnsi="Arial" w:cs="Arial"/>
                <w:bCs/>
                <w:sz w:val="14"/>
                <w:szCs w:val="14"/>
              </w:rPr>
              <w:t>Each</w:t>
            </w:r>
            <w:r w:rsidRPr="000A40A4">
              <w:rPr>
                <w:rFonts w:ascii="Arial" w:hAnsi="Arial" w:cs="Arial"/>
                <w:bCs/>
                <w:i/>
                <w:iCs/>
                <w:sz w:val="14"/>
                <w:szCs w:val="14"/>
              </w:rPr>
              <w:t xml:space="preserve"> Preferential Strategy</w:t>
            </w:r>
            <w:r w:rsidRPr="000A40A4">
              <w:rPr>
                <w:rFonts w:ascii="Arial" w:hAnsi="Arial" w:cs="Arial"/>
                <w:bCs/>
                <w:sz w:val="14"/>
                <w:szCs w:val="14"/>
              </w:rPr>
              <w:t xml:space="preserve"> presents a map of </w:t>
            </w:r>
            <w:r w:rsidRPr="000A40A4">
              <w:rPr>
                <w:rFonts w:ascii="Arial" w:hAnsi="Arial" w:cs="Arial"/>
                <w:bCs/>
                <w:i/>
                <w:iCs/>
                <w:sz w:val="14"/>
                <w:szCs w:val="14"/>
              </w:rPr>
              <w:t>adaptation path(s)</w:t>
            </w:r>
            <w:r w:rsidRPr="000A40A4">
              <w:rPr>
                <w:rFonts w:ascii="Arial" w:hAnsi="Arial" w:cs="Arial"/>
                <w:bCs/>
                <w:sz w:val="14"/>
                <w:szCs w:val="14"/>
              </w:rPr>
              <w:t>; the term ‘</w:t>
            </w:r>
            <w:r w:rsidRPr="000A40A4">
              <w:rPr>
                <w:rFonts w:ascii="Arial" w:hAnsi="Arial" w:cs="Arial"/>
                <w:bCs/>
                <w:i/>
                <w:iCs/>
                <w:sz w:val="14"/>
                <w:szCs w:val="14"/>
              </w:rPr>
              <w:t>adaptation path</w:t>
            </w:r>
            <w:r w:rsidRPr="000A40A4">
              <w:rPr>
                <w:rFonts w:ascii="Arial" w:hAnsi="Arial" w:cs="Arial"/>
                <w:bCs/>
                <w:sz w:val="14"/>
                <w:szCs w:val="14"/>
              </w:rPr>
              <w:t xml:space="preserve">’ refers to a ‘pathway’; an </w:t>
            </w:r>
            <w:r w:rsidRPr="000A40A4">
              <w:rPr>
                <w:rFonts w:ascii="Arial" w:hAnsi="Arial" w:cs="Arial"/>
                <w:bCs/>
                <w:i/>
                <w:iCs/>
                <w:sz w:val="14"/>
                <w:szCs w:val="14"/>
              </w:rPr>
              <w:t>adaptation path</w:t>
            </w:r>
            <w:r w:rsidRPr="000A40A4">
              <w:rPr>
                <w:rFonts w:ascii="Arial" w:hAnsi="Arial" w:cs="Arial"/>
                <w:bCs/>
                <w:sz w:val="14"/>
                <w:szCs w:val="14"/>
              </w:rPr>
              <w:t xml:space="preserve"> is a logical set of measures that includes measures for the short-term and options for the mid- and long-term (</w:t>
            </w:r>
            <w:r w:rsidRPr="000A40A4">
              <w:rPr>
                <w:rFonts w:ascii="Arial" w:hAnsi="Arial" w:cs="Arial"/>
                <w:bCs/>
                <w:color w:val="7F7F7F" w:themeColor="text1" w:themeTint="80"/>
                <w:sz w:val="14"/>
                <w:szCs w:val="14"/>
              </w:rPr>
              <w:t>DP 2013, p.56</w:t>
            </w:r>
            <w:r w:rsidRPr="000A40A4">
              <w:rPr>
                <w:rFonts w:ascii="Arial" w:hAnsi="Arial" w:cs="Arial"/>
                <w:bCs/>
                <w:sz w:val="14"/>
                <w:szCs w:val="14"/>
              </w:rPr>
              <w:t>).</w:t>
            </w:r>
            <w:r w:rsidRPr="000A40A4">
              <w:rPr>
                <w:rStyle w:val="Refdenotaderodap"/>
                <w:rFonts w:ascii="Arial" w:hAnsi="Arial" w:cs="Arial"/>
                <w:bCs/>
                <w:sz w:val="14"/>
                <w:szCs w:val="14"/>
              </w:rPr>
              <w:t xml:space="preserve"> </w:t>
            </w:r>
            <w:r w:rsidRPr="000A40A4">
              <w:rPr>
                <w:rFonts w:ascii="Arial" w:hAnsi="Arial" w:cs="Arial"/>
                <w:bCs/>
                <w:sz w:val="14"/>
                <w:szCs w:val="14"/>
              </w:rPr>
              <w:t>Thus, a</w:t>
            </w:r>
            <w:r w:rsidRPr="000A40A4">
              <w:rPr>
                <w:rFonts w:ascii="Arial" w:hAnsi="Arial" w:cs="Arial"/>
                <w:bCs/>
                <w:i/>
                <w:iCs/>
                <w:sz w:val="14"/>
                <w:szCs w:val="14"/>
              </w:rPr>
              <w:t xml:space="preserve"> Strategy</w:t>
            </w:r>
            <w:r w:rsidRPr="000A40A4">
              <w:rPr>
                <w:rFonts w:ascii="Arial" w:hAnsi="Arial" w:cs="Arial"/>
                <w:bCs/>
                <w:sz w:val="14"/>
                <w:szCs w:val="14"/>
              </w:rPr>
              <w:t xml:space="preserve"> delivers </w:t>
            </w:r>
            <w:r w:rsidRPr="000A40A4">
              <w:rPr>
                <w:rFonts w:ascii="Arial" w:hAnsi="Arial" w:cs="Arial"/>
                <w:bCs/>
                <w:i/>
                <w:iCs/>
                <w:sz w:val="14"/>
                <w:szCs w:val="14"/>
              </w:rPr>
              <w:t>sets of measures</w:t>
            </w:r>
            <w:r w:rsidRPr="000A40A4">
              <w:rPr>
                <w:rFonts w:ascii="Arial" w:hAnsi="Arial" w:cs="Arial"/>
                <w:bCs/>
                <w:sz w:val="14"/>
                <w:szCs w:val="14"/>
              </w:rPr>
              <w:t xml:space="preserve">; each </w:t>
            </w:r>
            <w:r w:rsidRPr="000A40A4">
              <w:rPr>
                <w:rFonts w:ascii="Arial" w:hAnsi="Arial" w:cs="Arial"/>
                <w:bCs/>
                <w:i/>
                <w:iCs/>
                <w:sz w:val="14"/>
                <w:szCs w:val="14"/>
              </w:rPr>
              <w:t>set of measures</w:t>
            </w:r>
            <w:r w:rsidRPr="000A40A4">
              <w:rPr>
                <w:rFonts w:ascii="Arial" w:hAnsi="Arial" w:cs="Arial"/>
                <w:bCs/>
                <w:sz w:val="14"/>
                <w:szCs w:val="14"/>
              </w:rPr>
              <w:t xml:space="preserve"> offers a logical </w:t>
            </w:r>
            <w:r w:rsidRPr="000A40A4">
              <w:rPr>
                <w:rFonts w:ascii="Arial" w:hAnsi="Arial" w:cs="Arial"/>
                <w:bCs/>
                <w:i/>
                <w:iCs/>
                <w:sz w:val="14"/>
                <w:szCs w:val="14"/>
              </w:rPr>
              <w:t>path</w:t>
            </w:r>
            <w:r w:rsidRPr="000A40A4">
              <w:rPr>
                <w:rFonts w:ascii="Arial" w:hAnsi="Arial" w:cs="Arial"/>
                <w:bCs/>
                <w:sz w:val="14"/>
                <w:szCs w:val="14"/>
              </w:rPr>
              <w:t xml:space="preserve">, and </w:t>
            </w:r>
            <w:r w:rsidRPr="000A40A4">
              <w:rPr>
                <w:rFonts w:ascii="Arial" w:hAnsi="Arial" w:cs="Arial"/>
                <w:bCs/>
                <w:i/>
                <w:iCs/>
                <w:sz w:val="14"/>
                <w:szCs w:val="14"/>
              </w:rPr>
              <w:t>sets of measures</w:t>
            </w:r>
            <w:r w:rsidRPr="000A40A4">
              <w:rPr>
                <w:rFonts w:ascii="Arial" w:hAnsi="Arial" w:cs="Arial"/>
                <w:bCs/>
                <w:sz w:val="14"/>
                <w:szCs w:val="14"/>
              </w:rPr>
              <w:t xml:space="preserve"> (i.e. several </w:t>
            </w:r>
            <w:r w:rsidRPr="000A40A4">
              <w:rPr>
                <w:rFonts w:ascii="Arial" w:hAnsi="Arial" w:cs="Arial"/>
                <w:bCs/>
                <w:i/>
                <w:iCs/>
                <w:sz w:val="14"/>
                <w:szCs w:val="14"/>
              </w:rPr>
              <w:t>paths</w:t>
            </w:r>
            <w:r w:rsidRPr="000A40A4">
              <w:rPr>
                <w:rFonts w:ascii="Arial" w:hAnsi="Arial" w:cs="Arial"/>
                <w:bCs/>
                <w:sz w:val="14"/>
                <w:szCs w:val="14"/>
              </w:rPr>
              <w:t>) were elaborated for each Region (</w:t>
            </w:r>
            <w:r w:rsidRPr="000A40A4">
              <w:rPr>
                <w:rFonts w:ascii="Arial" w:hAnsi="Arial" w:cs="Arial"/>
                <w:bCs/>
                <w:color w:val="7F7F7F" w:themeColor="text1" w:themeTint="80"/>
                <w:sz w:val="14"/>
                <w:szCs w:val="14"/>
              </w:rPr>
              <w:t xml:space="preserve">DP 2013, p.56, 95; </w:t>
            </w:r>
            <w:r w:rsidRPr="000A40A4">
              <w:rPr>
                <w:rFonts w:ascii="Arial" w:eastAsia="RijksoverheidSansText-Regular" w:hAnsi="Arial" w:cs="Arial"/>
                <w:bCs/>
                <w:color w:val="7F7F7F" w:themeColor="text1" w:themeTint="80"/>
                <w:sz w:val="14"/>
                <w:szCs w:val="14"/>
              </w:rPr>
              <w:t>2012, p.81</w:t>
            </w:r>
            <w:r w:rsidRPr="000A40A4">
              <w:rPr>
                <w:rFonts w:ascii="Arial" w:hAnsi="Arial" w:cs="Arial"/>
                <w:bCs/>
                <w:sz w:val="14"/>
                <w:szCs w:val="14"/>
              </w:rPr>
              <w:t>).</w:t>
            </w:r>
            <w:r w:rsidRPr="000A40A4">
              <w:rPr>
                <w:rStyle w:val="Refdenotaderodap"/>
                <w:rFonts w:ascii="Arial" w:hAnsi="Arial" w:cs="Arial"/>
                <w:bCs/>
                <w:sz w:val="14"/>
                <w:szCs w:val="14"/>
              </w:rPr>
              <w:footnoteReference w:id="134"/>
            </w:r>
            <w:r w:rsidRPr="000A40A4">
              <w:rPr>
                <w:rFonts w:ascii="Arial" w:hAnsi="Arial" w:cs="Arial"/>
                <w:bCs/>
                <w:sz w:val="14"/>
                <w:szCs w:val="14"/>
              </w:rPr>
              <w:t xml:space="preserve"> </w:t>
            </w:r>
          </w:p>
          <w:p w14:paraId="384DF501" w14:textId="77777777" w:rsidR="000A0954" w:rsidRPr="000A40A4" w:rsidRDefault="000A0954" w:rsidP="000A40A4">
            <w:pPr>
              <w:pStyle w:val="TEXTBODY"/>
              <w:spacing w:after="60"/>
              <w:ind w:left="142"/>
              <w:rPr>
                <w:rFonts w:ascii="Arial" w:hAnsi="Arial" w:cs="Arial"/>
                <w:bCs/>
                <w:color w:val="000000"/>
                <w:sz w:val="14"/>
                <w:szCs w:val="14"/>
              </w:rPr>
            </w:pPr>
            <w:r w:rsidRPr="000A40A4">
              <w:rPr>
                <w:rFonts w:ascii="Arial" w:hAnsi="Arial" w:cs="Arial"/>
                <w:bCs/>
                <w:sz w:val="14"/>
                <w:szCs w:val="14"/>
              </w:rPr>
              <w:t xml:space="preserve">More broadly, each </w:t>
            </w:r>
            <w:r w:rsidRPr="000A40A4">
              <w:rPr>
                <w:rFonts w:ascii="Arial" w:hAnsi="Arial" w:cs="Arial"/>
                <w:bCs/>
                <w:i/>
                <w:iCs/>
                <w:sz w:val="14"/>
                <w:szCs w:val="14"/>
              </w:rPr>
              <w:t>Preferential Strategy</w:t>
            </w:r>
            <w:r w:rsidRPr="000A40A4">
              <w:rPr>
                <w:rFonts w:ascii="Arial" w:hAnsi="Arial" w:cs="Arial"/>
                <w:bCs/>
                <w:sz w:val="14"/>
                <w:szCs w:val="14"/>
              </w:rPr>
              <w:t xml:space="preserve"> contains objectives, measures to achieve the objectives, and the associated </w:t>
            </w:r>
            <w:r w:rsidRPr="000A40A4">
              <w:rPr>
                <w:rFonts w:ascii="Arial" w:hAnsi="Arial" w:cs="Arial"/>
                <w:bCs/>
                <w:i/>
                <w:iCs/>
                <w:sz w:val="14"/>
                <w:szCs w:val="14"/>
              </w:rPr>
              <w:t>adaptation path(s)</w:t>
            </w:r>
            <w:r w:rsidRPr="000A40A4">
              <w:rPr>
                <w:rFonts w:ascii="Arial" w:hAnsi="Arial" w:cs="Arial"/>
                <w:bCs/>
                <w:sz w:val="14"/>
                <w:szCs w:val="14"/>
              </w:rPr>
              <w:t xml:space="preserve"> (i.e. a set, or sets, of measures) displayed in a map (</w:t>
            </w:r>
            <w:r w:rsidRPr="000A40A4">
              <w:rPr>
                <w:rFonts w:ascii="Arial" w:hAnsi="Arial" w:cs="Arial"/>
                <w:bCs/>
                <w:color w:val="7F7F7F" w:themeColor="text1" w:themeTint="80"/>
                <w:sz w:val="14"/>
                <w:szCs w:val="14"/>
              </w:rPr>
              <w:t xml:space="preserve">DP 2013, p.56; Bloemen et al. 2018; Alphen 2015; Rhee 2012, p.18 </w:t>
            </w:r>
            <w:r w:rsidRPr="000A40A4">
              <w:rPr>
                <w:rFonts w:ascii="Arial" w:hAnsi="Arial" w:cs="Arial"/>
                <w:bCs/>
                <w:i/>
                <w:iCs/>
                <w:sz w:val="14"/>
                <w:szCs w:val="14"/>
              </w:rPr>
              <w:t>in</w:t>
            </w:r>
            <w:r w:rsidRPr="000A40A4">
              <w:rPr>
                <w:rFonts w:ascii="Arial" w:hAnsi="Arial" w:cs="Arial"/>
                <w:bCs/>
                <w:sz w:val="14"/>
                <w:szCs w:val="14"/>
              </w:rPr>
              <w:t xml:space="preserve"> </w:t>
            </w:r>
            <w:r w:rsidRPr="000A40A4">
              <w:rPr>
                <w:rFonts w:ascii="Arial" w:hAnsi="Arial" w:cs="Arial"/>
                <w:bCs/>
                <w:color w:val="7F7F7F" w:themeColor="text1" w:themeTint="80"/>
                <w:sz w:val="14"/>
                <w:szCs w:val="14"/>
              </w:rPr>
              <w:t>Zandvoort et al. 2018, p.190</w:t>
            </w:r>
            <w:r w:rsidRPr="000A40A4">
              <w:rPr>
                <w:rFonts w:ascii="Arial" w:hAnsi="Arial" w:cs="Arial"/>
                <w:bCs/>
                <w:sz w:val="14"/>
                <w:szCs w:val="14"/>
              </w:rPr>
              <w:t xml:space="preserve">). Each regional Subprogramme drew up a </w:t>
            </w:r>
            <w:r w:rsidRPr="000A40A4">
              <w:rPr>
                <w:rFonts w:ascii="Arial" w:hAnsi="Arial" w:cs="Arial"/>
                <w:bCs/>
                <w:i/>
                <w:iCs/>
                <w:sz w:val="14"/>
                <w:szCs w:val="14"/>
              </w:rPr>
              <w:t>Preferential Strategy</w:t>
            </w:r>
            <w:r w:rsidRPr="000A40A4">
              <w:rPr>
                <w:rFonts w:ascii="Arial" w:hAnsi="Arial" w:cs="Arial"/>
                <w:bCs/>
                <w:sz w:val="14"/>
                <w:szCs w:val="14"/>
              </w:rPr>
              <w:t xml:space="preserve"> for FRM for its region (</w:t>
            </w:r>
            <w:r w:rsidRPr="000A40A4">
              <w:rPr>
                <w:rFonts w:ascii="Arial" w:hAnsi="Arial" w:cs="Arial"/>
                <w:bCs/>
                <w:color w:val="7F7F7F" w:themeColor="text1" w:themeTint="80"/>
                <w:sz w:val="14"/>
                <w:szCs w:val="14"/>
              </w:rPr>
              <w:t>DP 2014, p.8, 46</w:t>
            </w:r>
            <w:r w:rsidRPr="000A40A4">
              <w:rPr>
                <w:rFonts w:ascii="Arial" w:hAnsi="Arial" w:cs="Arial"/>
                <w:bCs/>
                <w:sz w:val="14"/>
                <w:szCs w:val="14"/>
              </w:rPr>
              <w:t xml:space="preserve">), and each </w:t>
            </w:r>
            <w:r w:rsidRPr="000A40A4">
              <w:rPr>
                <w:rFonts w:ascii="Arial" w:hAnsi="Arial" w:cs="Arial"/>
                <w:bCs/>
                <w:i/>
                <w:iCs/>
                <w:sz w:val="14"/>
                <w:szCs w:val="14"/>
              </w:rPr>
              <w:t>Preferential Strategy</w:t>
            </w:r>
            <w:r w:rsidRPr="000A40A4">
              <w:rPr>
                <w:rFonts w:ascii="Arial" w:hAnsi="Arial" w:cs="Arial"/>
                <w:bCs/>
                <w:sz w:val="14"/>
                <w:szCs w:val="14"/>
              </w:rPr>
              <w:t xml:space="preserve"> has a map with one or more </w:t>
            </w:r>
            <w:r w:rsidRPr="000A40A4">
              <w:rPr>
                <w:rFonts w:ascii="Arial" w:hAnsi="Arial" w:cs="Arial"/>
                <w:bCs/>
                <w:i/>
                <w:iCs/>
                <w:sz w:val="14"/>
                <w:szCs w:val="14"/>
              </w:rPr>
              <w:t>adaptation paths</w:t>
            </w:r>
            <w:r w:rsidRPr="000A40A4">
              <w:rPr>
                <w:rFonts w:ascii="Arial" w:hAnsi="Arial" w:cs="Arial"/>
                <w:bCs/>
                <w:sz w:val="14"/>
                <w:szCs w:val="14"/>
              </w:rPr>
              <w:t xml:space="preserve"> (</w:t>
            </w:r>
            <w:r w:rsidRPr="000A40A4">
              <w:rPr>
                <w:rFonts w:ascii="Arial" w:hAnsi="Arial" w:cs="Arial"/>
                <w:bCs/>
                <w:color w:val="7F7F7F" w:themeColor="text1" w:themeTint="80"/>
                <w:sz w:val="14"/>
                <w:szCs w:val="14"/>
              </w:rPr>
              <w:t>DP 2013, p.56</w:t>
            </w:r>
            <w:r w:rsidRPr="000A40A4">
              <w:rPr>
                <w:rFonts w:ascii="Arial" w:hAnsi="Arial" w:cs="Arial"/>
                <w:bCs/>
                <w:sz w:val="14"/>
                <w:szCs w:val="14"/>
              </w:rPr>
              <w:t>;</w:t>
            </w:r>
            <w:r w:rsidRPr="000A40A4">
              <w:rPr>
                <w:rFonts w:ascii="Arial" w:hAnsi="Arial" w:cs="Arial"/>
                <w:bCs/>
                <w:i/>
                <w:iCs/>
                <w:sz w:val="14"/>
                <w:szCs w:val="14"/>
              </w:rPr>
              <w:t xml:space="preserve"> </w:t>
            </w:r>
            <w:r w:rsidRPr="000A40A4">
              <w:rPr>
                <w:rFonts w:ascii="Arial" w:hAnsi="Arial" w:cs="Arial"/>
                <w:bCs/>
                <w:color w:val="7F7F7F" w:themeColor="text1" w:themeTint="80"/>
                <w:sz w:val="14"/>
                <w:szCs w:val="14"/>
              </w:rPr>
              <w:t>2012, p.81</w:t>
            </w:r>
            <w:r w:rsidRPr="000A40A4">
              <w:rPr>
                <w:rFonts w:ascii="Arial" w:hAnsi="Arial" w:cs="Arial"/>
                <w:bCs/>
                <w:sz w:val="14"/>
                <w:szCs w:val="14"/>
              </w:rPr>
              <w:t xml:space="preserve">; </w:t>
            </w:r>
            <w:r w:rsidRPr="000A40A4">
              <w:rPr>
                <w:rFonts w:ascii="Arial" w:eastAsia="RijksoverheidSansText-Regular" w:hAnsi="Arial" w:cs="Arial"/>
                <w:bCs/>
                <w:color w:val="7F7F7F" w:themeColor="text1" w:themeTint="80"/>
                <w:sz w:val="14"/>
                <w:szCs w:val="14"/>
              </w:rPr>
              <w:t>2011, p.48</w:t>
            </w:r>
            <w:r w:rsidRPr="000A40A4">
              <w:rPr>
                <w:rFonts w:ascii="Arial" w:eastAsia="RijksoverheidSansText-Regular" w:hAnsi="Arial" w:cs="Arial"/>
                <w:bCs/>
                <w:color w:val="000000"/>
                <w:sz w:val="14"/>
                <w:szCs w:val="14"/>
              </w:rPr>
              <w:t>).</w:t>
            </w:r>
          </w:p>
          <w:p w14:paraId="21BCFDE8" w14:textId="77777777" w:rsidR="000A0954" w:rsidRPr="000A40A4" w:rsidRDefault="000A0954" w:rsidP="000A40A4">
            <w:pPr>
              <w:pStyle w:val="TEXTBODY"/>
              <w:spacing w:after="60"/>
              <w:ind w:left="142"/>
              <w:rPr>
                <w:rFonts w:ascii="Arial" w:hAnsi="Arial" w:cs="Arial"/>
                <w:bCs/>
                <w:sz w:val="14"/>
                <w:szCs w:val="14"/>
              </w:rPr>
            </w:pPr>
            <w:r w:rsidRPr="000A40A4">
              <w:rPr>
                <w:rFonts w:ascii="Arial" w:hAnsi="Arial" w:cs="Arial"/>
                <w:bCs/>
                <w:sz w:val="14"/>
                <w:szCs w:val="14"/>
              </w:rPr>
              <w:t xml:space="preserve">Each </w:t>
            </w:r>
            <w:r w:rsidRPr="000A40A4">
              <w:rPr>
                <w:rFonts w:ascii="Arial" w:hAnsi="Arial" w:cs="Arial"/>
                <w:bCs/>
                <w:i/>
                <w:iCs/>
                <w:sz w:val="14"/>
                <w:szCs w:val="14"/>
              </w:rPr>
              <w:t>path</w:t>
            </w:r>
            <w:r w:rsidRPr="000A40A4">
              <w:rPr>
                <w:rFonts w:ascii="Arial" w:hAnsi="Arial" w:cs="Arial"/>
                <w:bCs/>
                <w:sz w:val="14"/>
                <w:szCs w:val="14"/>
              </w:rPr>
              <w:t xml:space="preserve"> (pathway) is a sequence of actions over time to achieve the predefined objectives (</w:t>
            </w:r>
            <w:r w:rsidRPr="000A40A4">
              <w:rPr>
                <w:rFonts w:ascii="Arial" w:hAnsi="Arial" w:cs="Arial"/>
                <w:bCs/>
                <w:color w:val="7F7F7F" w:themeColor="text1" w:themeTint="80"/>
                <w:sz w:val="14"/>
                <w:szCs w:val="14"/>
              </w:rPr>
              <w:t>Marchand and Ludwig 2014, p.2, 13</w:t>
            </w:r>
            <w:r w:rsidRPr="000A40A4">
              <w:rPr>
                <w:rFonts w:ascii="Arial" w:hAnsi="Arial" w:cs="Arial"/>
                <w:bCs/>
                <w:sz w:val="14"/>
                <w:szCs w:val="14"/>
              </w:rPr>
              <w:t xml:space="preserve">, based on </w:t>
            </w:r>
            <w:proofErr w:type="spellStart"/>
            <w:r w:rsidRPr="000A40A4">
              <w:rPr>
                <w:rFonts w:ascii="Arial" w:hAnsi="Arial" w:cs="Arial"/>
                <w:bCs/>
                <w:color w:val="7F7F7F" w:themeColor="text1" w:themeTint="80"/>
                <w:sz w:val="14"/>
                <w:szCs w:val="14"/>
              </w:rPr>
              <w:t>Haasnoot</w:t>
            </w:r>
            <w:proofErr w:type="spellEnd"/>
            <w:r w:rsidRPr="000A40A4">
              <w:rPr>
                <w:rFonts w:ascii="Arial" w:hAnsi="Arial" w:cs="Arial"/>
                <w:bCs/>
                <w:color w:val="7F7F7F" w:themeColor="text1" w:themeTint="80"/>
                <w:sz w:val="14"/>
                <w:szCs w:val="14"/>
              </w:rPr>
              <w:t xml:space="preserve"> 2013</w:t>
            </w:r>
            <w:r w:rsidRPr="000A40A4">
              <w:rPr>
                <w:rFonts w:ascii="Arial" w:hAnsi="Arial" w:cs="Arial"/>
                <w:bCs/>
                <w:sz w:val="14"/>
                <w:szCs w:val="14"/>
              </w:rPr>
              <w:t xml:space="preserve">); the various paths provide </w:t>
            </w:r>
            <w:r w:rsidRPr="000A40A4">
              <w:rPr>
                <w:rFonts w:ascii="Arial" w:hAnsi="Arial" w:cs="Arial"/>
                <w:bCs/>
                <w:i/>
                <w:iCs/>
                <w:sz w:val="14"/>
                <w:szCs w:val="14"/>
              </w:rPr>
              <w:t xml:space="preserve">coherent sequences of measures and potential options, </w:t>
            </w:r>
            <w:r w:rsidRPr="000A40A4">
              <w:rPr>
                <w:rFonts w:ascii="Arial" w:hAnsi="Arial" w:cs="Arial"/>
                <w:bCs/>
                <w:sz w:val="14"/>
                <w:szCs w:val="14"/>
              </w:rPr>
              <w:t>which may be activated before an ATP occurs</w:t>
            </w:r>
            <w:r w:rsidRPr="000A40A4">
              <w:rPr>
                <w:rFonts w:ascii="Arial" w:hAnsi="Arial" w:cs="Arial"/>
                <w:bCs/>
                <w:i/>
                <w:iCs/>
                <w:sz w:val="14"/>
                <w:szCs w:val="14"/>
              </w:rPr>
              <w:t xml:space="preserve"> </w:t>
            </w:r>
            <w:r w:rsidRPr="000A40A4">
              <w:rPr>
                <w:rFonts w:ascii="Arial" w:hAnsi="Arial" w:cs="Arial"/>
                <w:bCs/>
                <w:sz w:val="14"/>
                <w:szCs w:val="14"/>
              </w:rPr>
              <w:t>(</w:t>
            </w:r>
            <w:r w:rsidRPr="000A40A4">
              <w:rPr>
                <w:rFonts w:ascii="Arial" w:hAnsi="Arial" w:cs="Arial"/>
                <w:bCs/>
                <w:color w:val="7F7F7F" w:themeColor="text1" w:themeTint="80"/>
                <w:sz w:val="14"/>
                <w:szCs w:val="14"/>
              </w:rPr>
              <w:t xml:space="preserve">Zevenbergen et al. 2018, </w:t>
            </w:r>
            <w:proofErr w:type="spellStart"/>
            <w:r w:rsidRPr="000A40A4">
              <w:rPr>
                <w:rFonts w:ascii="Arial" w:hAnsi="Arial" w:cs="Arial"/>
                <w:bCs/>
                <w:color w:val="7F7F7F" w:themeColor="text1" w:themeTint="80"/>
                <w:sz w:val="14"/>
                <w:szCs w:val="14"/>
              </w:rPr>
              <w:t>p.xx</w:t>
            </w:r>
            <w:proofErr w:type="spellEnd"/>
            <w:r w:rsidRPr="000A40A4">
              <w:rPr>
                <w:rFonts w:ascii="Arial" w:hAnsi="Arial" w:cs="Arial"/>
                <w:bCs/>
                <w:color w:val="7F7F7F" w:themeColor="text1" w:themeTint="80"/>
                <w:sz w:val="14"/>
                <w:szCs w:val="14"/>
              </w:rPr>
              <w:t xml:space="preserve">, </w:t>
            </w:r>
            <w:r w:rsidRPr="000A40A4">
              <w:rPr>
                <w:rFonts w:ascii="Arial" w:hAnsi="Arial" w:cs="Arial"/>
                <w:bCs/>
                <w:sz w:val="14"/>
                <w:szCs w:val="14"/>
              </w:rPr>
              <w:t xml:space="preserve">based on </w:t>
            </w:r>
            <w:proofErr w:type="spellStart"/>
            <w:r w:rsidRPr="000A40A4">
              <w:rPr>
                <w:rFonts w:ascii="Arial" w:hAnsi="Arial" w:cs="Arial"/>
                <w:bCs/>
                <w:color w:val="7F7F7F" w:themeColor="text1" w:themeTint="80"/>
                <w:sz w:val="14"/>
                <w:szCs w:val="14"/>
              </w:rPr>
              <w:t>Haasnoot</w:t>
            </w:r>
            <w:proofErr w:type="spellEnd"/>
            <w:r w:rsidRPr="000A40A4">
              <w:rPr>
                <w:rFonts w:ascii="Arial" w:hAnsi="Arial" w:cs="Arial"/>
                <w:bCs/>
                <w:color w:val="7F7F7F" w:themeColor="text1" w:themeTint="80"/>
                <w:sz w:val="14"/>
                <w:szCs w:val="14"/>
              </w:rPr>
              <w:t xml:space="preserve"> et al. 2012, 2013; </w:t>
            </w:r>
            <w:proofErr w:type="spellStart"/>
            <w:r w:rsidRPr="000A40A4">
              <w:rPr>
                <w:rFonts w:ascii="Arial" w:hAnsi="Arial" w:cs="Arial"/>
                <w:bCs/>
                <w:color w:val="7F7F7F" w:themeColor="text1" w:themeTint="80"/>
                <w:sz w:val="14"/>
                <w:szCs w:val="14"/>
              </w:rPr>
              <w:t>Gersonius</w:t>
            </w:r>
            <w:proofErr w:type="spellEnd"/>
            <w:r w:rsidRPr="000A40A4">
              <w:rPr>
                <w:rFonts w:ascii="Arial" w:hAnsi="Arial" w:cs="Arial"/>
                <w:bCs/>
                <w:color w:val="7F7F7F" w:themeColor="text1" w:themeTint="80"/>
                <w:sz w:val="14"/>
                <w:szCs w:val="14"/>
              </w:rPr>
              <w:t xml:space="preserve"> et al. 2016, p.204</w:t>
            </w:r>
            <w:r w:rsidRPr="000A40A4">
              <w:rPr>
                <w:rFonts w:ascii="Arial" w:hAnsi="Arial" w:cs="Arial"/>
                <w:bCs/>
                <w:sz w:val="14"/>
                <w:szCs w:val="14"/>
              </w:rPr>
              <w:t>).</w:t>
            </w:r>
            <w:r w:rsidRPr="000A40A4">
              <w:rPr>
                <w:rStyle w:val="Refdenotaderodap"/>
                <w:rFonts w:ascii="Arial" w:hAnsi="Arial" w:cs="Arial"/>
                <w:bCs/>
                <w:sz w:val="14"/>
                <w:szCs w:val="14"/>
              </w:rPr>
              <w:footnoteReference w:id="135"/>
            </w:r>
          </w:p>
          <w:p w14:paraId="6A657F40" w14:textId="77777777" w:rsidR="000A0954" w:rsidRPr="000A40A4" w:rsidRDefault="000A0954" w:rsidP="000A40A4">
            <w:pPr>
              <w:pStyle w:val="TEXTBODY"/>
              <w:spacing w:after="60"/>
              <w:ind w:left="142"/>
              <w:rPr>
                <w:rFonts w:ascii="Arial" w:hAnsi="Arial" w:cs="Arial"/>
                <w:bCs/>
                <w:sz w:val="14"/>
                <w:szCs w:val="14"/>
              </w:rPr>
            </w:pPr>
            <w:r w:rsidRPr="000A40A4">
              <w:rPr>
                <w:rFonts w:ascii="Arial" w:hAnsi="Arial" w:cs="Arial"/>
                <w:bCs/>
                <w:sz w:val="14"/>
                <w:szCs w:val="14"/>
              </w:rPr>
              <w:t xml:space="preserve">In each Subprogramme, </w:t>
            </w:r>
            <w:r w:rsidRPr="000A40A4">
              <w:rPr>
                <w:rFonts w:ascii="Arial" w:hAnsi="Arial" w:cs="Arial"/>
                <w:bCs/>
                <w:i/>
                <w:iCs/>
                <w:sz w:val="14"/>
                <w:szCs w:val="14"/>
              </w:rPr>
              <w:t xml:space="preserve">various adaptation paths </w:t>
            </w:r>
            <w:r w:rsidRPr="000A40A4">
              <w:rPr>
                <w:rFonts w:ascii="Arial" w:hAnsi="Arial" w:cs="Arial"/>
                <w:bCs/>
                <w:sz w:val="14"/>
                <w:szCs w:val="14"/>
              </w:rPr>
              <w:t>(initially called</w:t>
            </w:r>
            <w:r w:rsidRPr="000A40A4">
              <w:rPr>
                <w:rFonts w:ascii="Arial" w:hAnsi="Arial" w:cs="Arial"/>
                <w:bCs/>
                <w:i/>
                <w:iCs/>
                <w:sz w:val="14"/>
                <w:szCs w:val="14"/>
              </w:rPr>
              <w:t xml:space="preserve"> development paths</w:t>
            </w:r>
            <w:r w:rsidRPr="000A40A4">
              <w:rPr>
                <w:rFonts w:ascii="Arial" w:hAnsi="Arial" w:cs="Arial"/>
                <w:bCs/>
                <w:sz w:val="14"/>
                <w:szCs w:val="14"/>
              </w:rPr>
              <w:t>) were studied and designed, which required studying the circumstances</w:t>
            </w:r>
            <w:r w:rsidRPr="000A40A4">
              <w:rPr>
                <w:rFonts w:ascii="Arial" w:hAnsi="Arial" w:cs="Arial"/>
                <w:bCs/>
                <w:i/>
                <w:iCs/>
                <w:sz w:val="14"/>
                <w:szCs w:val="14"/>
              </w:rPr>
              <w:t xml:space="preserve"> </w:t>
            </w:r>
            <w:r w:rsidRPr="000A40A4">
              <w:rPr>
                <w:rFonts w:ascii="Arial" w:hAnsi="Arial" w:cs="Arial"/>
                <w:bCs/>
                <w:sz w:val="14"/>
                <w:szCs w:val="14"/>
              </w:rPr>
              <w:t>under which it is logical to move from one</w:t>
            </w:r>
            <w:r w:rsidRPr="000A40A4">
              <w:rPr>
                <w:rFonts w:ascii="Arial" w:hAnsi="Arial" w:cs="Arial"/>
                <w:bCs/>
                <w:i/>
                <w:iCs/>
                <w:sz w:val="14"/>
                <w:szCs w:val="14"/>
              </w:rPr>
              <w:t xml:space="preserve"> path</w:t>
            </w:r>
            <w:r w:rsidRPr="000A40A4">
              <w:rPr>
                <w:rFonts w:ascii="Arial" w:hAnsi="Arial" w:cs="Arial"/>
                <w:bCs/>
                <w:sz w:val="14"/>
                <w:szCs w:val="14"/>
              </w:rPr>
              <w:t xml:space="preserve"> to another, and which and how options</w:t>
            </w:r>
            <w:r w:rsidRPr="000A40A4">
              <w:rPr>
                <w:rFonts w:ascii="Arial" w:hAnsi="Arial" w:cs="Arial"/>
                <w:bCs/>
                <w:i/>
                <w:iCs/>
                <w:sz w:val="14"/>
                <w:szCs w:val="14"/>
              </w:rPr>
              <w:t xml:space="preserve"> </w:t>
            </w:r>
            <w:r w:rsidRPr="000A40A4">
              <w:rPr>
                <w:rFonts w:ascii="Arial" w:hAnsi="Arial" w:cs="Arial"/>
                <w:bCs/>
                <w:sz w:val="14"/>
                <w:szCs w:val="14"/>
              </w:rPr>
              <w:t>should be kept open to allow such transitions (</w:t>
            </w:r>
            <w:r w:rsidRPr="000A40A4">
              <w:rPr>
                <w:rFonts w:ascii="Arial" w:hAnsi="Arial" w:cs="Arial"/>
                <w:bCs/>
                <w:color w:val="7F7F7F" w:themeColor="text1" w:themeTint="80"/>
                <w:sz w:val="14"/>
                <w:szCs w:val="14"/>
              </w:rPr>
              <w:t>DP 2012, p.81</w:t>
            </w:r>
            <w:r w:rsidRPr="000A40A4">
              <w:rPr>
                <w:rFonts w:ascii="Arial" w:hAnsi="Arial" w:cs="Arial"/>
                <w:bCs/>
                <w:sz w:val="14"/>
                <w:szCs w:val="14"/>
              </w:rPr>
              <w:t>), i</w:t>
            </w:r>
            <w:bookmarkStart w:id="131" w:name="_Hlk141730725"/>
            <w:r w:rsidRPr="000A40A4">
              <w:rPr>
                <w:rFonts w:ascii="Arial" w:hAnsi="Arial" w:cs="Arial"/>
                <w:bCs/>
                <w:sz w:val="14"/>
                <w:szCs w:val="14"/>
              </w:rPr>
              <w:t>.e. laying down the conditions under which changing or switching of measure or strategy (</w:t>
            </w:r>
            <w:r w:rsidRPr="000A40A4">
              <w:rPr>
                <w:rFonts w:ascii="Arial" w:hAnsi="Arial" w:cs="Arial"/>
                <w:bCs/>
                <w:i/>
                <w:iCs/>
                <w:sz w:val="14"/>
                <w:szCs w:val="14"/>
              </w:rPr>
              <w:t>path</w:t>
            </w:r>
            <w:r w:rsidRPr="000A40A4">
              <w:rPr>
                <w:rFonts w:ascii="Arial" w:hAnsi="Arial" w:cs="Arial"/>
                <w:bCs/>
                <w:sz w:val="14"/>
                <w:szCs w:val="14"/>
              </w:rPr>
              <w:t>) is reasonable and possibilities for shifting between strategies (</w:t>
            </w:r>
            <w:r w:rsidRPr="000A40A4">
              <w:rPr>
                <w:rFonts w:ascii="Arial" w:hAnsi="Arial" w:cs="Arial"/>
                <w:bCs/>
                <w:color w:val="7F7F7F" w:themeColor="text1" w:themeTint="80"/>
                <w:sz w:val="14"/>
                <w:szCs w:val="14"/>
              </w:rPr>
              <w:t>DP 2013, p.95, 77</w:t>
            </w:r>
            <w:bookmarkEnd w:id="131"/>
            <w:r w:rsidRPr="000A40A4">
              <w:rPr>
                <w:rFonts w:ascii="Arial" w:hAnsi="Arial" w:cs="Arial"/>
                <w:bCs/>
                <w:sz w:val="14"/>
                <w:szCs w:val="14"/>
              </w:rPr>
              <w:t xml:space="preserve">; </w:t>
            </w:r>
            <w:r w:rsidRPr="000A40A4">
              <w:rPr>
                <w:rFonts w:ascii="Arial" w:eastAsia="RijksoverheidSansText-Regular" w:hAnsi="Arial" w:cs="Arial"/>
                <w:bCs/>
                <w:color w:val="7F7F7F" w:themeColor="text1" w:themeTint="80"/>
                <w:sz w:val="14"/>
                <w:szCs w:val="14"/>
              </w:rPr>
              <w:t xml:space="preserve">2011, p.48; </w:t>
            </w:r>
            <w:proofErr w:type="spellStart"/>
            <w:r w:rsidRPr="000A40A4">
              <w:rPr>
                <w:rFonts w:ascii="Arial" w:hAnsi="Arial" w:cs="Arial"/>
                <w:bCs/>
                <w:color w:val="7F7F7F" w:themeColor="text1" w:themeTint="80"/>
                <w:sz w:val="14"/>
                <w:szCs w:val="14"/>
              </w:rPr>
              <w:t>Gersonius</w:t>
            </w:r>
            <w:proofErr w:type="spellEnd"/>
            <w:r w:rsidRPr="000A40A4">
              <w:rPr>
                <w:rFonts w:ascii="Arial" w:hAnsi="Arial" w:cs="Arial"/>
                <w:bCs/>
                <w:color w:val="7F7F7F" w:themeColor="text1" w:themeTint="80"/>
                <w:sz w:val="14"/>
                <w:szCs w:val="14"/>
              </w:rPr>
              <w:t xml:space="preserve"> et al.2016, p.205</w:t>
            </w:r>
            <w:r w:rsidRPr="000A40A4">
              <w:rPr>
                <w:rFonts w:ascii="Arial" w:eastAsia="RijksoverheidSansText-Regular" w:hAnsi="Arial" w:cs="Arial"/>
                <w:bCs/>
                <w:sz w:val="14"/>
                <w:szCs w:val="14"/>
              </w:rPr>
              <w:t>).</w:t>
            </w:r>
            <w:r w:rsidRPr="000A40A4">
              <w:rPr>
                <w:rStyle w:val="Refdenotaderodap"/>
                <w:rFonts w:ascii="Arial" w:eastAsia="RijksoverheidSansText-Regular" w:hAnsi="Arial" w:cs="Arial"/>
                <w:bCs/>
                <w:sz w:val="14"/>
                <w:szCs w:val="14"/>
              </w:rPr>
              <w:footnoteReference w:id="136"/>
            </w:r>
          </w:p>
          <w:p w14:paraId="52CFAF83" w14:textId="77777777" w:rsidR="000A0954" w:rsidRPr="000A40A4" w:rsidRDefault="000A0954" w:rsidP="000A40A4">
            <w:pPr>
              <w:pStyle w:val="TEXTBODY"/>
              <w:rPr>
                <w:rFonts w:ascii="Arial" w:eastAsia="RijksoverheidSansText-Regular" w:hAnsi="Arial" w:cs="Arial"/>
                <w:bCs/>
                <w:sz w:val="14"/>
                <w:szCs w:val="14"/>
              </w:rPr>
            </w:pPr>
            <w:r w:rsidRPr="000A40A4">
              <w:rPr>
                <w:rFonts w:ascii="Arial" w:hAnsi="Arial" w:cs="Arial"/>
                <w:bCs/>
                <w:sz w:val="14"/>
                <w:szCs w:val="14"/>
              </w:rPr>
              <w:t xml:space="preserve">In the DP 2014, each </w:t>
            </w:r>
            <w:r w:rsidRPr="000A40A4">
              <w:rPr>
                <w:rFonts w:ascii="Arial" w:hAnsi="Arial" w:cs="Arial"/>
                <w:bCs/>
                <w:i/>
                <w:iCs/>
                <w:sz w:val="14"/>
                <w:szCs w:val="14"/>
              </w:rPr>
              <w:t>Preferential Strategy</w:t>
            </w:r>
            <w:r w:rsidRPr="000A40A4">
              <w:rPr>
                <w:rFonts w:ascii="Arial" w:hAnsi="Arial" w:cs="Arial"/>
                <w:bCs/>
                <w:sz w:val="14"/>
                <w:szCs w:val="14"/>
              </w:rPr>
              <w:t xml:space="preserve"> presents a map of </w:t>
            </w:r>
            <w:r w:rsidRPr="000A40A4">
              <w:rPr>
                <w:rFonts w:ascii="Arial" w:hAnsi="Arial" w:cs="Arial"/>
                <w:bCs/>
                <w:i/>
                <w:iCs/>
                <w:sz w:val="14"/>
                <w:szCs w:val="14"/>
              </w:rPr>
              <w:t>adaptation paths</w:t>
            </w:r>
            <w:r w:rsidRPr="000A40A4">
              <w:rPr>
                <w:rFonts w:ascii="Arial" w:hAnsi="Arial" w:cs="Arial"/>
                <w:bCs/>
                <w:sz w:val="14"/>
                <w:szCs w:val="14"/>
              </w:rPr>
              <w:t xml:space="preserve">, with one or more </w:t>
            </w:r>
            <w:r w:rsidRPr="000A40A4">
              <w:rPr>
                <w:rFonts w:ascii="Arial" w:hAnsi="Arial" w:cs="Arial"/>
                <w:bCs/>
                <w:i/>
                <w:iCs/>
                <w:sz w:val="14"/>
                <w:szCs w:val="14"/>
              </w:rPr>
              <w:t>adaptation paths</w:t>
            </w:r>
            <w:r w:rsidRPr="000A40A4">
              <w:rPr>
                <w:rFonts w:ascii="Arial" w:hAnsi="Arial" w:cs="Arial"/>
                <w:bCs/>
                <w:sz w:val="14"/>
                <w:szCs w:val="14"/>
              </w:rPr>
              <w:t>; the map</w:t>
            </w:r>
            <w:r w:rsidRPr="000A40A4">
              <w:rPr>
                <w:rFonts w:ascii="Arial" w:hAnsi="Arial" w:cs="Arial"/>
                <w:bCs/>
                <w:i/>
                <w:iCs/>
                <w:sz w:val="14"/>
                <w:szCs w:val="14"/>
              </w:rPr>
              <w:t xml:space="preserve"> </w:t>
            </w:r>
            <w:r w:rsidRPr="000A40A4">
              <w:rPr>
                <w:rFonts w:ascii="Arial" w:hAnsi="Arial" w:cs="Arial"/>
                <w:bCs/>
                <w:sz w:val="14"/>
                <w:szCs w:val="14"/>
              </w:rPr>
              <w:t>shows the pathway(s) to be followed; it indicates which measures can be taken (including measures required now to keep options open for the long-term) and when they are expected to be necessary (</w:t>
            </w:r>
            <w:r w:rsidRPr="000A40A4">
              <w:rPr>
                <w:rFonts w:ascii="Arial" w:hAnsi="Arial" w:cs="Arial"/>
                <w:bCs/>
                <w:color w:val="7F7F7F" w:themeColor="text1" w:themeTint="80"/>
                <w:sz w:val="14"/>
                <w:szCs w:val="14"/>
              </w:rPr>
              <w:t>DP 2014, p.47</w:t>
            </w:r>
            <w:r w:rsidRPr="000A40A4">
              <w:rPr>
                <w:rFonts w:ascii="Arial" w:hAnsi="Arial" w:cs="Arial"/>
                <w:bCs/>
                <w:color w:val="0070C0"/>
                <w:sz w:val="14"/>
                <w:szCs w:val="14"/>
              </w:rPr>
              <w:t>)</w:t>
            </w:r>
            <w:r w:rsidRPr="000A40A4">
              <w:rPr>
                <w:rStyle w:val="Refdenotaderodap"/>
                <w:rFonts w:ascii="Arial" w:eastAsia="RijksoverheidSansText-Regular" w:hAnsi="Arial" w:cs="Arial"/>
                <w:bCs/>
                <w:sz w:val="14"/>
                <w:szCs w:val="14"/>
              </w:rPr>
              <w:footnoteReference w:id="137"/>
            </w:r>
            <w:r w:rsidRPr="000A40A4">
              <w:rPr>
                <w:rFonts w:ascii="Arial" w:hAnsi="Arial" w:cs="Arial"/>
                <w:bCs/>
                <w:color w:val="0070C0"/>
                <w:sz w:val="14"/>
                <w:szCs w:val="14"/>
              </w:rPr>
              <w:t xml:space="preserve">; </w:t>
            </w:r>
            <w:r w:rsidRPr="000A40A4">
              <w:rPr>
                <w:rFonts w:ascii="Arial" w:hAnsi="Arial" w:cs="Arial"/>
                <w:bCs/>
                <w:sz w:val="14"/>
                <w:szCs w:val="14"/>
              </w:rPr>
              <w:t xml:space="preserve">in specific, the map displays the possibilities (options) for switching of measure or </w:t>
            </w:r>
            <w:r w:rsidRPr="000A40A4">
              <w:rPr>
                <w:rFonts w:ascii="Arial" w:hAnsi="Arial" w:cs="Arial"/>
                <w:bCs/>
                <w:i/>
                <w:iCs/>
                <w:sz w:val="14"/>
                <w:szCs w:val="14"/>
              </w:rPr>
              <w:t xml:space="preserve">path </w:t>
            </w:r>
            <w:r w:rsidRPr="000A40A4">
              <w:rPr>
                <w:rFonts w:ascii="Arial" w:hAnsi="Arial" w:cs="Arial"/>
                <w:bCs/>
                <w:sz w:val="14"/>
                <w:szCs w:val="14"/>
              </w:rPr>
              <w:t xml:space="preserve">(strategy), and it also identifies short-term measures required to be able to change strategies later, if necessary (DP 2013, p.95, 77). Each </w:t>
            </w:r>
            <w:r w:rsidRPr="000A40A4">
              <w:rPr>
                <w:rFonts w:ascii="Arial" w:hAnsi="Arial" w:cs="Arial"/>
                <w:bCs/>
                <w:i/>
                <w:iCs/>
                <w:sz w:val="14"/>
                <w:szCs w:val="14"/>
              </w:rPr>
              <w:t>Preferential Strategy</w:t>
            </w:r>
            <w:r w:rsidRPr="000A40A4">
              <w:rPr>
                <w:rFonts w:ascii="Arial" w:hAnsi="Arial" w:cs="Arial"/>
                <w:bCs/>
                <w:sz w:val="14"/>
                <w:szCs w:val="14"/>
              </w:rPr>
              <w:t xml:space="preserve">, in its </w:t>
            </w:r>
            <w:r w:rsidRPr="000A40A4">
              <w:rPr>
                <w:rFonts w:ascii="Arial" w:hAnsi="Arial" w:cs="Arial"/>
                <w:bCs/>
                <w:i/>
                <w:iCs/>
                <w:sz w:val="14"/>
                <w:szCs w:val="14"/>
              </w:rPr>
              <w:t>adaptation path(s)</w:t>
            </w:r>
            <w:r w:rsidRPr="000A40A4">
              <w:rPr>
                <w:rFonts w:ascii="Arial" w:hAnsi="Arial" w:cs="Arial"/>
                <w:bCs/>
                <w:sz w:val="14"/>
                <w:szCs w:val="14"/>
              </w:rPr>
              <w:t xml:space="preserve">, includes measures for the short-term </w:t>
            </w:r>
            <w:r w:rsidRPr="000A40A4">
              <w:rPr>
                <w:rFonts w:ascii="Arial" w:eastAsia="RijksoverheidSansText-Regular" w:hAnsi="Arial" w:cs="Arial"/>
                <w:bCs/>
                <w:sz w:val="14"/>
                <w:szCs w:val="14"/>
              </w:rPr>
              <w:t>(2030)</w:t>
            </w:r>
            <w:r w:rsidRPr="000A40A4">
              <w:rPr>
                <w:rFonts w:ascii="Arial" w:hAnsi="Arial" w:cs="Arial"/>
                <w:bCs/>
                <w:sz w:val="14"/>
                <w:szCs w:val="14"/>
              </w:rPr>
              <w:t xml:space="preserve">, and possible options for the mid- (2050) and long-term (2100), </w:t>
            </w:r>
            <w:r w:rsidRPr="000A40A4">
              <w:rPr>
                <w:rFonts w:ascii="Arial" w:eastAsia="RijksoverheidSansText-Regular" w:hAnsi="Arial" w:cs="Arial"/>
                <w:bCs/>
                <w:sz w:val="14"/>
                <w:szCs w:val="14"/>
              </w:rPr>
              <w:t>including possible adjustments/amendments that might be necessary in strategies (</w:t>
            </w:r>
            <w:r w:rsidRPr="000A40A4">
              <w:rPr>
                <w:rFonts w:ascii="Arial" w:hAnsi="Arial" w:cs="Arial"/>
                <w:bCs/>
                <w:color w:val="7F7F7F" w:themeColor="text1" w:themeTint="80"/>
                <w:sz w:val="14"/>
                <w:szCs w:val="14"/>
              </w:rPr>
              <w:t xml:space="preserve">DP 2014, p.49, 148) </w:t>
            </w:r>
            <w:r w:rsidRPr="000A40A4">
              <w:rPr>
                <w:rFonts w:ascii="Arial" w:eastAsia="RijksoverheidSansText-Regular" w:hAnsi="Arial" w:cs="Arial"/>
                <w:bCs/>
                <w:sz w:val="14"/>
                <w:szCs w:val="14"/>
              </w:rPr>
              <w:t>which implied looking at the conditions under which it is wise to shift from a strategy, or from a measure, to another one (</w:t>
            </w:r>
            <w:r w:rsidRPr="000A40A4">
              <w:rPr>
                <w:rFonts w:ascii="Arial" w:eastAsia="RijksoverheidSansText-Regular" w:hAnsi="Arial" w:cs="Arial"/>
                <w:bCs/>
                <w:color w:val="7F7F7F" w:themeColor="text1" w:themeTint="80"/>
                <w:sz w:val="14"/>
                <w:szCs w:val="14"/>
              </w:rPr>
              <w:t xml:space="preserve">DP 2011, p.48; </w:t>
            </w:r>
            <w:proofErr w:type="spellStart"/>
            <w:r w:rsidRPr="000A40A4">
              <w:rPr>
                <w:rFonts w:ascii="Arial" w:hAnsi="Arial" w:cs="Arial"/>
                <w:bCs/>
                <w:color w:val="7F7F7F" w:themeColor="text1" w:themeTint="80"/>
                <w:sz w:val="14"/>
                <w:szCs w:val="14"/>
              </w:rPr>
              <w:t>Gersonius</w:t>
            </w:r>
            <w:proofErr w:type="spellEnd"/>
            <w:r w:rsidRPr="000A40A4">
              <w:rPr>
                <w:rFonts w:ascii="Arial" w:hAnsi="Arial" w:cs="Arial"/>
                <w:bCs/>
                <w:color w:val="7F7F7F" w:themeColor="text1" w:themeTint="80"/>
                <w:sz w:val="14"/>
                <w:szCs w:val="14"/>
              </w:rPr>
              <w:t xml:space="preserve"> et al.2016, p.205</w:t>
            </w:r>
            <w:r w:rsidRPr="000A40A4">
              <w:rPr>
                <w:rFonts w:ascii="Arial" w:eastAsia="RijksoverheidSansText-Regular" w:hAnsi="Arial" w:cs="Arial"/>
                <w:bCs/>
                <w:sz w:val="14"/>
                <w:szCs w:val="14"/>
              </w:rPr>
              <w:t>).</w:t>
            </w:r>
          </w:p>
          <w:p w14:paraId="048D18B3" w14:textId="77777777" w:rsidR="000A0954" w:rsidRPr="000A40A4" w:rsidRDefault="000A0954" w:rsidP="000A40A4">
            <w:pPr>
              <w:pStyle w:val="TEXTBODY"/>
              <w:rPr>
                <w:rFonts w:ascii="Arial" w:hAnsi="Arial" w:cs="Arial"/>
                <w:bCs/>
                <w:color w:val="C00000"/>
                <w:sz w:val="14"/>
                <w:szCs w:val="14"/>
              </w:rPr>
            </w:pPr>
          </w:p>
          <w:p w14:paraId="33F931EB" w14:textId="1C73D29D" w:rsidR="000A0954" w:rsidRPr="000A40A4" w:rsidRDefault="000A0954" w:rsidP="000A40A4">
            <w:pPr>
              <w:pStyle w:val="TEXTBODY"/>
              <w:spacing w:after="120"/>
              <w:rPr>
                <w:rFonts w:ascii="Arial" w:eastAsia="RijksoverheidSansText-Regular" w:hAnsi="Arial" w:cs="Arial"/>
                <w:bCs/>
                <w:sz w:val="14"/>
                <w:szCs w:val="14"/>
              </w:rPr>
            </w:pPr>
            <w:r w:rsidRPr="000A40A4">
              <w:rPr>
                <w:rFonts w:ascii="Arial" w:hAnsi="Arial" w:cs="Arial"/>
                <w:bCs/>
                <w:sz w:val="14"/>
                <w:szCs w:val="14"/>
              </w:rPr>
              <w:t>In line with the 3</w:t>
            </w:r>
            <w:r w:rsidRPr="000A40A4">
              <w:rPr>
                <w:rFonts w:ascii="Arial" w:hAnsi="Arial" w:cs="Arial"/>
                <w:bCs/>
                <w:sz w:val="14"/>
                <w:szCs w:val="14"/>
                <w:vertAlign w:val="superscript"/>
              </w:rPr>
              <w:t>rd</w:t>
            </w:r>
            <w:r w:rsidRPr="000A40A4">
              <w:rPr>
                <w:rFonts w:ascii="Arial" w:hAnsi="Arial" w:cs="Arial"/>
                <w:bCs/>
                <w:sz w:val="14"/>
                <w:szCs w:val="14"/>
              </w:rPr>
              <w:t xml:space="preserve"> principle of ADM, each Subprogramme developed</w:t>
            </w:r>
            <w:r w:rsidRPr="000A40A4">
              <w:rPr>
                <w:rFonts w:ascii="Arial" w:hAnsi="Arial" w:cs="Arial"/>
                <w:bCs/>
                <w:i/>
                <w:iCs/>
                <w:sz w:val="14"/>
                <w:szCs w:val="14"/>
              </w:rPr>
              <w:t xml:space="preserve"> multiple strategies that can be alternated between</w:t>
            </w:r>
            <w:r w:rsidRPr="000A40A4">
              <w:rPr>
                <w:rFonts w:ascii="Arial" w:hAnsi="Arial" w:cs="Arial"/>
                <w:bCs/>
                <w:sz w:val="14"/>
                <w:szCs w:val="14"/>
              </w:rPr>
              <w:t xml:space="preserve">. i.e. several </w:t>
            </w:r>
            <w:proofErr w:type="gramStart"/>
            <w:r w:rsidRPr="000A40A4">
              <w:rPr>
                <w:rFonts w:ascii="Arial" w:hAnsi="Arial" w:cs="Arial"/>
                <w:bCs/>
                <w:i/>
                <w:iCs/>
                <w:sz w:val="14"/>
                <w:szCs w:val="14"/>
              </w:rPr>
              <w:t>adaptation</w:t>
            </w:r>
            <w:proofErr w:type="gramEnd"/>
            <w:r w:rsidRPr="000A40A4">
              <w:rPr>
                <w:rFonts w:ascii="Arial" w:hAnsi="Arial" w:cs="Arial"/>
                <w:bCs/>
                <w:i/>
                <w:iCs/>
                <w:sz w:val="14"/>
                <w:szCs w:val="14"/>
              </w:rPr>
              <w:t xml:space="preserve"> paths</w:t>
            </w:r>
            <w:r w:rsidRPr="000A40A4">
              <w:rPr>
                <w:rFonts w:ascii="Arial" w:hAnsi="Arial" w:cs="Arial"/>
                <w:bCs/>
                <w:sz w:val="14"/>
                <w:szCs w:val="14"/>
              </w:rPr>
              <w:t xml:space="preserve">, and </w:t>
            </w:r>
            <w:r w:rsidRPr="000A40A4">
              <w:rPr>
                <w:rFonts w:ascii="Arial" w:hAnsi="Arial" w:cs="Arial"/>
                <w:bCs/>
                <w:i/>
                <w:iCs/>
                <w:sz w:val="14"/>
                <w:szCs w:val="14"/>
              </w:rPr>
              <w:t>appreciated</w:t>
            </w:r>
            <w:r w:rsidRPr="000A40A4">
              <w:rPr>
                <w:rFonts w:ascii="Arial" w:hAnsi="Arial" w:cs="Arial"/>
                <w:bCs/>
                <w:sz w:val="14"/>
                <w:szCs w:val="14"/>
              </w:rPr>
              <w:t xml:space="preserve"> (appraised) the </w:t>
            </w:r>
            <w:r w:rsidRPr="000A40A4">
              <w:rPr>
                <w:rFonts w:ascii="Arial" w:hAnsi="Arial" w:cs="Arial"/>
                <w:bCs/>
                <w:i/>
                <w:iCs/>
                <w:sz w:val="14"/>
                <w:szCs w:val="14"/>
              </w:rPr>
              <w:t xml:space="preserve">flexibility </w:t>
            </w:r>
            <w:r w:rsidRPr="000A40A4">
              <w:rPr>
                <w:rFonts w:ascii="Arial" w:hAnsi="Arial" w:cs="Arial"/>
                <w:bCs/>
                <w:sz w:val="14"/>
                <w:szCs w:val="14"/>
              </w:rPr>
              <w:t>of such strategies (</w:t>
            </w:r>
            <w:r w:rsidRPr="000A40A4">
              <w:rPr>
                <w:rFonts w:ascii="Arial" w:hAnsi="Arial" w:cs="Arial"/>
                <w:bCs/>
                <w:color w:val="7F7F7F" w:themeColor="text1" w:themeTint="80"/>
                <w:sz w:val="14"/>
                <w:szCs w:val="14"/>
              </w:rPr>
              <w:t xml:space="preserve">DP 2013, p.102; </w:t>
            </w:r>
            <w:bookmarkStart w:id="132" w:name="_Hlk141731219"/>
            <w:r w:rsidRPr="000A40A4">
              <w:rPr>
                <w:rFonts w:ascii="Arial" w:hAnsi="Arial" w:cs="Arial"/>
                <w:bCs/>
                <w:color w:val="7F7F7F" w:themeColor="text1" w:themeTint="80"/>
                <w:sz w:val="14"/>
                <w:szCs w:val="14"/>
              </w:rPr>
              <w:t>2011, p.48</w:t>
            </w:r>
            <w:bookmarkEnd w:id="132"/>
            <w:r w:rsidRPr="000A40A4">
              <w:rPr>
                <w:rFonts w:ascii="Arial" w:hAnsi="Arial" w:cs="Arial"/>
                <w:bCs/>
                <w:sz w:val="14"/>
                <w:szCs w:val="14"/>
              </w:rPr>
              <w:t>).</w:t>
            </w:r>
            <w:r w:rsidRPr="000A40A4">
              <w:rPr>
                <w:rFonts w:ascii="Arial" w:hAnsi="Arial" w:cs="Arial"/>
                <w:bCs/>
                <w:color w:val="0070C0"/>
                <w:sz w:val="14"/>
                <w:szCs w:val="14"/>
              </w:rPr>
              <w:t xml:space="preserve"> </w:t>
            </w:r>
            <w:r w:rsidRPr="000A40A4">
              <w:rPr>
                <w:rFonts w:ascii="Arial" w:hAnsi="Arial" w:cs="Arial"/>
                <w:bCs/>
                <w:sz w:val="14"/>
                <w:szCs w:val="14"/>
              </w:rPr>
              <w:t xml:space="preserve">In each </w:t>
            </w:r>
            <w:r w:rsidRPr="000A40A4">
              <w:rPr>
                <w:rFonts w:ascii="Arial" w:hAnsi="Arial" w:cs="Arial"/>
                <w:bCs/>
                <w:i/>
                <w:iCs/>
                <w:sz w:val="14"/>
                <w:szCs w:val="14"/>
              </w:rPr>
              <w:t>Preferential Strategy</w:t>
            </w:r>
            <w:r w:rsidRPr="000A40A4">
              <w:rPr>
                <w:rFonts w:ascii="Arial" w:hAnsi="Arial" w:cs="Arial"/>
                <w:bCs/>
                <w:sz w:val="14"/>
                <w:szCs w:val="14"/>
              </w:rPr>
              <w:t xml:space="preserve"> (in its </w:t>
            </w:r>
            <w:r w:rsidRPr="000A40A4">
              <w:rPr>
                <w:rFonts w:ascii="Arial" w:hAnsi="Arial" w:cs="Arial"/>
                <w:bCs/>
                <w:i/>
                <w:iCs/>
                <w:sz w:val="14"/>
                <w:szCs w:val="14"/>
              </w:rPr>
              <w:t>adaptation path(s)</w:t>
            </w:r>
            <w:r w:rsidRPr="000A40A4">
              <w:rPr>
                <w:rFonts w:ascii="Arial" w:hAnsi="Arial" w:cs="Arial"/>
                <w:bCs/>
                <w:sz w:val="14"/>
                <w:szCs w:val="14"/>
              </w:rPr>
              <w:t>), measures may be taken sooner or later (</w:t>
            </w:r>
            <w:r w:rsidRPr="000A40A4">
              <w:rPr>
                <w:rFonts w:ascii="Arial" w:hAnsi="Arial" w:cs="Arial"/>
                <w:bCs/>
                <w:color w:val="7F7F7F" w:themeColor="text1" w:themeTint="80"/>
                <w:sz w:val="14"/>
                <w:szCs w:val="14"/>
              </w:rPr>
              <w:t>DP 2014, p.47</w:t>
            </w:r>
            <w:r w:rsidRPr="000A40A4">
              <w:rPr>
                <w:rFonts w:ascii="Arial" w:hAnsi="Arial" w:cs="Arial"/>
                <w:bCs/>
                <w:sz w:val="14"/>
                <w:szCs w:val="14"/>
              </w:rPr>
              <w:t>), and it may be necessary to switch of measure or</w:t>
            </w:r>
            <w:r w:rsidRPr="000A40A4">
              <w:rPr>
                <w:rFonts w:ascii="Arial" w:hAnsi="Arial" w:cs="Arial"/>
                <w:bCs/>
                <w:i/>
                <w:iCs/>
                <w:sz w:val="14"/>
                <w:szCs w:val="14"/>
              </w:rPr>
              <w:t xml:space="preserve"> </w:t>
            </w:r>
            <w:r w:rsidRPr="000A40A4">
              <w:rPr>
                <w:rFonts w:ascii="Arial" w:hAnsi="Arial" w:cs="Arial"/>
                <w:bCs/>
                <w:sz w:val="14"/>
                <w:szCs w:val="14"/>
              </w:rPr>
              <w:t>strategy (</w:t>
            </w:r>
            <w:r w:rsidRPr="000A40A4">
              <w:rPr>
                <w:rFonts w:ascii="Arial" w:hAnsi="Arial" w:cs="Arial"/>
                <w:bCs/>
                <w:i/>
                <w:iCs/>
                <w:sz w:val="14"/>
                <w:szCs w:val="14"/>
              </w:rPr>
              <w:t>path</w:t>
            </w:r>
            <w:r w:rsidRPr="000A40A4">
              <w:rPr>
                <w:rFonts w:ascii="Arial" w:hAnsi="Arial" w:cs="Arial"/>
                <w:bCs/>
                <w:sz w:val="14"/>
                <w:szCs w:val="14"/>
              </w:rPr>
              <w:t>) (</w:t>
            </w:r>
            <w:r w:rsidRPr="000A40A4">
              <w:rPr>
                <w:rFonts w:ascii="Arial" w:hAnsi="Arial" w:cs="Arial"/>
                <w:bCs/>
                <w:color w:val="7F7F7F" w:themeColor="text1" w:themeTint="80"/>
                <w:sz w:val="14"/>
                <w:szCs w:val="14"/>
              </w:rPr>
              <w:t>DP 2013, p.77, 95, 103; 2014, p.6, 169</w:t>
            </w:r>
            <w:r w:rsidRPr="000A40A4">
              <w:rPr>
                <w:rFonts w:ascii="Arial" w:hAnsi="Arial" w:cs="Arial"/>
                <w:bCs/>
                <w:sz w:val="14"/>
                <w:szCs w:val="14"/>
              </w:rPr>
              <w:t>), depending on climatic and socioeconomic developments. In the DP, the APs approach allows for switching between measures (withing each pathway) or between pathways (i.e. shifting from a measure, or pathway, to another one), if necessary, in view of CC or socioeconomic developments</w:t>
            </w:r>
            <w:r w:rsidRPr="000A40A4">
              <w:rPr>
                <w:rFonts w:ascii="Arial" w:hAnsi="Arial" w:cs="Arial"/>
                <w:bCs/>
                <w:color w:val="231F20"/>
                <w:sz w:val="14"/>
                <w:szCs w:val="14"/>
              </w:rPr>
              <w:t xml:space="preserve">, </w:t>
            </w:r>
            <w:r w:rsidRPr="000A40A4">
              <w:rPr>
                <w:rFonts w:ascii="Arial" w:hAnsi="Arial" w:cs="Arial"/>
                <w:bCs/>
                <w:sz w:val="14"/>
                <w:szCs w:val="14"/>
              </w:rPr>
              <w:t>and ensures that options are kept open for the long-term (</w:t>
            </w:r>
            <w:r w:rsidRPr="000A40A4">
              <w:rPr>
                <w:rFonts w:ascii="Arial" w:hAnsi="Arial" w:cs="Arial"/>
                <w:bCs/>
                <w:color w:val="7F7F7F" w:themeColor="text1" w:themeTint="80"/>
                <w:sz w:val="14"/>
                <w:szCs w:val="14"/>
              </w:rPr>
              <w:t xml:space="preserve">Haegen and </w:t>
            </w:r>
            <w:proofErr w:type="spellStart"/>
            <w:r w:rsidRPr="000A40A4">
              <w:rPr>
                <w:rFonts w:ascii="Arial" w:hAnsi="Arial" w:cs="Arial"/>
                <w:bCs/>
                <w:color w:val="7F7F7F" w:themeColor="text1" w:themeTint="80"/>
                <w:sz w:val="14"/>
                <w:szCs w:val="14"/>
              </w:rPr>
              <w:t>Wieriks</w:t>
            </w:r>
            <w:proofErr w:type="spellEnd"/>
            <w:r w:rsidRPr="000A40A4">
              <w:rPr>
                <w:rFonts w:ascii="Arial" w:hAnsi="Arial" w:cs="Arial"/>
                <w:bCs/>
                <w:color w:val="7F7F7F" w:themeColor="text1" w:themeTint="80"/>
                <w:sz w:val="14"/>
                <w:szCs w:val="14"/>
              </w:rPr>
              <w:t xml:space="preserve"> 2015, p.56, 50, 54; Bloemen et al. 2018, p.12, 14</w:t>
            </w:r>
            <w:r w:rsidRPr="000A40A4">
              <w:rPr>
                <w:rFonts w:ascii="Arial" w:hAnsi="Arial" w:cs="Arial"/>
                <w:bCs/>
                <w:sz w:val="14"/>
                <w:szCs w:val="14"/>
              </w:rPr>
              <w:t>).</w:t>
            </w:r>
          </w:p>
          <w:p w14:paraId="79FCC242" w14:textId="47E9ED36"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The basic idea underlying the APs approach (in ADM) is </w:t>
            </w:r>
            <w:r w:rsidRPr="000A40A4">
              <w:rPr>
                <w:rFonts w:ascii="Arial" w:hAnsi="Arial" w:cs="Arial"/>
                <w:bCs/>
                <w:i/>
                <w:sz w:val="14"/>
                <w:szCs w:val="14"/>
              </w:rPr>
              <w:t>to generate a wide array of pathways</w:t>
            </w:r>
            <w:r w:rsidRPr="000A40A4">
              <w:rPr>
                <w:rFonts w:ascii="Arial" w:hAnsi="Arial" w:cs="Arial"/>
                <w:bCs/>
                <w:iCs/>
                <w:sz w:val="14"/>
                <w:szCs w:val="14"/>
              </w:rPr>
              <w:t xml:space="preserve"> (</w:t>
            </w:r>
            <w:r w:rsidRPr="000A40A4">
              <w:rPr>
                <w:rFonts w:ascii="Arial" w:hAnsi="Arial" w:cs="Arial"/>
                <w:bCs/>
                <w:sz w:val="14"/>
                <w:szCs w:val="14"/>
              </w:rPr>
              <w:t xml:space="preserve">each pathway </w:t>
            </w:r>
            <w:r w:rsidRPr="000A40A4">
              <w:rPr>
                <w:rFonts w:ascii="Arial" w:hAnsi="Arial" w:cs="Arial"/>
                <w:bCs/>
                <w:i/>
                <w:iCs/>
                <w:sz w:val="14"/>
                <w:szCs w:val="14"/>
              </w:rPr>
              <w:t>consisting of a series</w:t>
            </w:r>
            <w:r w:rsidRPr="000A40A4">
              <w:rPr>
                <w:rFonts w:ascii="Arial" w:hAnsi="Arial" w:cs="Arial"/>
                <w:bCs/>
                <w:i/>
                <w:sz w:val="14"/>
                <w:szCs w:val="14"/>
              </w:rPr>
              <w:t xml:space="preserve"> of measures</w:t>
            </w:r>
            <w:r w:rsidRPr="000A40A4">
              <w:rPr>
                <w:rFonts w:ascii="Arial" w:hAnsi="Arial" w:cs="Arial"/>
                <w:bCs/>
                <w:sz w:val="14"/>
                <w:szCs w:val="14"/>
              </w:rPr>
              <w:t xml:space="preserve">) </w:t>
            </w:r>
            <w:r w:rsidRPr="000A40A4">
              <w:rPr>
                <w:rFonts w:ascii="Arial" w:hAnsi="Arial" w:cs="Arial"/>
                <w:bCs/>
                <w:i/>
                <w:sz w:val="14"/>
                <w:szCs w:val="14"/>
              </w:rPr>
              <w:t>through which the policy-objectives are achieved under changing climate and socioeconomic conditions</w:t>
            </w:r>
            <w:r w:rsidRPr="000A40A4">
              <w:rPr>
                <w:rFonts w:ascii="Arial" w:hAnsi="Arial" w:cs="Arial"/>
                <w:bCs/>
                <w:sz w:val="14"/>
                <w:szCs w:val="14"/>
              </w:rPr>
              <w:t xml:space="preserve"> (</w:t>
            </w:r>
            <w:proofErr w:type="spellStart"/>
            <w:r w:rsidR="005C558F" w:rsidRPr="000A40A4">
              <w:rPr>
                <w:rFonts w:ascii="Arial" w:hAnsi="Arial" w:cs="Arial"/>
                <w:bCs/>
                <w:color w:val="7F7F7F" w:themeColor="text1" w:themeTint="80"/>
                <w:sz w:val="14"/>
                <w:szCs w:val="14"/>
              </w:rPr>
              <w:t>Deltares</w:t>
            </w:r>
            <w:proofErr w:type="spellEnd"/>
            <w:r w:rsidR="005C558F" w:rsidRPr="000A40A4">
              <w:rPr>
                <w:rFonts w:ascii="Arial" w:hAnsi="Arial" w:cs="Arial"/>
                <w:bCs/>
                <w:color w:val="7F7F7F" w:themeColor="text1" w:themeTint="80"/>
                <w:sz w:val="14"/>
                <w:szCs w:val="14"/>
              </w:rPr>
              <w:t xml:space="preserve"> 2018</w:t>
            </w:r>
            <w:r w:rsidRPr="000A40A4">
              <w:rPr>
                <w:rFonts w:ascii="Arial" w:hAnsi="Arial" w:cs="Arial"/>
                <w:bCs/>
                <w:color w:val="7F7F7F" w:themeColor="text1" w:themeTint="80"/>
                <w:sz w:val="14"/>
                <w:szCs w:val="14"/>
              </w:rPr>
              <w:t>, p.4, 3</w:t>
            </w:r>
            <w:r w:rsidRPr="000A40A4">
              <w:rPr>
                <w:rFonts w:ascii="Arial" w:hAnsi="Arial" w:cs="Arial"/>
                <w:bCs/>
                <w:sz w:val="14"/>
                <w:szCs w:val="14"/>
              </w:rPr>
              <w:t xml:space="preserve">). The set of possible pathways mapped out in a map </w:t>
            </w:r>
            <w:r w:rsidRPr="000A40A4">
              <w:rPr>
                <w:rFonts w:ascii="Arial" w:hAnsi="Arial" w:cs="Arial"/>
                <w:bCs/>
                <w:sz w:val="14"/>
                <w:szCs w:val="14"/>
              </w:rPr>
              <w:lastRenderedPageBreak/>
              <w:t xml:space="preserve">provides a range of adaptation options that may be used in future planning, in this way, the APs approach helps to enhance the </w:t>
            </w:r>
            <w:proofErr w:type="gramStart"/>
            <w:r w:rsidRPr="000A40A4">
              <w:rPr>
                <w:rFonts w:ascii="Arial" w:hAnsi="Arial" w:cs="Arial"/>
                <w:bCs/>
                <w:sz w:val="14"/>
                <w:szCs w:val="14"/>
              </w:rPr>
              <w:t>plan’s</w:t>
            </w:r>
            <w:proofErr w:type="gramEnd"/>
            <w:r w:rsidRPr="000A40A4">
              <w:rPr>
                <w:rFonts w:ascii="Arial" w:hAnsi="Arial" w:cs="Arial"/>
                <w:bCs/>
                <w:sz w:val="14"/>
                <w:szCs w:val="14"/>
              </w:rPr>
              <w:t xml:space="preserve"> and the system’s </w:t>
            </w:r>
            <w:r w:rsidRPr="000A40A4">
              <w:rPr>
                <w:rFonts w:ascii="Arial" w:hAnsi="Arial" w:cs="Arial"/>
                <w:bCs/>
                <w:i/>
                <w:iCs/>
                <w:sz w:val="14"/>
                <w:szCs w:val="14"/>
              </w:rPr>
              <w:t>flexibility</w:t>
            </w:r>
            <w:r w:rsidRPr="000A40A4">
              <w:rPr>
                <w:rFonts w:ascii="Arial" w:hAnsi="Arial" w:cs="Arial"/>
                <w:bCs/>
                <w:sz w:val="14"/>
                <w:szCs w:val="14"/>
              </w:rPr>
              <w:t xml:space="preserve"> and </w:t>
            </w:r>
            <w:r w:rsidRPr="000A40A4">
              <w:rPr>
                <w:rFonts w:ascii="Arial" w:hAnsi="Arial" w:cs="Arial"/>
                <w:bCs/>
                <w:i/>
                <w:iCs/>
                <w:sz w:val="14"/>
                <w:szCs w:val="14"/>
              </w:rPr>
              <w:t>adaptability</w:t>
            </w:r>
            <w:r w:rsidRPr="000A40A4">
              <w:rPr>
                <w:rFonts w:ascii="Arial" w:hAnsi="Arial" w:cs="Arial"/>
                <w:bCs/>
                <w:sz w:val="14"/>
                <w:szCs w:val="14"/>
              </w:rPr>
              <w:t xml:space="preserve"> (capacity to adapt to multiple plausible future changes and conditions) (</w:t>
            </w:r>
            <w:proofErr w:type="spellStart"/>
            <w:r w:rsidR="005C558F" w:rsidRPr="000A40A4">
              <w:rPr>
                <w:rFonts w:ascii="Arial" w:hAnsi="Arial" w:cs="Arial"/>
                <w:bCs/>
                <w:color w:val="7F7F7F" w:themeColor="text1" w:themeTint="80"/>
                <w:sz w:val="14"/>
                <w:szCs w:val="14"/>
              </w:rPr>
              <w:t>Deltares</w:t>
            </w:r>
            <w:proofErr w:type="spellEnd"/>
            <w:r w:rsidR="005C558F" w:rsidRPr="000A40A4">
              <w:rPr>
                <w:rFonts w:ascii="Arial" w:hAnsi="Arial" w:cs="Arial"/>
                <w:bCs/>
                <w:color w:val="7F7F7F" w:themeColor="text1" w:themeTint="80"/>
                <w:sz w:val="14"/>
                <w:szCs w:val="14"/>
              </w:rPr>
              <w:t xml:space="preserve"> 2018</w:t>
            </w:r>
            <w:r w:rsidRPr="000A40A4">
              <w:rPr>
                <w:rFonts w:ascii="Arial" w:hAnsi="Arial" w:cs="Arial"/>
                <w:bCs/>
                <w:color w:val="7F7F7F" w:themeColor="text1" w:themeTint="80"/>
                <w:sz w:val="14"/>
                <w:szCs w:val="14"/>
              </w:rPr>
              <w:t>, p. 4, 2</w:t>
            </w:r>
            <w:r w:rsidRPr="000A40A4">
              <w:rPr>
                <w:rFonts w:ascii="Arial" w:hAnsi="Arial" w:cs="Arial"/>
                <w:bCs/>
                <w:sz w:val="14"/>
                <w:szCs w:val="14"/>
              </w:rPr>
              <w:t>).</w:t>
            </w:r>
          </w:p>
          <w:p w14:paraId="70B55F86" w14:textId="77777777" w:rsidR="000A0954" w:rsidRPr="000A40A4" w:rsidRDefault="000A0954" w:rsidP="000A40A4">
            <w:pPr>
              <w:pStyle w:val="TEXTBODY"/>
              <w:spacing w:after="60"/>
              <w:rPr>
                <w:rFonts w:ascii="Arial" w:hAnsi="Arial" w:cs="Arial"/>
                <w:bCs/>
                <w:color w:val="231F20"/>
                <w:sz w:val="14"/>
                <w:szCs w:val="14"/>
              </w:rPr>
            </w:pPr>
            <w:r w:rsidRPr="000A40A4">
              <w:rPr>
                <w:rFonts w:ascii="Arial" w:hAnsi="Arial" w:cs="Arial"/>
                <w:bCs/>
                <w:color w:val="231F20"/>
                <w:sz w:val="14"/>
                <w:szCs w:val="14"/>
              </w:rPr>
              <w:t xml:space="preserve">ADM utilizes the APs method </w:t>
            </w:r>
            <w:r w:rsidRPr="000A40A4">
              <w:rPr>
                <w:rFonts w:ascii="Arial" w:hAnsi="Arial" w:cs="Arial"/>
                <w:bCs/>
                <w:sz w:val="14"/>
                <w:szCs w:val="14"/>
              </w:rPr>
              <w:t xml:space="preserve">as a </w:t>
            </w:r>
            <w:r w:rsidRPr="000A40A4">
              <w:rPr>
                <w:rFonts w:ascii="Arial" w:hAnsi="Arial" w:cs="Arial"/>
                <w:bCs/>
                <w:i/>
                <w:iCs/>
                <w:sz w:val="14"/>
                <w:szCs w:val="14"/>
              </w:rPr>
              <w:t>flexible, adaptive approach</w:t>
            </w:r>
            <w:r w:rsidRPr="000A40A4">
              <w:rPr>
                <w:rFonts w:ascii="Arial" w:hAnsi="Arial" w:cs="Arial"/>
                <w:bCs/>
                <w:sz w:val="14"/>
                <w:szCs w:val="14"/>
              </w:rPr>
              <w:t xml:space="preserve"> for designing strategies under plausible future scenarios, which allows for switching between measures and strategies along the adaptation </w:t>
            </w:r>
            <w:proofErr w:type="gramStart"/>
            <w:r w:rsidRPr="000A40A4">
              <w:rPr>
                <w:rFonts w:ascii="Arial" w:hAnsi="Arial" w:cs="Arial"/>
                <w:bCs/>
                <w:sz w:val="14"/>
                <w:szCs w:val="14"/>
              </w:rPr>
              <w:t>pathways</w:t>
            </w:r>
            <w:proofErr w:type="gramEnd"/>
            <w:r w:rsidRPr="000A40A4">
              <w:rPr>
                <w:rFonts w:ascii="Arial" w:hAnsi="Arial" w:cs="Arial"/>
                <w:bCs/>
                <w:sz w:val="14"/>
                <w:szCs w:val="14"/>
              </w:rPr>
              <w:t xml:space="preserve"> if necessary, in view of socioeconomic developments or CC </w:t>
            </w:r>
            <w:r w:rsidRPr="000A40A4">
              <w:rPr>
                <w:rFonts w:ascii="Arial" w:hAnsi="Arial" w:cs="Arial"/>
                <w:bCs/>
                <w:color w:val="231F20"/>
                <w:sz w:val="14"/>
                <w:szCs w:val="14"/>
              </w:rPr>
              <w:t>(</w:t>
            </w:r>
            <w:r w:rsidRPr="000A40A4">
              <w:rPr>
                <w:rFonts w:ascii="Arial" w:hAnsi="Arial" w:cs="Arial"/>
                <w:bCs/>
                <w:color w:val="7F7F7F" w:themeColor="text1" w:themeTint="80"/>
                <w:sz w:val="14"/>
                <w:szCs w:val="14"/>
              </w:rPr>
              <w:t xml:space="preserve">Haegen and </w:t>
            </w:r>
            <w:proofErr w:type="spellStart"/>
            <w:r w:rsidRPr="000A40A4">
              <w:rPr>
                <w:rFonts w:ascii="Arial" w:hAnsi="Arial" w:cs="Arial"/>
                <w:bCs/>
                <w:color w:val="7F7F7F" w:themeColor="text1" w:themeTint="80"/>
                <w:sz w:val="14"/>
                <w:szCs w:val="14"/>
              </w:rPr>
              <w:t>Wieriks</w:t>
            </w:r>
            <w:proofErr w:type="spellEnd"/>
            <w:r w:rsidRPr="000A40A4">
              <w:rPr>
                <w:rFonts w:ascii="Arial" w:hAnsi="Arial" w:cs="Arial"/>
                <w:bCs/>
                <w:color w:val="7F7F7F" w:themeColor="text1" w:themeTint="80"/>
                <w:sz w:val="14"/>
                <w:szCs w:val="14"/>
              </w:rPr>
              <w:t xml:space="preserve"> 2015, p.56, 50, 54</w:t>
            </w:r>
            <w:r w:rsidRPr="000A40A4">
              <w:rPr>
                <w:rFonts w:ascii="Arial" w:hAnsi="Arial" w:cs="Arial"/>
                <w:bCs/>
                <w:color w:val="231F20"/>
                <w:sz w:val="14"/>
                <w:szCs w:val="14"/>
              </w:rPr>
              <w:t xml:space="preserve">). </w:t>
            </w:r>
            <w:r w:rsidRPr="000A40A4">
              <w:rPr>
                <w:rFonts w:ascii="Arial" w:hAnsi="Arial" w:cs="Arial"/>
                <w:bCs/>
                <w:sz w:val="14"/>
                <w:szCs w:val="14"/>
              </w:rPr>
              <w:t xml:space="preserve">A key step in the ADM process is </w:t>
            </w:r>
            <w:r w:rsidRPr="000A40A4">
              <w:rPr>
                <w:rFonts w:ascii="Arial" w:hAnsi="Arial" w:cs="Arial"/>
                <w:bCs/>
                <w:i/>
                <w:iCs/>
                <w:sz w:val="14"/>
                <w:szCs w:val="14"/>
              </w:rPr>
              <w:t>to develop a set of measures along adaptive pathways</w:t>
            </w:r>
            <w:r w:rsidRPr="000A40A4">
              <w:rPr>
                <w:rFonts w:ascii="Arial" w:hAnsi="Arial" w:cs="Arial"/>
                <w:bCs/>
                <w:sz w:val="14"/>
                <w:szCs w:val="14"/>
              </w:rPr>
              <w:t xml:space="preserve"> </w:t>
            </w:r>
            <w:r w:rsidRPr="000A40A4">
              <w:rPr>
                <w:rFonts w:ascii="Arial" w:hAnsi="Arial" w:cs="Arial"/>
                <w:bCs/>
                <w:color w:val="231F20"/>
                <w:sz w:val="14"/>
                <w:szCs w:val="14"/>
              </w:rPr>
              <w:t>(</w:t>
            </w:r>
            <w:r w:rsidRPr="000A40A4">
              <w:rPr>
                <w:rFonts w:ascii="Arial" w:hAnsi="Arial" w:cs="Arial"/>
                <w:bCs/>
                <w:color w:val="7F7F7F" w:themeColor="text1" w:themeTint="80"/>
                <w:sz w:val="14"/>
                <w:szCs w:val="14"/>
              </w:rPr>
              <w:t xml:space="preserve">Haegen and </w:t>
            </w:r>
            <w:proofErr w:type="spellStart"/>
            <w:r w:rsidRPr="000A40A4">
              <w:rPr>
                <w:rFonts w:ascii="Arial" w:hAnsi="Arial" w:cs="Arial"/>
                <w:bCs/>
                <w:color w:val="7F7F7F" w:themeColor="text1" w:themeTint="80"/>
                <w:sz w:val="14"/>
                <w:szCs w:val="14"/>
              </w:rPr>
              <w:t>Wieriks</w:t>
            </w:r>
            <w:proofErr w:type="spellEnd"/>
            <w:r w:rsidRPr="000A40A4">
              <w:rPr>
                <w:rFonts w:ascii="Arial" w:hAnsi="Arial" w:cs="Arial"/>
                <w:bCs/>
                <w:color w:val="7F7F7F" w:themeColor="text1" w:themeTint="80"/>
                <w:sz w:val="14"/>
                <w:szCs w:val="14"/>
              </w:rPr>
              <w:t xml:space="preserve"> 2015, p.55</w:t>
            </w:r>
            <w:r w:rsidRPr="000A40A4">
              <w:rPr>
                <w:rFonts w:ascii="Arial" w:hAnsi="Arial" w:cs="Arial"/>
                <w:bCs/>
                <w:color w:val="231F20"/>
                <w:sz w:val="14"/>
                <w:szCs w:val="14"/>
              </w:rPr>
              <w:t>).</w:t>
            </w:r>
          </w:p>
          <w:p w14:paraId="791E9A20" w14:textId="77777777"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In sum, in the DP, </w:t>
            </w:r>
            <w:r w:rsidRPr="000A40A4">
              <w:rPr>
                <w:rFonts w:ascii="Arial" w:hAnsi="Arial" w:cs="Arial"/>
                <w:bCs/>
                <w:i/>
                <w:iCs/>
                <w:sz w:val="14"/>
                <w:szCs w:val="14"/>
              </w:rPr>
              <w:t>strategy-making</w:t>
            </w:r>
            <w:r w:rsidRPr="000A40A4">
              <w:rPr>
                <w:rFonts w:ascii="Arial" w:hAnsi="Arial" w:cs="Arial"/>
                <w:bCs/>
                <w:sz w:val="14"/>
                <w:szCs w:val="14"/>
              </w:rPr>
              <w:t xml:space="preserve"> was based on the ADM approach, and ADM builds on an important element to develop strategies: the </w:t>
            </w:r>
            <w:r w:rsidRPr="000A40A4">
              <w:rPr>
                <w:rFonts w:ascii="Arial" w:hAnsi="Arial" w:cs="Arial"/>
                <w:bCs/>
                <w:i/>
                <w:iCs/>
                <w:sz w:val="14"/>
                <w:szCs w:val="14"/>
              </w:rPr>
              <w:t>construction of pathways</w:t>
            </w:r>
            <w:r w:rsidRPr="000A40A4">
              <w:rPr>
                <w:rFonts w:ascii="Arial" w:hAnsi="Arial" w:cs="Arial"/>
                <w:bCs/>
                <w:sz w:val="14"/>
                <w:szCs w:val="14"/>
              </w:rPr>
              <w:t xml:space="preserve">, which, in turn, implied assessing the flexibility of measures and pathways, and scanning options to keep open – both aspects are patent the </w:t>
            </w:r>
            <w:r w:rsidRPr="000A40A4">
              <w:rPr>
                <w:rFonts w:ascii="Arial" w:hAnsi="Arial" w:cs="Arial"/>
                <w:bCs/>
                <w:i/>
                <w:iCs/>
                <w:sz w:val="14"/>
                <w:szCs w:val="14"/>
              </w:rPr>
              <w:t>Strategies</w:t>
            </w:r>
            <w:r w:rsidRPr="000A40A4">
              <w:rPr>
                <w:rFonts w:ascii="Arial" w:hAnsi="Arial" w:cs="Arial"/>
                <w:bCs/>
                <w:sz w:val="14"/>
                <w:szCs w:val="14"/>
              </w:rPr>
              <w:t xml:space="preserve"> for FRM of the DP (</w:t>
            </w:r>
            <w:r w:rsidRPr="000A40A4">
              <w:rPr>
                <w:rFonts w:ascii="Arial" w:hAnsi="Arial" w:cs="Arial"/>
                <w:bCs/>
                <w:color w:val="7F7F7F" w:themeColor="text1" w:themeTint="80"/>
                <w:sz w:val="14"/>
                <w:szCs w:val="14"/>
              </w:rPr>
              <w:t>Zandvoort et al. 2018, p.190, 189, 191</w:t>
            </w:r>
            <w:r w:rsidRPr="000A40A4">
              <w:rPr>
                <w:rFonts w:ascii="Arial" w:hAnsi="Arial" w:cs="Arial"/>
                <w:bCs/>
                <w:sz w:val="14"/>
                <w:szCs w:val="14"/>
              </w:rPr>
              <w:t>). The main outcome of ADM was a single pathway, or a set of pathways, with which it was possible to schedule measures in the face of uncertain future change – that is, ADM ‘</w:t>
            </w:r>
            <w:r w:rsidRPr="000A40A4">
              <w:rPr>
                <w:rFonts w:ascii="Arial" w:hAnsi="Arial" w:cs="Arial"/>
                <w:bCs/>
                <w:i/>
                <w:sz w:val="14"/>
                <w:szCs w:val="14"/>
              </w:rPr>
              <w:t>leads to a composite strategy, or a set of alternative strategies with intermediate possibilities for revisions</w:t>
            </w:r>
            <w:r w:rsidRPr="000A40A4">
              <w:rPr>
                <w:rFonts w:ascii="Arial" w:hAnsi="Arial" w:cs="Arial"/>
                <w:bCs/>
                <w:sz w:val="14"/>
                <w:szCs w:val="14"/>
              </w:rPr>
              <w:t>’ (</w:t>
            </w:r>
            <w:r w:rsidRPr="000A40A4">
              <w:rPr>
                <w:rFonts w:ascii="Arial" w:hAnsi="Arial" w:cs="Arial"/>
                <w:bCs/>
                <w:color w:val="7F7F7F" w:themeColor="text1" w:themeTint="80"/>
                <w:sz w:val="14"/>
                <w:szCs w:val="14"/>
              </w:rPr>
              <w:t xml:space="preserve">Rhee 2012, p.14, </w:t>
            </w:r>
            <w:r w:rsidRPr="000A40A4">
              <w:rPr>
                <w:rFonts w:ascii="Arial" w:hAnsi="Arial" w:cs="Arial"/>
                <w:bCs/>
                <w:i/>
                <w:iCs/>
                <w:color w:val="7F7F7F" w:themeColor="text1" w:themeTint="80"/>
                <w:sz w:val="14"/>
                <w:szCs w:val="14"/>
              </w:rPr>
              <w:t xml:space="preserve">in </w:t>
            </w:r>
            <w:r w:rsidRPr="000A40A4">
              <w:rPr>
                <w:rFonts w:ascii="Arial" w:hAnsi="Arial" w:cs="Arial"/>
                <w:bCs/>
                <w:color w:val="7F7F7F" w:themeColor="text1" w:themeTint="80"/>
                <w:sz w:val="14"/>
                <w:szCs w:val="14"/>
              </w:rPr>
              <w:t>Zandvoort et al. 2018, p.191</w:t>
            </w:r>
            <w:r w:rsidRPr="000A40A4">
              <w:rPr>
                <w:rFonts w:ascii="Arial" w:hAnsi="Arial" w:cs="Arial"/>
                <w:bCs/>
                <w:sz w:val="14"/>
                <w:szCs w:val="14"/>
              </w:rPr>
              <w:t>).</w:t>
            </w:r>
          </w:p>
          <w:p w14:paraId="260BC6F8" w14:textId="77777777"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The </w:t>
            </w:r>
            <w:r w:rsidRPr="000A40A4">
              <w:rPr>
                <w:rFonts w:ascii="Arial" w:hAnsi="Arial" w:cs="Arial"/>
                <w:bCs/>
                <w:i/>
                <w:iCs/>
                <w:sz w:val="14"/>
                <w:szCs w:val="14"/>
              </w:rPr>
              <w:t>Preferential Strategies</w:t>
            </w:r>
            <w:r w:rsidRPr="000A40A4">
              <w:rPr>
                <w:rFonts w:ascii="Arial" w:hAnsi="Arial" w:cs="Arial"/>
                <w:bCs/>
                <w:sz w:val="14"/>
                <w:szCs w:val="14"/>
              </w:rPr>
              <w:t xml:space="preserve"> were developed on the basis of the four </w:t>
            </w:r>
            <w:r w:rsidRPr="000A40A4">
              <w:rPr>
                <w:rFonts w:ascii="Arial" w:hAnsi="Arial" w:cs="Arial"/>
                <w:bCs/>
                <w:i/>
                <w:iCs/>
                <w:sz w:val="14"/>
                <w:szCs w:val="14"/>
              </w:rPr>
              <w:t>Delta Scenarios</w:t>
            </w:r>
            <w:r w:rsidRPr="000A40A4">
              <w:rPr>
                <w:rFonts w:ascii="Arial" w:hAnsi="Arial" w:cs="Arial"/>
                <w:bCs/>
                <w:sz w:val="14"/>
                <w:szCs w:val="14"/>
              </w:rPr>
              <w:t xml:space="preserve">, but they are, by nature, </w:t>
            </w:r>
            <w:r w:rsidRPr="000A40A4">
              <w:rPr>
                <w:rFonts w:ascii="Arial" w:hAnsi="Arial" w:cs="Arial"/>
                <w:bCs/>
                <w:i/>
                <w:iCs/>
                <w:sz w:val="14"/>
                <w:szCs w:val="14"/>
              </w:rPr>
              <w:t>adaptive</w:t>
            </w:r>
            <w:r w:rsidRPr="000A40A4">
              <w:rPr>
                <w:rFonts w:ascii="Arial" w:hAnsi="Arial" w:cs="Arial"/>
                <w:bCs/>
                <w:sz w:val="14"/>
                <w:szCs w:val="14"/>
              </w:rPr>
              <w:t>: they can be adapted</w:t>
            </w:r>
            <w:r w:rsidRPr="000A40A4">
              <w:rPr>
                <w:rFonts w:ascii="Arial" w:hAnsi="Arial" w:cs="Arial"/>
                <w:bCs/>
                <w:i/>
                <w:iCs/>
                <w:sz w:val="14"/>
                <w:szCs w:val="14"/>
              </w:rPr>
              <w:t xml:space="preserve"> to</w:t>
            </w:r>
            <w:r w:rsidRPr="000A40A4">
              <w:rPr>
                <w:rFonts w:ascii="Arial" w:hAnsi="Arial" w:cs="Arial"/>
                <w:bCs/>
                <w:sz w:val="14"/>
                <w:szCs w:val="14"/>
              </w:rPr>
              <w:t xml:space="preserve"> </w:t>
            </w:r>
            <w:r w:rsidRPr="000A40A4">
              <w:rPr>
                <w:rFonts w:ascii="Arial" w:hAnsi="Arial" w:cs="Arial"/>
                <w:bCs/>
                <w:i/>
                <w:iCs/>
                <w:sz w:val="14"/>
                <w:szCs w:val="14"/>
              </w:rPr>
              <w:t>slower and faster CC</w:t>
            </w:r>
            <w:r w:rsidRPr="000A40A4">
              <w:rPr>
                <w:rFonts w:ascii="Arial" w:hAnsi="Arial" w:cs="Arial"/>
                <w:bCs/>
                <w:sz w:val="14"/>
                <w:szCs w:val="14"/>
              </w:rPr>
              <w:t xml:space="preserve"> than expected in the </w:t>
            </w:r>
            <w:r w:rsidRPr="000A40A4">
              <w:rPr>
                <w:rFonts w:ascii="Arial" w:hAnsi="Arial" w:cs="Arial"/>
                <w:bCs/>
                <w:i/>
                <w:iCs/>
                <w:sz w:val="14"/>
                <w:szCs w:val="14"/>
              </w:rPr>
              <w:t>Delta Scenarios</w:t>
            </w:r>
            <w:r w:rsidRPr="000A40A4">
              <w:rPr>
                <w:rFonts w:ascii="Arial" w:hAnsi="Arial" w:cs="Arial"/>
                <w:bCs/>
                <w:sz w:val="14"/>
                <w:szCs w:val="14"/>
              </w:rPr>
              <w:t>; for example,</w:t>
            </w:r>
            <w:r w:rsidRPr="000A40A4">
              <w:rPr>
                <w:rFonts w:ascii="Arial" w:hAnsi="Arial" w:cs="Arial"/>
                <w:bCs/>
                <w:i/>
                <w:iCs/>
                <w:sz w:val="14"/>
                <w:szCs w:val="14"/>
              </w:rPr>
              <w:t xml:space="preserve"> by accelerating or slowing down the implementation of measures</w:t>
            </w:r>
            <w:r w:rsidRPr="000A40A4">
              <w:rPr>
                <w:rFonts w:ascii="Arial" w:hAnsi="Arial" w:cs="Arial"/>
                <w:bCs/>
                <w:sz w:val="14"/>
                <w:szCs w:val="14"/>
              </w:rPr>
              <w:t>, that is, the strategies, and / or measures within them, may be advanced or postponed in time, and also adjusted in terms of scope and design (</w:t>
            </w:r>
            <w:r w:rsidRPr="000A40A4">
              <w:rPr>
                <w:rFonts w:ascii="Arial" w:hAnsi="Arial" w:cs="Arial"/>
                <w:bCs/>
                <w:color w:val="7F7F7F" w:themeColor="text1" w:themeTint="80"/>
                <w:sz w:val="14"/>
                <w:szCs w:val="14"/>
              </w:rPr>
              <w:t>DP 2014, p.136</w:t>
            </w:r>
            <w:r w:rsidRPr="000A40A4">
              <w:rPr>
                <w:rFonts w:ascii="Arial" w:hAnsi="Arial" w:cs="Arial"/>
                <w:bCs/>
                <w:sz w:val="14"/>
                <w:szCs w:val="14"/>
              </w:rPr>
              <w:t xml:space="preserve">). As the climatological and socioeconomic circumstances may turn out differently than expected in the </w:t>
            </w:r>
            <w:r w:rsidRPr="000A40A4">
              <w:rPr>
                <w:rFonts w:ascii="Arial" w:hAnsi="Arial" w:cs="Arial"/>
                <w:bCs/>
                <w:i/>
                <w:iCs/>
                <w:sz w:val="14"/>
                <w:szCs w:val="14"/>
              </w:rPr>
              <w:t>Delta Scenarios</w:t>
            </w:r>
            <w:r w:rsidRPr="000A40A4">
              <w:rPr>
                <w:rFonts w:ascii="Arial" w:hAnsi="Arial" w:cs="Arial"/>
                <w:bCs/>
                <w:sz w:val="14"/>
                <w:szCs w:val="14"/>
              </w:rPr>
              <w:t xml:space="preserve">, and the </w:t>
            </w:r>
            <w:r w:rsidRPr="000A40A4">
              <w:rPr>
                <w:rFonts w:ascii="Arial" w:hAnsi="Arial" w:cs="Arial"/>
                <w:bCs/>
                <w:i/>
                <w:iCs/>
                <w:sz w:val="14"/>
                <w:szCs w:val="14"/>
              </w:rPr>
              <w:t>Delta Scenarios</w:t>
            </w:r>
            <w:r w:rsidRPr="000A40A4">
              <w:rPr>
                <w:rFonts w:ascii="Arial" w:hAnsi="Arial" w:cs="Arial"/>
                <w:bCs/>
                <w:sz w:val="14"/>
                <w:szCs w:val="14"/>
              </w:rPr>
              <w:t xml:space="preserve"> may be periodically updated over time, the </w:t>
            </w:r>
            <w:r w:rsidRPr="000A40A4">
              <w:rPr>
                <w:rFonts w:ascii="Arial" w:hAnsi="Arial" w:cs="Arial"/>
                <w:bCs/>
                <w:i/>
                <w:iCs/>
                <w:sz w:val="14"/>
                <w:szCs w:val="14"/>
              </w:rPr>
              <w:t>Preferential Strategies</w:t>
            </w:r>
            <w:r w:rsidRPr="000A40A4">
              <w:rPr>
                <w:rFonts w:ascii="Arial" w:hAnsi="Arial" w:cs="Arial"/>
                <w:bCs/>
                <w:sz w:val="14"/>
                <w:szCs w:val="14"/>
              </w:rPr>
              <w:t xml:space="preserve"> were designed to be </w:t>
            </w:r>
            <w:r w:rsidRPr="000A40A4">
              <w:rPr>
                <w:rFonts w:ascii="Arial" w:hAnsi="Arial" w:cs="Arial"/>
                <w:bCs/>
                <w:i/>
                <w:iCs/>
                <w:sz w:val="14"/>
                <w:szCs w:val="14"/>
              </w:rPr>
              <w:t xml:space="preserve">adaptive </w:t>
            </w:r>
            <w:r w:rsidRPr="000A40A4">
              <w:rPr>
                <w:rFonts w:ascii="Arial" w:hAnsi="Arial" w:cs="Arial"/>
                <w:bCs/>
                <w:sz w:val="14"/>
                <w:szCs w:val="14"/>
              </w:rPr>
              <w:t xml:space="preserve">and </w:t>
            </w:r>
            <w:r w:rsidRPr="000A40A4">
              <w:rPr>
                <w:rFonts w:ascii="Arial" w:hAnsi="Arial" w:cs="Arial"/>
                <w:bCs/>
                <w:i/>
                <w:iCs/>
                <w:sz w:val="14"/>
                <w:szCs w:val="14"/>
              </w:rPr>
              <w:t>resistant to slower and faster CC</w:t>
            </w:r>
            <w:r w:rsidRPr="000A40A4">
              <w:rPr>
                <w:rFonts w:ascii="Arial" w:hAnsi="Arial" w:cs="Arial"/>
                <w:bCs/>
                <w:sz w:val="14"/>
                <w:szCs w:val="14"/>
              </w:rPr>
              <w:t xml:space="preserve"> than the expected (</w:t>
            </w:r>
            <w:r w:rsidRPr="000A40A4">
              <w:rPr>
                <w:rFonts w:ascii="Arial" w:hAnsi="Arial" w:cs="Arial"/>
                <w:bCs/>
                <w:color w:val="7F7F7F" w:themeColor="text1" w:themeTint="80"/>
                <w:sz w:val="14"/>
                <w:szCs w:val="14"/>
              </w:rPr>
              <w:t>DP 2014, p.168, 136; 2016, p.6</w:t>
            </w:r>
            <w:r w:rsidRPr="000A40A4">
              <w:rPr>
                <w:rFonts w:ascii="Arial" w:hAnsi="Arial" w:cs="Arial"/>
                <w:bCs/>
                <w:sz w:val="14"/>
                <w:szCs w:val="14"/>
              </w:rPr>
              <w:t>).</w:t>
            </w:r>
          </w:p>
          <w:p w14:paraId="2CDCEFFC" w14:textId="77777777"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The APs method contributed to safeguard / ensure </w:t>
            </w:r>
            <w:r w:rsidRPr="000A40A4">
              <w:rPr>
                <w:rFonts w:ascii="Arial" w:hAnsi="Arial" w:cs="Arial"/>
                <w:bCs/>
                <w:i/>
                <w:iCs/>
                <w:sz w:val="14"/>
                <w:szCs w:val="14"/>
              </w:rPr>
              <w:t>robustness</w:t>
            </w:r>
            <w:r w:rsidRPr="000A40A4">
              <w:rPr>
                <w:rFonts w:ascii="Arial" w:hAnsi="Arial" w:cs="Arial"/>
                <w:bCs/>
                <w:sz w:val="14"/>
                <w:szCs w:val="14"/>
              </w:rPr>
              <w:t xml:space="preserve"> and </w:t>
            </w:r>
            <w:r w:rsidRPr="000A40A4">
              <w:rPr>
                <w:rFonts w:ascii="Arial" w:hAnsi="Arial" w:cs="Arial"/>
                <w:bCs/>
                <w:i/>
                <w:iCs/>
                <w:sz w:val="14"/>
                <w:szCs w:val="14"/>
              </w:rPr>
              <w:t xml:space="preserve">flexibility </w:t>
            </w:r>
            <w:r w:rsidRPr="000A40A4">
              <w:rPr>
                <w:rFonts w:ascii="Arial" w:hAnsi="Arial" w:cs="Arial"/>
                <w:bCs/>
                <w:sz w:val="14"/>
                <w:szCs w:val="14"/>
              </w:rPr>
              <w:t xml:space="preserve">in the </w:t>
            </w:r>
            <w:r w:rsidRPr="000A40A4">
              <w:rPr>
                <w:rFonts w:ascii="Arial" w:hAnsi="Arial" w:cs="Arial"/>
                <w:bCs/>
                <w:i/>
                <w:iCs/>
                <w:sz w:val="14"/>
                <w:szCs w:val="14"/>
              </w:rPr>
              <w:t xml:space="preserve">Strategies. </w:t>
            </w:r>
            <w:r w:rsidRPr="000A40A4">
              <w:rPr>
                <w:rFonts w:ascii="Arial" w:hAnsi="Arial" w:cs="Arial"/>
                <w:bCs/>
                <w:sz w:val="14"/>
                <w:szCs w:val="14"/>
              </w:rPr>
              <w:t>With the APs approach, the Subprogrammes could envision alternative measures and possibilities for switching between them through adaptation pathways, and devise measures for the short-term linked (coupled) with long-term possible alternatives (options)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et al. 2014, p.1</w:t>
            </w:r>
            <w:r w:rsidRPr="000A40A4">
              <w:rPr>
                <w:rFonts w:ascii="Arial" w:hAnsi="Arial" w:cs="Arial"/>
                <w:bCs/>
                <w:sz w:val="14"/>
                <w:szCs w:val="14"/>
              </w:rPr>
              <w:t>). The APs approach served to explore possible measures and options, and possibilities for switching from one option to another in the future, and, in this way, remain flexible – thus, it enhanced the</w:t>
            </w:r>
            <w:r w:rsidRPr="000A40A4">
              <w:rPr>
                <w:rFonts w:ascii="Arial" w:hAnsi="Arial" w:cs="Arial"/>
                <w:bCs/>
                <w:i/>
                <w:iCs/>
                <w:sz w:val="14"/>
                <w:szCs w:val="14"/>
              </w:rPr>
              <w:t xml:space="preserve"> flexibility</w:t>
            </w:r>
            <w:r w:rsidRPr="000A40A4">
              <w:rPr>
                <w:rFonts w:ascii="Arial" w:hAnsi="Arial" w:cs="Arial"/>
                <w:bCs/>
                <w:sz w:val="14"/>
                <w:szCs w:val="14"/>
              </w:rPr>
              <w:t xml:space="preserve"> of each general </w:t>
            </w:r>
            <w:r w:rsidRPr="000A40A4">
              <w:rPr>
                <w:rFonts w:ascii="Arial" w:hAnsi="Arial" w:cs="Arial"/>
                <w:bCs/>
                <w:i/>
                <w:iCs/>
                <w:sz w:val="14"/>
                <w:szCs w:val="14"/>
              </w:rPr>
              <w:t>Strategy</w:t>
            </w:r>
            <w:r w:rsidRPr="000A40A4">
              <w:rPr>
                <w:rFonts w:ascii="Arial" w:hAnsi="Arial" w:cs="Arial"/>
                <w:bCs/>
                <w:sz w:val="14"/>
                <w:szCs w:val="14"/>
              </w:rPr>
              <w:t>. By using the APs, it was possible develop, a ‘</w:t>
            </w:r>
            <w:r w:rsidRPr="000A40A4">
              <w:rPr>
                <w:rFonts w:ascii="Arial" w:hAnsi="Arial" w:cs="Arial"/>
                <w:bCs/>
                <w:i/>
                <w:iCs/>
                <w:sz w:val="14"/>
                <w:szCs w:val="14"/>
              </w:rPr>
              <w:t>robust and flexible</w:t>
            </w:r>
            <w:r w:rsidRPr="000A40A4">
              <w:rPr>
                <w:rFonts w:ascii="Arial" w:hAnsi="Arial" w:cs="Arial"/>
                <w:bCs/>
                <w:sz w:val="14"/>
                <w:szCs w:val="14"/>
              </w:rPr>
              <w:t xml:space="preserve">’ set of measures – or, precisely, </w:t>
            </w:r>
            <w:r w:rsidRPr="000A40A4">
              <w:rPr>
                <w:rFonts w:ascii="Arial" w:hAnsi="Arial" w:cs="Arial"/>
                <w:bCs/>
                <w:i/>
                <w:iCs/>
                <w:sz w:val="14"/>
                <w:szCs w:val="14"/>
              </w:rPr>
              <w:t>sets</w:t>
            </w:r>
            <w:r w:rsidRPr="000A40A4">
              <w:rPr>
                <w:rFonts w:ascii="Arial" w:hAnsi="Arial" w:cs="Arial"/>
                <w:bCs/>
                <w:sz w:val="14"/>
                <w:szCs w:val="14"/>
              </w:rPr>
              <w:t xml:space="preserve"> – each </w:t>
            </w:r>
            <w:r w:rsidRPr="000A40A4">
              <w:rPr>
                <w:rFonts w:ascii="Arial" w:hAnsi="Arial" w:cs="Arial"/>
                <w:bCs/>
                <w:i/>
                <w:iCs/>
                <w:sz w:val="14"/>
                <w:szCs w:val="14"/>
              </w:rPr>
              <w:t>set</w:t>
            </w:r>
            <w:r w:rsidRPr="000A40A4">
              <w:rPr>
                <w:rFonts w:ascii="Arial" w:hAnsi="Arial" w:cs="Arial"/>
                <w:bCs/>
                <w:sz w:val="14"/>
                <w:szCs w:val="14"/>
              </w:rPr>
              <w:t xml:space="preserve"> as an adaptation pathway. The map of </w:t>
            </w:r>
            <w:r w:rsidRPr="000A40A4">
              <w:rPr>
                <w:rFonts w:ascii="Arial" w:hAnsi="Arial" w:cs="Arial"/>
                <w:bCs/>
                <w:i/>
                <w:iCs/>
                <w:sz w:val="14"/>
                <w:szCs w:val="14"/>
              </w:rPr>
              <w:t>adaptation paths</w:t>
            </w:r>
            <w:r w:rsidRPr="000A40A4">
              <w:rPr>
                <w:rFonts w:ascii="Arial" w:hAnsi="Arial" w:cs="Arial"/>
                <w:bCs/>
                <w:sz w:val="14"/>
                <w:szCs w:val="14"/>
              </w:rPr>
              <w:t xml:space="preserve"> shows the measures available, including options for switching in the future, and when it is necessary to switch of measure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et al. 2014, p.10</w:t>
            </w:r>
            <w:r w:rsidRPr="000A40A4">
              <w:rPr>
                <w:rFonts w:ascii="Arial" w:hAnsi="Arial" w:cs="Arial"/>
                <w:bCs/>
                <w:sz w:val="14"/>
                <w:szCs w:val="14"/>
              </w:rPr>
              <w:t>).</w:t>
            </w:r>
          </w:p>
          <w:p w14:paraId="32EF72DC" w14:textId="652D0FDE"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The APs method served to develop a </w:t>
            </w:r>
            <w:r w:rsidRPr="000A40A4">
              <w:rPr>
                <w:rFonts w:ascii="Arial" w:hAnsi="Arial" w:cs="Arial"/>
                <w:bCs/>
                <w:i/>
                <w:iCs/>
                <w:sz w:val="14"/>
                <w:szCs w:val="14"/>
              </w:rPr>
              <w:t>robust and flexible strategy</w:t>
            </w:r>
            <w:r w:rsidRPr="000A40A4">
              <w:rPr>
                <w:rFonts w:ascii="Arial" w:hAnsi="Arial" w:cs="Arial"/>
                <w:bCs/>
                <w:sz w:val="14"/>
                <w:szCs w:val="14"/>
              </w:rPr>
              <w:t xml:space="preserve"> for FRM; the development of pathways delivered </w:t>
            </w:r>
            <w:r w:rsidRPr="000A40A4">
              <w:rPr>
                <w:rFonts w:ascii="Arial" w:hAnsi="Arial" w:cs="Arial"/>
                <w:bCs/>
                <w:i/>
                <w:iCs/>
                <w:sz w:val="14"/>
                <w:szCs w:val="14"/>
              </w:rPr>
              <w:t>flexibility</w:t>
            </w:r>
            <w:r w:rsidRPr="000A40A4">
              <w:rPr>
                <w:rFonts w:ascii="Arial" w:hAnsi="Arial" w:cs="Arial"/>
                <w:bCs/>
                <w:sz w:val="14"/>
                <w:szCs w:val="14"/>
              </w:rPr>
              <w:t xml:space="preserve"> in several ways, namely: the strategies (paths) can be accelerated / slowed down, changed or adjusted, e.g. by shifting from one measure to another available, by using other options that are kept open</w:t>
            </w:r>
            <w:r w:rsidRPr="000A40A4">
              <w:rPr>
                <w:rFonts w:ascii="Arial" w:hAnsi="Arial" w:cs="Arial"/>
                <w:bCs/>
                <w:color w:val="00B050"/>
                <w:sz w:val="14"/>
                <w:szCs w:val="14"/>
              </w:rPr>
              <w:t xml:space="preserve"> </w:t>
            </w:r>
            <w:r w:rsidRPr="000A40A4">
              <w:rPr>
                <w:rFonts w:ascii="Arial" w:hAnsi="Arial" w:cs="Arial"/>
                <w:bCs/>
                <w:sz w:val="14"/>
                <w:szCs w:val="14"/>
              </w:rPr>
              <w:t>(</w:t>
            </w:r>
            <w:proofErr w:type="spellStart"/>
            <w:r w:rsidRPr="000A40A4">
              <w:rPr>
                <w:rFonts w:ascii="Arial" w:hAnsi="Arial" w:cs="Arial"/>
                <w:bCs/>
                <w:color w:val="7F7F7F" w:themeColor="text1" w:themeTint="80"/>
                <w:sz w:val="14"/>
                <w:szCs w:val="14"/>
              </w:rPr>
              <w:t>Gersonius</w:t>
            </w:r>
            <w:proofErr w:type="spellEnd"/>
            <w:r w:rsidRPr="000A40A4">
              <w:rPr>
                <w:rFonts w:ascii="Arial" w:hAnsi="Arial" w:cs="Arial"/>
                <w:bCs/>
                <w:color w:val="7F7F7F" w:themeColor="text1" w:themeTint="80"/>
                <w:sz w:val="14"/>
                <w:szCs w:val="14"/>
              </w:rPr>
              <w:t xml:space="preserve"> et al. 2016 p.212</w:t>
            </w:r>
            <w:r w:rsidRPr="000A40A4">
              <w:rPr>
                <w:rFonts w:ascii="Arial" w:hAnsi="Arial" w:cs="Arial"/>
                <w:bCs/>
                <w:sz w:val="14"/>
                <w:szCs w:val="14"/>
              </w:rPr>
              <w:t>).</w:t>
            </w:r>
          </w:p>
          <w:p w14:paraId="2716335F" w14:textId="77777777"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It can, therefore, be concluded that developing a </w:t>
            </w:r>
            <w:r w:rsidRPr="000A40A4">
              <w:rPr>
                <w:rFonts w:ascii="Arial" w:hAnsi="Arial" w:cs="Arial"/>
                <w:bCs/>
                <w:i/>
                <w:iCs/>
                <w:sz w:val="14"/>
                <w:szCs w:val="14"/>
              </w:rPr>
              <w:t xml:space="preserve">robust </w:t>
            </w:r>
            <w:r w:rsidRPr="000A40A4">
              <w:rPr>
                <w:rFonts w:ascii="Arial" w:hAnsi="Arial" w:cs="Arial"/>
                <w:bCs/>
                <w:sz w:val="14"/>
                <w:szCs w:val="14"/>
              </w:rPr>
              <w:t>and</w:t>
            </w:r>
            <w:r w:rsidRPr="000A40A4">
              <w:rPr>
                <w:rFonts w:ascii="Arial" w:hAnsi="Arial" w:cs="Arial"/>
                <w:bCs/>
                <w:i/>
                <w:iCs/>
                <w:sz w:val="14"/>
                <w:szCs w:val="14"/>
              </w:rPr>
              <w:t xml:space="preserve"> flexible</w:t>
            </w:r>
            <w:r w:rsidRPr="000A40A4">
              <w:rPr>
                <w:rFonts w:ascii="Arial" w:hAnsi="Arial" w:cs="Arial"/>
                <w:bCs/>
                <w:sz w:val="14"/>
                <w:szCs w:val="14"/>
              </w:rPr>
              <w:t xml:space="preserve"> set of measures, to deal with uncertain future changes, (with) through the method of </w:t>
            </w:r>
            <w:r w:rsidRPr="000A40A4">
              <w:rPr>
                <w:rFonts w:ascii="Arial" w:hAnsi="Arial" w:cs="Arial"/>
                <w:bCs/>
                <w:i/>
                <w:iCs/>
                <w:sz w:val="14"/>
                <w:szCs w:val="14"/>
              </w:rPr>
              <w:t>Adaptation Pathways</w:t>
            </w:r>
            <w:r w:rsidRPr="000A40A4">
              <w:rPr>
                <w:rFonts w:ascii="Arial" w:hAnsi="Arial" w:cs="Arial"/>
                <w:bCs/>
                <w:sz w:val="14"/>
                <w:szCs w:val="14"/>
              </w:rPr>
              <w:t xml:space="preserve"> (APs) is other </w:t>
            </w:r>
            <w:proofErr w:type="gramStart"/>
            <w:r w:rsidRPr="000A40A4">
              <w:rPr>
                <w:rFonts w:ascii="Arial" w:hAnsi="Arial" w:cs="Arial"/>
                <w:bCs/>
                <w:sz w:val="14"/>
                <w:szCs w:val="14"/>
              </w:rPr>
              <w:t>key-element</w:t>
            </w:r>
            <w:proofErr w:type="gramEnd"/>
            <w:r w:rsidRPr="000A40A4">
              <w:rPr>
                <w:rFonts w:ascii="Arial" w:hAnsi="Arial" w:cs="Arial"/>
                <w:bCs/>
                <w:sz w:val="14"/>
                <w:szCs w:val="14"/>
              </w:rPr>
              <w:t xml:space="preserve"> of ADM that has been essential to draw up (make) each </w:t>
            </w:r>
            <w:r w:rsidRPr="000A40A4">
              <w:rPr>
                <w:rFonts w:ascii="Arial" w:hAnsi="Arial" w:cs="Arial"/>
                <w:bCs/>
                <w:i/>
                <w:iCs/>
                <w:sz w:val="14"/>
                <w:szCs w:val="14"/>
              </w:rPr>
              <w:t>Strategy</w:t>
            </w:r>
            <w:r w:rsidRPr="000A40A4">
              <w:rPr>
                <w:rFonts w:ascii="Arial" w:hAnsi="Arial" w:cs="Arial"/>
                <w:bCs/>
                <w:sz w:val="14"/>
                <w:szCs w:val="14"/>
              </w:rPr>
              <w:t xml:space="preserve"> as a </w:t>
            </w:r>
            <w:r w:rsidRPr="000A40A4">
              <w:rPr>
                <w:rFonts w:ascii="Arial" w:hAnsi="Arial" w:cs="Arial"/>
                <w:bCs/>
                <w:i/>
                <w:iCs/>
                <w:sz w:val="14"/>
                <w:szCs w:val="14"/>
              </w:rPr>
              <w:t>robust adaptive strategy</w:t>
            </w:r>
            <w:r w:rsidRPr="000A40A4">
              <w:rPr>
                <w:rFonts w:ascii="Arial" w:hAnsi="Arial" w:cs="Arial"/>
                <w:bCs/>
                <w:sz w:val="14"/>
                <w:szCs w:val="14"/>
              </w:rPr>
              <w:t>,</w:t>
            </w:r>
            <w:r w:rsidRPr="000A40A4">
              <w:rPr>
                <w:rFonts w:ascii="Arial" w:hAnsi="Arial" w:cs="Arial"/>
                <w:bCs/>
                <w:i/>
                <w:iCs/>
                <w:sz w:val="14"/>
                <w:szCs w:val="14"/>
              </w:rPr>
              <w:t xml:space="preserve"> </w:t>
            </w:r>
            <w:r w:rsidRPr="000A40A4">
              <w:rPr>
                <w:rFonts w:ascii="Arial" w:hAnsi="Arial" w:cs="Arial"/>
                <w:bCs/>
                <w:sz w:val="14"/>
                <w:szCs w:val="14"/>
              </w:rPr>
              <w:t>and to operationalize a real</w:t>
            </w:r>
            <w:r w:rsidRPr="000A40A4">
              <w:rPr>
                <w:rFonts w:ascii="Arial" w:hAnsi="Arial" w:cs="Arial"/>
                <w:bCs/>
                <w:i/>
                <w:iCs/>
                <w:sz w:val="14"/>
                <w:szCs w:val="14"/>
              </w:rPr>
              <w:t xml:space="preserve"> Adaptive Delta Planning and Management. </w:t>
            </w:r>
            <w:r w:rsidRPr="000A40A4">
              <w:rPr>
                <w:rFonts w:ascii="Arial" w:hAnsi="Arial" w:cs="Arial"/>
                <w:bCs/>
                <w:sz w:val="14"/>
                <w:szCs w:val="14"/>
              </w:rPr>
              <w:t xml:space="preserve">More precisely, the development (design) of </w:t>
            </w:r>
            <w:r w:rsidRPr="000A40A4">
              <w:rPr>
                <w:rFonts w:ascii="Arial" w:hAnsi="Arial" w:cs="Arial"/>
                <w:bCs/>
                <w:i/>
                <w:iCs/>
                <w:sz w:val="14"/>
                <w:szCs w:val="14"/>
              </w:rPr>
              <w:t xml:space="preserve">robust flexible strategies </w:t>
            </w:r>
            <w:r w:rsidRPr="000A40A4">
              <w:rPr>
                <w:rFonts w:ascii="Arial" w:hAnsi="Arial" w:cs="Arial"/>
                <w:bCs/>
                <w:sz w:val="14"/>
                <w:szCs w:val="14"/>
              </w:rPr>
              <w:t xml:space="preserve">– each strategy as a </w:t>
            </w:r>
            <w:r w:rsidRPr="000A40A4">
              <w:rPr>
                <w:rFonts w:ascii="Arial" w:hAnsi="Arial" w:cs="Arial"/>
                <w:bCs/>
                <w:i/>
                <w:iCs/>
                <w:sz w:val="14"/>
                <w:szCs w:val="14"/>
              </w:rPr>
              <w:t>robust flexible</w:t>
            </w:r>
            <w:r w:rsidRPr="000A40A4">
              <w:rPr>
                <w:rFonts w:ascii="Arial" w:hAnsi="Arial" w:cs="Arial"/>
                <w:bCs/>
                <w:sz w:val="14"/>
                <w:szCs w:val="14"/>
              </w:rPr>
              <w:t xml:space="preserve"> </w:t>
            </w:r>
            <w:r w:rsidRPr="000A40A4">
              <w:rPr>
                <w:rFonts w:ascii="Arial" w:hAnsi="Arial" w:cs="Arial"/>
                <w:bCs/>
                <w:i/>
                <w:iCs/>
                <w:sz w:val="14"/>
                <w:szCs w:val="14"/>
              </w:rPr>
              <w:t>set</w:t>
            </w:r>
            <w:r w:rsidRPr="000A40A4">
              <w:rPr>
                <w:rFonts w:ascii="Arial" w:hAnsi="Arial" w:cs="Arial"/>
                <w:bCs/>
                <w:sz w:val="14"/>
                <w:szCs w:val="14"/>
              </w:rPr>
              <w:t xml:space="preserve"> of measures, i.e. a pathway (or a set of pathways) – by using the APs approach,</w:t>
            </w:r>
            <w:r w:rsidRPr="000A40A4">
              <w:rPr>
                <w:rFonts w:ascii="Arial" w:hAnsi="Arial" w:cs="Arial"/>
                <w:bCs/>
                <w:i/>
                <w:iCs/>
                <w:sz w:val="14"/>
                <w:szCs w:val="14"/>
              </w:rPr>
              <w:t xml:space="preserve"> </w:t>
            </w:r>
            <w:r w:rsidRPr="000A40A4">
              <w:rPr>
                <w:rFonts w:ascii="Arial" w:hAnsi="Arial" w:cs="Arial"/>
                <w:bCs/>
                <w:sz w:val="14"/>
                <w:szCs w:val="14"/>
              </w:rPr>
              <w:t xml:space="preserve"> can be deemed another element of the DP’s ADM approach that is key/fundamental to create, in each Subprogramme, a general (</w:t>
            </w:r>
            <w:r w:rsidRPr="000A40A4">
              <w:rPr>
                <w:rFonts w:ascii="Arial" w:hAnsi="Arial" w:cs="Arial"/>
                <w:bCs/>
                <w:i/>
                <w:iCs/>
                <w:sz w:val="14"/>
                <w:szCs w:val="14"/>
              </w:rPr>
              <w:t>Preferential</w:t>
            </w:r>
            <w:r w:rsidRPr="000A40A4">
              <w:rPr>
                <w:rFonts w:ascii="Arial" w:hAnsi="Arial" w:cs="Arial"/>
                <w:bCs/>
                <w:sz w:val="14"/>
                <w:szCs w:val="14"/>
              </w:rPr>
              <w:t xml:space="preserve">) </w:t>
            </w:r>
            <w:r w:rsidRPr="000A40A4">
              <w:rPr>
                <w:rFonts w:ascii="Arial" w:hAnsi="Arial" w:cs="Arial"/>
                <w:bCs/>
                <w:i/>
                <w:iCs/>
                <w:sz w:val="14"/>
                <w:szCs w:val="14"/>
              </w:rPr>
              <w:t>Strategy</w:t>
            </w:r>
            <w:r w:rsidRPr="000A40A4">
              <w:rPr>
                <w:rFonts w:ascii="Arial" w:hAnsi="Arial" w:cs="Arial"/>
                <w:bCs/>
                <w:sz w:val="14"/>
                <w:szCs w:val="14"/>
              </w:rPr>
              <w:t xml:space="preserve"> that is </w:t>
            </w:r>
            <w:r w:rsidRPr="000A40A4">
              <w:rPr>
                <w:rFonts w:ascii="Arial" w:hAnsi="Arial" w:cs="Arial"/>
                <w:bCs/>
                <w:i/>
                <w:iCs/>
                <w:sz w:val="14"/>
                <w:szCs w:val="14"/>
              </w:rPr>
              <w:t xml:space="preserve">robust </w:t>
            </w:r>
            <w:r w:rsidRPr="000A40A4">
              <w:rPr>
                <w:rFonts w:ascii="Arial" w:hAnsi="Arial" w:cs="Arial"/>
                <w:bCs/>
                <w:sz w:val="14"/>
                <w:szCs w:val="14"/>
              </w:rPr>
              <w:t>and</w:t>
            </w:r>
            <w:r w:rsidRPr="000A40A4">
              <w:rPr>
                <w:rFonts w:ascii="Arial" w:hAnsi="Arial" w:cs="Arial"/>
                <w:bCs/>
                <w:i/>
                <w:iCs/>
                <w:sz w:val="14"/>
                <w:szCs w:val="14"/>
              </w:rPr>
              <w:t xml:space="preserve"> adaptive</w:t>
            </w:r>
            <w:r w:rsidRPr="000A40A4">
              <w:rPr>
                <w:rFonts w:ascii="Arial" w:hAnsi="Arial" w:cs="Arial"/>
                <w:bCs/>
                <w:sz w:val="14"/>
                <w:szCs w:val="14"/>
              </w:rPr>
              <w:t xml:space="preserve">, and to fulfil the DP as a </w:t>
            </w:r>
            <w:r w:rsidRPr="000A40A4">
              <w:rPr>
                <w:rFonts w:ascii="Arial" w:hAnsi="Arial" w:cs="Arial"/>
                <w:bCs/>
                <w:i/>
                <w:iCs/>
                <w:sz w:val="14"/>
                <w:szCs w:val="14"/>
              </w:rPr>
              <w:t>robust adaptive policy-programme</w:t>
            </w:r>
            <w:r w:rsidRPr="000A40A4">
              <w:rPr>
                <w:rFonts w:ascii="Arial" w:hAnsi="Arial" w:cs="Arial"/>
                <w:bCs/>
                <w:sz w:val="14"/>
                <w:szCs w:val="14"/>
              </w:rPr>
              <w:t xml:space="preserve"> (in line with the elements proposed by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et al. 2014, p.23, 1, 3</w:t>
            </w:r>
            <w:r w:rsidRPr="000A40A4">
              <w:rPr>
                <w:rFonts w:ascii="Arial" w:hAnsi="Arial" w:cs="Arial"/>
                <w:bCs/>
                <w:sz w:val="14"/>
                <w:szCs w:val="14"/>
              </w:rPr>
              <w:t xml:space="preserve">, and by </w:t>
            </w:r>
            <w:proofErr w:type="spellStart"/>
            <w:r w:rsidRPr="000A40A4">
              <w:rPr>
                <w:rFonts w:ascii="Arial" w:hAnsi="Arial" w:cs="Arial"/>
                <w:bCs/>
                <w:color w:val="7F7F7F" w:themeColor="text1" w:themeTint="80"/>
                <w:sz w:val="14"/>
                <w:szCs w:val="14"/>
              </w:rPr>
              <w:t>Restemeyer</w:t>
            </w:r>
            <w:proofErr w:type="spellEnd"/>
            <w:r w:rsidRPr="000A40A4">
              <w:rPr>
                <w:rFonts w:ascii="Arial" w:hAnsi="Arial" w:cs="Arial"/>
                <w:bCs/>
                <w:color w:val="7F7F7F" w:themeColor="text1" w:themeTint="80"/>
                <w:sz w:val="14"/>
                <w:szCs w:val="14"/>
              </w:rPr>
              <w:t xml:space="preserve"> et al. 2017, p.921, 922-925, 935</w:t>
            </w:r>
            <w:r w:rsidRPr="000A40A4">
              <w:rPr>
                <w:rFonts w:ascii="Arial" w:hAnsi="Arial" w:cs="Arial"/>
                <w:bCs/>
                <w:sz w:val="14"/>
                <w:szCs w:val="14"/>
              </w:rPr>
              <w:t xml:space="preserve">, and as suggested in the study of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and Reeder 2011, p.2,5</w:t>
            </w:r>
            <w:r w:rsidRPr="000A40A4">
              <w:rPr>
                <w:rFonts w:ascii="Arial" w:hAnsi="Arial" w:cs="Arial"/>
                <w:bCs/>
                <w:sz w:val="14"/>
                <w:szCs w:val="14"/>
              </w:rPr>
              <w:t>).</w:t>
            </w:r>
          </w:p>
        </w:tc>
        <w:tc>
          <w:tcPr>
            <w:tcW w:w="2126" w:type="dxa"/>
          </w:tcPr>
          <w:p w14:paraId="19BD8800" w14:textId="77777777" w:rsidR="000A0954" w:rsidRPr="000A40A4" w:rsidRDefault="000A0954" w:rsidP="000A40A4">
            <w:pPr>
              <w:pStyle w:val="tablecontenttext"/>
              <w:spacing w:line="240" w:lineRule="auto"/>
              <w:rPr>
                <w:sz w:val="14"/>
                <w:szCs w:val="14"/>
              </w:rPr>
            </w:pPr>
            <w:r w:rsidRPr="000A40A4">
              <w:rPr>
                <w:sz w:val="14"/>
                <w:szCs w:val="14"/>
              </w:rPr>
              <w:lastRenderedPageBreak/>
              <w:t>KE3: Developing a ‘</w:t>
            </w:r>
            <w:r w:rsidRPr="000A40A4">
              <w:rPr>
                <w:i/>
                <w:iCs w:val="0"/>
                <w:sz w:val="14"/>
                <w:szCs w:val="14"/>
              </w:rPr>
              <w:t>robust and flexible’</w:t>
            </w:r>
            <w:r w:rsidRPr="000A40A4">
              <w:rPr>
                <w:sz w:val="14"/>
                <w:szCs w:val="14"/>
              </w:rPr>
              <w:t xml:space="preserve"> set of measures (i.e. </w:t>
            </w:r>
            <w:r w:rsidRPr="000A40A4">
              <w:rPr>
                <w:i/>
                <w:iCs w:val="0"/>
                <w:sz w:val="14"/>
                <w:szCs w:val="14"/>
              </w:rPr>
              <w:t>robust flexible strategies</w:t>
            </w:r>
            <w:r w:rsidRPr="000A40A4">
              <w:rPr>
                <w:sz w:val="14"/>
                <w:szCs w:val="14"/>
              </w:rPr>
              <w:t xml:space="preserve">), to cope with uncertain future conditions and changes, using the </w:t>
            </w:r>
            <w:r w:rsidRPr="000A40A4">
              <w:rPr>
                <w:i/>
                <w:iCs w:val="0"/>
                <w:sz w:val="14"/>
                <w:szCs w:val="14"/>
              </w:rPr>
              <w:t>Adaptation Pathways approach</w:t>
            </w:r>
            <w:r w:rsidRPr="000A40A4">
              <w:rPr>
                <w:sz w:val="14"/>
                <w:szCs w:val="14"/>
              </w:rPr>
              <w:t xml:space="preserve"> (APs) (</w:t>
            </w:r>
            <w:proofErr w:type="spellStart"/>
            <w:r w:rsidRPr="000A40A4">
              <w:rPr>
                <w:color w:val="7F7F7F" w:themeColor="text1" w:themeTint="80"/>
                <w:sz w:val="14"/>
                <w:szCs w:val="14"/>
              </w:rPr>
              <w:t>Jeuken</w:t>
            </w:r>
            <w:proofErr w:type="spellEnd"/>
            <w:r w:rsidRPr="000A40A4">
              <w:rPr>
                <w:color w:val="7F7F7F" w:themeColor="text1" w:themeTint="80"/>
                <w:sz w:val="14"/>
                <w:szCs w:val="14"/>
              </w:rPr>
              <w:t xml:space="preserve"> et al. 2014</w:t>
            </w:r>
            <w:r w:rsidRPr="000A40A4">
              <w:rPr>
                <w:sz w:val="14"/>
                <w:szCs w:val="14"/>
              </w:rPr>
              <w:t xml:space="preserve">). </w:t>
            </w:r>
          </w:p>
          <w:p w14:paraId="17171C3A" w14:textId="77777777" w:rsidR="000A0954" w:rsidRPr="000A40A4" w:rsidRDefault="000A0954" w:rsidP="000A40A4">
            <w:pPr>
              <w:pStyle w:val="tablecontenttext"/>
              <w:spacing w:line="240" w:lineRule="auto"/>
              <w:rPr>
                <w:sz w:val="14"/>
                <w:szCs w:val="14"/>
              </w:rPr>
            </w:pPr>
            <w:r w:rsidRPr="000A40A4">
              <w:rPr>
                <w:sz w:val="14"/>
                <w:szCs w:val="14"/>
              </w:rPr>
              <w:t xml:space="preserve">This element consisted of developing </w:t>
            </w:r>
            <w:r w:rsidRPr="000A40A4">
              <w:rPr>
                <w:i/>
                <w:iCs w:val="0"/>
                <w:sz w:val="14"/>
                <w:szCs w:val="14"/>
              </w:rPr>
              <w:t xml:space="preserve">robust flexible strategies </w:t>
            </w:r>
            <w:r w:rsidRPr="000A40A4">
              <w:rPr>
                <w:sz w:val="14"/>
                <w:szCs w:val="14"/>
              </w:rPr>
              <w:t xml:space="preserve">(each strategy containing a </w:t>
            </w:r>
            <w:r w:rsidRPr="000A40A4">
              <w:rPr>
                <w:i/>
                <w:iCs w:val="0"/>
                <w:sz w:val="14"/>
                <w:szCs w:val="14"/>
              </w:rPr>
              <w:t>robust</w:t>
            </w:r>
            <w:r w:rsidRPr="000A40A4">
              <w:rPr>
                <w:sz w:val="14"/>
                <w:szCs w:val="14"/>
              </w:rPr>
              <w:t xml:space="preserve"> and </w:t>
            </w:r>
            <w:r w:rsidRPr="000A40A4">
              <w:rPr>
                <w:i/>
                <w:iCs w:val="0"/>
                <w:sz w:val="14"/>
                <w:szCs w:val="14"/>
              </w:rPr>
              <w:t>flexible set of measures</w:t>
            </w:r>
            <w:r w:rsidRPr="000A40A4">
              <w:rPr>
                <w:sz w:val="14"/>
                <w:szCs w:val="14"/>
              </w:rPr>
              <w:t>), which was done using the APs approach (</w:t>
            </w:r>
            <w:proofErr w:type="spellStart"/>
            <w:r w:rsidRPr="000A40A4">
              <w:rPr>
                <w:color w:val="7F7F7F" w:themeColor="text1" w:themeTint="80"/>
                <w:sz w:val="14"/>
                <w:szCs w:val="14"/>
              </w:rPr>
              <w:t>Jeuken</w:t>
            </w:r>
            <w:proofErr w:type="spellEnd"/>
            <w:r w:rsidRPr="000A40A4">
              <w:rPr>
                <w:color w:val="7F7F7F" w:themeColor="text1" w:themeTint="80"/>
                <w:sz w:val="14"/>
                <w:szCs w:val="14"/>
              </w:rPr>
              <w:t xml:space="preserve"> and Reeder 2011, p.2; </w:t>
            </w:r>
            <w:proofErr w:type="spellStart"/>
            <w:r w:rsidRPr="000A40A4">
              <w:rPr>
                <w:color w:val="7F7F7F" w:themeColor="text1" w:themeTint="80"/>
                <w:sz w:val="14"/>
                <w:szCs w:val="14"/>
              </w:rPr>
              <w:t>Restemeyer</w:t>
            </w:r>
            <w:proofErr w:type="spellEnd"/>
            <w:r w:rsidRPr="000A40A4">
              <w:rPr>
                <w:color w:val="7F7F7F" w:themeColor="text1" w:themeTint="80"/>
                <w:sz w:val="14"/>
                <w:szCs w:val="14"/>
              </w:rPr>
              <w:t xml:space="preserve"> et al. 2017, p.921-922, 927, 935</w:t>
            </w:r>
            <w:r w:rsidRPr="000A40A4">
              <w:rPr>
                <w:sz w:val="14"/>
                <w:szCs w:val="14"/>
              </w:rPr>
              <w:t xml:space="preserve">). It involved designing each </w:t>
            </w:r>
            <w:r w:rsidRPr="000A40A4">
              <w:rPr>
                <w:i/>
                <w:iCs w:val="0"/>
                <w:sz w:val="14"/>
                <w:szCs w:val="14"/>
              </w:rPr>
              <w:t>Strategy</w:t>
            </w:r>
            <w:r w:rsidRPr="000A40A4">
              <w:rPr>
                <w:sz w:val="14"/>
                <w:szCs w:val="14"/>
              </w:rPr>
              <w:t xml:space="preserve"> as a ‘</w:t>
            </w:r>
            <w:r w:rsidRPr="000A40A4">
              <w:rPr>
                <w:i/>
                <w:iCs w:val="0"/>
                <w:sz w:val="14"/>
                <w:szCs w:val="14"/>
              </w:rPr>
              <w:t>robust and flexible</w:t>
            </w:r>
            <w:r w:rsidRPr="000A40A4">
              <w:rPr>
                <w:sz w:val="14"/>
                <w:szCs w:val="14"/>
              </w:rPr>
              <w:t>’ set of measures (with robust and/or flexible measures</w:t>
            </w:r>
            <w:proofErr w:type="gramStart"/>
            <w:r w:rsidRPr="000A40A4">
              <w:rPr>
                <w:sz w:val="14"/>
                <w:szCs w:val="14"/>
              </w:rPr>
              <w:t>), and</w:t>
            </w:r>
            <w:proofErr w:type="gramEnd"/>
            <w:r w:rsidRPr="000A40A4">
              <w:rPr>
                <w:sz w:val="14"/>
                <w:szCs w:val="14"/>
              </w:rPr>
              <w:t xml:space="preserve"> required considering the </w:t>
            </w:r>
            <w:r w:rsidRPr="000A40A4">
              <w:rPr>
                <w:i/>
                <w:iCs w:val="0"/>
                <w:sz w:val="14"/>
                <w:szCs w:val="14"/>
              </w:rPr>
              <w:t>robustness</w:t>
            </w:r>
            <w:r w:rsidRPr="000A40A4">
              <w:rPr>
                <w:sz w:val="14"/>
                <w:szCs w:val="14"/>
              </w:rPr>
              <w:t xml:space="preserve"> and </w:t>
            </w:r>
            <w:r w:rsidRPr="000A40A4">
              <w:rPr>
                <w:i/>
                <w:iCs w:val="0"/>
                <w:sz w:val="14"/>
                <w:szCs w:val="14"/>
              </w:rPr>
              <w:t xml:space="preserve">flexibility </w:t>
            </w:r>
            <w:r w:rsidRPr="000A40A4">
              <w:rPr>
                <w:sz w:val="14"/>
                <w:szCs w:val="14"/>
              </w:rPr>
              <w:t xml:space="preserve">of </w:t>
            </w:r>
            <w:r w:rsidRPr="000A40A4">
              <w:rPr>
                <w:i/>
                <w:iCs w:val="0"/>
                <w:sz w:val="14"/>
                <w:szCs w:val="14"/>
              </w:rPr>
              <w:t>Strategies.</w:t>
            </w:r>
          </w:p>
          <w:p w14:paraId="6CA2A7B2" w14:textId="77777777" w:rsidR="000A0954" w:rsidRPr="000A40A4" w:rsidRDefault="000A0954" w:rsidP="000A40A4">
            <w:pPr>
              <w:pStyle w:val="tablecontenttext"/>
              <w:spacing w:line="240" w:lineRule="auto"/>
              <w:rPr>
                <w:sz w:val="14"/>
                <w:szCs w:val="14"/>
              </w:rPr>
            </w:pPr>
          </w:p>
          <w:p w14:paraId="37085492" w14:textId="77777777" w:rsidR="000A0954" w:rsidRPr="000A40A4" w:rsidRDefault="000A0954" w:rsidP="000A40A4">
            <w:pPr>
              <w:pStyle w:val="tablecontenttext"/>
              <w:spacing w:line="240" w:lineRule="auto"/>
              <w:rPr>
                <w:color w:val="0070C0"/>
                <w:sz w:val="14"/>
                <w:szCs w:val="14"/>
              </w:rPr>
            </w:pPr>
          </w:p>
          <w:p w14:paraId="55A13716" w14:textId="77777777" w:rsidR="000A0954" w:rsidRPr="000A40A4" w:rsidRDefault="000A0954" w:rsidP="000A40A4">
            <w:pPr>
              <w:pStyle w:val="tablecontenttext"/>
              <w:spacing w:line="240" w:lineRule="auto"/>
              <w:rPr>
                <w:color w:val="0070C0"/>
                <w:sz w:val="14"/>
                <w:szCs w:val="14"/>
              </w:rPr>
            </w:pPr>
          </w:p>
          <w:p w14:paraId="24CB1CDD" w14:textId="77777777" w:rsidR="000A0954" w:rsidRPr="000A40A4" w:rsidRDefault="000A0954" w:rsidP="000A40A4">
            <w:pPr>
              <w:pStyle w:val="tablecontenttext"/>
              <w:spacing w:line="240" w:lineRule="auto"/>
              <w:rPr>
                <w:color w:val="0070C0"/>
                <w:sz w:val="14"/>
                <w:szCs w:val="14"/>
              </w:rPr>
            </w:pPr>
          </w:p>
          <w:p w14:paraId="1F1F03E8" w14:textId="77777777" w:rsidR="000A0954" w:rsidRPr="000A40A4" w:rsidRDefault="000A0954" w:rsidP="000A40A4">
            <w:pPr>
              <w:pStyle w:val="tablecontenttext"/>
              <w:spacing w:line="240" w:lineRule="auto"/>
              <w:rPr>
                <w:color w:val="0070C0"/>
                <w:sz w:val="14"/>
                <w:szCs w:val="14"/>
              </w:rPr>
            </w:pPr>
          </w:p>
          <w:p w14:paraId="03E5A8E9" w14:textId="77777777" w:rsidR="000A0954" w:rsidRPr="000A40A4" w:rsidRDefault="000A0954" w:rsidP="000A40A4">
            <w:pPr>
              <w:pStyle w:val="tablecontenttext"/>
              <w:spacing w:line="240" w:lineRule="auto"/>
              <w:rPr>
                <w:color w:val="0070C0"/>
                <w:sz w:val="14"/>
                <w:szCs w:val="14"/>
              </w:rPr>
            </w:pPr>
          </w:p>
          <w:p w14:paraId="1C8DAD04" w14:textId="77777777" w:rsidR="000A0954" w:rsidRPr="000A40A4" w:rsidRDefault="000A0954" w:rsidP="000A40A4">
            <w:pPr>
              <w:pStyle w:val="tablecontenttext"/>
              <w:spacing w:line="240" w:lineRule="auto"/>
              <w:rPr>
                <w:color w:val="0070C0"/>
                <w:sz w:val="14"/>
                <w:szCs w:val="14"/>
              </w:rPr>
            </w:pPr>
          </w:p>
          <w:p w14:paraId="0233390A" w14:textId="77777777" w:rsidR="000A0954" w:rsidRPr="000A40A4" w:rsidRDefault="000A0954" w:rsidP="000A40A4">
            <w:pPr>
              <w:pStyle w:val="tablecontenttext"/>
              <w:spacing w:line="240" w:lineRule="auto"/>
              <w:rPr>
                <w:color w:val="0070C0"/>
                <w:sz w:val="14"/>
                <w:szCs w:val="14"/>
              </w:rPr>
            </w:pPr>
          </w:p>
          <w:p w14:paraId="021FEC29" w14:textId="77777777" w:rsidR="000A0954" w:rsidRPr="000A40A4" w:rsidRDefault="000A0954" w:rsidP="000A40A4">
            <w:pPr>
              <w:pStyle w:val="tablecontenttext"/>
              <w:spacing w:line="240" w:lineRule="auto"/>
              <w:rPr>
                <w:color w:val="0070C0"/>
                <w:sz w:val="14"/>
                <w:szCs w:val="14"/>
              </w:rPr>
            </w:pPr>
          </w:p>
          <w:p w14:paraId="1DB384DD" w14:textId="77777777" w:rsidR="000A0954" w:rsidRPr="000A40A4" w:rsidRDefault="000A0954" w:rsidP="000A40A4">
            <w:pPr>
              <w:pStyle w:val="tablecontenttext"/>
              <w:spacing w:line="240" w:lineRule="auto"/>
              <w:rPr>
                <w:color w:val="0070C0"/>
                <w:sz w:val="14"/>
                <w:szCs w:val="14"/>
              </w:rPr>
            </w:pPr>
          </w:p>
          <w:p w14:paraId="0AFCE3F5" w14:textId="77777777" w:rsidR="000A0954" w:rsidRPr="000A40A4" w:rsidRDefault="000A0954" w:rsidP="000A40A4">
            <w:pPr>
              <w:pStyle w:val="tablecontenttext"/>
              <w:spacing w:line="240" w:lineRule="auto"/>
              <w:rPr>
                <w:color w:val="0070C0"/>
                <w:sz w:val="14"/>
                <w:szCs w:val="14"/>
              </w:rPr>
            </w:pPr>
          </w:p>
          <w:p w14:paraId="22C1D964" w14:textId="77777777" w:rsidR="000A0954" w:rsidRPr="000A40A4" w:rsidRDefault="000A0954" w:rsidP="000A40A4">
            <w:pPr>
              <w:pStyle w:val="tablecontenttext"/>
              <w:spacing w:line="240" w:lineRule="auto"/>
              <w:rPr>
                <w:color w:val="0070C0"/>
                <w:sz w:val="14"/>
                <w:szCs w:val="14"/>
              </w:rPr>
            </w:pPr>
          </w:p>
          <w:p w14:paraId="01BD8B54" w14:textId="77777777" w:rsidR="000A0954" w:rsidRPr="000A40A4" w:rsidRDefault="000A0954" w:rsidP="000A40A4">
            <w:pPr>
              <w:pStyle w:val="tablecontenttext"/>
              <w:spacing w:line="240" w:lineRule="auto"/>
              <w:rPr>
                <w:color w:val="0070C0"/>
                <w:sz w:val="14"/>
                <w:szCs w:val="14"/>
              </w:rPr>
            </w:pPr>
          </w:p>
          <w:p w14:paraId="5F96B941" w14:textId="77777777" w:rsidR="000A0954" w:rsidRPr="000A40A4" w:rsidRDefault="000A0954" w:rsidP="000A40A4">
            <w:pPr>
              <w:pStyle w:val="tablecontenttext"/>
              <w:spacing w:line="240" w:lineRule="auto"/>
              <w:rPr>
                <w:color w:val="0070C0"/>
                <w:sz w:val="14"/>
                <w:szCs w:val="14"/>
              </w:rPr>
            </w:pPr>
          </w:p>
          <w:p w14:paraId="344DE51B" w14:textId="77777777" w:rsidR="000A0954" w:rsidRPr="000A40A4" w:rsidRDefault="000A0954" w:rsidP="000A40A4">
            <w:pPr>
              <w:pStyle w:val="tablecontenttext"/>
              <w:spacing w:line="240" w:lineRule="auto"/>
              <w:rPr>
                <w:color w:val="0070C0"/>
                <w:sz w:val="14"/>
                <w:szCs w:val="14"/>
              </w:rPr>
            </w:pPr>
          </w:p>
          <w:p w14:paraId="2B5B1C45" w14:textId="77777777" w:rsidR="000A0954" w:rsidRPr="000A40A4" w:rsidRDefault="000A0954" w:rsidP="000A40A4">
            <w:pPr>
              <w:pStyle w:val="tablecontenttext"/>
              <w:spacing w:line="240" w:lineRule="auto"/>
              <w:rPr>
                <w:color w:val="0070C0"/>
                <w:sz w:val="14"/>
                <w:szCs w:val="14"/>
              </w:rPr>
            </w:pPr>
          </w:p>
          <w:p w14:paraId="61584646" w14:textId="77777777" w:rsidR="000A0954" w:rsidRPr="000A40A4" w:rsidRDefault="000A0954" w:rsidP="000A40A4">
            <w:pPr>
              <w:pStyle w:val="tablecontenttext"/>
              <w:spacing w:line="240" w:lineRule="auto"/>
              <w:rPr>
                <w:color w:val="0070C0"/>
                <w:sz w:val="14"/>
                <w:szCs w:val="14"/>
              </w:rPr>
            </w:pPr>
          </w:p>
          <w:p w14:paraId="128CE903" w14:textId="77777777" w:rsidR="000A0954" w:rsidRPr="000A40A4" w:rsidRDefault="000A0954" w:rsidP="000A40A4">
            <w:pPr>
              <w:pStyle w:val="tablecontenttext"/>
              <w:spacing w:line="240" w:lineRule="auto"/>
              <w:rPr>
                <w:color w:val="0070C0"/>
                <w:sz w:val="14"/>
                <w:szCs w:val="14"/>
              </w:rPr>
            </w:pPr>
          </w:p>
          <w:p w14:paraId="42D3DC0D" w14:textId="77777777" w:rsidR="000A0954" w:rsidRPr="000A40A4" w:rsidRDefault="000A0954" w:rsidP="000A40A4">
            <w:pPr>
              <w:pStyle w:val="tablecontenttext"/>
              <w:spacing w:line="240" w:lineRule="auto"/>
              <w:rPr>
                <w:color w:val="0070C0"/>
                <w:sz w:val="14"/>
                <w:szCs w:val="14"/>
              </w:rPr>
            </w:pPr>
          </w:p>
          <w:p w14:paraId="54ADAEE5" w14:textId="77777777" w:rsidR="000A0954" w:rsidRPr="000A40A4" w:rsidRDefault="000A0954" w:rsidP="000A40A4">
            <w:pPr>
              <w:pStyle w:val="tablecontenttext"/>
              <w:spacing w:line="240" w:lineRule="auto"/>
              <w:rPr>
                <w:color w:val="0070C0"/>
                <w:sz w:val="14"/>
                <w:szCs w:val="14"/>
              </w:rPr>
            </w:pPr>
          </w:p>
          <w:p w14:paraId="261B6EAB" w14:textId="77777777" w:rsidR="000A0954" w:rsidRPr="000A40A4" w:rsidRDefault="000A0954" w:rsidP="000A40A4">
            <w:pPr>
              <w:pStyle w:val="tablecontenttext"/>
              <w:spacing w:line="240" w:lineRule="auto"/>
              <w:rPr>
                <w:color w:val="0070C0"/>
                <w:sz w:val="14"/>
                <w:szCs w:val="14"/>
              </w:rPr>
            </w:pPr>
          </w:p>
          <w:p w14:paraId="05716A0B" w14:textId="77777777" w:rsidR="000A0954" w:rsidRPr="000A40A4" w:rsidRDefault="000A0954" w:rsidP="000A40A4">
            <w:pPr>
              <w:pStyle w:val="tablecontenttext"/>
              <w:spacing w:line="240" w:lineRule="auto"/>
              <w:rPr>
                <w:color w:val="0070C0"/>
                <w:sz w:val="14"/>
                <w:szCs w:val="14"/>
              </w:rPr>
            </w:pPr>
          </w:p>
          <w:p w14:paraId="6AFDEC41" w14:textId="77777777" w:rsidR="000A0954" w:rsidRPr="000A40A4" w:rsidRDefault="000A0954" w:rsidP="000A40A4">
            <w:pPr>
              <w:pStyle w:val="tablecontenttext"/>
              <w:spacing w:line="240" w:lineRule="auto"/>
              <w:rPr>
                <w:color w:val="0070C0"/>
                <w:sz w:val="14"/>
                <w:szCs w:val="14"/>
              </w:rPr>
            </w:pPr>
          </w:p>
          <w:p w14:paraId="2A5D65A9" w14:textId="77777777" w:rsidR="000A0954" w:rsidRPr="000A40A4" w:rsidRDefault="000A0954" w:rsidP="000A40A4">
            <w:pPr>
              <w:pStyle w:val="tablecontenttext"/>
              <w:spacing w:line="240" w:lineRule="auto"/>
              <w:rPr>
                <w:color w:val="0070C0"/>
                <w:sz w:val="14"/>
                <w:szCs w:val="14"/>
              </w:rPr>
            </w:pPr>
          </w:p>
          <w:p w14:paraId="5C11DB89" w14:textId="77777777" w:rsidR="000A0954" w:rsidRPr="000A40A4" w:rsidRDefault="000A0954" w:rsidP="000A40A4">
            <w:pPr>
              <w:pStyle w:val="tablecontenttext"/>
              <w:spacing w:line="240" w:lineRule="auto"/>
              <w:rPr>
                <w:color w:val="0070C0"/>
                <w:sz w:val="14"/>
                <w:szCs w:val="14"/>
              </w:rPr>
            </w:pPr>
          </w:p>
          <w:p w14:paraId="341FFA20" w14:textId="77777777" w:rsidR="000A0954" w:rsidRPr="000A40A4" w:rsidRDefault="000A0954" w:rsidP="000A40A4">
            <w:pPr>
              <w:pStyle w:val="tablecontenttext"/>
              <w:spacing w:line="240" w:lineRule="auto"/>
              <w:rPr>
                <w:color w:val="0070C0"/>
                <w:sz w:val="14"/>
                <w:szCs w:val="14"/>
              </w:rPr>
            </w:pPr>
          </w:p>
          <w:p w14:paraId="49CB71EB" w14:textId="77777777" w:rsidR="000A0954" w:rsidRPr="000A40A4" w:rsidRDefault="000A0954" w:rsidP="000A40A4">
            <w:pPr>
              <w:pStyle w:val="tablecontenttext"/>
              <w:spacing w:line="240" w:lineRule="auto"/>
              <w:rPr>
                <w:color w:val="0070C0"/>
                <w:sz w:val="14"/>
                <w:szCs w:val="14"/>
              </w:rPr>
            </w:pPr>
          </w:p>
          <w:p w14:paraId="1CDE2B7A" w14:textId="77777777" w:rsidR="000A0954" w:rsidRPr="000A40A4" w:rsidRDefault="000A0954" w:rsidP="000A40A4">
            <w:pPr>
              <w:pStyle w:val="tablecontenttext"/>
              <w:spacing w:line="240" w:lineRule="auto"/>
              <w:rPr>
                <w:color w:val="0070C0"/>
                <w:sz w:val="14"/>
                <w:szCs w:val="14"/>
              </w:rPr>
            </w:pPr>
          </w:p>
          <w:p w14:paraId="12369867" w14:textId="77777777" w:rsidR="000A0954" w:rsidRPr="000A40A4" w:rsidRDefault="000A0954" w:rsidP="000A40A4">
            <w:pPr>
              <w:pStyle w:val="tablecontenttext"/>
              <w:spacing w:line="240" w:lineRule="auto"/>
              <w:rPr>
                <w:color w:val="0070C0"/>
                <w:sz w:val="14"/>
                <w:szCs w:val="14"/>
              </w:rPr>
            </w:pPr>
          </w:p>
          <w:p w14:paraId="538159EB" w14:textId="77777777" w:rsidR="000A0954" w:rsidRPr="000A40A4" w:rsidRDefault="000A0954" w:rsidP="000A40A4">
            <w:pPr>
              <w:pStyle w:val="tablecontenttext"/>
              <w:spacing w:line="240" w:lineRule="auto"/>
              <w:rPr>
                <w:color w:val="0070C0"/>
                <w:sz w:val="14"/>
                <w:szCs w:val="14"/>
              </w:rPr>
            </w:pPr>
          </w:p>
          <w:p w14:paraId="2463768C" w14:textId="77777777" w:rsidR="000A0954" w:rsidRPr="000A40A4" w:rsidRDefault="000A0954" w:rsidP="000A40A4">
            <w:pPr>
              <w:pStyle w:val="tablecontenttext"/>
              <w:spacing w:line="240" w:lineRule="auto"/>
              <w:rPr>
                <w:color w:val="0070C0"/>
                <w:sz w:val="14"/>
                <w:szCs w:val="14"/>
              </w:rPr>
            </w:pPr>
          </w:p>
          <w:p w14:paraId="16C79B19" w14:textId="77777777" w:rsidR="000A0954" w:rsidRPr="000A40A4" w:rsidRDefault="000A0954" w:rsidP="000A40A4">
            <w:pPr>
              <w:pStyle w:val="tablecontenttext"/>
              <w:spacing w:line="240" w:lineRule="auto"/>
              <w:rPr>
                <w:color w:val="0070C0"/>
                <w:sz w:val="14"/>
                <w:szCs w:val="14"/>
              </w:rPr>
            </w:pPr>
          </w:p>
          <w:p w14:paraId="0295D771" w14:textId="77777777" w:rsidR="000A0954" w:rsidRPr="000A40A4" w:rsidRDefault="000A0954" w:rsidP="000A40A4">
            <w:pPr>
              <w:pStyle w:val="tablecontenttext"/>
              <w:spacing w:line="240" w:lineRule="auto"/>
              <w:rPr>
                <w:color w:val="0070C0"/>
                <w:sz w:val="14"/>
                <w:szCs w:val="14"/>
              </w:rPr>
            </w:pPr>
          </w:p>
          <w:p w14:paraId="4976B6DC" w14:textId="77777777" w:rsidR="000A0954" w:rsidRPr="000A40A4" w:rsidRDefault="000A0954" w:rsidP="000A40A4">
            <w:pPr>
              <w:pStyle w:val="tablecontenttext"/>
              <w:spacing w:line="240" w:lineRule="auto"/>
              <w:rPr>
                <w:color w:val="0070C0"/>
                <w:sz w:val="14"/>
                <w:szCs w:val="14"/>
              </w:rPr>
            </w:pPr>
          </w:p>
          <w:p w14:paraId="6A51E13A" w14:textId="77777777" w:rsidR="000A0954" w:rsidRPr="000A40A4" w:rsidRDefault="000A0954" w:rsidP="000A40A4">
            <w:pPr>
              <w:pStyle w:val="tablecontenttext"/>
              <w:spacing w:line="240" w:lineRule="auto"/>
              <w:rPr>
                <w:color w:val="0070C0"/>
                <w:sz w:val="14"/>
                <w:szCs w:val="14"/>
              </w:rPr>
            </w:pPr>
          </w:p>
          <w:p w14:paraId="623A4D9A" w14:textId="77777777" w:rsidR="000A0954" w:rsidRPr="000A40A4" w:rsidRDefault="000A0954" w:rsidP="000A40A4">
            <w:pPr>
              <w:pStyle w:val="tablecontenttext"/>
              <w:spacing w:line="240" w:lineRule="auto"/>
              <w:rPr>
                <w:color w:val="0070C0"/>
                <w:sz w:val="14"/>
                <w:szCs w:val="14"/>
              </w:rPr>
            </w:pPr>
          </w:p>
          <w:p w14:paraId="71BFFD7C" w14:textId="77777777" w:rsidR="000A0954" w:rsidRPr="000A40A4" w:rsidRDefault="000A0954" w:rsidP="000A40A4">
            <w:pPr>
              <w:pStyle w:val="tablecontenttext"/>
              <w:spacing w:line="240" w:lineRule="auto"/>
              <w:rPr>
                <w:color w:val="0070C0"/>
                <w:sz w:val="14"/>
                <w:szCs w:val="14"/>
              </w:rPr>
            </w:pPr>
          </w:p>
          <w:p w14:paraId="6D6C7781" w14:textId="77777777" w:rsidR="000A0954" w:rsidRPr="000A40A4" w:rsidRDefault="000A0954" w:rsidP="000A40A4">
            <w:pPr>
              <w:pStyle w:val="tablecontenttext"/>
              <w:spacing w:line="240" w:lineRule="auto"/>
              <w:rPr>
                <w:color w:val="0070C0"/>
                <w:sz w:val="14"/>
                <w:szCs w:val="14"/>
              </w:rPr>
            </w:pPr>
          </w:p>
          <w:p w14:paraId="75317AA2" w14:textId="77777777" w:rsidR="000A0954" w:rsidRPr="000A40A4" w:rsidRDefault="000A0954" w:rsidP="000A40A4">
            <w:pPr>
              <w:pStyle w:val="tablecontenttext"/>
              <w:spacing w:line="240" w:lineRule="auto"/>
              <w:rPr>
                <w:color w:val="0070C0"/>
                <w:sz w:val="14"/>
                <w:szCs w:val="14"/>
              </w:rPr>
            </w:pPr>
          </w:p>
          <w:p w14:paraId="063A92EA" w14:textId="77777777" w:rsidR="000A0954" w:rsidRPr="000A40A4" w:rsidRDefault="000A0954" w:rsidP="000A40A4">
            <w:pPr>
              <w:pStyle w:val="tablecontenttext"/>
              <w:spacing w:line="240" w:lineRule="auto"/>
              <w:rPr>
                <w:color w:val="0070C0"/>
                <w:sz w:val="14"/>
                <w:szCs w:val="14"/>
              </w:rPr>
            </w:pPr>
          </w:p>
          <w:p w14:paraId="1022CA71" w14:textId="77777777" w:rsidR="000A0954" w:rsidRPr="000A40A4" w:rsidRDefault="000A0954" w:rsidP="000A40A4">
            <w:pPr>
              <w:pStyle w:val="tablecontenttext"/>
              <w:spacing w:line="240" w:lineRule="auto"/>
              <w:rPr>
                <w:color w:val="0070C0"/>
                <w:sz w:val="14"/>
                <w:szCs w:val="14"/>
              </w:rPr>
            </w:pPr>
          </w:p>
          <w:p w14:paraId="21BD03B4" w14:textId="77777777" w:rsidR="000A0954" w:rsidRPr="000A40A4" w:rsidRDefault="000A0954" w:rsidP="000A40A4">
            <w:pPr>
              <w:pStyle w:val="tablecontenttext"/>
              <w:spacing w:line="240" w:lineRule="auto"/>
              <w:rPr>
                <w:color w:val="0070C0"/>
                <w:sz w:val="14"/>
                <w:szCs w:val="14"/>
              </w:rPr>
            </w:pPr>
          </w:p>
          <w:p w14:paraId="6B43E223" w14:textId="77777777" w:rsidR="000A0954" w:rsidRPr="000A40A4" w:rsidRDefault="000A0954" w:rsidP="000A40A4">
            <w:pPr>
              <w:pStyle w:val="tablecontenttext"/>
              <w:spacing w:line="240" w:lineRule="auto"/>
              <w:rPr>
                <w:color w:val="0070C0"/>
                <w:sz w:val="14"/>
                <w:szCs w:val="14"/>
              </w:rPr>
            </w:pPr>
          </w:p>
          <w:p w14:paraId="26473913" w14:textId="77777777" w:rsidR="000A0954" w:rsidRPr="000A40A4" w:rsidRDefault="000A0954" w:rsidP="000A40A4">
            <w:pPr>
              <w:pStyle w:val="tablecontenttext"/>
              <w:spacing w:line="240" w:lineRule="auto"/>
              <w:rPr>
                <w:color w:val="0070C0"/>
                <w:sz w:val="14"/>
                <w:szCs w:val="14"/>
              </w:rPr>
            </w:pPr>
          </w:p>
          <w:p w14:paraId="15655829" w14:textId="77777777" w:rsidR="000A0954" w:rsidRPr="000A40A4" w:rsidRDefault="000A0954" w:rsidP="000A40A4">
            <w:pPr>
              <w:pStyle w:val="tablecontenttext"/>
              <w:spacing w:line="240" w:lineRule="auto"/>
              <w:rPr>
                <w:color w:val="0070C0"/>
                <w:sz w:val="14"/>
                <w:szCs w:val="14"/>
              </w:rPr>
            </w:pPr>
          </w:p>
          <w:p w14:paraId="6BF3D098" w14:textId="77777777" w:rsidR="000A0954" w:rsidRPr="000A40A4" w:rsidRDefault="000A0954" w:rsidP="000A40A4">
            <w:pPr>
              <w:pStyle w:val="tablecontenttext"/>
              <w:spacing w:line="240" w:lineRule="auto"/>
              <w:rPr>
                <w:color w:val="0070C0"/>
                <w:sz w:val="14"/>
                <w:szCs w:val="14"/>
              </w:rPr>
            </w:pPr>
          </w:p>
          <w:p w14:paraId="03963DCD" w14:textId="77777777" w:rsidR="000A0954" w:rsidRPr="000A40A4" w:rsidRDefault="000A0954" w:rsidP="000A40A4">
            <w:pPr>
              <w:pStyle w:val="tablecontenttext"/>
              <w:spacing w:line="240" w:lineRule="auto"/>
              <w:rPr>
                <w:color w:val="0070C0"/>
                <w:sz w:val="14"/>
                <w:szCs w:val="14"/>
              </w:rPr>
            </w:pPr>
          </w:p>
          <w:p w14:paraId="35CD8836" w14:textId="77777777" w:rsidR="000A0954" w:rsidRPr="000A40A4" w:rsidRDefault="000A0954" w:rsidP="000A40A4">
            <w:pPr>
              <w:pStyle w:val="tablecontenttext"/>
              <w:spacing w:line="240" w:lineRule="auto"/>
              <w:rPr>
                <w:color w:val="0070C0"/>
                <w:sz w:val="14"/>
                <w:szCs w:val="14"/>
              </w:rPr>
            </w:pPr>
          </w:p>
          <w:p w14:paraId="28EF55F0" w14:textId="77777777" w:rsidR="000A0954" w:rsidRPr="000A40A4" w:rsidRDefault="000A0954" w:rsidP="000A40A4">
            <w:pPr>
              <w:pStyle w:val="tablecontenttext"/>
              <w:spacing w:line="240" w:lineRule="auto"/>
              <w:rPr>
                <w:color w:val="0070C0"/>
                <w:sz w:val="14"/>
                <w:szCs w:val="14"/>
              </w:rPr>
            </w:pPr>
          </w:p>
          <w:p w14:paraId="00C09542" w14:textId="77777777" w:rsidR="000A0954" w:rsidRPr="000A40A4" w:rsidRDefault="000A0954" w:rsidP="000A40A4">
            <w:pPr>
              <w:pStyle w:val="tablecontenttext"/>
              <w:spacing w:line="240" w:lineRule="auto"/>
              <w:rPr>
                <w:color w:val="0070C0"/>
                <w:sz w:val="14"/>
                <w:szCs w:val="14"/>
              </w:rPr>
            </w:pPr>
          </w:p>
          <w:p w14:paraId="772AB9DF" w14:textId="77777777" w:rsidR="000A0954" w:rsidRPr="000A40A4" w:rsidRDefault="000A0954" w:rsidP="000A40A4">
            <w:pPr>
              <w:pStyle w:val="tablecontenttext"/>
              <w:spacing w:line="240" w:lineRule="auto"/>
              <w:rPr>
                <w:color w:val="0070C0"/>
                <w:sz w:val="14"/>
                <w:szCs w:val="14"/>
              </w:rPr>
            </w:pPr>
          </w:p>
          <w:p w14:paraId="3D29A95B" w14:textId="77777777" w:rsidR="000A0954" w:rsidRPr="000A40A4" w:rsidRDefault="000A0954" w:rsidP="000A40A4">
            <w:pPr>
              <w:pStyle w:val="tablecontenttext"/>
              <w:spacing w:line="240" w:lineRule="auto"/>
              <w:rPr>
                <w:color w:val="0070C0"/>
                <w:sz w:val="14"/>
                <w:szCs w:val="14"/>
              </w:rPr>
            </w:pPr>
          </w:p>
          <w:p w14:paraId="0252EB7E" w14:textId="77777777" w:rsidR="000A0954" w:rsidRPr="000A40A4" w:rsidRDefault="000A0954" w:rsidP="000A40A4">
            <w:pPr>
              <w:pStyle w:val="tablecontenttext"/>
              <w:spacing w:line="240" w:lineRule="auto"/>
              <w:rPr>
                <w:color w:val="0070C0"/>
                <w:sz w:val="14"/>
                <w:szCs w:val="14"/>
              </w:rPr>
            </w:pPr>
          </w:p>
          <w:p w14:paraId="4220F5AC" w14:textId="77777777" w:rsidR="000A0954" w:rsidRPr="000A40A4" w:rsidRDefault="000A0954" w:rsidP="000A40A4">
            <w:pPr>
              <w:pStyle w:val="tablecontenttext"/>
              <w:spacing w:line="240" w:lineRule="auto"/>
              <w:rPr>
                <w:color w:val="0070C0"/>
                <w:sz w:val="14"/>
                <w:szCs w:val="14"/>
              </w:rPr>
            </w:pPr>
          </w:p>
          <w:p w14:paraId="057DAA79" w14:textId="77777777" w:rsidR="000A0954" w:rsidRPr="000A40A4" w:rsidRDefault="000A0954" w:rsidP="000A40A4">
            <w:pPr>
              <w:pStyle w:val="tablecontenttext"/>
              <w:spacing w:line="240" w:lineRule="auto"/>
              <w:rPr>
                <w:color w:val="0070C0"/>
                <w:sz w:val="14"/>
                <w:szCs w:val="14"/>
              </w:rPr>
            </w:pPr>
          </w:p>
          <w:p w14:paraId="4101860D" w14:textId="77777777" w:rsidR="000A0954" w:rsidRPr="000A40A4" w:rsidRDefault="000A0954" w:rsidP="000A40A4">
            <w:pPr>
              <w:pStyle w:val="tablecontenttext"/>
              <w:spacing w:line="240" w:lineRule="auto"/>
              <w:rPr>
                <w:color w:val="0070C0"/>
                <w:sz w:val="14"/>
                <w:szCs w:val="14"/>
              </w:rPr>
            </w:pPr>
          </w:p>
          <w:p w14:paraId="2516725D" w14:textId="77777777" w:rsidR="000A0954" w:rsidRPr="000A40A4" w:rsidRDefault="000A0954" w:rsidP="000A40A4">
            <w:pPr>
              <w:pStyle w:val="TEXTBODY"/>
              <w:spacing w:after="60"/>
              <w:rPr>
                <w:rFonts w:ascii="Arial" w:hAnsi="Arial" w:cs="Arial"/>
                <w:bCs/>
                <w:color w:val="0070C0"/>
                <w:sz w:val="14"/>
                <w:szCs w:val="14"/>
              </w:rPr>
            </w:pPr>
          </w:p>
        </w:tc>
      </w:tr>
      <w:tr w:rsidR="000A0954" w:rsidRPr="000A40A4" w14:paraId="5F51EEA0" w14:textId="77777777" w:rsidTr="004E5214">
        <w:tc>
          <w:tcPr>
            <w:tcW w:w="753" w:type="dxa"/>
          </w:tcPr>
          <w:p w14:paraId="2BB8FBB9" w14:textId="77777777" w:rsidR="000A0954" w:rsidRPr="000A40A4" w:rsidRDefault="000A0954" w:rsidP="000A40A4">
            <w:pPr>
              <w:pStyle w:val="tablecontenttext"/>
              <w:spacing w:line="240" w:lineRule="auto"/>
              <w:rPr>
                <w:sz w:val="14"/>
                <w:szCs w:val="14"/>
              </w:rPr>
            </w:pPr>
            <w:r w:rsidRPr="000A40A4">
              <w:rPr>
                <w:sz w:val="14"/>
                <w:szCs w:val="14"/>
              </w:rPr>
              <w:lastRenderedPageBreak/>
              <w:t xml:space="preserve">Step 4b </w:t>
            </w:r>
          </w:p>
          <w:p w14:paraId="729DAB0A" w14:textId="77777777" w:rsidR="000A0954" w:rsidRPr="000A40A4" w:rsidRDefault="000A0954" w:rsidP="000A40A4">
            <w:pPr>
              <w:pStyle w:val="tablecontenttext"/>
              <w:spacing w:line="240" w:lineRule="auto"/>
              <w:rPr>
                <w:sz w:val="14"/>
                <w:szCs w:val="14"/>
              </w:rPr>
            </w:pPr>
            <w:r w:rsidRPr="000A40A4">
              <w:rPr>
                <w:sz w:val="14"/>
                <w:szCs w:val="14"/>
              </w:rPr>
              <w:t xml:space="preserve">+ </w:t>
            </w:r>
          </w:p>
          <w:p w14:paraId="25B79FBC" w14:textId="77777777" w:rsidR="000A0954" w:rsidRPr="000A40A4" w:rsidRDefault="000A0954" w:rsidP="000A40A4">
            <w:pPr>
              <w:pStyle w:val="tablecontenttext"/>
              <w:spacing w:line="240" w:lineRule="auto"/>
              <w:rPr>
                <w:sz w:val="14"/>
                <w:szCs w:val="14"/>
              </w:rPr>
            </w:pPr>
            <w:r w:rsidRPr="000A40A4">
              <w:rPr>
                <w:sz w:val="14"/>
                <w:szCs w:val="14"/>
              </w:rPr>
              <w:t>Step 6</w:t>
            </w:r>
          </w:p>
        </w:tc>
        <w:tc>
          <w:tcPr>
            <w:tcW w:w="7039" w:type="dxa"/>
          </w:tcPr>
          <w:p w14:paraId="1077C7F1" w14:textId="77777777"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ADM implies an ongoing monitoring of external conditions (climatic and socioeconomic developments), of implemented measures (i.e. </w:t>
            </w:r>
            <w:r w:rsidRPr="000A40A4">
              <w:rPr>
                <w:rFonts w:ascii="Arial" w:hAnsi="Arial" w:cs="Arial"/>
                <w:bCs/>
                <w:i/>
                <w:iCs/>
                <w:sz w:val="14"/>
                <w:szCs w:val="14"/>
              </w:rPr>
              <w:t>what we are doing and what results this yields</w:t>
            </w:r>
            <w:r w:rsidRPr="000A40A4">
              <w:rPr>
                <w:rFonts w:ascii="Arial" w:hAnsi="Arial" w:cs="Arial"/>
                <w:bCs/>
                <w:sz w:val="14"/>
                <w:szCs w:val="14"/>
              </w:rPr>
              <w:t xml:space="preserve">), and of new knowledge, and, based thereon, the regular (re)evaluation of strategies followed (implemented and planned) to check if they are proceeding as expected and if it is necessary to adjust them – their </w:t>
            </w:r>
            <w:r w:rsidRPr="000A40A4">
              <w:rPr>
                <w:rFonts w:ascii="Arial" w:hAnsi="Arial" w:cs="Arial"/>
                <w:bCs/>
                <w:i/>
                <w:iCs/>
                <w:sz w:val="14"/>
                <w:szCs w:val="14"/>
              </w:rPr>
              <w:t>pace</w:t>
            </w:r>
            <w:r w:rsidRPr="000A40A4">
              <w:rPr>
                <w:rFonts w:ascii="Arial" w:hAnsi="Arial" w:cs="Arial"/>
                <w:bCs/>
                <w:sz w:val="14"/>
                <w:szCs w:val="14"/>
              </w:rPr>
              <w:t xml:space="preserve">, </w:t>
            </w:r>
            <w:r w:rsidRPr="000A40A4">
              <w:rPr>
                <w:rFonts w:ascii="Arial" w:hAnsi="Arial" w:cs="Arial"/>
                <w:bCs/>
                <w:i/>
                <w:iCs/>
                <w:sz w:val="14"/>
                <w:szCs w:val="14"/>
              </w:rPr>
              <w:t>direction</w:t>
            </w:r>
            <w:r w:rsidRPr="000A40A4">
              <w:rPr>
                <w:rFonts w:ascii="Arial" w:hAnsi="Arial" w:cs="Arial"/>
                <w:bCs/>
                <w:sz w:val="14"/>
                <w:szCs w:val="14"/>
              </w:rPr>
              <w:t xml:space="preserve"> or </w:t>
            </w:r>
            <w:r w:rsidRPr="000A40A4">
              <w:rPr>
                <w:rFonts w:ascii="Arial" w:hAnsi="Arial" w:cs="Arial"/>
                <w:bCs/>
                <w:i/>
                <w:iCs/>
                <w:sz w:val="14"/>
                <w:szCs w:val="14"/>
              </w:rPr>
              <w:t>content</w:t>
            </w:r>
            <w:r w:rsidRPr="000A40A4">
              <w:rPr>
                <w:rFonts w:ascii="Arial" w:hAnsi="Arial" w:cs="Arial"/>
                <w:bCs/>
                <w:sz w:val="14"/>
                <w:szCs w:val="14"/>
              </w:rPr>
              <w:t xml:space="preserve"> – as new insights into climatic and socioeconomic changes arise (it might be necessary to adjust strategies over time) (</w:t>
            </w:r>
            <w:r w:rsidRPr="000A40A4">
              <w:rPr>
                <w:rFonts w:ascii="Arial" w:hAnsi="Arial" w:cs="Arial"/>
                <w:bCs/>
                <w:color w:val="7F7F7F" w:themeColor="text1" w:themeTint="80"/>
                <w:sz w:val="14"/>
                <w:szCs w:val="14"/>
              </w:rPr>
              <w:t>DP 2016, p.6; 2014, p.149; Zevenbergen et al. 2018, p.6; Petersen and Bloemen 2015, p.225, 221-223; Zandvoort et al. 2018, p.193, 190</w:t>
            </w:r>
            <w:r w:rsidRPr="000A40A4">
              <w:rPr>
                <w:rFonts w:ascii="Arial" w:hAnsi="Arial" w:cs="Arial"/>
                <w:bCs/>
                <w:sz w:val="14"/>
                <w:szCs w:val="14"/>
              </w:rPr>
              <w:t xml:space="preserve">, </w:t>
            </w:r>
            <w:r w:rsidRPr="000A40A4">
              <w:rPr>
                <w:rFonts w:ascii="Arial" w:hAnsi="Arial" w:cs="Arial"/>
                <w:bCs/>
                <w:color w:val="7F7F7F" w:themeColor="text1" w:themeTint="80"/>
                <w:sz w:val="14"/>
                <w:szCs w:val="14"/>
              </w:rPr>
              <w:t>192</w:t>
            </w:r>
            <w:r w:rsidRPr="000A40A4">
              <w:rPr>
                <w:rFonts w:ascii="Arial" w:hAnsi="Arial" w:cs="Arial"/>
                <w:bCs/>
                <w:sz w:val="14"/>
                <w:szCs w:val="14"/>
              </w:rPr>
              <w:t>). Monitoring is also needed to detect when ATPs might be reached (</w:t>
            </w:r>
            <w:proofErr w:type="spellStart"/>
            <w:r w:rsidRPr="000A40A4">
              <w:rPr>
                <w:rFonts w:ascii="Arial" w:hAnsi="Arial" w:cs="Arial"/>
                <w:bCs/>
                <w:color w:val="7F7F7F" w:themeColor="text1" w:themeTint="80"/>
                <w:sz w:val="14"/>
                <w:szCs w:val="14"/>
              </w:rPr>
              <w:t>Restemeyer</w:t>
            </w:r>
            <w:proofErr w:type="spellEnd"/>
            <w:r w:rsidRPr="000A40A4">
              <w:rPr>
                <w:rFonts w:ascii="Arial" w:hAnsi="Arial" w:cs="Arial"/>
                <w:bCs/>
                <w:color w:val="7F7F7F" w:themeColor="text1" w:themeTint="80"/>
                <w:sz w:val="14"/>
                <w:szCs w:val="14"/>
              </w:rPr>
              <w:t xml:space="preserve"> et al. 2017, p.931</w:t>
            </w:r>
            <w:r w:rsidRPr="000A40A4">
              <w:rPr>
                <w:rFonts w:ascii="Arial" w:hAnsi="Arial" w:cs="Arial"/>
                <w:bCs/>
                <w:sz w:val="14"/>
                <w:szCs w:val="14"/>
              </w:rPr>
              <w:t xml:space="preserve">). </w:t>
            </w:r>
          </w:p>
          <w:p w14:paraId="5E3E1774" w14:textId="77777777"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For the DP, ADM requires </w:t>
            </w:r>
            <w:r w:rsidRPr="000A40A4">
              <w:rPr>
                <w:rFonts w:ascii="Arial" w:hAnsi="Arial" w:cs="Arial"/>
                <w:bCs/>
                <w:i/>
                <w:iCs/>
                <w:sz w:val="14"/>
                <w:szCs w:val="14"/>
              </w:rPr>
              <w:t>persistently checking whether we are working at the right pace and in the proper direction</w:t>
            </w:r>
            <w:r w:rsidRPr="000A40A4">
              <w:rPr>
                <w:rFonts w:ascii="Arial" w:hAnsi="Arial" w:cs="Arial"/>
                <w:bCs/>
                <w:sz w:val="14"/>
                <w:szCs w:val="14"/>
              </w:rPr>
              <w:t>, and,</w:t>
            </w:r>
            <w:r w:rsidRPr="000A40A4">
              <w:rPr>
                <w:rFonts w:ascii="Arial" w:hAnsi="Arial" w:cs="Arial"/>
                <w:bCs/>
                <w:i/>
                <w:iCs/>
                <w:sz w:val="14"/>
                <w:szCs w:val="14"/>
              </w:rPr>
              <w:t xml:space="preserve"> if need be, adjusting our strategies in time</w:t>
            </w:r>
            <w:r w:rsidRPr="000A40A4">
              <w:rPr>
                <w:rFonts w:ascii="Arial" w:hAnsi="Arial" w:cs="Arial"/>
                <w:bCs/>
                <w:sz w:val="14"/>
                <w:szCs w:val="14"/>
              </w:rPr>
              <w:t xml:space="preserve"> (</w:t>
            </w:r>
            <w:r w:rsidRPr="000A40A4">
              <w:rPr>
                <w:rFonts w:ascii="Arial" w:hAnsi="Arial" w:cs="Arial"/>
                <w:bCs/>
                <w:color w:val="7F7F7F" w:themeColor="text1" w:themeTint="80"/>
                <w:sz w:val="14"/>
                <w:szCs w:val="14"/>
              </w:rPr>
              <w:t>DP 2018, p.13; 2017, p.7, 13; 2016, p.6</w:t>
            </w:r>
            <w:r w:rsidRPr="000A40A4">
              <w:rPr>
                <w:rFonts w:ascii="Arial" w:hAnsi="Arial" w:cs="Arial"/>
                <w:bCs/>
                <w:sz w:val="14"/>
                <w:szCs w:val="14"/>
              </w:rPr>
              <w:t xml:space="preserve">), i.e. </w:t>
            </w:r>
            <w:r w:rsidRPr="000A40A4">
              <w:rPr>
                <w:rFonts w:ascii="Arial" w:hAnsi="Arial" w:cs="Arial"/>
                <w:bCs/>
                <w:i/>
                <w:iCs/>
                <w:sz w:val="14"/>
                <w:szCs w:val="14"/>
              </w:rPr>
              <w:t xml:space="preserve">adjusting strategies periodically </w:t>
            </w:r>
            <w:r w:rsidRPr="000A40A4">
              <w:rPr>
                <w:rFonts w:ascii="Arial" w:hAnsi="Arial" w:cs="Arial"/>
                <w:bCs/>
                <w:sz w:val="14"/>
                <w:szCs w:val="14"/>
              </w:rPr>
              <w:t xml:space="preserve">based on new knowledge which demands </w:t>
            </w:r>
            <w:r w:rsidRPr="000A40A4">
              <w:rPr>
                <w:rFonts w:ascii="Arial" w:hAnsi="Arial" w:cs="Arial"/>
                <w:bCs/>
                <w:i/>
                <w:iCs/>
                <w:sz w:val="14"/>
                <w:szCs w:val="14"/>
              </w:rPr>
              <w:t xml:space="preserve">a clear view of the possibilities for the future at all times </w:t>
            </w:r>
            <w:r w:rsidRPr="000A40A4">
              <w:rPr>
                <w:rFonts w:ascii="Arial" w:hAnsi="Arial" w:cs="Arial"/>
                <w:bCs/>
                <w:sz w:val="14"/>
                <w:szCs w:val="14"/>
              </w:rPr>
              <w:t xml:space="preserve">and ongoing monitoring and evaluation – </w:t>
            </w:r>
            <w:r w:rsidRPr="000A40A4">
              <w:rPr>
                <w:rFonts w:ascii="Arial" w:hAnsi="Arial" w:cs="Arial"/>
                <w:bCs/>
                <w:i/>
                <w:iCs/>
                <w:sz w:val="14"/>
                <w:szCs w:val="14"/>
              </w:rPr>
              <w:t>monitoring and evaluation are essential to know in good time when the strategy has to change and when other measures that have already been prepared should be put into effect</w:t>
            </w:r>
            <w:r w:rsidRPr="000A40A4">
              <w:rPr>
                <w:rFonts w:ascii="Arial" w:hAnsi="Arial" w:cs="Arial"/>
                <w:bCs/>
                <w:sz w:val="14"/>
                <w:szCs w:val="14"/>
              </w:rPr>
              <w:t xml:space="preserve"> (</w:t>
            </w:r>
            <w:r w:rsidRPr="000A40A4">
              <w:rPr>
                <w:rFonts w:ascii="Arial" w:hAnsi="Arial" w:cs="Arial"/>
                <w:bCs/>
                <w:color w:val="7F7F7F" w:themeColor="text1" w:themeTint="80"/>
                <w:sz w:val="14"/>
                <w:szCs w:val="14"/>
              </w:rPr>
              <w:t>DP 2014, p.13</w:t>
            </w:r>
            <w:r w:rsidRPr="000A40A4">
              <w:rPr>
                <w:rFonts w:ascii="Arial" w:hAnsi="Arial" w:cs="Arial"/>
                <w:bCs/>
                <w:sz w:val="14"/>
                <w:szCs w:val="14"/>
              </w:rPr>
              <w:t xml:space="preserve">). </w:t>
            </w:r>
          </w:p>
          <w:p w14:paraId="0F16B21B" w14:textId="77777777"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In specific, in the DP, ADM required monitoring changes and developments, new knowledge, and effects of measures, and regularly reassessing/reviewing the Plan – its Strategies (applied and planned), their measures, or their schedule / timing – and adapting / adjusting them if changes or new insights prompt so; thus, ADM presupposes the existence of a monitoring and evaluation system and a </w:t>
            </w:r>
            <w:r w:rsidRPr="000A40A4">
              <w:rPr>
                <w:rFonts w:ascii="Arial" w:hAnsi="Arial" w:cs="Arial"/>
                <w:bCs/>
                <w:i/>
                <w:iCs/>
                <w:sz w:val="14"/>
                <w:szCs w:val="14"/>
              </w:rPr>
              <w:t>learning process</w:t>
            </w:r>
            <w:r w:rsidRPr="000A40A4">
              <w:rPr>
                <w:rFonts w:ascii="Arial" w:hAnsi="Arial" w:cs="Arial"/>
                <w:bCs/>
                <w:sz w:val="14"/>
                <w:szCs w:val="14"/>
              </w:rPr>
              <w:t>, and also reviewing choices, strategies and plans, and adapting them</w:t>
            </w:r>
            <w:r w:rsidRPr="000A40A4">
              <w:rPr>
                <w:rFonts w:ascii="Arial" w:hAnsi="Arial" w:cs="Arial"/>
                <w:bCs/>
                <w:i/>
                <w:iCs/>
                <w:sz w:val="14"/>
                <w:szCs w:val="14"/>
              </w:rPr>
              <w:t xml:space="preserve"> </w:t>
            </w:r>
            <w:r w:rsidRPr="000A40A4">
              <w:rPr>
                <w:rFonts w:ascii="Arial" w:hAnsi="Arial" w:cs="Arial"/>
                <w:bCs/>
                <w:sz w:val="14"/>
                <w:szCs w:val="14"/>
              </w:rPr>
              <w:t>if necessary (</w:t>
            </w:r>
            <w:r w:rsidRPr="000A40A4">
              <w:rPr>
                <w:rFonts w:ascii="Arial" w:hAnsi="Arial" w:cs="Arial"/>
                <w:bCs/>
                <w:color w:val="7F7F7F" w:themeColor="text1" w:themeTint="80"/>
                <w:sz w:val="14"/>
                <w:szCs w:val="14"/>
              </w:rPr>
              <w:t>DP 2016, p.59, 11, 61, 6</w:t>
            </w:r>
            <w:r w:rsidRPr="000A40A4">
              <w:rPr>
                <w:rFonts w:ascii="Arial" w:hAnsi="Arial" w:cs="Arial"/>
                <w:bCs/>
                <w:sz w:val="14"/>
                <w:szCs w:val="14"/>
              </w:rPr>
              <w:t>).</w:t>
            </w:r>
            <w:r w:rsidRPr="000A40A4">
              <w:rPr>
                <w:rStyle w:val="Refdenotaderodap"/>
                <w:rFonts w:ascii="Arial" w:hAnsi="Arial" w:cs="Arial"/>
                <w:bCs/>
                <w:sz w:val="14"/>
                <w:szCs w:val="14"/>
              </w:rPr>
              <w:footnoteReference w:id="138"/>
            </w:r>
            <w:r w:rsidRPr="000A40A4">
              <w:rPr>
                <w:rFonts w:ascii="Arial" w:hAnsi="Arial" w:cs="Arial"/>
                <w:bCs/>
                <w:sz w:val="14"/>
                <w:szCs w:val="14"/>
              </w:rPr>
              <w:t xml:space="preserve"> </w:t>
            </w:r>
          </w:p>
          <w:p w14:paraId="74BB7E09" w14:textId="77777777" w:rsidR="000A0954" w:rsidRPr="000A40A4" w:rsidRDefault="000A0954" w:rsidP="000A40A4">
            <w:pPr>
              <w:pStyle w:val="TEXTBODY"/>
              <w:rPr>
                <w:rFonts w:ascii="Arial" w:hAnsi="Arial" w:cs="Arial"/>
                <w:bCs/>
                <w:sz w:val="14"/>
                <w:szCs w:val="14"/>
              </w:rPr>
            </w:pPr>
            <w:r w:rsidRPr="000A40A4">
              <w:rPr>
                <w:rFonts w:ascii="Arial" w:hAnsi="Arial" w:cs="Arial"/>
                <w:bCs/>
                <w:sz w:val="14"/>
                <w:szCs w:val="14"/>
              </w:rPr>
              <w:t xml:space="preserve">Since 2015, the DP defined and established its own monitoring, evaluation and reassessment system, called </w:t>
            </w:r>
            <w:r w:rsidRPr="000A40A4">
              <w:rPr>
                <w:rFonts w:ascii="Arial" w:hAnsi="Arial" w:cs="Arial"/>
                <w:bCs/>
                <w:i/>
                <w:iCs/>
                <w:sz w:val="14"/>
                <w:szCs w:val="14"/>
              </w:rPr>
              <w:t xml:space="preserve">Monitoring, Analysing, Acting system </w:t>
            </w:r>
            <w:r w:rsidRPr="000A40A4">
              <w:rPr>
                <w:rFonts w:ascii="Arial" w:hAnsi="Arial" w:cs="Arial"/>
                <w:bCs/>
                <w:sz w:val="14"/>
                <w:szCs w:val="14"/>
              </w:rPr>
              <w:t xml:space="preserve">(MAA), which is considered the </w:t>
            </w:r>
            <w:r w:rsidRPr="000A40A4">
              <w:rPr>
                <w:rFonts w:ascii="Arial" w:hAnsi="Arial" w:cs="Arial"/>
                <w:bCs/>
                <w:i/>
                <w:iCs/>
                <w:sz w:val="14"/>
                <w:szCs w:val="14"/>
              </w:rPr>
              <w:t>engine of ADM</w:t>
            </w:r>
            <w:r w:rsidRPr="000A40A4">
              <w:rPr>
                <w:rFonts w:ascii="Arial" w:hAnsi="Arial" w:cs="Arial"/>
                <w:bCs/>
                <w:sz w:val="14"/>
                <w:szCs w:val="14"/>
              </w:rPr>
              <w:t xml:space="preserve"> (</w:t>
            </w:r>
            <w:r w:rsidRPr="000A40A4">
              <w:rPr>
                <w:rFonts w:ascii="Arial" w:hAnsi="Arial" w:cs="Arial"/>
                <w:bCs/>
                <w:color w:val="7F7F7F" w:themeColor="text1" w:themeTint="80"/>
                <w:sz w:val="14"/>
                <w:szCs w:val="14"/>
              </w:rPr>
              <w:t>DP 2016, p.6, 59; 2014, p.149</w:t>
            </w:r>
            <w:r w:rsidRPr="000A40A4">
              <w:rPr>
                <w:rFonts w:ascii="Arial" w:hAnsi="Arial" w:cs="Arial"/>
                <w:bCs/>
                <w:sz w:val="14"/>
                <w:szCs w:val="14"/>
              </w:rPr>
              <w:t>). It started to operate in 2017 (</w:t>
            </w:r>
            <w:r w:rsidRPr="000A40A4">
              <w:rPr>
                <w:rFonts w:ascii="Arial" w:hAnsi="Arial" w:cs="Arial"/>
                <w:bCs/>
                <w:color w:val="7F7F7F" w:themeColor="text1" w:themeTint="80"/>
                <w:sz w:val="14"/>
                <w:szCs w:val="14"/>
              </w:rPr>
              <w:t>DP 2016, p.3, 63</w:t>
            </w:r>
            <w:r w:rsidRPr="000A40A4">
              <w:rPr>
                <w:rFonts w:ascii="Arial" w:hAnsi="Arial" w:cs="Arial"/>
                <w:bCs/>
                <w:sz w:val="14"/>
                <w:szCs w:val="14"/>
              </w:rPr>
              <w:t xml:space="preserve">). The MAA serves mainly to: </w:t>
            </w:r>
          </w:p>
          <w:p w14:paraId="57DF235E" w14:textId="77777777" w:rsidR="000A0954" w:rsidRPr="000A40A4" w:rsidRDefault="000A0954" w:rsidP="000A40A4">
            <w:pPr>
              <w:pStyle w:val="TEXTBODY"/>
              <w:numPr>
                <w:ilvl w:val="0"/>
                <w:numId w:val="86"/>
              </w:numPr>
              <w:ind w:left="130" w:hanging="142"/>
              <w:rPr>
                <w:rFonts w:ascii="Arial" w:hAnsi="Arial" w:cs="Arial"/>
                <w:bCs/>
                <w:sz w:val="14"/>
                <w:szCs w:val="14"/>
              </w:rPr>
            </w:pPr>
            <w:r w:rsidRPr="000A40A4">
              <w:rPr>
                <w:rFonts w:ascii="Arial" w:hAnsi="Arial" w:cs="Arial"/>
                <w:bCs/>
                <w:sz w:val="14"/>
                <w:szCs w:val="14"/>
              </w:rPr>
              <w:lastRenderedPageBreak/>
              <w:t>monitor changes and developments, measures’ effects, new insights and knowledge, and, in accordance, regularly revaluate (review) the strategies and measures (implemented and planned) (</w:t>
            </w:r>
            <w:r w:rsidRPr="000A40A4">
              <w:rPr>
                <w:rFonts w:ascii="Arial" w:hAnsi="Arial" w:cs="Arial"/>
                <w:bCs/>
                <w:color w:val="7F7F7F" w:themeColor="text1" w:themeTint="80"/>
                <w:sz w:val="14"/>
                <w:szCs w:val="14"/>
              </w:rPr>
              <w:t>DP 2016, p.6, 9, 11, 59</w:t>
            </w:r>
            <w:proofErr w:type="gramStart"/>
            <w:r w:rsidRPr="000A40A4">
              <w:rPr>
                <w:rFonts w:ascii="Arial" w:hAnsi="Arial" w:cs="Arial"/>
                <w:bCs/>
                <w:sz w:val="14"/>
                <w:szCs w:val="14"/>
              </w:rPr>
              <w:t>);</w:t>
            </w:r>
            <w:proofErr w:type="gramEnd"/>
            <w:r w:rsidRPr="000A40A4">
              <w:rPr>
                <w:rFonts w:ascii="Arial" w:hAnsi="Arial" w:cs="Arial"/>
                <w:bCs/>
                <w:sz w:val="14"/>
                <w:szCs w:val="14"/>
              </w:rPr>
              <w:t xml:space="preserve"> </w:t>
            </w:r>
          </w:p>
          <w:p w14:paraId="265CAFFB" w14:textId="77777777" w:rsidR="000A0954" w:rsidRPr="000A40A4" w:rsidRDefault="000A0954" w:rsidP="000A40A4">
            <w:pPr>
              <w:pStyle w:val="TEXTBODY"/>
              <w:numPr>
                <w:ilvl w:val="0"/>
                <w:numId w:val="86"/>
              </w:numPr>
              <w:ind w:left="130" w:hanging="142"/>
              <w:rPr>
                <w:rFonts w:ascii="Arial" w:hAnsi="Arial" w:cs="Arial"/>
                <w:bCs/>
                <w:sz w:val="14"/>
                <w:szCs w:val="14"/>
              </w:rPr>
            </w:pPr>
            <w:r w:rsidRPr="000A40A4">
              <w:rPr>
                <w:rFonts w:ascii="Arial" w:hAnsi="Arial" w:cs="Arial"/>
                <w:bCs/>
                <w:sz w:val="14"/>
                <w:szCs w:val="14"/>
              </w:rPr>
              <w:t>examine whether and how (and when)</w:t>
            </w:r>
            <w:r w:rsidRPr="000A40A4">
              <w:rPr>
                <w:rFonts w:ascii="Arial" w:hAnsi="Arial" w:cs="Arial"/>
                <w:bCs/>
                <w:color w:val="C00000"/>
                <w:sz w:val="14"/>
                <w:szCs w:val="14"/>
              </w:rPr>
              <w:t xml:space="preserve"> </w:t>
            </w:r>
            <w:r w:rsidRPr="000A40A4">
              <w:rPr>
                <w:rFonts w:ascii="Arial" w:hAnsi="Arial" w:cs="Arial"/>
                <w:bCs/>
                <w:sz w:val="14"/>
                <w:szCs w:val="14"/>
              </w:rPr>
              <w:t xml:space="preserve">the </w:t>
            </w:r>
            <w:r w:rsidRPr="000A40A4">
              <w:rPr>
                <w:rFonts w:ascii="Arial" w:hAnsi="Arial" w:cs="Arial"/>
                <w:bCs/>
                <w:i/>
                <w:iCs/>
                <w:sz w:val="14"/>
                <w:szCs w:val="14"/>
              </w:rPr>
              <w:t>Preferential Strategies</w:t>
            </w:r>
            <w:r w:rsidRPr="000A40A4">
              <w:rPr>
                <w:rFonts w:ascii="Arial" w:hAnsi="Arial" w:cs="Arial"/>
                <w:bCs/>
                <w:sz w:val="14"/>
                <w:szCs w:val="14"/>
              </w:rPr>
              <w:t xml:space="preserve"> need to be adjusted (the MAA generates insights into changes and progresses that may constitute reasons to adjust the</w:t>
            </w:r>
            <w:r w:rsidRPr="000A40A4">
              <w:rPr>
                <w:rFonts w:ascii="Arial" w:hAnsi="Arial" w:cs="Arial"/>
                <w:bCs/>
                <w:i/>
                <w:iCs/>
                <w:sz w:val="14"/>
                <w:szCs w:val="14"/>
              </w:rPr>
              <w:t xml:space="preserve"> pace </w:t>
            </w:r>
            <w:r w:rsidRPr="000A40A4">
              <w:rPr>
                <w:rFonts w:ascii="Arial" w:hAnsi="Arial" w:cs="Arial"/>
                <w:bCs/>
                <w:sz w:val="14"/>
                <w:szCs w:val="14"/>
              </w:rPr>
              <w:t>or</w:t>
            </w:r>
            <w:r w:rsidRPr="000A40A4">
              <w:rPr>
                <w:rFonts w:ascii="Arial" w:hAnsi="Arial" w:cs="Arial"/>
                <w:bCs/>
                <w:i/>
                <w:iCs/>
                <w:sz w:val="14"/>
                <w:szCs w:val="14"/>
              </w:rPr>
              <w:t xml:space="preserve"> direction </w:t>
            </w:r>
            <w:r w:rsidRPr="000A40A4">
              <w:rPr>
                <w:rFonts w:ascii="Arial" w:hAnsi="Arial" w:cs="Arial"/>
                <w:bCs/>
                <w:sz w:val="14"/>
                <w:szCs w:val="14"/>
              </w:rPr>
              <w:t>of Strategies, and it enables their timely adjustment, e.g. by changing of course or measure, hence, it is indispensable to operate the DP’s adaptive approach) (</w:t>
            </w:r>
            <w:r w:rsidRPr="000A40A4">
              <w:rPr>
                <w:rFonts w:ascii="Arial" w:hAnsi="Arial" w:cs="Arial"/>
                <w:bCs/>
                <w:color w:val="7F7F7F" w:themeColor="text1" w:themeTint="80"/>
                <w:sz w:val="14"/>
                <w:szCs w:val="14"/>
              </w:rPr>
              <w:t>DP 2016, p.6-7, 9, 11, 59; 2017, p.13; 2016</w:t>
            </w:r>
            <w:r w:rsidRPr="000A40A4">
              <w:rPr>
                <w:rFonts w:ascii="Arial" w:hAnsi="Arial" w:cs="Arial"/>
                <w:bCs/>
                <w:sz w:val="14"/>
                <w:szCs w:val="14"/>
              </w:rPr>
              <w:t xml:space="preserve">). More precisely, the DP uses the MAA </w:t>
            </w:r>
            <w:proofErr w:type="gramStart"/>
            <w:r w:rsidRPr="000A40A4">
              <w:rPr>
                <w:rFonts w:ascii="Arial" w:hAnsi="Arial" w:cs="Arial"/>
                <w:bCs/>
                <w:color w:val="C00000"/>
                <w:sz w:val="14"/>
                <w:szCs w:val="14"/>
              </w:rPr>
              <w:t>to</w:t>
            </w:r>
            <w:r w:rsidRPr="000A40A4">
              <w:rPr>
                <w:rFonts w:ascii="Arial" w:hAnsi="Arial" w:cs="Arial"/>
                <w:bCs/>
                <w:sz w:val="14"/>
                <w:szCs w:val="14"/>
              </w:rPr>
              <w:t>:</w:t>
            </w:r>
            <w:proofErr w:type="gramEnd"/>
            <w:r w:rsidRPr="000A40A4">
              <w:rPr>
                <w:rFonts w:ascii="Arial" w:hAnsi="Arial" w:cs="Arial"/>
                <w:bCs/>
                <w:sz w:val="14"/>
                <w:szCs w:val="14"/>
              </w:rPr>
              <w:t xml:space="preserve"> evaluate (review), every year, whether any new developments demand the adjustment or fine-tuning of the </w:t>
            </w:r>
            <w:r w:rsidRPr="000A40A4">
              <w:rPr>
                <w:rFonts w:ascii="Arial" w:hAnsi="Arial" w:cs="Arial"/>
                <w:bCs/>
                <w:i/>
                <w:iCs/>
                <w:sz w:val="14"/>
                <w:szCs w:val="14"/>
              </w:rPr>
              <w:t>Preferential Strategies</w:t>
            </w:r>
            <w:r w:rsidRPr="000A40A4">
              <w:rPr>
                <w:rFonts w:ascii="Arial" w:hAnsi="Arial" w:cs="Arial"/>
                <w:bCs/>
                <w:sz w:val="14"/>
                <w:szCs w:val="14"/>
              </w:rPr>
              <w:t xml:space="preserve"> or </w:t>
            </w:r>
            <w:r w:rsidRPr="000A40A4">
              <w:rPr>
                <w:rFonts w:ascii="Arial" w:hAnsi="Arial" w:cs="Arial"/>
                <w:bCs/>
                <w:i/>
                <w:iCs/>
                <w:sz w:val="14"/>
                <w:szCs w:val="14"/>
              </w:rPr>
              <w:t>Delta Plans</w:t>
            </w:r>
            <w:r w:rsidRPr="000A40A4">
              <w:rPr>
                <w:rFonts w:ascii="Arial" w:hAnsi="Arial" w:cs="Arial"/>
                <w:bCs/>
                <w:sz w:val="14"/>
                <w:szCs w:val="14"/>
              </w:rPr>
              <w:t>; and check whether any new conditions, developments or changes impact the goals and measures defined, and if necessary, adjust them (</w:t>
            </w:r>
            <w:r w:rsidRPr="000A40A4">
              <w:rPr>
                <w:rFonts w:ascii="Arial" w:hAnsi="Arial" w:cs="Arial"/>
                <w:bCs/>
                <w:color w:val="7F7F7F" w:themeColor="text1" w:themeTint="80"/>
                <w:sz w:val="14"/>
                <w:szCs w:val="14"/>
              </w:rPr>
              <w:t>DP 2016, p.6, 7</w:t>
            </w:r>
            <w:r w:rsidRPr="000A40A4">
              <w:rPr>
                <w:rFonts w:ascii="Arial" w:hAnsi="Arial" w:cs="Arial"/>
                <w:bCs/>
                <w:sz w:val="14"/>
                <w:szCs w:val="14"/>
              </w:rPr>
              <w:t>). The results of the MAA system must be used to update the DP on observed and forecasted effects</w:t>
            </w:r>
            <w:r w:rsidRPr="000A40A4">
              <w:rPr>
                <w:rFonts w:ascii="Arial" w:eastAsia="RijksoverheidSerif-Regular" w:hAnsi="Arial" w:cs="Arial"/>
                <w:bCs/>
                <w:sz w:val="14"/>
                <w:szCs w:val="14"/>
              </w:rPr>
              <w:t xml:space="preserve"> and must be considered in any revision of the programmed measures (namely </w:t>
            </w:r>
            <w:r w:rsidRPr="000A40A4">
              <w:rPr>
                <w:rFonts w:ascii="Arial" w:eastAsia="RijksoverheidSerif-Regular" w:hAnsi="Arial" w:cs="Arial"/>
                <w:bCs/>
                <w:i/>
                <w:iCs/>
                <w:sz w:val="14"/>
                <w:szCs w:val="14"/>
              </w:rPr>
              <w:t>implementation programmes</w:t>
            </w:r>
            <w:r w:rsidRPr="000A40A4">
              <w:rPr>
                <w:rFonts w:ascii="Arial" w:eastAsia="RijksoverheidSerif-Regular" w:hAnsi="Arial" w:cs="Arial"/>
                <w:bCs/>
                <w:sz w:val="14"/>
                <w:szCs w:val="14"/>
              </w:rPr>
              <w:t xml:space="preserve">) </w:t>
            </w:r>
            <w:r w:rsidRPr="000A40A4">
              <w:rPr>
                <w:rFonts w:ascii="Arial" w:hAnsi="Arial" w:cs="Arial"/>
                <w:bCs/>
                <w:sz w:val="14"/>
                <w:szCs w:val="14"/>
              </w:rPr>
              <w:t>(</w:t>
            </w:r>
            <w:r w:rsidRPr="000A40A4">
              <w:rPr>
                <w:rFonts w:ascii="Arial" w:hAnsi="Arial" w:cs="Arial"/>
                <w:bCs/>
                <w:color w:val="7F7F7F" w:themeColor="text1" w:themeTint="80"/>
                <w:sz w:val="14"/>
                <w:szCs w:val="14"/>
              </w:rPr>
              <w:t>DP 2014, p.149-150</w:t>
            </w:r>
            <w:r w:rsidRPr="000A40A4">
              <w:rPr>
                <w:rFonts w:ascii="Arial" w:hAnsi="Arial" w:cs="Arial"/>
                <w:bCs/>
                <w:sz w:val="14"/>
                <w:szCs w:val="14"/>
              </w:rPr>
              <w:t>). The MAA underpins the DP’s ADM approach; ADM is systematically substantiated in the MAA (</w:t>
            </w:r>
            <w:r w:rsidRPr="000A40A4">
              <w:rPr>
                <w:rFonts w:ascii="Arial" w:hAnsi="Arial" w:cs="Arial"/>
                <w:bCs/>
                <w:color w:val="7F7F7F" w:themeColor="text1" w:themeTint="80"/>
                <w:sz w:val="14"/>
                <w:szCs w:val="14"/>
              </w:rPr>
              <w:t>DP 2016, p.9, 6</w:t>
            </w:r>
            <w:r w:rsidRPr="000A40A4">
              <w:rPr>
                <w:rFonts w:ascii="Arial" w:hAnsi="Arial" w:cs="Arial"/>
                <w:bCs/>
                <w:sz w:val="14"/>
                <w:szCs w:val="14"/>
              </w:rPr>
              <w:t>).</w:t>
            </w:r>
          </w:p>
          <w:p w14:paraId="4CD7FA10" w14:textId="77777777" w:rsidR="000A0954" w:rsidRPr="000A40A4" w:rsidRDefault="000A0954" w:rsidP="000A40A4">
            <w:pPr>
              <w:pStyle w:val="TEXTBODY"/>
              <w:rPr>
                <w:rFonts w:ascii="Arial" w:hAnsi="Arial" w:cs="Arial"/>
                <w:bCs/>
                <w:sz w:val="14"/>
                <w:szCs w:val="14"/>
              </w:rPr>
            </w:pPr>
          </w:p>
          <w:p w14:paraId="14A11567" w14:textId="77777777" w:rsidR="000A0954" w:rsidRPr="000A40A4" w:rsidRDefault="000A0954" w:rsidP="000A40A4">
            <w:pPr>
              <w:pStyle w:val="TEXTBODY"/>
              <w:rPr>
                <w:rFonts w:ascii="Arial" w:hAnsi="Arial" w:cs="Arial"/>
                <w:bCs/>
                <w:sz w:val="14"/>
                <w:szCs w:val="14"/>
              </w:rPr>
            </w:pPr>
            <w:r w:rsidRPr="000A40A4">
              <w:rPr>
                <w:rFonts w:ascii="Arial" w:hAnsi="Arial" w:cs="Arial"/>
                <w:bCs/>
                <w:sz w:val="14"/>
                <w:szCs w:val="14"/>
              </w:rPr>
              <w:t xml:space="preserve">In 2017/2018, the </w:t>
            </w:r>
            <w:r w:rsidRPr="000A40A4">
              <w:rPr>
                <w:rFonts w:ascii="Arial" w:hAnsi="Arial" w:cs="Arial"/>
                <w:bCs/>
                <w:i/>
                <w:iCs/>
                <w:sz w:val="14"/>
                <w:szCs w:val="14"/>
              </w:rPr>
              <w:t>Signal Group</w:t>
            </w:r>
            <w:r w:rsidRPr="000A40A4">
              <w:rPr>
                <w:rFonts w:ascii="Arial" w:hAnsi="Arial" w:cs="Arial"/>
                <w:bCs/>
                <w:sz w:val="14"/>
                <w:szCs w:val="14"/>
              </w:rPr>
              <w:t xml:space="preserve"> defined 8 </w:t>
            </w:r>
            <w:r w:rsidRPr="000A40A4">
              <w:rPr>
                <w:rFonts w:ascii="Arial" w:hAnsi="Arial" w:cs="Arial"/>
                <w:bCs/>
                <w:i/>
                <w:iCs/>
                <w:sz w:val="14"/>
                <w:szCs w:val="14"/>
              </w:rPr>
              <w:t>indicators</w:t>
            </w:r>
            <w:r w:rsidRPr="000A40A4">
              <w:rPr>
                <w:rFonts w:ascii="Arial" w:hAnsi="Arial" w:cs="Arial"/>
                <w:bCs/>
                <w:sz w:val="14"/>
                <w:szCs w:val="14"/>
              </w:rPr>
              <w:t xml:space="preserve"> to be monitored </w:t>
            </w:r>
            <w:proofErr w:type="gramStart"/>
            <w:r w:rsidRPr="000A40A4">
              <w:rPr>
                <w:rFonts w:ascii="Arial" w:hAnsi="Arial" w:cs="Arial"/>
                <w:bCs/>
                <w:sz w:val="14"/>
                <w:szCs w:val="14"/>
              </w:rPr>
              <w:t>in order to</w:t>
            </w:r>
            <w:proofErr w:type="gramEnd"/>
            <w:r w:rsidRPr="000A40A4">
              <w:rPr>
                <w:rFonts w:ascii="Arial" w:hAnsi="Arial" w:cs="Arial"/>
                <w:bCs/>
                <w:sz w:val="14"/>
                <w:szCs w:val="14"/>
              </w:rPr>
              <w:t xml:space="preserve"> detect signals that may prompt an adjustment of the </w:t>
            </w:r>
            <w:r w:rsidRPr="000A40A4">
              <w:rPr>
                <w:rFonts w:ascii="Arial" w:hAnsi="Arial" w:cs="Arial"/>
                <w:bCs/>
                <w:i/>
                <w:iCs/>
                <w:sz w:val="14"/>
                <w:szCs w:val="14"/>
              </w:rPr>
              <w:t>Preferential Strategies</w:t>
            </w:r>
            <w:r w:rsidRPr="000A40A4">
              <w:rPr>
                <w:rFonts w:ascii="Arial" w:hAnsi="Arial" w:cs="Arial"/>
                <w:bCs/>
                <w:sz w:val="14"/>
                <w:szCs w:val="14"/>
              </w:rPr>
              <w:t xml:space="preserve">, developments that could jeopardise the attainment of goals, among them, SRL, extreme river discharges, land use, etc. </w:t>
            </w:r>
            <w:r w:rsidRPr="000A40A4">
              <w:rPr>
                <w:rFonts w:ascii="Arial" w:hAnsi="Arial" w:cs="Arial"/>
                <w:bCs/>
                <w:color w:val="000000"/>
                <w:sz w:val="14"/>
                <w:szCs w:val="14"/>
              </w:rPr>
              <w:t>(</w:t>
            </w:r>
            <w:r w:rsidRPr="000A40A4">
              <w:rPr>
                <w:rFonts w:ascii="Arial" w:hAnsi="Arial" w:cs="Arial"/>
                <w:bCs/>
                <w:color w:val="7F7F7F" w:themeColor="text1" w:themeTint="80"/>
                <w:sz w:val="14"/>
                <w:szCs w:val="14"/>
              </w:rPr>
              <w:t>DP 2018, p.111; 20</w:t>
            </w:r>
            <w:r w:rsidRPr="000A40A4">
              <w:rPr>
                <w:rFonts w:ascii="Arial" w:hAnsi="Arial" w:cs="Arial"/>
                <w:bCs/>
                <w:sz w:val="14"/>
                <w:szCs w:val="14"/>
              </w:rPr>
              <w:t>).</w:t>
            </w:r>
          </w:p>
          <w:p w14:paraId="02BEBEE1" w14:textId="77777777" w:rsidR="000A0954" w:rsidRPr="000A40A4" w:rsidRDefault="000A0954" w:rsidP="000A40A4">
            <w:pPr>
              <w:pStyle w:val="TEXTBODY"/>
              <w:rPr>
                <w:rFonts w:ascii="Arial" w:hAnsi="Arial" w:cs="Arial"/>
                <w:bCs/>
                <w:sz w:val="14"/>
                <w:szCs w:val="14"/>
              </w:rPr>
            </w:pPr>
          </w:p>
          <w:p w14:paraId="6AAD6287" w14:textId="77777777" w:rsidR="000A0954" w:rsidRPr="000A40A4" w:rsidRDefault="000A0954" w:rsidP="000A40A4">
            <w:pPr>
              <w:pStyle w:val="TEXTBODY"/>
              <w:spacing w:after="60"/>
              <w:rPr>
                <w:rFonts w:ascii="Arial" w:hAnsi="Arial" w:cs="Arial"/>
                <w:bCs/>
                <w:sz w:val="14"/>
                <w:szCs w:val="14"/>
              </w:rPr>
            </w:pPr>
            <w:r w:rsidRPr="000A40A4">
              <w:rPr>
                <w:rFonts w:ascii="Arial" w:hAnsi="Arial" w:cs="Arial"/>
                <w:bCs/>
                <w:iCs/>
                <w:sz w:val="14"/>
                <w:szCs w:val="14"/>
              </w:rPr>
              <w:t>Besides this, the DP must carry</w:t>
            </w:r>
            <w:r w:rsidRPr="000A40A4">
              <w:rPr>
                <w:rFonts w:ascii="Arial" w:hAnsi="Arial" w:cs="Arial"/>
                <w:bCs/>
                <w:iCs/>
                <w:color w:val="C00000"/>
                <w:sz w:val="14"/>
                <w:szCs w:val="14"/>
              </w:rPr>
              <w:t xml:space="preserve"> </w:t>
            </w:r>
            <w:r w:rsidRPr="000A40A4">
              <w:rPr>
                <w:rFonts w:ascii="Arial" w:hAnsi="Arial" w:cs="Arial"/>
                <w:bCs/>
                <w:iCs/>
                <w:sz w:val="14"/>
                <w:szCs w:val="14"/>
              </w:rPr>
              <w:t xml:space="preserve">a review every 6 years to check (based on monitoring results) if it is necessary to maintain or adjust the </w:t>
            </w:r>
            <w:r w:rsidRPr="000A40A4">
              <w:rPr>
                <w:rFonts w:ascii="Arial" w:hAnsi="Arial" w:cs="Arial"/>
                <w:bCs/>
                <w:i/>
                <w:sz w:val="14"/>
                <w:szCs w:val="14"/>
              </w:rPr>
              <w:t xml:space="preserve">course </w:t>
            </w:r>
            <w:r w:rsidRPr="000A40A4">
              <w:rPr>
                <w:rFonts w:ascii="Arial" w:hAnsi="Arial" w:cs="Arial"/>
                <w:bCs/>
                <w:iCs/>
                <w:sz w:val="14"/>
                <w:szCs w:val="14"/>
              </w:rPr>
              <w:t xml:space="preserve">or the </w:t>
            </w:r>
            <w:r w:rsidRPr="000A40A4">
              <w:rPr>
                <w:rFonts w:ascii="Arial" w:hAnsi="Arial" w:cs="Arial"/>
                <w:bCs/>
                <w:i/>
                <w:sz w:val="14"/>
                <w:szCs w:val="14"/>
              </w:rPr>
              <w:t>pace</w:t>
            </w:r>
            <w:r w:rsidRPr="000A40A4">
              <w:rPr>
                <w:rFonts w:ascii="Arial" w:hAnsi="Arial" w:cs="Arial"/>
                <w:bCs/>
                <w:iCs/>
                <w:sz w:val="14"/>
                <w:szCs w:val="14"/>
              </w:rPr>
              <w:t xml:space="preserve"> of Strategies (e.g. measures or their timing) (</w:t>
            </w:r>
            <w:r w:rsidRPr="000A40A4">
              <w:rPr>
                <w:rFonts w:ascii="Arial" w:hAnsi="Arial" w:cs="Arial"/>
                <w:bCs/>
                <w:iCs/>
                <w:color w:val="7F7F7F" w:themeColor="text1" w:themeTint="80"/>
                <w:sz w:val="14"/>
                <w:szCs w:val="14"/>
              </w:rPr>
              <w:t>DP 2016, p.6</w:t>
            </w:r>
            <w:r w:rsidRPr="000A40A4">
              <w:rPr>
                <w:rFonts w:ascii="Arial" w:hAnsi="Arial" w:cs="Arial"/>
                <w:bCs/>
                <w:iCs/>
                <w:sz w:val="14"/>
                <w:szCs w:val="14"/>
              </w:rPr>
              <w:t xml:space="preserve">) – i.e. </w:t>
            </w:r>
            <w:r w:rsidRPr="000A40A4">
              <w:rPr>
                <w:rFonts w:ascii="Arial" w:hAnsi="Arial" w:cs="Arial"/>
                <w:bCs/>
                <w:sz w:val="14"/>
                <w:szCs w:val="14"/>
              </w:rPr>
              <w:t>every six years, the DP carries a systematic review namely to check ‘</w:t>
            </w:r>
            <w:r w:rsidRPr="000A40A4">
              <w:rPr>
                <w:rFonts w:ascii="Arial" w:hAnsi="Arial" w:cs="Arial"/>
                <w:bCs/>
                <w:i/>
                <w:iCs/>
                <w:sz w:val="14"/>
                <w:szCs w:val="14"/>
              </w:rPr>
              <w:t>whether it managed to keep up the pace and adjust the course on time</w:t>
            </w:r>
            <w:r w:rsidRPr="000A40A4">
              <w:rPr>
                <w:rFonts w:ascii="Arial" w:hAnsi="Arial" w:cs="Arial"/>
                <w:bCs/>
                <w:sz w:val="14"/>
                <w:szCs w:val="14"/>
              </w:rPr>
              <w:t xml:space="preserve">’ and analyse if monitoring results indicate that it is necessary to maintain or adjust the </w:t>
            </w:r>
            <w:r w:rsidRPr="000A40A4">
              <w:rPr>
                <w:rFonts w:ascii="Arial" w:hAnsi="Arial" w:cs="Arial"/>
                <w:bCs/>
                <w:i/>
                <w:iCs/>
                <w:sz w:val="14"/>
                <w:szCs w:val="14"/>
              </w:rPr>
              <w:t>course</w:t>
            </w:r>
            <w:r w:rsidRPr="000A40A4">
              <w:rPr>
                <w:rFonts w:ascii="Arial" w:hAnsi="Arial" w:cs="Arial"/>
                <w:bCs/>
                <w:sz w:val="14"/>
                <w:szCs w:val="14"/>
              </w:rPr>
              <w:t xml:space="preserve"> or </w:t>
            </w:r>
            <w:r w:rsidRPr="000A40A4">
              <w:rPr>
                <w:rFonts w:ascii="Arial" w:hAnsi="Arial" w:cs="Arial"/>
                <w:bCs/>
                <w:i/>
                <w:iCs/>
                <w:sz w:val="14"/>
                <w:szCs w:val="14"/>
              </w:rPr>
              <w:t>pace</w:t>
            </w:r>
            <w:r w:rsidRPr="000A40A4">
              <w:rPr>
                <w:rFonts w:ascii="Arial" w:hAnsi="Arial" w:cs="Arial"/>
                <w:bCs/>
                <w:sz w:val="14"/>
                <w:szCs w:val="14"/>
              </w:rPr>
              <w:t xml:space="preserve"> of Strategies (i.e. their measures or their timing) (</w:t>
            </w:r>
            <w:r w:rsidRPr="000A40A4">
              <w:rPr>
                <w:rFonts w:ascii="Arial" w:hAnsi="Arial" w:cs="Arial"/>
                <w:bCs/>
                <w:color w:val="7F7F7F" w:themeColor="text1" w:themeTint="80"/>
                <w:sz w:val="14"/>
                <w:szCs w:val="14"/>
              </w:rPr>
              <w:t>DP 2016, p.6</w:t>
            </w:r>
            <w:r w:rsidRPr="000A40A4">
              <w:rPr>
                <w:rFonts w:ascii="Arial" w:hAnsi="Arial" w:cs="Arial"/>
                <w:bCs/>
                <w:sz w:val="14"/>
                <w:szCs w:val="14"/>
              </w:rPr>
              <w:t xml:space="preserve">). Thus, the </w:t>
            </w:r>
            <w:r w:rsidRPr="000A40A4">
              <w:rPr>
                <w:rFonts w:ascii="Arial" w:hAnsi="Arial" w:cs="Arial"/>
                <w:bCs/>
                <w:i/>
                <w:iCs/>
                <w:sz w:val="14"/>
                <w:szCs w:val="14"/>
              </w:rPr>
              <w:t>Delta Decisions</w:t>
            </w:r>
            <w:r w:rsidRPr="000A40A4">
              <w:rPr>
                <w:rFonts w:ascii="Arial" w:hAnsi="Arial" w:cs="Arial"/>
                <w:bCs/>
                <w:sz w:val="14"/>
                <w:szCs w:val="14"/>
              </w:rPr>
              <w:t xml:space="preserve"> and </w:t>
            </w:r>
            <w:r w:rsidRPr="000A40A4">
              <w:rPr>
                <w:rFonts w:ascii="Arial" w:hAnsi="Arial" w:cs="Arial"/>
                <w:bCs/>
                <w:i/>
                <w:iCs/>
                <w:sz w:val="14"/>
                <w:szCs w:val="14"/>
              </w:rPr>
              <w:t>Preferential Strategies</w:t>
            </w:r>
            <w:r w:rsidRPr="000A40A4">
              <w:rPr>
                <w:rFonts w:ascii="Arial" w:hAnsi="Arial" w:cs="Arial"/>
                <w:bCs/>
                <w:sz w:val="14"/>
                <w:szCs w:val="14"/>
              </w:rPr>
              <w:t xml:space="preserve"> are subjected to a review every six years, and such 6-year review also assesses the need of keeping the envisioned long-term options open or adding new options (</w:t>
            </w:r>
            <w:r w:rsidRPr="000A40A4">
              <w:rPr>
                <w:rFonts w:ascii="Arial" w:hAnsi="Arial" w:cs="Arial"/>
                <w:bCs/>
                <w:color w:val="7F7F7F" w:themeColor="text1" w:themeTint="80"/>
                <w:sz w:val="14"/>
                <w:szCs w:val="14"/>
              </w:rPr>
              <w:t>DP 2018, p.22</w:t>
            </w:r>
            <w:r w:rsidRPr="000A40A4">
              <w:rPr>
                <w:rFonts w:ascii="Arial" w:hAnsi="Arial" w:cs="Arial"/>
                <w:bCs/>
                <w:sz w:val="14"/>
                <w:szCs w:val="14"/>
              </w:rPr>
              <w:t>). Moreover, the</w:t>
            </w:r>
            <w:r w:rsidRPr="000A40A4">
              <w:rPr>
                <w:rFonts w:ascii="Arial" w:hAnsi="Arial" w:cs="Arial"/>
                <w:bCs/>
                <w:i/>
                <w:iCs/>
                <w:sz w:val="14"/>
                <w:szCs w:val="14"/>
              </w:rPr>
              <w:t xml:space="preserve"> Preferential Strategies </w:t>
            </w:r>
            <w:r w:rsidRPr="000A40A4">
              <w:rPr>
                <w:rFonts w:ascii="Arial" w:hAnsi="Arial" w:cs="Arial"/>
                <w:bCs/>
                <w:sz w:val="14"/>
                <w:szCs w:val="14"/>
              </w:rPr>
              <w:t>are</w:t>
            </w:r>
            <w:r w:rsidRPr="000A40A4">
              <w:rPr>
                <w:rFonts w:ascii="Arial" w:hAnsi="Arial" w:cs="Arial"/>
                <w:bCs/>
                <w:i/>
                <w:iCs/>
                <w:sz w:val="14"/>
                <w:szCs w:val="14"/>
              </w:rPr>
              <w:t xml:space="preserve"> open to annual adjustment</w:t>
            </w:r>
            <w:r w:rsidRPr="000A40A4">
              <w:rPr>
                <w:rFonts w:ascii="Arial" w:hAnsi="Arial" w:cs="Arial"/>
                <w:bCs/>
                <w:sz w:val="14"/>
                <w:szCs w:val="14"/>
              </w:rPr>
              <w:t xml:space="preserve"> (</w:t>
            </w:r>
            <w:r w:rsidRPr="000A40A4">
              <w:rPr>
                <w:rFonts w:ascii="Arial" w:hAnsi="Arial" w:cs="Arial"/>
                <w:bCs/>
                <w:color w:val="7F7F7F" w:themeColor="text1" w:themeTint="80"/>
                <w:sz w:val="14"/>
                <w:szCs w:val="14"/>
              </w:rPr>
              <w:t>DP 2018, p.22</w:t>
            </w:r>
            <w:r w:rsidRPr="000A40A4">
              <w:rPr>
                <w:rFonts w:ascii="Arial" w:hAnsi="Arial" w:cs="Arial"/>
                <w:bCs/>
                <w:sz w:val="14"/>
                <w:szCs w:val="14"/>
              </w:rPr>
              <w:t>).</w:t>
            </w:r>
          </w:p>
          <w:p w14:paraId="18A9B601" w14:textId="77777777"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The </w:t>
            </w:r>
            <w:r w:rsidRPr="000A40A4">
              <w:rPr>
                <w:rFonts w:ascii="Arial" w:hAnsi="Arial" w:cs="Arial"/>
                <w:bCs/>
                <w:i/>
                <w:iCs/>
                <w:sz w:val="14"/>
                <w:szCs w:val="14"/>
              </w:rPr>
              <w:t>Preferential Strategies</w:t>
            </w:r>
            <w:r w:rsidRPr="000A40A4">
              <w:rPr>
                <w:rFonts w:ascii="Arial" w:hAnsi="Arial" w:cs="Arial"/>
                <w:bCs/>
                <w:sz w:val="14"/>
                <w:szCs w:val="14"/>
              </w:rPr>
              <w:t xml:space="preserve"> are </w:t>
            </w:r>
            <w:r w:rsidRPr="000A40A4">
              <w:rPr>
                <w:rFonts w:ascii="Arial" w:hAnsi="Arial" w:cs="Arial"/>
                <w:bCs/>
                <w:i/>
                <w:iCs/>
                <w:sz w:val="14"/>
                <w:szCs w:val="14"/>
              </w:rPr>
              <w:t>adaptive in nature</w:t>
            </w:r>
            <w:r w:rsidRPr="000A40A4">
              <w:rPr>
                <w:rFonts w:ascii="Arial" w:hAnsi="Arial" w:cs="Arial"/>
                <w:bCs/>
                <w:sz w:val="14"/>
                <w:szCs w:val="14"/>
              </w:rPr>
              <w:t xml:space="preserve"> and</w:t>
            </w:r>
            <w:r w:rsidRPr="000A40A4">
              <w:rPr>
                <w:rFonts w:ascii="Arial" w:hAnsi="Arial" w:cs="Arial"/>
                <w:bCs/>
                <w:i/>
                <w:iCs/>
                <w:sz w:val="14"/>
                <w:szCs w:val="14"/>
              </w:rPr>
              <w:t xml:space="preserve"> resistant</w:t>
            </w:r>
            <w:r w:rsidRPr="000A40A4">
              <w:rPr>
                <w:rFonts w:ascii="Arial" w:hAnsi="Arial" w:cs="Arial"/>
                <w:bCs/>
                <w:sz w:val="14"/>
                <w:szCs w:val="14"/>
              </w:rPr>
              <w:t xml:space="preserve"> (robust) to slower or faster CC than assumed in the </w:t>
            </w:r>
            <w:r w:rsidRPr="000A40A4">
              <w:rPr>
                <w:rFonts w:ascii="Arial" w:hAnsi="Arial" w:cs="Arial"/>
                <w:bCs/>
                <w:i/>
                <w:iCs/>
                <w:sz w:val="14"/>
                <w:szCs w:val="14"/>
              </w:rPr>
              <w:t>Delta Scenarios</w:t>
            </w:r>
            <w:r w:rsidRPr="000A40A4">
              <w:rPr>
                <w:rFonts w:ascii="Arial" w:hAnsi="Arial" w:cs="Arial"/>
                <w:bCs/>
                <w:sz w:val="14"/>
                <w:szCs w:val="14"/>
              </w:rPr>
              <w:t>; based on new knowledge and monitoring results, the strategies, and / or their measures, can be accelerated or slowed down, and can also be adjusted in terms of scope and design (</w:t>
            </w:r>
            <w:r w:rsidRPr="000A40A4">
              <w:rPr>
                <w:rFonts w:ascii="Arial" w:hAnsi="Arial" w:cs="Arial"/>
                <w:bCs/>
                <w:color w:val="7F7F7F" w:themeColor="text1" w:themeTint="80"/>
                <w:sz w:val="14"/>
                <w:szCs w:val="14"/>
              </w:rPr>
              <w:t>DP 2014, p.136</w:t>
            </w:r>
            <w:r w:rsidRPr="000A40A4">
              <w:rPr>
                <w:rFonts w:ascii="Arial" w:hAnsi="Arial" w:cs="Arial"/>
                <w:bCs/>
                <w:sz w:val="14"/>
                <w:szCs w:val="14"/>
              </w:rPr>
              <w:t>).</w:t>
            </w:r>
          </w:p>
          <w:p w14:paraId="41B8107E" w14:textId="77777777" w:rsidR="000A0954" w:rsidRPr="000A40A4" w:rsidRDefault="000A0954" w:rsidP="000A40A4">
            <w:pPr>
              <w:pStyle w:val="TEXTBODY"/>
              <w:spacing w:after="60"/>
              <w:rPr>
                <w:rFonts w:ascii="Arial" w:hAnsi="Arial" w:cs="Arial"/>
                <w:bCs/>
                <w:sz w:val="14"/>
                <w:szCs w:val="14"/>
              </w:rPr>
            </w:pPr>
            <w:r w:rsidRPr="00F8219A">
              <w:rPr>
                <w:rFonts w:ascii="Arial" w:hAnsi="Arial" w:cs="Arial"/>
                <w:bCs/>
                <w:sz w:val="14"/>
                <w:szCs w:val="14"/>
              </w:rPr>
              <w:t xml:space="preserve">The MAA </w:t>
            </w:r>
            <w:r w:rsidRPr="000A40A4">
              <w:rPr>
                <w:rFonts w:ascii="Arial" w:hAnsi="Arial" w:cs="Arial"/>
                <w:bCs/>
                <w:sz w:val="14"/>
                <w:szCs w:val="14"/>
              </w:rPr>
              <w:t xml:space="preserve">system specifies the indicators that must be monitored (to keep track of external changes, implemented measures and their effects, and new information), and explains how the DP and its contents (its </w:t>
            </w:r>
            <w:r w:rsidRPr="000A40A4">
              <w:rPr>
                <w:rFonts w:ascii="Arial" w:hAnsi="Arial" w:cs="Arial"/>
                <w:bCs/>
                <w:i/>
                <w:iCs/>
                <w:sz w:val="14"/>
                <w:szCs w:val="14"/>
              </w:rPr>
              <w:t>Preferential Strategies</w:t>
            </w:r>
            <w:r w:rsidRPr="000A40A4">
              <w:rPr>
                <w:rFonts w:ascii="Arial" w:hAnsi="Arial" w:cs="Arial"/>
                <w:bCs/>
                <w:sz w:val="14"/>
                <w:szCs w:val="14"/>
              </w:rPr>
              <w:t xml:space="preserve">, </w:t>
            </w:r>
            <w:r w:rsidRPr="000A40A4">
              <w:rPr>
                <w:rFonts w:ascii="Arial" w:hAnsi="Arial" w:cs="Arial"/>
                <w:bCs/>
                <w:i/>
                <w:iCs/>
                <w:sz w:val="14"/>
                <w:szCs w:val="14"/>
              </w:rPr>
              <w:t>Delta Decisions</w:t>
            </w:r>
            <w:r w:rsidRPr="000A40A4">
              <w:rPr>
                <w:rFonts w:ascii="Arial" w:hAnsi="Arial" w:cs="Arial"/>
                <w:bCs/>
                <w:sz w:val="14"/>
                <w:szCs w:val="14"/>
              </w:rPr>
              <w:t xml:space="preserve">, </w:t>
            </w:r>
            <w:r w:rsidRPr="000A40A4">
              <w:rPr>
                <w:rFonts w:ascii="Arial" w:hAnsi="Arial" w:cs="Arial"/>
                <w:bCs/>
                <w:i/>
                <w:iCs/>
                <w:sz w:val="14"/>
                <w:szCs w:val="14"/>
              </w:rPr>
              <w:t>Delta Plans</w:t>
            </w:r>
            <w:r w:rsidRPr="000A40A4">
              <w:rPr>
                <w:rFonts w:ascii="Arial" w:hAnsi="Arial" w:cs="Arial"/>
                <w:bCs/>
                <w:sz w:val="14"/>
                <w:szCs w:val="14"/>
              </w:rPr>
              <w:t xml:space="preserve">, and/or their measures) must be reassessed, and adjusted, if necessary. The MAA serves to regularly evaluate if the work is being done </w:t>
            </w:r>
            <w:r w:rsidRPr="000A40A4">
              <w:rPr>
                <w:rFonts w:ascii="Arial" w:hAnsi="Arial" w:cs="Arial"/>
                <w:bCs/>
                <w:i/>
                <w:iCs/>
                <w:sz w:val="14"/>
                <w:szCs w:val="14"/>
              </w:rPr>
              <w:t>at the right pace and in the proper direction</w:t>
            </w:r>
            <w:r w:rsidRPr="000A40A4">
              <w:rPr>
                <w:rFonts w:ascii="Arial" w:hAnsi="Arial" w:cs="Arial"/>
                <w:bCs/>
                <w:sz w:val="14"/>
                <w:szCs w:val="14"/>
              </w:rPr>
              <w:t>, and, if necessary,</w:t>
            </w:r>
            <w:r w:rsidRPr="00F8219A">
              <w:rPr>
                <w:rFonts w:ascii="Arial" w:hAnsi="Arial" w:cs="Arial"/>
                <w:bCs/>
                <w:sz w:val="14"/>
                <w:szCs w:val="14"/>
              </w:rPr>
              <w:t xml:space="preserve"> to </w:t>
            </w:r>
            <w:r w:rsidRPr="000A40A4">
              <w:rPr>
                <w:rFonts w:ascii="Arial" w:hAnsi="Arial" w:cs="Arial"/>
                <w:bCs/>
                <w:sz w:val="14"/>
                <w:szCs w:val="14"/>
              </w:rPr>
              <w:t>adjust the DP’s Strategies (their pace or course) as changes occur or new knowledge arises (</w:t>
            </w:r>
            <w:r w:rsidRPr="000A40A4">
              <w:rPr>
                <w:rFonts w:ascii="Arial" w:hAnsi="Arial" w:cs="Arial"/>
                <w:bCs/>
                <w:color w:val="7F7F7F" w:themeColor="text1" w:themeTint="80"/>
                <w:sz w:val="14"/>
                <w:szCs w:val="14"/>
              </w:rPr>
              <w:t>DP 2018, p.13; 2017, p.7, 13; 2016, p.6</w:t>
            </w:r>
            <w:r w:rsidRPr="000A40A4">
              <w:rPr>
                <w:rFonts w:ascii="Arial" w:hAnsi="Arial" w:cs="Arial"/>
                <w:bCs/>
                <w:sz w:val="14"/>
                <w:szCs w:val="14"/>
              </w:rPr>
              <w:t>).</w:t>
            </w:r>
          </w:p>
          <w:p w14:paraId="4D5D7A3B" w14:textId="77777777"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The MAA is essential to ensure an </w:t>
            </w:r>
            <w:r w:rsidRPr="000A40A4">
              <w:rPr>
                <w:rFonts w:ascii="Arial" w:hAnsi="Arial" w:cs="Arial"/>
                <w:bCs/>
                <w:i/>
                <w:iCs/>
                <w:sz w:val="14"/>
                <w:szCs w:val="14"/>
              </w:rPr>
              <w:t>Adaptive Planning and Management</w:t>
            </w:r>
            <w:r w:rsidRPr="000A40A4">
              <w:rPr>
                <w:rFonts w:ascii="Arial" w:hAnsi="Arial" w:cs="Arial"/>
                <w:bCs/>
                <w:sz w:val="14"/>
                <w:szCs w:val="14"/>
              </w:rPr>
              <w:t>. S</w:t>
            </w:r>
            <w:r w:rsidRPr="000A40A4">
              <w:rPr>
                <w:rFonts w:ascii="Arial" w:hAnsi="Arial" w:cs="Arial"/>
                <w:bCs/>
                <w:iCs/>
                <w:sz w:val="14"/>
                <w:szCs w:val="14"/>
              </w:rPr>
              <w:t xml:space="preserve">ince 2015, the DP has used the MAA to monitor external developments that may affect the </w:t>
            </w:r>
            <w:r w:rsidRPr="000A40A4">
              <w:rPr>
                <w:rFonts w:ascii="Arial" w:hAnsi="Arial" w:cs="Arial"/>
                <w:bCs/>
                <w:i/>
                <w:sz w:val="14"/>
                <w:szCs w:val="14"/>
              </w:rPr>
              <w:t>pace</w:t>
            </w:r>
            <w:r w:rsidRPr="000A40A4">
              <w:rPr>
                <w:rFonts w:ascii="Arial" w:hAnsi="Arial" w:cs="Arial"/>
                <w:bCs/>
                <w:iCs/>
                <w:sz w:val="14"/>
                <w:szCs w:val="14"/>
              </w:rPr>
              <w:t xml:space="preserve"> or the </w:t>
            </w:r>
            <w:r w:rsidRPr="000A40A4">
              <w:rPr>
                <w:rFonts w:ascii="Arial" w:hAnsi="Arial" w:cs="Arial"/>
                <w:bCs/>
                <w:i/>
                <w:sz w:val="14"/>
                <w:szCs w:val="14"/>
              </w:rPr>
              <w:t>direction</w:t>
            </w:r>
            <w:r w:rsidRPr="000A40A4">
              <w:rPr>
                <w:rFonts w:ascii="Arial" w:hAnsi="Arial" w:cs="Arial"/>
                <w:bCs/>
                <w:iCs/>
                <w:sz w:val="14"/>
                <w:szCs w:val="14"/>
              </w:rPr>
              <w:t xml:space="preserve"> of the </w:t>
            </w:r>
            <w:r w:rsidRPr="000A40A4">
              <w:rPr>
                <w:rFonts w:ascii="Arial" w:hAnsi="Arial" w:cs="Arial"/>
                <w:bCs/>
                <w:i/>
                <w:sz w:val="14"/>
                <w:szCs w:val="14"/>
              </w:rPr>
              <w:t>Preferential Strategies</w:t>
            </w:r>
            <w:r w:rsidRPr="000A40A4">
              <w:rPr>
                <w:rFonts w:ascii="Arial" w:hAnsi="Arial" w:cs="Arial"/>
                <w:bCs/>
                <w:iCs/>
                <w:sz w:val="14"/>
                <w:szCs w:val="14"/>
              </w:rPr>
              <w:t>, and to evaluate whether the DP is ‘</w:t>
            </w:r>
            <w:r w:rsidRPr="000A40A4">
              <w:rPr>
                <w:rFonts w:ascii="Arial" w:hAnsi="Arial" w:cs="Arial"/>
                <w:bCs/>
                <w:i/>
                <w:sz w:val="14"/>
                <w:szCs w:val="14"/>
              </w:rPr>
              <w:t>on track</w:t>
            </w:r>
            <w:r w:rsidRPr="000A40A4">
              <w:rPr>
                <w:rFonts w:ascii="Arial" w:hAnsi="Arial" w:cs="Arial"/>
                <w:bCs/>
                <w:iCs/>
                <w:sz w:val="14"/>
                <w:szCs w:val="14"/>
              </w:rPr>
              <w:t xml:space="preserve">’ or whether there is any reason for a change or adjustment of the </w:t>
            </w:r>
            <w:r w:rsidRPr="000A40A4">
              <w:rPr>
                <w:rFonts w:ascii="Arial" w:hAnsi="Arial" w:cs="Arial"/>
                <w:bCs/>
                <w:i/>
                <w:sz w:val="14"/>
                <w:szCs w:val="14"/>
              </w:rPr>
              <w:t>course</w:t>
            </w:r>
            <w:r w:rsidRPr="000A40A4">
              <w:rPr>
                <w:rFonts w:ascii="Arial" w:hAnsi="Arial" w:cs="Arial"/>
                <w:bCs/>
                <w:iCs/>
                <w:sz w:val="14"/>
                <w:szCs w:val="14"/>
              </w:rPr>
              <w:t xml:space="preserve"> (e.g. if developments demand a switch of strategy or measure, or a modification in their timing, or reconsidering targets or measures) (DP 2017, p.8,17).</w:t>
            </w:r>
          </w:p>
          <w:p w14:paraId="1626F5B7" w14:textId="77777777"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In sum, the ongoing monitoring of external and internal developments and changes, of implemented measures and their effects, and of new insights, and also the regular reassessments/ reviews of the Plan (policy-programme) and its contents (Delta Decisions, Preferential Strategies, Delta Plans, their measures, or their timing), to allow their adjustment / adaptation over time, can be deemed another key-element of the DP’s ADM approach that has been essential to develop </w:t>
            </w:r>
            <w:r w:rsidRPr="000A40A4">
              <w:rPr>
                <w:rFonts w:ascii="Arial" w:hAnsi="Arial" w:cs="Arial"/>
                <w:bCs/>
                <w:i/>
                <w:iCs/>
                <w:sz w:val="14"/>
                <w:szCs w:val="14"/>
              </w:rPr>
              <w:t>robust adaptive Strategies</w:t>
            </w:r>
            <w:r w:rsidRPr="000A40A4">
              <w:rPr>
                <w:rFonts w:ascii="Arial" w:hAnsi="Arial" w:cs="Arial"/>
                <w:bCs/>
                <w:sz w:val="14"/>
                <w:szCs w:val="14"/>
              </w:rPr>
              <w:t xml:space="preserve"> (and a robust adaptive policy-programme) and fundamental to operationalize a real process </w:t>
            </w:r>
            <w:r w:rsidRPr="000A40A4">
              <w:rPr>
                <w:rFonts w:ascii="Arial" w:hAnsi="Arial" w:cs="Arial"/>
                <w:bCs/>
                <w:i/>
                <w:iCs/>
                <w:sz w:val="14"/>
                <w:szCs w:val="14"/>
              </w:rPr>
              <w:t>Adaptive Delta Management</w:t>
            </w:r>
            <w:r w:rsidRPr="000A40A4">
              <w:rPr>
                <w:rFonts w:ascii="Arial" w:hAnsi="Arial" w:cs="Arial"/>
                <w:bCs/>
                <w:sz w:val="14"/>
                <w:szCs w:val="14"/>
              </w:rPr>
              <w:t xml:space="preserve"> (in accordance with the elements proposed by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et al. 2014, </w:t>
            </w:r>
            <w:proofErr w:type="spellStart"/>
            <w:r w:rsidRPr="000A40A4">
              <w:rPr>
                <w:rFonts w:ascii="Arial" w:hAnsi="Arial" w:cs="Arial"/>
                <w:bCs/>
                <w:color w:val="7F7F7F" w:themeColor="text1" w:themeTint="80"/>
                <w:sz w:val="14"/>
                <w:szCs w:val="14"/>
              </w:rPr>
              <w:t>Restemeyer</w:t>
            </w:r>
            <w:proofErr w:type="spellEnd"/>
            <w:r w:rsidRPr="000A40A4">
              <w:rPr>
                <w:rFonts w:ascii="Arial" w:hAnsi="Arial" w:cs="Arial"/>
                <w:bCs/>
                <w:color w:val="7F7F7F" w:themeColor="text1" w:themeTint="80"/>
                <w:sz w:val="14"/>
                <w:szCs w:val="14"/>
              </w:rPr>
              <w:t xml:space="preserve"> et al. 2017, and with the findings of Zevenbergen et al. 2018, p.6, 1</w:t>
            </w:r>
            <w:r w:rsidRPr="000A40A4">
              <w:rPr>
                <w:rFonts w:ascii="Arial" w:hAnsi="Arial" w:cs="Arial"/>
                <w:bCs/>
                <w:sz w:val="14"/>
                <w:szCs w:val="14"/>
              </w:rPr>
              <w:t>).</w:t>
            </w:r>
          </w:p>
        </w:tc>
        <w:tc>
          <w:tcPr>
            <w:tcW w:w="2126" w:type="dxa"/>
          </w:tcPr>
          <w:p w14:paraId="6FAD1D82" w14:textId="77777777" w:rsidR="000A0954" w:rsidRPr="000A40A4" w:rsidRDefault="000A0954" w:rsidP="000A40A4">
            <w:pPr>
              <w:pStyle w:val="tablecontenttext"/>
              <w:spacing w:line="240" w:lineRule="auto"/>
              <w:rPr>
                <w:sz w:val="14"/>
                <w:szCs w:val="14"/>
              </w:rPr>
            </w:pPr>
            <w:r w:rsidRPr="000A40A4">
              <w:rPr>
                <w:sz w:val="14"/>
                <w:szCs w:val="14"/>
              </w:rPr>
              <w:lastRenderedPageBreak/>
              <w:t xml:space="preserve">KE4: Monitoring changes, followed </w:t>
            </w:r>
            <w:r w:rsidRPr="000A40A4">
              <w:rPr>
                <w:i/>
                <w:iCs w:val="0"/>
                <w:sz w:val="14"/>
                <w:szCs w:val="14"/>
              </w:rPr>
              <w:t>Strategies</w:t>
            </w:r>
            <w:r w:rsidRPr="000A40A4">
              <w:rPr>
                <w:sz w:val="14"/>
                <w:szCs w:val="14"/>
              </w:rPr>
              <w:t>,</w:t>
            </w:r>
            <w:r w:rsidRPr="000A40A4">
              <w:rPr>
                <w:i/>
                <w:iCs w:val="0"/>
                <w:sz w:val="14"/>
                <w:szCs w:val="14"/>
              </w:rPr>
              <w:t xml:space="preserve"> </w:t>
            </w:r>
            <w:r w:rsidRPr="000A40A4">
              <w:rPr>
                <w:sz w:val="14"/>
                <w:szCs w:val="14"/>
              </w:rPr>
              <w:t xml:space="preserve">and new information, and periodically reassessing </w:t>
            </w:r>
            <w:r w:rsidRPr="000A40A4">
              <w:rPr>
                <w:i/>
                <w:iCs w:val="0"/>
                <w:sz w:val="14"/>
                <w:szCs w:val="14"/>
              </w:rPr>
              <w:t>Strategies</w:t>
            </w:r>
            <w:r w:rsidRPr="000A40A4">
              <w:rPr>
                <w:i/>
                <w:sz w:val="14"/>
                <w:szCs w:val="14"/>
              </w:rPr>
              <w:t xml:space="preserve"> </w:t>
            </w:r>
            <w:r w:rsidRPr="000A40A4">
              <w:rPr>
                <w:sz w:val="14"/>
                <w:szCs w:val="14"/>
              </w:rPr>
              <w:t xml:space="preserve">and </w:t>
            </w:r>
            <w:r w:rsidRPr="000A40A4">
              <w:rPr>
                <w:i/>
                <w:iCs w:val="0"/>
                <w:sz w:val="14"/>
                <w:szCs w:val="14"/>
              </w:rPr>
              <w:t>Delta Plans</w:t>
            </w:r>
            <w:r w:rsidRPr="000A40A4">
              <w:rPr>
                <w:sz w:val="14"/>
                <w:szCs w:val="14"/>
              </w:rPr>
              <w:t>, and, if necessary, adjust them, their measures or their timing (</w:t>
            </w:r>
            <w:proofErr w:type="spellStart"/>
            <w:r w:rsidRPr="000A40A4">
              <w:rPr>
                <w:color w:val="7F7F7F" w:themeColor="text1" w:themeTint="80"/>
                <w:sz w:val="14"/>
                <w:szCs w:val="14"/>
              </w:rPr>
              <w:t>Jeuken</w:t>
            </w:r>
            <w:proofErr w:type="spellEnd"/>
            <w:r w:rsidRPr="000A40A4">
              <w:rPr>
                <w:color w:val="7F7F7F" w:themeColor="text1" w:themeTint="80"/>
                <w:sz w:val="14"/>
                <w:szCs w:val="14"/>
              </w:rPr>
              <w:t xml:space="preserve"> et al. 2014; </w:t>
            </w:r>
            <w:proofErr w:type="spellStart"/>
            <w:r w:rsidRPr="000A40A4">
              <w:rPr>
                <w:color w:val="7F7F7F" w:themeColor="text1" w:themeTint="80"/>
                <w:sz w:val="14"/>
                <w:szCs w:val="14"/>
              </w:rPr>
              <w:t>Jeuken</w:t>
            </w:r>
            <w:proofErr w:type="spellEnd"/>
            <w:r w:rsidRPr="000A40A4">
              <w:rPr>
                <w:color w:val="7F7F7F" w:themeColor="text1" w:themeTint="80"/>
                <w:sz w:val="14"/>
                <w:szCs w:val="14"/>
              </w:rPr>
              <w:t xml:space="preserve"> and Reeder 2011, p.7</w:t>
            </w:r>
            <w:r w:rsidRPr="000A40A4">
              <w:rPr>
                <w:sz w:val="14"/>
                <w:szCs w:val="14"/>
              </w:rPr>
              <w:t>).</w:t>
            </w:r>
            <w:r w:rsidRPr="000A40A4">
              <w:rPr>
                <w:noProof/>
                <w:color w:val="C00000"/>
                <w:sz w:val="14"/>
                <w:szCs w:val="14"/>
              </w:rPr>
              <w:t xml:space="preserve"> </w:t>
            </w:r>
          </w:p>
        </w:tc>
      </w:tr>
      <w:tr w:rsidR="000A0954" w:rsidRPr="000A40A4" w14:paraId="1BBF1A4A" w14:textId="77777777" w:rsidTr="004E5214">
        <w:tc>
          <w:tcPr>
            <w:tcW w:w="753" w:type="dxa"/>
          </w:tcPr>
          <w:p w14:paraId="653C4744" w14:textId="77777777" w:rsidR="000A0954" w:rsidRPr="000A40A4" w:rsidRDefault="000A0954" w:rsidP="000A40A4">
            <w:pPr>
              <w:pStyle w:val="tablecontenttext"/>
              <w:spacing w:line="240" w:lineRule="auto"/>
              <w:rPr>
                <w:sz w:val="14"/>
                <w:szCs w:val="14"/>
              </w:rPr>
            </w:pPr>
            <w:r w:rsidRPr="000A40A4">
              <w:rPr>
                <w:sz w:val="14"/>
                <w:szCs w:val="14"/>
              </w:rPr>
              <w:t>Whole process</w:t>
            </w:r>
          </w:p>
        </w:tc>
        <w:tc>
          <w:tcPr>
            <w:tcW w:w="7039" w:type="dxa"/>
          </w:tcPr>
          <w:p w14:paraId="5486DF0F" w14:textId="71A0CD94" w:rsidR="000A0954" w:rsidRPr="000A40A4" w:rsidRDefault="000A0954" w:rsidP="000A40A4">
            <w:pPr>
              <w:pStyle w:val="TEXTBODY"/>
              <w:spacing w:after="60"/>
              <w:rPr>
                <w:rFonts w:ascii="Arial" w:hAnsi="Arial" w:cs="Arial"/>
                <w:bCs/>
                <w:sz w:val="14"/>
                <w:szCs w:val="14"/>
              </w:rPr>
            </w:pPr>
            <w:r w:rsidRPr="000A40A4">
              <w:rPr>
                <w:rFonts w:ascii="Arial" w:hAnsi="Arial" w:cs="Arial"/>
                <w:bCs/>
                <w:sz w:val="14"/>
                <w:szCs w:val="14"/>
              </w:rPr>
              <w:t xml:space="preserve">The ADM approach sets out its own process for developing an </w:t>
            </w:r>
            <w:r w:rsidRPr="000A40A4">
              <w:rPr>
                <w:rFonts w:ascii="Arial" w:hAnsi="Arial" w:cs="Arial"/>
                <w:bCs/>
                <w:i/>
                <w:iCs/>
                <w:sz w:val="14"/>
                <w:szCs w:val="14"/>
              </w:rPr>
              <w:t>adaptive plan/</w:t>
            </w:r>
            <w:r w:rsidRPr="000A40A4">
              <w:rPr>
                <w:rFonts w:ascii="Arial" w:hAnsi="Arial" w:cs="Arial"/>
                <w:bCs/>
                <w:i/>
                <w:iCs/>
                <w:color w:val="7F7F7F" w:themeColor="text1" w:themeTint="80"/>
                <w:sz w:val="14"/>
                <w:szCs w:val="14"/>
              </w:rPr>
              <w:t>strategy</w:t>
            </w:r>
            <w:r w:rsidRPr="000A40A4">
              <w:rPr>
                <w:rFonts w:ascii="Arial" w:hAnsi="Arial" w:cs="Arial"/>
                <w:bCs/>
                <w:color w:val="7F7F7F" w:themeColor="text1" w:themeTint="80"/>
                <w:sz w:val="14"/>
                <w:szCs w:val="14"/>
              </w:rPr>
              <w:t xml:space="preserve"> and </w:t>
            </w:r>
            <w:r w:rsidRPr="000A40A4">
              <w:rPr>
                <w:rFonts w:ascii="Arial" w:hAnsi="Arial" w:cs="Arial"/>
                <w:bCs/>
                <w:sz w:val="14"/>
                <w:szCs w:val="14"/>
              </w:rPr>
              <w:t xml:space="preserve">operationalizing an </w:t>
            </w:r>
            <w:r w:rsidRPr="000A40A4">
              <w:rPr>
                <w:rFonts w:ascii="Arial" w:hAnsi="Arial" w:cs="Arial"/>
                <w:bCs/>
                <w:i/>
                <w:iCs/>
                <w:sz w:val="14"/>
                <w:szCs w:val="14"/>
              </w:rPr>
              <w:t>Adaptive Delta Management</w:t>
            </w:r>
            <w:r w:rsidRPr="000A40A4">
              <w:rPr>
                <w:rFonts w:ascii="Arial" w:hAnsi="Arial" w:cs="Arial"/>
                <w:bCs/>
                <w:sz w:val="14"/>
                <w:szCs w:val="14"/>
              </w:rPr>
              <w:t xml:space="preserve"> (as illustrated </w:t>
            </w:r>
            <w:r w:rsidRPr="000A40A4">
              <w:rPr>
                <w:rFonts w:ascii="Arial" w:hAnsi="Arial" w:cs="Arial"/>
                <w:bCs/>
                <w:i/>
                <w:iCs/>
                <w:sz w:val="14"/>
                <w:szCs w:val="14"/>
              </w:rPr>
              <w:t>in</w:t>
            </w:r>
            <w:r w:rsidRPr="000A40A4">
              <w:rPr>
                <w:rFonts w:ascii="Arial" w:hAnsi="Arial" w:cs="Arial"/>
                <w:bCs/>
                <w:color w:val="7F7F7F" w:themeColor="text1" w:themeTint="80"/>
                <w:sz w:val="14"/>
                <w:szCs w:val="14"/>
                <w:lang w:val="en-US"/>
              </w:rPr>
              <w:t xml:space="preserve"> </w:t>
            </w:r>
            <w:r w:rsidR="005C558F" w:rsidRPr="000A40A4">
              <w:rPr>
                <w:rFonts w:ascii="Arial" w:hAnsi="Arial" w:cs="Arial"/>
                <w:bCs/>
                <w:color w:val="7F7F7F" w:themeColor="text1" w:themeTint="80"/>
                <w:sz w:val="14"/>
                <w:szCs w:val="14"/>
                <w:lang w:val="en-US"/>
              </w:rPr>
              <w:t>Brugge and Bruggeman 2019</w:t>
            </w:r>
            <w:r w:rsidRPr="000A40A4">
              <w:rPr>
                <w:rFonts w:ascii="Arial" w:hAnsi="Arial" w:cs="Arial"/>
                <w:bCs/>
                <w:sz w:val="14"/>
                <w:szCs w:val="14"/>
                <w:lang w:val="en-US"/>
              </w:rPr>
              <w:t xml:space="preserve"> and </w:t>
            </w:r>
            <w:proofErr w:type="spellStart"/>
            <w:r w:rsidR="005C558F" w:rsidRPr="000A40A4">
              <w:rPr>
                <w:rFonts w:ascii="Arial" w:hAnsi="Arial" w:cs="Arial"/>
                <w:bCs/>
                <w:color w:val="7F7F7F" w:themeColor="text1" w:themeTint="80"/>
                <w:sz w:val="14"/>
                <w:szCs w:val="14"/>
                <w:lang w:val="en-US"/>
              </w:rPr>
              <w:t>Deltares</w:t>
            </w:r>
            <w:proofErr w:type="spellEnd"/>
            <w:r w:rsidR="005C558F" w:rsidRPr="000A40A4">
              <w:rPr>
                <w:rFonts w:ascii="Arial" w:hAnsi="Arial" w:cs="Arial"/>
                <w:bCs/>
                <w:color w:val="7F7F7F" w:themeColor="text1" w:themeTint="80"/>
                <w:sz w:val="14"/>
                <w:szCs w:val="14"/>
                <w:lang w:val="en-US"/>
              </w:rPr>
              <w:t xml:space="preserve"> 2018</w:t>
            </w:r>
            <w:r w:rsidRPr="000A40A4">
              <w:rPr>
                <w:rFonts w:ascii="Arial" w:hAnsi="Arial" w:cs="Arial"/>
                <w:bCs/>
                <w:sz w:val="14"/>
                <w:szCs w:val="14"/>
                <w:lang w:val="en-US"/>
              </w:rPr>
              <w:t xml:space="preserve">), which </w:t>
            </w:r>
            <w:r w:rsidRPr="000A40A4">
              <w:rPr>
                <w:rFonts w:ascii="Arial" w:hAnsi="Arial" w:cs="Arial"/>
                <w:bCs/>
                <w:sz w:val="14"/>
                <w:szCs w:val="14"/>
              </w:rPr>
              <w:t xml:space="preserve">is based on the process of the DAPP approach (presented by </w:t>
            </w:r>
            <w:proofErr w:type="spellStart"/>
            <w:r w:rsidRPr="000A40A4">
              <w:rPr>
                <w:rFonts w:ascii="Arial" w:hAnsi="Arial" w:cs="Arial"/>
                <w:bCs/>
                <w:color w:val="7F7F7F" w:themeColor="text1" w:themeTint="80"/>
                <w:sz w:val="14"/>
                <w:szCs w:val="14"/>
              </w:rPr>
              <w:t>Haasnoot</w:t>
            </w:r>
            <w:proofErr w:type="spellEnd"/>
            <w:r w:rsidRPr="000A40A4">
              <w:rPr>
                <w:rFonts w:ascii="Arial" w:hAnsi="Arial" w:cs="Arial"/>
                <w:bCs/>
                <w:color w:val="7F7F7F" w:themeColor="text1" w:themeTint="80"/>
                <w:sz w:val="14"/>
                <w:szCs w:val="14"/>
              </w:rPr>
              <w:t xml:space="preserve"> et al. 2013 </w:t>
            </w:r>
            <w:r w:rsidRPr="000A40A4">
              <w:rPr>
                <w:rFonts w:ascii="Arial" w:hAnsi="Arial" w:cs="Arial"/>
                <w:bCs/>
                <w:sz w:val="14"/>
                <w:szCs w:val="14"/>
              </w:rPr>
              <w:t>and</w:t>
            </w:r>
            <w:r w:rsidRPr="000A40A4">
              <w:rPr>
                <w:rFonts w:ascii="Arial" w:hAnsi="Arial" w:cs="Arial"/>
                <w:bCs/>
                <w:color w:val="7F7F7F" w:themeColor="text1" w:themeTint="80"/>
                <w:sz w:val="14"/>
                <w:szCs w:val="14"/>
              </w:rPr>
              <w:t xml:space="preserve"> </w:t>
            </w:r>
            <w:proofErr w:type="spellStart"/>
            <w:r w:rsidRPr="000A40A4">
              <w:rPr>
                <w:rFonts w:ascii="Arial" w:hAnsi="Arial" w:cs="Arial"/>
                <w:bCs/>
                <w:color w:val="7F7F7F" w:themeColor="text1" w:themeTint="80"/>
                <w:sz w:val="14"/>
                <w:szCs w:val="14"/>
              </w:rPr>
              <w:t>Jeuken</w:t>
            </w:r>
            <w:proofErr w:type="spellEnd"/>
            <w:r w:rsidRPr="000A40A4">
              <w:rPr>
                <w:rFonts w:ascii="Arial" w:hAnsi="Arial" w:cs="Arial"/>
                <w:bCs/>
                <w:color w:val="7F7F7F" w:themeColor="text1" w:themeTint="80"/>
                <w:sz w:val="14"/>
                <w:szCs w:val="14"/>
              </w:rPr>
              <w:t xml:space="preserve"> et al. 2014</w:t>
            </w:r>
            <w:r w:rsidRPr="000A40A4">
              <w:rPr>
                <w:rFonts w:ascii="Arial" w:hAnsi="Arial" w:cs="Arial"/>
                <w:bCs/>
                <w:sz w:val="14"/>
                <w:szCs w:val="14"/>
              </w:rPr>
              <w:t>). It involves a continual (circular) cycle – i.e. a cyclical, iterative process – with 6 main steps (inspired in the DAPP steps), and each step offers the possibility to adjust elements of the general plan / strategy, thus, it helps to safeguard the adaptability both in the general plan and in the planning and management process, to cope with change and uncertainty. ADM offers a structured management process that accounts for uncertain future changes in planning and decision-making (</w:t>
            </w:r>
            <w:r w:rsidRPr="000A40A4">
              <w:rPr>
                <w:rFonts w:ascii="Arial" w:hAnsi="Arial" w:cs="Arial"/>
                <w:bCs/>
                <w:color w:val="7F7F7F" w:themeColor="text1" w:themeTint="80"/>
                <w:sz w:val="14"/>
                <w:szCs w:val="14"/>
              </w:rPr>
              <w:t xml:space="preserve">Zevenbergen et al. 2018; Marchand and Ludwig 2014, p.2, 10; </w:t>
            </w:r>
            <w:r w:rsidR="005C558F" w:rsidRPr="000A40A4">
              <w:rPr>
                <w:rFonts w:ascii="Arial" w:hAnsi="Arial" w:cs="Arial"/>
                <w:bCs/>
                <w:color w:val="7F7F7F" w:themeColor="text1" w:themeTint="80"/>
                <w:sz w:val="14"/>
                <w:szCs w:val="14"/>
              </w:rPr>
              <w:t>Brugge and Bruggeman 2019</w:t>
            </w:r>
            <w:r w:rsidRPr="000A40A4">
              <w:rPr>
                <w:rFonts w:ascii="Arial" w:hAnsi="Arial" w:cs="Arial"/>
                <w:bCs/>
                <w:color w:val="7F7F7F" w:themeColor="text1" w:themeTint="80"/>
                <w:sz w:val="14"/>
                <w:szCs w:val="14"/>
              </w:rPr>
              <w:t>, p.4</w:t>
            </w:r>
            <w:r w:rsidRPr="000A40A4">
              <w:rPr>
                <w:rFonts w:ascii="Arial" w:hAnsi="Arial" w:cs="Arial"/>
                <w:bCs/>
                <w:sz w:val="14"/>
                <w:szCs w:val="14"/>
              </w:rPr>
              <w:t>).</w:t>
            </w:r>
            <w:r w:rsidRPr="000A40A4">
              <w:rPr>
                <w:rStyle w:val="Refdenotaderodap"/>
                <w:rFonts w:ascii="Arial" w:hAnsi="Arial" w:cs="Arial"/>
                <w:bCs/>
                <w:sz w:val="14"/>
                <w:szCs w:val="14"/>
              </w:rPr>
              <w:footnoteReference w:id="139"/>
            </w:r>
          </w:p>
          <w:p w14:paraId="552816BE" w14:textId="77777777" w:rsidR="000A0954" w:rsidRPr="000A40A4" w:rsidRDefault="000A0954" w:rsidP="000A40A4">
            <w:pPr>
              <w:pStyle w:val="TEXTBODY"/>
              <w:rPr>
                <w:rFonts w:ascii="Arial" w:hAnsi="Arial" w:cs="Arial"/>
                <w:bCs/>
                <w:sz w:val="14"/>
                <w:szCs w:val="14"/>
              </w:rPr>
            </w:pPr>
            <w:r w:rsidRPr="000A40A4">
              <w:rPr>
                <w:rFonts w:ascii="Arial" w:hAnsi="Arial" w:cs="Arial"/>
                <w:bCs/>
                <w:sz w:val="14"/>
                <w:szCs w:val="14"/>
              </w:rPr>
              <w:lastRenderedPageBreak/>
              <w:t xml:space="preserve">The DP has followed ADM, and ADM relies on a phased decision-making process </w:t>
            </w:r>
            <w:r w:rsidRPr="000A40A4">
              <w:rPr>
                <w:rFonts w:ascii="Arial" w:eastAsia="RijksoverheidSansText-Regular" w:hAnsi="Arial" w:cs="Arial"/>
                <w:bCs/>
                <w:sz w:val="14"/>
                <w:szCs w:val="14"/>
              </w:rPr>
              <w:t>(</w:t>
            </w:r>
            <w:r w:rsidRPr="000A40A4">
              <w:rPr>
                <w:rFonts w:ascii="Arial" w:eastAsia="RijksoverheidSansText-Regular" w:hAnsi="Arial" w:cs="Arial"/>
                <w:bCs/>
                <w:color w:val="7F7F7F" w:themeColor="text1" w:themeTint="80"/>
                <w:sz w:val="14"/>
                <w:szCs w:val="14"/>
              </w:rPr>
              <w:t>DP 2012, p.88</w:t>
            </w:r>
            <w:r w:rsidRPr="000A40A4">
              <w:rPr>
                <w:rFonts w:ascii="Arial" w:eastAsia="RijksoverheidSansText-Regular" w:hAnsi="Arial" w:cs="Arial"/>
                <w:bCs/>
                <w:sz w:val="14"/>
                <w:szCs w:val="14"/>
              </w:rPr>
              <w:t>)</w:t>
            </w:r>
            <w:r w:rsidRPr="000A40A4">
              <w:rPr>
                <w:rFonts w:ascii="Arial" w:hAnsi="Arial" w:cs="Arial"/>
                <w:bCs/>
                <w:sz w:val="14"/>
                <w:szCs w:val="14"/>
              </w:rPr>
              <w:t>. Although the DP follows an annual development cycle, over the years (namely from 2010 up to 2020), the DP has carried out the main steps of ADM process (or similar steps to those prescribed in ADM) (</w:t>
            </w:r>
            <w:r w:rsidRPr="000A40A4">
              <w:rPr>
                <w:rFonts w:ascii="Arial" w:hAnsi="Arial" w:cs="Arial"/>
                <w:bCs/>
                <w:color w:val="7F7F7F" w:themeColor="text1" w:themeTint="80"/>
                <w:sz w:val="14"/>
                <w:szCs w:val="14"/>
              </w:rPr>
              <w:t>DP 2016, p.6</w:t>
            </w:r>
            <w:r w:rsidRPr="000A40A4">
              <w:rPr>
                <w:rFonts w:ascii="Arial" w:hAnsi="Arial" w:cs="Arial"/>
                <w:bCs/>
                <w:sz w:val="14"/>
                <w:szCs w:val="14"/>
              </w:rPr>
              <w:t>).</w:t>
            </w:r>
          </w:p>
          <w:p w14:paraId="7DFD5E1F" w14:textId="77777777" w:rsidR="000A0954" w:rsidRPr="000A40A4" w:rsidRDefault="000A0954" w:rsidP="000A40A4">
            <w:pPr>
              <w:pStyle w:val="TEXTBODY"/>
              <w:rPr>
                <w:rFonts w:ascii="Arial" w:hAnsi="Arial" w:cs="Arial"/>
                <w:bCs/>
                <w:sz w:val="14"/>
                <w:szCs w:val="14"/>
              </w:rPr>
            </w:pPr>
            <w:r w:rsidRPr="000A40A4">
              <w:rPr>
                <w:rFonts w:ascii="Arial" w:hAnsi="Arial" w:cs="Arial"/>
                <w:bCs/>
                <w:sz w:val="14"/>
                <w:szCs w:val="14"/>
              </w:rPr>
              <w:t xml:space="preserve">The stages of </w:t>
            </w:r>
            <w:r w:rsidRPr="000A40A4">
              <w:rPr>
                <w:rFonts w:ascii="Arial" w:hAnsi="Arial" w:cs="Arial"/>
                <w:bCs/>
                <w:i/>
                <w:iCs/>
                <w:sz w:val="14"/>
                <w:szCs w:val="14"/>
              </w:rPr>
              <w:t xml:space="preserve">problem analysis </w:t>
            </w:r>
            <w:r w:rsidRPr="000A40A4">
              <w:rPr>
                <w:rFonts w:ascii="Arial" w:hAnsi="Arial" w:cs="Arial"/>
                <w:bCs/>
                <w:sz w:val="14"/>
                <w:szCs w:val="14"/>
              </w:rPr>
              <w:t xml:space="preserve">and </w:t>
            </w:r>
            <w:r w:rsidRPr="000A40A4">
              <w:rPr>
                <w:rFonts w:ascii="Arial" w:hAnsi="Arial" w:cs="Arial"/>
                <w:bCs/>
                <w:i/>
                <w:iCs/>
                <w:sz w:val="14"/>
                <w:szCs w:val="14"/>
              </w:rPr>
              <w:t>strategy development</w:t>
            </w:r>
            <w:r w:rsidRPr="000A40A4">
              <w:rPr>
                <w:rFonts w:ascii="Arial" w:hAnsi="Arial" w:cs="Arial"/>
                <w:bCs/>
                <w:sz w:val="14"/>
                <w:szCs w:val="14"/>
              </w:rPr>
              <w:t xml:space="preserve"> took 4 years (from 2010 to 2014) – in this period, the regional Subprogrammes developed a </w:t>
            </w:r>
            <w:r w:rsidRPr="000A40A4">
              <w:rPr>
                <w:rFonts w:ascii="Arial" w:hAnsi="Arial" w:cs="Arial"/>
                <w:bCs/>
                <w:i/>
                <w:iCs/>
                <w:sz w:val="14"/>
                <w:szCs w:val="14"/>
              </w:rPr>
              <w:t xml:space="preserve">Preferential Strategy </w:t>
            </w:r>
            <w:r w:rsidRPr="000A40A4">
              <w:rPr>
                <w:rFonts w:ascii="Arial" w:hAnsi="Arial" w:cs="Arial"/>
                <w:bCs/>
                <w:sz w:val="14"/>
                <w:szCs w:val="14"/>
              </w:rPr>
              <w:t>for FRM for their region</w:t>
            </w:r>
            <w:r w:rsidRPr="000A40A4">
              <w:rPr>
                <w:rFonts w:ascii="Arial" w:hAnsi="Arial" w:cs="Arial"/>
                <w:bCs/>
                <w:color w:val="C00000"/>
                <w:sz w:val="14"/>
                <w:szCs w:val="14"/>
              </w:rPr>
              <w:t xml:space="preserve"> </w:t>
            </w:r>
            <w:r w:rsidRPr="000A40A4">
              <w:rPr>
                <w:rFonts w:ascii="Arial" w:hAnsi="Arial" w:cs="Arial"/>
                <w:bCs/>
                <w:sz w:val="14"/>
                <w:szCs w:val="14"/>
              </w:rPr>
              <w:t>(</w:t>
            </w:r>
            <w:r w:rsidRPr="000A40A4">
              <w:rPr>
                <w:rFonts w:ascii="Arial" w:hAnsi="Arial" w:cs="Arial"/>
                <w:bCs/>
                <w:color w:val="7F7F7F" w:themeColor="text1" w:themeTint="80"/>
                <w:sz w:val="14"/>
                <w:szCs w:val="14"/>
              </w:rPr>
              <w:t xml:space="preserve">Haegen and </w:t>
            </w:r>
            <w:proofErr w:type="spellStart"/>
            <w:r w:rsidRPr="000A40A4">
              <w:rPr>
                <w:rFonts w:ascii="Arial" w:hAnsi="Arial" w:cs="Arial"/>
                <w:bCs/>
                <w:color w:val="7F7F7F" w:themeColor="text1" w:themeTint="80"/>
                <w:sz w:val="14"/>
                <w:szCs w:val="14"/>
              </w:rPr>
              <w:t>Wieriks</w:t>
            </w:r>
            <w:proofErr w:type="spellEnd"/>
            <w:r w:rsidRPr="000A40A4">
              <w:rPr>
                <w:rFonts w:ascii="Arial" w:hAnsi="Arial" w:cs="Arial"/>
                <w:bCs/>
                <w:color w:val="7F7F7F" w:themeColor="text1" w:themeTint="80"/>
                <w:sz w:val="14"/>
                <w:szCs w:val="14"/>
              </w:rPr>
              <w:t xml:space="preserve"> 2015; Alphen 2015; Zevenbergen et al. 2018</w:t>
            </w:r>
            <w:r w:rsidRPr="000A40A4">
              <w:rPr>
                <w:rFonts w:ascii="Arial" w:hAnsi="Arial" w:cs="Arial"/>
                <w:bCs/>
                <w:sz w:val="14"/>
                <w:szCs w:val="14"/>
              </w:rPr>
              <w:t xml:space="preserve">). The development of the </w:t>
            </w:r>
            <w:r w:rsidRPr="000A40A4">
              <w:rPr>
                <w:rFonts w:ascii="Arial" w:hAnsi="Arial" w:cs="Arial"/>
                <w:bCs/>
                <w:i/>
                <w:iCs/>
                <w:sz w:val="14"/>
                <w:szCs w:val="14"/>
              </w:rPr>
              <w:t>Preferential Strategies</w:t>
            </w:r>
            <w:r w:rsidRPr="000A40A4">
              <w:rPr>
                <w:rFonts w:ascii="Arial" w:hAnsi="Arial" w:cs="Arial"/>
                <w:bCs/>
                <w:sz w:val="14"/>
                <w:szCs w:val="14"/>
              </w:rPr>
              <w:t xml:space="preserve"> involved a gradual process of exploration and assessment of measures, design of </w:t>
            </w:r>
            <w:r w:rsidRPr="000A40A4">
              <w:rPr>
                <w:rFonts w:ascii="Arial" w:hAnsi="Arial" w:cs="Arial"/>
                <w:bCs/>
                <w:i/>
                <w:iCs/>
                <w:sz w:val="14"/>
                <w:szCs w:val="14"/>
              </w:rPr>
              <w:t>adaptation paths</w:t>
            </w:r>
            <w:r w:rsidRPr="000A40A4">
              <w:rPr>
                <w:rFonts w:ascii="Arial" w:hAnsi="Arial" w:cs="Arial"/>
                <w:bCs/>
                <w:sz w:val="14"/>
                <w:szCs w:val="14"/>
              </w:rPr>
              <w:t>, and their assessment and refinement (</w:t>
            </w:r>
            <w:r w:rsidRPr="000A40A4">
              <w:rPr>
                <w:rFonts w:ascii="Arial" w:hAnsi="Arial" w:cs="Arial"/>
                <w:bCs/>
                <w:color w:val="7F7F7F" w:themeColor="text1" w:themeTint="80"/>
                <w:sz w:val="14"/>
                <w:szCs w:val="14"/>
              </w:rPr>
              <w:t>DP 2014, p.132, 135, 136</w:t>
            </w:r>
            <w:r w:rsidRPr="000A40A4">
              <w:rPr>
                <w:rFonts w:ascii="Arial" w:hAnsi="Arial" w:cs="Arial"/>
                <w:bCs/>
                <w:sz w:val="14"/>
                <w:szCs w:val="14"/>
              </w:rPr>
              <w:t>). In the 1</w:t>
            </w:r>
            <w:r w:rsidRPr="000A40A4">
              <w:rPr>
                <w:rFonts w:ascii="Arial" w:hAnsi="Arial" w:cs="Arial"/>
                <w:bCs/>
                <w:sz w:val="14"/>
                <w:szCs w:val="14"/>
                <w:vertAlign w:val="superscript"/>
              </w:rPr>
              <w:t>st</w:t>
            </w:r>
            <w:r w:rsidRPr="000A40A4">
              <w:rPr>
                <w:rFonts w:ascii="Arial" w:hAnsi="Arial" w:cs="Arial"/>
                <w:bCs/>
                <w:sz w:val="14"/>
                <w:szCs w:val="14"/>
              </w:rPr>
              <w:t xml:space="preserve"> year (2010-2011), the regional Subprogrammes carried out the ‘</w:t>
            </w:r>
            <w:r w:rsidRPr="000A40A4">
              <w:rPr>
                <w:rFonts w:ascii="Arial" w:hAnsi="Arial" w:cs="Arial"/>
                <w:bCs/>
                <w:i/>
                <w:iCs/>
                <w:sz w:val="14"/>
                <w:szCs w:val="14"/>
              </w:rPr>
              <w:t>Problem Analysis</w:t>
            </w:r>
            <w:r w:rsidRPr="000A40A4">
              <w:rPr>
                <w:rFonts w:ascii="Arial" w:hAnsi="Arial" w:cs="Arial"/>
                <w:bCs/>
                <w:sz w:val="14"/>
                <w:szCs w:val="14"/>
              </w:rPr>
              <w:t>’; in the 2</w:t>
            </w:r>
            <w:r w:rsidRPr="000A40A4">
              <w:rPr>
                <w:rFonts w:ascii="Arial" w:hAnsi="Arial" w:cs="Arial"/>
                <w:bCs/>
                <w:sz w:val="14"/>
                <w:szCs w:val="14"/>
                <w:vertAlign w:val="superscript"/>
              </w:rPr>
              <w:t>nd</w:t>
            </w:r>
            <w:r w:rsidRPr="000A40A4">
              <w:rPr>
                <w:rFonts w:ascii="Arial" w:hAnsi="Arial" w:cs="Arial"/>
                <w:bCs/>
                <w:sz w:val="14"/>
                <w:szCs w:val="14"/>
              </w:rPr>
              <w:t xml:space="preserve"> year (2011-2012), they explored and identified their </w:t>
            </w:r>
            <w:r w:rsidRPr="000A40A4">
              <w:rPr>
                <w:rFonts w:ascii="Arial" w:hAnsi="Arial" w:cs="Arial"/>
                <w:bCs/>
                <w:i/>
                <w:iCs/>
                <w:sz w:val="14"/>
                <w:szCs w:val="14"/>
              </w:rPr>
              <w:t>Possible Strategies</w:t>
            </w:r>
            <w:r w:rsidRPr="000A40A4">
              <w:rPr>
                <w:rFonts w:ascii="Arial" w:hAnsi="Arial" w:cs="Arial"/>
                <w:bCs/>
                <w:sz w:val="14"/>
                <w:szCs w:val="14"/>
              </w:rPr>
              <w:t>; in the 3</w:t>
            </w:r>
            <w:r w:rsidRPr="000A40A4">
              <w:rPr>
                <w:rFonts w:ascii="Arial" w:hAnsi="Arial" w:cs="Arial"/>
                <w:bCs/>
                <w:sz w:val="14"/>
                <w:szCs w:val="14"/>
                <w:vertAlign w:val="superscript"/>
              </w:rPr>
              <w:t>rd</w:t>
            </w:r>
            <w:r w:rsidRPr="000A40A4">
              <w:rPr>
                <w:rFonts w:ascii="Arial" w:hAnsi="Arial" w:cs="Arial"/>
                <w:bCs/>
                <w:sz w:val="14"/>
                <w:szCs w:val="14"/>
              </w:rPr>
              <w:t xml:space="preserve"> year (2012-2013), they developed their </w:t>
            </w:r>
            <w:r w:rsidRPr="000A40A4">
              <w:rPr>
                <w:rFonts w:ascii="Arial" w:hAnsi="Arial" w:cs="Arial"/>
                <w:bCs/>
                <w:i/>
                <w:iCs/>
                <w:sz w:val="14"/>
                <w:szCs w:val="14"/>
              </w:rPr>
              <w:t>Promising Strategies</w:t>
            </w:r>
            <w:r w:rsidRPr="000A40A4">
              <w:rPr>
                <w:rFonts w:ascii="Arial" w:hAnsi="Arial" w:cs="Arial"/>
                <w:bCs/>
                <w:sz w:val="14"/>
                <w:szCs w:val="14"/>
              </w:rPr>
              <w:t>; and in the 4</w:t>
            </w:r>
            <w:r w:rsidRPr="000A40A4">
              <w:rPr>
                <w:rFonts w:ascii="Arial" w:hAnsi="Arial" w:cs="Arial"/>
                <w:bCs/>
                <w:sz w:val="14"/>
                <w:szCs w:val="14"/>
                <w:vertAlign w:val="superscript"/>
              </w:rPr>
              <w:t>th</w:t>
            </w:r>
            <w:r w:rsidRPr="000A40A4">
              <w:rPr>
                <w:rFonts w:ascii="Arial" w:hAnsi="Arial" w:cs="Arial"/>
                <w:bCs/>
                <w:sz w:val="14"/>
                <w:szCs w:val="14"/>
              </w:rPr>
              <w:t xml:space="preserve"> year (2013-2014), further redefined and chose their </w:t>
            </w:r>
            <w:r w:rsidRPr="000A40A4">
              <w:rPr>
                <w:rFonts w:ascii="Arial" w:hAnsi="Arial" w:cs="Arial"/>
                <w:bCs/>
                <w:i/>
                <w:iCs/>
                <w:sz w:val="14"/>
                <w:szCs w:val="14"/>
              </w:rPr>
              <w:t xml:space="preserve">Preferential Strategy </w:t>
            </w:r>
            <w:r w:rsidRPr="000A40A4">
              <w:rPr>
                <w:rFonts w:ascii="Arial" w:hAnsi="Arial" w:cs="Arial"/>
                <w:bCs/>
                <w:sz w:val="14"/>
                <w:szCs w:val="14"/>
              </w:rPr>
              <w:t>(</w:t>
            </w:r>
            <w:proofErr w:type="spellStart"/>
            <w:r w:rsidRPr="000A40A4">
              <w:rPr>
                <w:rFonts w:ascii="Arial" w:hAnsi="Arial" w:cs="Arial"/>
                <w:bCs/>
                <w:color w:val="7F7F7F" w:themeColor="text1" w:themeTint="80"/>
                <w:sz w:val="14"/>
                <w:szCs w:val="14"/>
              </w:rPr>
              <w:t>Restemeyer</w:t>
            </w:r>
            <w:proofErr w:type="spellEnd"/>
            <w:r w:rsidRPr="000A40A4">
              <w:rPr>
                <w:rFonts w:ascii="Arial" w:hAnsi="Arial" w:cs="Arial"/>
                <w:bCs/>
                <w:color w:val="7F7F7F" w:themeColor="text1" w:themeTint="80"/>
                <w:sz w:val="14"/>
                <w:szCs w:val="14"/>
              </w:rPr>
              <w:t xml:space="preserve"> et al. 2017, p.928; DP 2014, p.132</w:t>
            </w:r>
            <w:r w:rsidRPr="000A40A4">
              <w:rPr>
                <w:rFonts w:ascii="Arial" w:hAnsi="Arial" w:cs="Arial"/>
                <w:bCs/>
                <w:sz w:val="14"/>
                <w:szCs w:val="14"/>
              </w:rPr>
              <w:t>). After 2014, there was shift towards the detailed design of the</w:t>
            </w:r>
            <w:r w:rsidRPr="000A40A4">
              <w:rPr>
                <w:rFonts w:ascii="Arial" w:hAnsi="Arial" w:cs="Arial"/>
                <w:bCs/>
                <w:i/>
                <w:sz w:val="14"/>
                <w:szCs w:val="14"/>
              </w:rPr>
              <w:t xml:space="preserve"> Strategies</w:t>
            </w:r>
            <w:r w:rsidRPr="000A40A4">
              <w:rPr>
                <w:rFonts w:ascii="Arial" w:hAnsi="Arial" w:cs="Arial"/>
                <w:bCs/>
                <w:sz w:val="14"/>
                <w:szCs w:val="14"/>
              </w:rPr>
              <w:t xml:space="preserve"> and implementation of their measures (</w:t>
            </w:r>
            <w:r w:rsidRPr="000A40A4">
              <w:rPr>
                <w:rFonts w:ascii="Arial" w:hAnsi="Arial" w:cs="Arial"/>
                <w:bCs/>
                <w:color w:val="7F7F7F" w:themeColor="text1" w:themeTint="80"/>
                <w:sz w:val="14"/>
                <w:szCs w:val="14"/>
              </w:rPr>
              <w:t>Zevenbergen et al. 2018, p.1</w:t>
            </w:r>
            <w:r w:rsidRPr="000A40A4">
              <w:rPr>
                <w:rFonts w:ascii="Arial" w:hAnsi="Arial" w:cs="Arial"/>
                <w:bCs/>
                <w:sz w:val="14"/>
                <w:szCs w:val="14"/>
              </w:rPr>
              <w:t xml:space="preserve">). Since 2015, the DP annual reports have documented the progress made in the implementation of the </w:t>
            </w:r>
            <w:r w:rsidRPr="000A40A4">
              <w:rPr>
                <w:rFonts w:ascii="Arial" w:hAnsi="Arial" w:cs="Arial"/>
                <w:bCs/>
                <w:i/>
                <w:iCs/>
                <w:sz w:val="14"/>
                <w:szCs w:val="14"/>
              </w:rPr>
              <w:t>Delta Decisions</w:t>
            </w:r>
            <w:r w:rsidRPr="000A40A4">
              <w:rPr>
                <w:rFonts w:ascii="Arial" w:hAnsi="Arial" w:cs="Arial"/>
                <w:bCs/>
                <w:sz w:val="14"/>
                <w:szCs w:val="14"/>
              </w:rPr>
              <w:t xml:space="preserve"> and </w:t>
            </w:r>
            <w:r w:rsidRPr="000A40A4">
              <w:rPr>
                <w:rFonts w:ascii="Arial" w:hAnsi="Arial" w:cs="Arial"/>
                <w:bCs/>
                <w:i/>
                <w:iCs/>
                <w:sz w:val="14"/>
                <w:szCs w:val="14"/>
              </w:rPr>
              <w:t>Preferential Strategies</w:t>
            </w:r>
            <w:r w:rsidRPr="000A40A4">
              <w:rPr>
                <w:rFonts w:ascii="Arial" w:hAnsi="Arial" w:cs="Arial"/>
                <w:bCs/>
                <w:sz w:val="14"/>
                <w:szCs w:val="14"/>
              </w:rPr>
              <w:t xml:space="preserve"> (of the DP 2014), and if they are </w:t>
            </w:r>
            <w:r w:rsidRPr="000A40A4">
              <w:rPr>
                <w:rFonts w:ascii="Arial" w:hAnsi="Arial" w:cs="Arial"/>
                <w:bCs/>
                <w:i/>
                <w:iCs/>
                <w:sz w:val="14"/>
                <w:szCs w:val="14"/>
              </w:rPr>
              <w:t>on schedule</w:t>
            </w:r>
            <w:r w:rsidRPr="000A40A4">
              <w:rPr>
                <w:rFonts w:ascii="Arial" w:hAnsi="Arial" w:cs="Arial"/>
                <w:bCs/>
                <w:sz w:val="14"/>
                <w:szCs w:val="14"/>
              </w:rPr>
              <w:t xml:space="preserve"> and </w:t>
            </w:r>
            <w:r w:rsidRPr="000A40A4">
              <w:rPr>
                <w:rFonts w:ascii="Arial" w:hAnsi="Arial" w:cs="Arial"/>
                <w:bCs/>
                <w:i/>
                <w:iCs/>
                <w:sz w:val="14"/>
                <w:szCs w:val="14"/>
              </w:rPr>
              <w:t>on the</w:t>
            </w:r>
            <w:r w:rsidRPr="000A40A4">
              <w:rPr>
                <w:rFonts w:ascii="Arial" w:hAnsi="Arial" w:cs="Arial"/>
                <w:bCs/>
                <w:sz w:val="14"/>
                <w:szCs w:val="14"/>
              </w:rPr>
              <w:t xml:space="preserve"> </w:t>
            </w:r>
            <w:r w:rsidRPr="000A40A4">
              <w:rPr>
                <w:rFonts w:ascii="Arial" w:hAnsi="Arial" w:cs="Arial"/>
                <w:bCs/>
                <w:i/>
                <w:iCs/>
                <w:sz w:val="14"/>
                <w:szCs w:val="14"/>
              </w:rPr>
              <w:t>right track</w:t>
            </w:r>
            <w:r w:rsidRPr="000A40A4">
              <w:rPr>
                <w:rFonts w:ascii="Arial" w:hAnsi="Arial" w:cs="Arial"/>
                <w:bCs/>
                <w:sz w:val="14"/>
                <w:szCs w:val="14"/>
              </w:rPr>
              <w:t xml:space="preserve"> (</w:t>
            </w:r>
            <w:r w:rsidRPr="000A40A4">
              <w:rPr>
                <w:rFonts w:ascii="Arial" w:hAnsi="Arial" w:cs="Arial"/>
                <w:bCs/>
                <w:color w:val="7F7F7F" w:themeColor="text1" w:themeTint="80"/>
                <w:sz w:val="14"/>
                <w:szCs w:val="14"/>
              </w:rPr>
              <w:t>DP 2018, p.19; 2016, p.6</w:t>
            </w:r>
            <w:r w:rsidRPr="000A40A4">
              <w:rPr>
                <w:rFonts w:ascii="Arial" w:hAnsi="Arial" w:cs="Arial"/>
                <w:bCs/>
                <w:sz w:val="14"/>
                <w:szCs w:val="14"/>
              </w:rPr>
              <w:t xml:space="preserve">). Moreover, since 2015, the DP has evaluated, every year, whether any new developments require the adjustment or fine-tuning of the </w:t>
            </w:r>
            <w:r w:rsidRPr="000A40A4">
              <w:rPr>
                <w:rFonts w:ascii="Arial" w:hAnsi="Arial" w:cs="Arial"/>
                <w:bCs/>
                <w:i/>
                <w:iCs/>
                <w:sz w:val="14"/>
                <w:szCs w:val="14"/>
              </w:rPr>
              <w:t>Preferential Strategies</w:t>
            </w:r>
            <w:r w:rsidRPr="000A40A4">
              <w:rPr>
                <w:rFonts w:ascii="Arial" w:hAnsi="Arial" w:cs="Arial"/>
                <w:bCs/>
                <w:sz w:val="14"/>
                <w:szCs w:val="14"/>
              </w:rPr>
              <w:t xml:space="preserve"> (</w:t>
            </w:r>
            <w:r w:rsidRPr="000A40A4">
              <w:rPr>
                <w:rFonts w:ascii="Arial" w:hAnsi="Arial" w:cs="Arial"/>
                <w:bCs/>
                <w:color w:val="7F7F7F" w:themeColor="text1" w:themeTint="80"/>
                <w:sz w:val="14"/>
                <w:szCs w:val="14"/>
              </w:rPr>
              <w:t>DP 2016, p.6</w:t>
            </w:r>
            <w:r w:rsidRPr="000A40A4">
              <w:rPr>
                <w:rFonts w:ascii="Arial" w:hAnsi="Arial" w:cs="Arial"/>
                <w:bCs/>
                <w:sz w:val="14"/>
                <w:szCs w:val="14"/>
              </w:rPr>
              <w:t>). ADM, and its ongoing nature, are also reflected in the annual update of the DP: every year a new DP report is issued, including a reprogramming of measures and is submitted to the Parliament (</w:t>
            </w:r>
            <w:r w:rsidRPr="000A40A4">
              <w:rPr>
                <w:rFonts w:ascii="Arial" w:hAnsi="Arial" w:cs="Arial"/>
                <w:bCs/>
                <w:color w:val="7F7F7F" w:themeColor="text1" w:themeTint="80"/>
                <w:sz w:val="14"/>
                <w:szCs w:val="14"/>
              </w:rPr>
              <w:t>DP 2014, p.95; Bloemen et al. 2018</w:t>
            </w:r>
            <w:r w:rsidRPr="000A40A4">
              <w:rPr>
                <w:rFonts w:ascii="Arial" w:hAnsi="Arial" w:cs="Arial"/>
                <w:bCs/>
                <w:sz w:val="14"/>
                <w:szCs w:val="14"/>
              </w:rPr>
              <w:t>). In this process, monitoring and research, and the design and implementation phase, are conducted at the same time and influence each other (</w:t>
            </w:r>
            <w:r w:rsidRPr="000A40A4">
              <w:rPr>
                <w:rFonts w:ascii="Arial" w:hAnsi="Arial" w:cs="Arial"/>
                <w:bCs/>
                <w:color w:val="7F7F7F" w:themeColor="text1" w:themeTint="80"/>
                <w:sz w:val="14"/>
                <w:szCs w:val="14"/>
              </w:rPr>
              <w:t>DP 2014, p.149</w:t>
            </w:r>
            <w:r w:rsidRPr="000A40A4">
              <w:rPr>
                <w:rFonts w:ascii="Arial" w:hAnsi="Arial" w:cs="Arial"/>
                <w:bCs/>
                <w:sz w:val="14"/>
                <w:szCs w:val="14"/>
              </w:rPr>
              <w:t>)</w:t>
            </w:r>
          </w:p>
          <w:p w14:paraId="7C10C910" w14:textId="77777777" w:rsidR="000A0954" w:rsidRPr="000A40A4" w:rsidRDefault="000A0954" w:rsidP="000A40A4">
            <w:pPr>
              <w:pStyle w:val="TEXTBODY"/>
              <w:rPr>
                <w:rFonts w:ascii="Arial" w:hAnsi="Arial" w:cs="Arial"/>
                <w:bCs/>
                <w:sz w:val="14"/>
                <w:szCs w:val="14"/>
              </w:rPr>
            </w:pPr>
            <w:r w:rsidRPr="000A40A4">
              <w:rPr>
                <w:rFonts w:ascii="Arial" w:hAnsi="Arial" w:cs="Arial"/>
                <w:bCs/>
                <w:sz w:val="14"/>
                <w:szCs w:val="14"/>
              </w:rPr>
              <w:t xml:space="preserve">The DP’s </w:t>
            </w:r>
            <w:r w:rsidRPr="000A40A4">
              <w:rPr>
                <w:rFonts w:ascii="Arial" w:hAnsi="Arial" w:cs="Arial"/>
                <w:bCs/>
                <w:i/>
                <w:iCs/>
                <w:sz w:val="14"/>
                <w:szCs w:val="14"/>
              </w:rPr>
              <w:t>adaptive approach</w:t>
            </w:r>
            <w:r w:rsidRPr="000A40A4">
              <w:rPr>
                <w:rFonts w:ascii="Arial" w:hAnsi="Arial" w:cs="Arial"/>
                <w:bCs/>
                <w:sz w:val="14"/>
                <w:szCs w:val="14"/>
              </w:rPr>
              <w:t xml:space="preserve"> required an ongoing process of adaptation planning, which implied monitoring and adjustment, but also </w:t>
            </w:r>
            <w:r w:rsidRPr="000A40A4">
              <w:rPr>
                <w:rFonts w:ascii="Arial" w:hAnsi="Arial" w:cs="Arial"/>
                <w:bCs/>
                <w:i/>
                <w:iCs/>
                <w:sz w:val="14"/>
                <w:szCs w:val="14"/>
              </w:rPr>
              <w:t>flexibility</w:t>
            </w:r>
            <w:r w:rsidRPr="000A40A4">
              <w:rPr>
                <w:rFonts w:ascii="Arial" w:hAnsi="Arial" w:cs="Arial"/>
                <w:bCs/>
                <w:sz w:val="14"/>
                <w:szCs w:val="14"/>
              </w:rPr>
              <w:t xml:space="preserve"> and </w:t>
            </w:r>
            <w:r w:rsidRPr="000A40A4">
              <w:rPr>
                <w:rFonts w:ascii="Arial" w:hAnsi="Arial" w:cs="Arial"/>
                <w:bCs/>
                <w:i/>
                <w:iCs/>
                <w:sz w:val="14"/>
                <w:szCs w:val="14"/>
              </w:rPr>
              <w:t>adaptive capacity</w:t>
            </w:r>
            <w:r w:rsidRPr="000A40A4">
              <w:rPr>
                <w:rFonts w:ascii="Arial" w:hAnsi="Arial" w:cs="Arial"/>
                <w:bCs/>
                <w:color w:val="231F20"/>
                <w:sz w:val="14"/>
                <w:szCs w:val="14"/>
              </w:rPr>
              <w:t xml:space="preserve"> within the strategies and choices made (</w:t>
            </w:r>
            <w:proofErr w:type="spellStart"/>
            <w:r w:rsidRPr="000A40A4">
              <w:rPr>
                <w:rFonts w:ascii="Arial" w:hAnsi="Arial" w:cs="Arial"/>
                <w:bCs/>
                <w:color w:val="7F7F7F" w:themeColor="text1" w:themeTint="80"/>
                <w:sz w:val="14"/>
                <w:szCs w:val="14"/>
              </w:rPr>
              <w:t>Gersonius</w:t>
            </w:r>
            <w:proofErr w:type="spellEnd"/>
            <w:r w:rsidRPr="000A40A4">
              <w:rPr>
                <w:rFonts w:ascii="Arial" w:hAnsi="Arial" w:cs="Arial"/>
                <w:bCs/>
                <w:color w:val="7F7F7F" w:themeColor="text1" w:themeTint="80"/>
                <w:sz w:val="14"/>
                <w:szCs w:val="14"/>
              </w:rPr>
              <w:t xml:space="preserve"> et al. 2016, p.214; Haegen and </w:t>
            </w:r>
            <w:proofErr w:type="spellStart"/>
            <w:r w:rsidRPr="000A40A4">
              <w:rPr>
                <w:rFonts w:ascii="Arial" w:hAnsi="Arial" w:cs="Arial"/>
                <w:bCs/>
                <w:color w:val="7F7F7F" w:themeColor="text1" w:themeTint="80"/>
                <w:sz w:val="14"/>
                <w:szCs w:val="14"/>
              </w:rPr>
              <w:t>Wieriks</w:t>
            </w:r>
            <w:proofErr w:type="spellEnd"/>
            <w:r w:rsidRPr="000A40A4">
              <w:rPr>
                <w:rFonts w:ascii="Arial" w:hAnsi="Arial" w:cs="Arial"/>
                <w:bCs/>
                <w:color w:val="7F7F7F" w:themeColor="text1" w:themeTint="80"/>
                <w:sz w:val="14"/>
                <w:szCs w:val="14"/>
              </w:rPr>
              <w:t xml:space="preserve"> 2015, p.53</w:t>
            </w:r>
            <w:r w:rsidRPr="000A40A4">
              <w:rPr>
                <w:rFonts w:ascii="Arial" w:hAnsi="Arial" w:cs="Arial"/>
                <w:bCs/>
                <w:color w:val="231F20"/>
                <w:sz w:val="14"/>
                <w:szCs w:val="14"/>
              </w:rPr>
              <w:t>).</w:t>
            </w:r>
            <w:r w:rsidRPr="000A40A4">
              <w:rPr>
                <w:rStyle w:val="Refdenotaderodap"/>
                <w:rFonts w:ascii="Arial" w:hAnsi="Arial" w:cs="Arial"/>
                <w:bCs/>
                <w:sz w:val="14"/>
                <w:szCs w:val="14"/>
              </w:rPr>
              <w:footnoteReference w:id="140"/>
            </w:r>
          </w:p>
          <w:p w14:paraId="2AFE6A1E" w14:textId="77777777" w:rsidR="000A0954" w:rsidRPr="000A40A4" w:rsidRDefault="000A0954" w:rsidP="000A40A4">
            <w:pPr>
              <w:pStyle w:val="TEXTBODY"/>
              <w:rPr>
                <w:rFonts w:ascii="Arial" w:hAnsi="Arial" w:cs="Arial"/>
                <w:bCs/>
                <w:sz w:val="14"/>
                <w:szCs w:val="14"/>
              </w:rPr>
            </w:pPr>
            <w:r w:rsidRPr="000A40A4">
              <w:rPr>
                <w:rFonts w:ascii="Arial" w:hAnsi="Arial" w:cs="Arial"/>
                <w:bCs/>
                <w:sz w:val="14"/>
                <w:szCs w:val="14"/>
              </w:rPr>
              <w:t xml:space="preserve">It can, therefore, be concluded that the ongoing process of ADM – with its iterative cycle of planning, management, monitoring and adaptation, and with its several steps required to develop a </w:t>
            </w:r>
            <w:r w:rsidRPr="000A40A4">
              <w:rPr>
                <w:rFonts w:ascii="Arial" w:hAnsi="Arial" w:cs="Arial"/>
                <w:bCs/>
                <w:i/>
                <w:iCs/>
                <w:sz w:val="14"/>
                <w:szCs w:val="14"/>
              </w:rPr>
              <w:t xml:space="preserve">dynamic adaptive plan / strategy </w:t>
            </w:r>
            <w:r w:rsidRPr="000A40A4">
              <w:rPr>
                <w:rFonts w:ascii="Arial" w:hAnsi="Arial" w:cs="Arial"/>
                <w:bCs/>
                <w:sz w:val="14"/>
                <w:szCs w:val="14"/>
              </w:rPr>
              <w:t xml:space="preserve">– is another key-element of ADM essential to make the DP an adaptive policy-programme with </w:t>
            </w:r>
            <w:r w:rsidRPr="000A40A4">
              <w:rPr>
                <w:rFonts w:ascii="Arial" w:hAnsi="Arial" w:cs="Arial"/>
                <w:bCs/>
                <w:i/>
                <w:iCs/>
                <w:sz w:val="14"/>
                <w:szCs w:val="14"/>
              </w:rPr>
              <w:t>robust adaptive strategies</w:t>
            </w:r>
            <w:r w:rsidRPr="000A40A4">
              <w:rPr>
                <w:rFonts w:ascii="Arial" w:hAnsi="Arial" w:cs="Arial"/>
                <w:bCs/>
                <w:sz w:val="14"/>
                <w:szCs w:val="14"/>
              </w:rPr>
              <w:t xml:space="preserve">, and to operationalize a real </w:t>
            </w:r>
            <w:r w:rsidRPr="000A40A4">
              <w:rPr>
                <w:rFonts w:ascii="Arial" w:hAnsi="Arial" w:cs="Arial"/>
                <w:bCs/>
                <w:i/>
                <w:iCs/>
                <w:sz w:val="14"/>
                <w:szCs w:val="14"/>
              </w:rPr>
              <w:t>Adaptive Planning and Management</w:t>
            </w:r>
            <w:r w:rsidRPr="000A40A4">
              <w:rPr>
                <w:rFonts w:ascii="Arial" w:hAnsi="Arial" w:cs="Arial"/>
                <w:bCs/>
                <w:sz w:val="14"/>
                <w:szCs w:val="14"/>
              </w:rPr>
              <w:t>. Importantly, the first four key-elements previously identified are patent in methods that are used in some of the steps of the ADM process (</w:t>
            </w:r>
            <w:r w:rsidRPr="000A40A4">
              <w:rPr>
                <w:rFonts w:ascii="Arial" w:hAnsi="Arial" w:cs="Arial"/>
                <w:bCs/>
                <w:color w:val="7F7F7F" w:themeColor="text1" w:themeTint="80"/>
                <w:sz w:val="14"/>
                <w:szCs w:val="14"/>
              </w:rPr>
              <w:t>Marchand and Ludwig 2014, p.3, 10</w:t>
            </w:r>
            <w:r w:rsidRPr="000A40A4">
              <w:rPr>
                <w:rFonts w:ascii="Arial" w:hAnsi="Arial" w:cs="Arial"/>
                <w:bCs/>
                <w:sz w:val="14"/>
                <w:szCs w:val="14"/>
              </w:rPr>
              <w:t>).</w:t>
            </w:r>
          </w:p>
          <w:p w14:paraId="7D39CBC0" w14:textId="77777777" w:rsidR="000A0954" w:rsidRPr="000A40A4" w:rsidRDefault="000A0954" w:rsidP="000A40A4">
            <w:pPr>
              <w:pStyle w:val="tablecontenttext"/>
              <w:spacing w:line="240" w:lineRule="auto"/>
              <w:jc w:val="both"/>
              <w:rPr>
                <w:sz w:val="14"/>
                <w:szCs w:val="14"/>
              </w:rPr>
            </w:pPr>
            <w:r w:rsidRPr="000A40A4">
              <w:rPr>
                <w:sz w:val="14"/>
                <w:szCs w:val="14"/>
              </w:rPr>
              <w:t xml:space="preserve">The DP has adopted ADM and its inherent continual long-term process (its cycle of several steps illustrated in the scheme of the ADM process). This process involves planning, managing risks, and adapting. This continuous iterative process is necessary to develop and implement </w:t>
            </w:r>
            <w:r w:rsidRPr="000A40A4">
              <w:rPr>
                <w:i/>
                <w:iCs w:val="0"/>
                <w:sz w:val="14"/>
                <w:szCs w:val="14"/>
              </w:rPr>
              <w:t xml:space="preserve">adaptive </w:t>
            </w:r>
            <w:proofErr w:type="gramStart"/>
            <w:r w:rsidRPr="000A40A4">
              <w:rPr>
                <w:i/>
                <w:iCs w:val="0"/>
                <w:sz w:val="14"/>
                <w:szCs w:val="14"/>
              </w:rPr>
              <w:t>strategies</w:t>
            </w:r>
            <w:r w:rsidRPr="000A40A4">
              <w:rPr>
                <w:sz w:val="14"/>
                <w:szCs w:val="14"/>
              </w:rPr>
              <w:t>, and</w:t>
            </w:r>
            <w:proofErr w:type="gramEnd"/>
            <w:r w:rsidRPr="000A40A4">
              <w:rPr>
                <w:sz w:val="14"/>
                <w:szCs w:val="14"/>
              </w:rPr>
              <w:t xml:space="preserve"> undertake a true </w:t>
            </w:r>
            <w:r w:rsidRPr="000A40A4">
              <w:rPr>
                <w:i/>
                <w:iCs w:val="0"/>
                <w:sz w:val="14"/>
                <w:szCs w:val="14"/>
              </w:rPr>
              <w:t>Adaptive Delta Planning and Management</w:t>
            </w:r>
            <w:r w:rsidRPr="000A40A4">
              <w:rPr>
                <w:sz w:val="14"/>
                <w:szCs w:val="14"/>
              </w:rPr>
              <w:t>.</w:t>
            </w:r>
          </w:p>
        </w:tc>
        <w:tc>
          <w:tcPr>
            <w:tcW w:w="2126" w:type="dxa"/>
          </w:tcPr>
          <w:p w14:paraId="2D4A7033" w14:textId="571C005A" w:rsidR="000A0954" w:rsidRPr="000A40A4" w:rsidRDefault="00365C80" w:rsidP="000A40A4">
            <w:pPr>
              <w:pStyle w:val="tablecontenttext"/>
              <w:spacing w:line="240" w:lineRule="auto"/>
              <w:rPr>
                <w:sz w:val="14"/>
                <w:szCs w:val="14"/>
              </w:rPr>
            </w:pPr>
            <w:r w:rsidRPr="000A40A4">
              <w:rPr>
                <w:sz w:val="14"/>
                <w:szCs w:val="14"/>
              </w:rPr>
              <w:lastRenderedPageBreak/>
              <w:t xml:space="preserve">KE5: ongoing, iterative, long-term process of ADM, including its various steps required to fulfil a real </w:t>
            </w:r>
            <w:r w:rsidRPr="000A40A4">
              <w:rPr>
                <w:i/>
                <w:iCs w:val="0"/>
                <w:sz w:val="14"/>
                <w:szCs w:val="14"/>
              </w:rPr>
              <w:t>Adaptive Delta Planning and Management</w:t>
            </w:r>
            <w:r w:rsidRPr="000A40A4">
              <w:rPr>
                <w:sz w:val="14"/>
                <w:szCs w:val="14"/>
              </w:rPr>
              <w:t>.</w:t>
            </w:r>
          </w:p>
        </w:tc>
      </w:tr>
      <w:bookmarkEnd w:id="130"/>
    </w:tbl>
    <w:p w14:paraId="5C2CC34E" w14:textId="7AE0D5A7" w:rsidR="000A0954" w:rsidRPr="009B720F" w:rsidRDefault="000A0954" w:rsidP="000A40A4">
      <w:pPr>
        <w:pStyle w:val="TEXTBODY"/>
        <w:spacing w:line="276" w:lineRule="auto"/>
        <w:rPr>
          <w:bCs/>
        </w:rPr>
      </w:pPr>
    </w:p>
    <w:p w14:paraId="5BD3A3E4" w14:textId="792ECA72" w:rsidR="00BC29F3" w:rsidRPr="001522F8" w:rsidRDefault="00BC29F3" w:rsidP="000A40A4">
      <w:pPr>
        <w:pStyle w:val="TEXTBODY"/>
        <w:spacing w:after="0" w:line="276" w:lineRule="auto"/>
        <w:rPr>
          <w:bCs/>
          <w:strike/>
          <w:color w:val="00B050"/>
        </w:rPr>
      </w:pPr>
      <w:r w:rsidRPr="009B720F">
        <w:rPr>
          <w:bCs/>
        </w:rPr>
        <w:t xml:space="preserve">These five key-elements must be ensured to truly allow and operationalize an Adaptive Planning and Management, and they are embedded in the </w:t>
      </w:r>
      <w:r w:rsidRPr="001522F8">
        <w:rPr>
          <w:bCs/>
        </w:rPr>
        <w:t>steps of the ADM process (</w:t>
      </w:r>
      <w:proofErr w:type="spellStart"/>
      <w:r w:rsidRPr="001522F8">
        <w:rPr>
          <w:bCs/>
          <w:color w:val="7F7F7F" w:themeColor="text1" w:themeTint="80"/>
        </w:rPr>
        <w:t>Jeuken</w:t>
      </w:r>
      <w:proofErr w:type="spellEnd"/>
      <w:r w:rsidRPr="001522F8">
        <w:rPr>
          <w:bCs/>
          <w:color w:val="7F7F7F" w:themeColor="text1" w:themeTint="80"/>
        </w:rPr>
        <w:t xml:space="preserve"> et al. 2014</w:t>
      </w:r>
      <w:r w:rsidRPr="001522F8">
        <w:rPr>
          <w:bCs/>
        </w:rPr>
        <w:t xml:space="preserve">). The DP, and its Subprogrammes, contain these elements.  </w:t>
      </w:r>
    </w:p>
    <w:p w14:paraId="5BBF4D0B" w14:textId="77777777" w:rsidR="00BC29F3" w:rsidRPr="001522F8" w:rsidRDefault="00BC29F3" w:rsidP="000A40A4">
      <w:pPr>
        <w:pStyle w:val="TEXTBODY"/>
        <w:spacing w:after="0" w:line="276" w:lineRule="auto"/>
        <w:rPr>
          <w:bCs/>
        </w:rPr>
      </w:pPr>
    </w:p>
    <w:p w14:paraId="22A4321F" w14:textId="6522D0C7" w:rsidR="00AA5FE3" w:rsidRDefault="00354CF8" w:rsidP="004E5214">
      <w:pPr>
        <w:pStyle w:val="TEXTBODY"/>
        <w:spacing w:line="276" w:lineRule="auto"/>
        <w:rPr>
          <w:bCs/>
        </w:rPr>
      </w:pPr>
      <w:r w:rsidRPr="001522F8">
        <w:rPr>
          <w:bCs/>
        </w:rPr>
        <w:t>In sum, the main elements / ‘building-blocks’ of the ADM approach are: to work with several plausible future scenarios; the develop and use a ‘</w:t>
      </w:r>
      <w:r w:rsidRPr="001522F8">
        <w:rPr>
          <w:bCs/>
          <w:i/>
          <w:iCs/>
        </w:rPr>
        <w:t>robust and flexible</w:t>
      </w:r>
      <w:r w:rsidRPr="001522F8">
        <w:rPr>
          <w:bCs/>
        </w:rPr>
        <w:t xml:space="preserve">’ set of measures (i.e. </w:t>
      </w:r>
      <w:r w:rsidRPr="001522F8">
        <w:rPr>
          <w:bCs/>
          <w:i/>
        </w:rPr>
        <w:t>robust flexible strategies</w:t>
      </w:r>
      <w:r w:rsidRPr="001522F8">
        <w:rPr>
          <w:bCs/>
          <w:iCs/>
        </w:rPr>
        <w:t xml:space="preserve">) </w:t>
      </w:r>
      <w:r w:rsidRPr="001522F8">
        <w:rPr>
          <w:bCs/>
        </w:rPr>
        <w:t>which requires the identification of tipping-points and the design of adaptation pathways;</w:t>
      </w:r>
      <w:r w:rsidRPr="001522F8">
        <w:rPr>
          <w:bCs/>
          <w:color w:val="C00000"/>
        </w:rPr>
        <w:t xml:space="preserve"> </w:t>
      </w:r>
      <w:r w:rsidRPr="001522F8">
        <w:rPr>
          <w:bCs/>
        </w:rPr>
        <w:t>the monitoring of relevant changes and the revaluation of Strategies and their adaptation</w:t>
      </w:r>
      <w:r w:rsidR="00461F38" w:rsidRPr="001522F8">
        <w:rPr>
          <w:bCs/>
        </w:rPr>
        <w:t xml:space="preserve">, </w:t>
      </w:r>
      <w:r w:rsidRPr="001522F8">
        <w:rPr>
          <w:bCs/>
        </w:rPr>
        <w:t>if necessary; and the ongoing process of steps required to achieve</w:t>
      </w:r>
      <w:r w:rsidR="00461F38" w:rsidRPr="001522F8">
        <w:rPr>
          <w:bCs/>
        </w:rPr>
        <w:t xml:space="preserve"> operate</w:t>
      </w:r>
      <w:r w:rsidRPr="001522F8">
        <w:rPr>
          <w:bCs/>
        </w:rPr>
        <w:t xml:space="preserve"> an Adaptive Planning and Management.</w:t>
      </w:r>
      <w:r w:rsidR="00FA6940" w:rsidRPr="001522F8">
        <w:rPr>
          <w:rStyle w:val="Refdenotaderodap"/>
          <w:bCs/>
        </w:rPr>
        <w:footnoteReference w:id="141"/>
      </w:r>
      <w:r w:rsidRPr="009B720F">
        <w:rPr>
          <w:bCs/>
        </w:rPr>
        <w:t xml:space="preserve"> </w:t>
      </w:r>
    </w:p>
    <w:p w14:paraId="74A6E7D9" w14:textId="77777777" w:rsidR="00A119C8" w:rsidRDefault="00A119C8" w:rsidP="004E5214">
      <w:pPr>
        <w:pStyle w:val="TEXTBODY"/>
        <w:spacing w:line="276" w:lineRule="auto"/>
        <w:rPr>
          <w:bCs/>
        </w:rPr>
      </w:pPr>
    </w:p>
    <w:p w14:paraId="4B478B8F" w14:textId="77777777" w:rsidR="00A119C8" w:rsidRDefault="00A119C8" w:rsidP="004E5214">
      <w:pPr>
        <w:pStyle w:val="TEXTBODY"/>
        <w:spacing w:line="276" w:lineRule="auto"/>
        <w:rPr>
          <w:bCs/>
        </w:rPr>
      </w:pPr>
    </w:p>
    <w:p w14:paraId="2E0E0F67" w14:textId="77777777" w:rsidR="00A119C8" w:rsidRDefault="00A119C8" w:rsidP="004E5214">
      <w:pPr>
        <w:pStyle w:val="TEXTBODY"/>
        <w:spacing w:line="276" w:lineRule="auto"/>
        <w:rPr>
          <w:bCs/>
        </w:rPr>
      </w:pPr>
    </w:p>
    <w:p w14:paraId="5FE8DD53" w14:textId="77777777" w:rsidR="00A119C8" w:rsidRDefault="00A119C8" w:rsidP="004E5214">
      <w:pPr>
        <w:pStyle w:val="TEXTBODY"/>
        <w:spacing w:line="276" w:lineRule="auto"/>
        <w:rPr>
          <w:bCs/>
        </w:rPr>
      </w:pPr>
    </w:p>
    <w:p w14:paraId="50146D7F" w14:textId="77777777" w:rsidR="00A119C8" w:rsidRDefault="00A119C8" w:rsidP="004E5214">
      <w:pPr>
        <w:pStyle w:val="TEXTBODY"/>
        <w:spacing w:line="276" w:lineRule="auto"/>
        <w:rPr>
          <w:bCs/>
        </w:rPr>
      </w:pPr>
    </w:p>
    <w:p w14:paraId="7A47C820" w14:textId="77777777" w:rsidR="00A119C8" w:rsidRDefault="00A119C8" w:rsidP="004E5214">
      <w:pPr>
        <w:pStyle w:val="TEXTBODY"/>
        <w:spacing w:line="276" w:lineRule="auto"/>
        <w:rPr>
          <w:bCs/>
        </w:rPr>
      </w:pPr>
    </w:p>
    <w:p w14:paraId="4C426F5A" w14:textId="77777777" w:rsidR="00A119C8" w:rsidRDefault="00A119C8" w:rsidP="004E5214">
      <w:pPr>
        <w:pStyle w:val="TEXTBODY"/>
        <w:spacing w:line="276" w:lineRule="auto"/>
        <w:rPr>
          <w:bCs/>
        </w:rPr>
      </w:pPr>
    </w:p>
    <w:p w14:paraId="184DED0F" w14:textId="77777777" w:rsidR="00A119C8" w:rsidRDefault="00A119C8" w:rsidP="004E5214">
      <w:pPr>
        <w:pStyle w:val="TEXTBODY"/>
        <w:spacing w:line="276" w:lineRule="auto"/>
        <w:rPr>
          <w:bCs/>
        </w:rPr>
      </w:pPr>
    </w:p>
    <w:p w14:paraId="186D2C5E" w14:textId="77777777" w:rsidR="00A119C8" w:rsidRDefault="00A119C8" w:rsidP="004E5214">
      <w:pPr>
        <w:pStyle w:val="TEXTBODY"/>
        <w:spacing w:line="276" w:lineRule="auto"/>
        <w:rPr>
          <w:bCs/>
        </w:rPr>
      </w:pPr>
    </w:p>
    <w:p w14:paraId="08F207EA" w14:textId="77777777" w:rsidR="00A119C8" w:rsidRDefault="00A119C8" w:rsidP="004E5214">
      <w:pPr>
        <w:pStyle w:val="TEXTBODY"/>
        <w:spacing w:line="276" w:lineRule="auto"/>
        <w:rPr>
          <w:bCs/>
        </w:rPr>
      </w:pPr>
    </w:p>
    <w:p w14:paraId="010A868E" w14:textId="77777777" w:rsidR="00A119C8" w:rsidRDefault="00A119C8" w:rsidP="004E5214">
      <w:pPr>
        <w:pStyle w:val="TEXTBODY"/>
        <w:spacing w:line="276" w:lineRule="auto"/>
        <w:rPr>
          <w:bCs/>
        </w:rPr>
      </w:pPr>
    </w:p>
    <w:p w14:paraId="1108C5EE" w14:textId="77777777" w:rsidR="00A119C8" w:rsidRDefault="00A119C8" w:rsidP="004E5214">
      <w:pPr>
        <w:pStyle w:val="TEXTBODY"/>
        <w:spacing w:line="276" w:lineRule="auto"/>
        <w:rPr>
          <w:bCs/>
        </w:rPr>
      </w:pPr>
    </w:p>
    <w:p w14:paraId="7EA36641" w14:textId="37258E4C" w:rsidR="00A119C8" w:rsidRDefault="00A119C8" w:rsidP="00A119C8">
      <w:pPr>
        <w:pStyle w:val="Ttulo1"/>
      </w:pPr>
      <w:r>
        <w:lastRenderedPageBreak/>
        <w:t xml:space="preserve">NOTE 5. Comparative analysis of the two cases on each key-element identified </w:t>
      </w:r>
    </w:p>
    <w:p w14:paraId="7F113BCE" w14:textId="77777777" w:rsidR="00A119C8" w:rsidRDefault="00A119C8" w:rsidP="004E5214">
      <w:pPr>
        <w:pStyle w:val="TEXTBODY"/>
        <w:spacing w:line="276" w:lineRule="auto"/>
        <w:rPr>
          <w:bCs/>
        </w:rPr>
      </w:pPr>
    </w:p>
    <w:p w14:paraId="3697486B" w14:textId="77777777" w:rsidR="00A119C8" w:rsidRDefault="00A119C8" w:rsidP="00A119C8">
      <w:pPr>
        <w:pStyle w:val="Ttulo4"/>
      </w:pPr>
      <w:bookmarkStart w:id="133" w:name="_Hlk185558591"/>
      <w:r w:rsidRPr="0014131F">
        <w:rPr>
          <w:highlight w:val="lightGray"/>
        </w:rPr>
        <w:t>Regarding K</w:t>
      </w:r>
      <w:r>
        <w:rPr>
          <w:highlight w:val="lightGray"/>
        </w:rPr>
        <w:t xml:space="preserve">ey-element </w:t>
      </w:r>
      <w:r w:rsidRPr="0014131F">
        <w:rPr>
          <w:highlight w:val="lightGray"/>
        </w:rPr>
        <w:t>1</w:t>
      </w:r>
    </w:p>
    <w:p w14:paraId="64C1F953" w14:textId="77777777" w:rsidR="00A119C8" w:rsidRDefault="00A119C8" w:rsidP="00A119C8">
      <w:pPr>
        <w:pStyle w:val="TEXTBODY"/>
      </w:pPr>
      <w:r>
        <w:t>W</w:t>
      </w:r>
      <w:r w:rsidRPr="00A248D3">
        <w:t xml:space="preserve">hile the TE2100 has worked with four SLR scenarios and four socioeconomic scenarios (separately), the DP has created and worked with a matrix /crux of 4 future plausible scenarios that combined different figures for climate change effects and socioeconomic development. The TE2100 has used a wider range of SLR scenarios (0,9m - 2,7m / 4,2m SLR until 2100), and initially an extreme / high-end scenario (4,2m SLR), to assess measures and pathways (on their effectiveness and overall plan’s robustness), whereas the DP2014 used a more moderate range of scenarios (0,35 - 0,85m SLR until 2100) which did not include high-end (high-impact, low probability) scenarios. </w:t>
      </w:r>
    </w:p>
    <w:p w14:paraId="0086D7CC" w14:textId="77777777" w:rsidR="00A119C8" w:rsidRDefault="00A119C8" w:rsidP="00A119C8">
      <w:pPr>
        <w:pStyle w:val="TEXTBODY"/>
      </w:pPr>
      <w:r>
        <w:t>Importantly, while the</w:t>
      </w:r>
      <w:r w:rsidRPr="00A970A7">
        <w:t xml:space="preserve"> </w:t>
      </w:r>
      <w:r>
        <w:t xml:space="preserve">RE-D </w:t>
      </w:r>
      <w:r w:rsidRPr="00A970A7">
        <w:t xml:space="preserve">Subprogramme worked with the four Delta Scenarios (translated to the regional context), </w:t>
      </w:r>
      <w:r>
        <w:t xml:space="preserve">the </w:t>
      </w:r>
      <w:r w:rsidRPr="00A970A7">
        <w:t xml:space="preserve">effectiveness of </w:t>
      </w:r>
      <w:r>
        <w:t>its</w:t>
      </w:r>
      <w:r w:rsidRPr="00A970A7">
        <w:t xml:space="preserve"> strategies was only assessed in the </w:t>
      </w:r>
      <w:r w:rsidRPr="00A970A7">
        <w:rPr>
          <w:i/>
          <w:iCs/>
        </w:rPr>
        <w:t xml:space="preserve">Steam </w:t>
      </w:r>
      <w:r w:rsidRPr="00A970A7">
        <w:t xml:space="preserve">and </w:t>
      </w:r>
      <w:r w:rsidRPr="00A970A7">
        <w:rPr>
          <w:i/>
          <w:iCs/>
        </w:rPr>
        <w:t>Rest</w:t>
      </w:r>
      <w:r w:rsidRPr="00A970A7">
        <w:t xml:space="preserve">. The question of ‘which scenario should be used’ did not matter too much, because whatever </w:t>
      </w:r>
      <w:r>
        <w:t>Delta Scenario</w:t>
      </w:r>
      <w:r w:rsidRPr="00A970A7">
        <w:t xml:space="preserve"> happens, the existing flood defence system (</w:t>
      </w:r>
      <w:r>
        <w:t>its</w:t>
      </w:r>
      <w:r w:rsidRPr="00A970A7">
        <w:t xml:space="preserve"> dykes and storm surge barriers) c</w:t>
      </w:r>
      <w:r>
        <w:t>an</w:t>
      </w:r>
      <w:r w:rsidRPr="00A970A7">
        <w:t xml:space="preserve"> cope with it, and it w</w:t>
      </w:r>
      <w:r>
        <w:t xml:space="preserve">ill </w:t>
      </w:r>
      <w:r w:rsidRPr="00A970A7">
        <w:t>require some improvements but not radical modifications (</w:t>
      </w:r>
      <w:proofErr w:type="spellStart"/>
      <w:r w:rsidRPr="00A970A7">
        <w:rPr>
          <w:color w:val="7F7F7F" w:themeColor="text1" w:themeTint="80"/>
        </w:rPr>
        <w:t>Restemeyer</w:t>
      </w:r>
      <w:proofErr w:type="spellEnd"/>
      <w:r w:rsidRPr="00A970A7">
        <w:rPr>
          <w:color w:val="7F7F7F" w:themeColor="text1" w:themeTint="80"/>
        </w:rPr>
        <w:t xml:space="preserve"> et al. 2017, p.931</w:t>
      </w:r>
      <w:r w:rsidRPr="00A970A7">
        <w:t xml:space="preserve">). </w:t>
      </w:r>
      <w:r w:rsidRPr="00E577D6">
        <w:rPr>
          <w:bCs/>
        </w:rPr>
        <w:t xml:space="preserve">In the </w:t>
      </w:r>
      <w:r w:rsidRPr="00E577D6">
        <w:t>RE-D Subprogramme, experience showed that working with scenarios was easier in theory than in practice: it was too difficult for people to think about four possible futures, they tended to focus on the ‘steam’ and ‘rest’ scenarios (</w:t>
      </w:r>
      <w:proofErr w:type="spellStart"/>
      <w:r w:rsidRPr="00E577D6">
        <w:rPr>
          <w:color w:val="7F7F7F" w:themeColor="text1" w:themeTint="80"/>
        </w:rPr>
        <w:t>Restemeyer</w:t>
      </w:r>
      <w:proofErr w:type="spellEnd"/>
      <w:r w:rsidRPr="00E577D6">
        <w:rPr>
          <w:color w:val="7F7F7F" w:themeColor="text1" w:themeTint="80"/>
        </w:rPr>
        <w:t xml:space="preserve"> et al. 2017, p.931</w:t>
      </w:r>
      <w:r w:rsidRPr="00E577D6">
        <w:t xml:space="preserve">). </w:t>
      </w:r>
      <w:r>
        <w:rPr>
          <w:bCs/>
        </w:rPr>
        <w:t xml:space="preserve">Overall, in </w:t>
      </w:r>
      <w:r w:rsidRPr="0039172B">
        <w:rPr>
          <w:bCs/>
        </w:rPr>
        <w:t xml:space="preserve">the </w:t>
      </w:r>
      <w:r w:rsidRPr="0039172B">
        <w:t>RE-D Subprogramme, experience showed that working with scenarios was easier in theory than in practice: it</w:t>
      </w:r>
      <w:r w:rsidRPr="0039172B">
        <w:rPr>
          <w:color w:val="000000"/>
        </w:rPr>
        <w:t xml:space="preserve"> was too difficult for people to think about four possible futures, they tended to focus on the ‘Steam’ and ‘Rest’ scenarios (</w:t>
      </w:r>
      <w:proofErr w:type="spellStart"/>
      <w:r w:rsidRPr="0039172B">
        <w:rPr>
          <w:color w:val="7F7F7F" w:themeColor="text1" w:themeTint="80"/>
        </w:rPr>
        <w:t>Restemeyer</w:t>
      </w:r>
      <w:proofErr w:type="spellEnd"/>
      <w:r w:rsidRPr="0039172B">
        <w:rPr>
          <w:color w:val="7F7F7F" w:themeColor="text1" w:themeTint="80"/>
        </w:rPr>
        <w:t xml:space="preserve"> et al. 2017, p.931</w:t>
      </w:r>
      <w:r w:rsidRPr="0039172B">
        <w:t xml:space="preserve">). </w:t>
      </w:r>
      <w:r w:rsidRPr="00E577D6">
        <w:t xml:space="preserve">The </w:t>
      </w:r>
      <w:r>
        <w:t xml:space="preserve">idea </w:t>
      </w:r>
      <w:r w:rsidRPr="00E577D6">
        <w:t xml:space="preserve">that </w:t>
      </w:r>
      <w:r>
        <w:t>“</w:t>
      </w:r>
      <w:r w:rsidRPr="00E577D6">
        <w:t xml:space="preserve">whatever scenario happens, the existing defence system can cope with </w:t>
      </w:r>
      <w:proofErr w:type="gramStart"/>
      <w:r w:rsidRPr="00E577D6">
        <w:t>it</w:t>
      </w:r>
      <w:proofErr w:type="gramEnd"/>
      <w:r w:rsidRPr="00E577D6">
        <w:t xml:space="preserve"> and it will not require radical modifications</w:t>
      </w:r>
      <w:r>
        <w:t>”</w:t>
      </w:r>
      <w:r w:rsidRPr="00E577D6">
        <w:t xml:space="preserve"> hampered the identification of tipping-points and visualization of pathways (</w:t>
      </w:r>
      <w:proofErr w:type="spellStart"/>
      <w:r w:rsidRPr="00E577D6">
        <w:rPr>
          <w:color w:val="7F7F7F" w:themeColor="text1" w:themeTint="80"/>
        </w:rPr>
        <w:t>Restemeyer</w:t>
      </w:r>
      <w:proofErr w:type="spellEnd"/>
      <w:r w:rsidRPr="00E577D6">
        <w:rPr>
          <w:color w:val="7F7F7F" w:themeColor="text1" w:themeTint="80"/>
        </w:rPr>
        <w:t xml:space="preserve"> et al. 2017, p.931</w:t>
      </w:r>
      <w:r w:rsidRPr="00E577D6">
        <w:t>).</w:t>
      </w:r>
    </w:p>
    <w:p w14:paraId="50115D23" w14:textId="77777777" w:rsidR="00A119C8" w:rsidRPr="00A248D3" w:rsidRDefault="00A119C8" w:rsidP="00A119C8">
      <w:pPr>
        <w:pStyle w:val="TEXTBODY"/>
      </w:pPr>
    </w:p>
    <w:p w14:paraId="452EF21D" w14:textId="77777777" w:rsidR="00A119C8" w:rsidRDefault="00A119C8" w:rsidP="00A119C8">
      <w:pPr>
        <w:pStyle w:val="Ttulo4"/>
      </w:pPr>
      <w:r w:rsidRPr="0014131F">
        <w:rPr>
          <w:highlight w:val="lightGray"/>
        </w:rPr>
        <w:t>Regarding</w:t>
      </w:r>
      <w:r w:rsidRPr="00A248D3">
        <w:rPr>
          <w:highlight w:val="lightGray"/>
        </w:rPr>
        <w:t xml:space="preserve"> K</w:t>
      </w:r>
      <w:r>
        <w:rPr>
          <w:highlight w:val="lightGray"/>
        </w:rPr>
        <w:t xml:space="preserve">ey-element </w:t>
      </w:r>
      <w:r w:rsidRPr="00A248D3">
        <w:rPr>
          <w:highlight w:val="lightGray"/>
        </w:rPr>
        <w:t>2</w:t>
      </w:r>
    </w:p>
    <w:p w14:paraId="350B2524" w14:textId="77777777" w:rsidR="00A119C8" w:rsidRDefault="00A119C8" w:rsidP="00A119C8">
      <w:pPr>
        <w:pStyle w:val="TEXTBODY"/>
        <w:rPr>
          <w:b/>
          <w:bCs/>
          <w:color w:val="C00000"/>
        </w:rPr>
      </w:pPr>
      <w:r w:rsidRPr="002A685D">
        <w:t xml:space="preserve">Both cases sought to identify critical thresholds (TE2100) or Adaptation Tipping-points (ATPs) (DP2014) – referring to points / conditions under which the current or alternative (policy and management) measures no longer meet the predefined objectives / </w:t>
      </w:r>
      <w:proofErr w:type="gramStart"/>
      <w:r w:rsidRPr="002A685D">
        <w:t>fail</w:t>
      </w:r>
      <w:proofErr w:type="gramEnd"/>
      <w:r w:rsidRPr="002A685D">
        <w:t xml:space="preserve"> (</w:t>
      </w:r>
      <w:proofErr w:type="spellStart"/>
      <w:r w:rsidRPr="002A685D">
        <w:rPr>
          <w:iCs/>
          <w:color w:val="7F7F7F" w:themeColor="text1" w:themeTint="80"/>
        </w:rPr>
        <w:t>Jeuken</w:t>
      </w:r>
      <w:proofErr w:type="spellEnd"/>
      <w:r w:rsidRPr="002A685D">
        <w:rPr>
          <w:iCs/>
          <w:color w:val="7F7F7F" w:themeColor="text1" w:themeTint="80"/>
        </w:rPr>
        <w:t xml:space="preserve"> et al. 2014</w:t>
      </w:r>
      <w:r w:rsidRPr="00AB3D79">
        <w:rPr>
          <w:iCs/>
        </w:rPr>
        <w:t>)</w:t>
      </w:r>
      <w:r w:rsidRPr="00AB3D79">
        <w:t xml:space="preserve">. </w:t>
      </w:r>
    </w:p>
    <w:p w14:paraId="079CB16B" w14:textId="77777777" w:rsidR="00A119C8" w:rsidRDefault="00A119C8" w:rsidP="00A119C8">
      <w:pPr>
        <w:pStyle w:val="TEXTBODY"/>
        <w:rPr>
          <w:iCs/>
        </w:rPr>
      </w:pPr>
      <w:r w:rsidRPr="00C0777E">
        <w:t xml:space="preserve">In </w:t>
      </w:r>
      <w:r>
        <w:t>the TE2100 case,</w:t>
      </w:r>
      <w:r w:rsidRPr="00C0777E">
        <w:t xml:space="preserve"> </w:t>
      </w:r>
      <w:r>
        <w:t xml:space="preserve">the identified </w:t>
      </w:r>
      <w:r w:rsidRPr="00C0777E">
        <w:t xml:space="preserve">thresholds were crucial in </w:t>
      </w:r>
      <w:r w:rsidRPr="00A119C8">
        <w:t xml:space="preserve">the sequencing of </w:t>
      </w:r>
      <w:r w:rsidRPr="00C0777E">
        <w:t xml:space="preserve">possible measures within the broader plan, and, with such sequenced measures to assemble adaptation pathways that connect </w:t>
      </w:r>
      <w:r>
        <w:t xml:space="preserve">decisions and </w:t>
      </w:r>
      <w:r w:rsidRPr="00C0777E">
        <w:t>actions in the short-term to options in the long-term (</w:t>
      </w:r>
      <w:proofErr w:type="spellStart"/>
      <w:r w:rsidRPr="00C0777E">
        <w:rPr>
          <w:iCs/>
          <w:color w:val="7F7F7F" w:themeColor="text1" w:themeTint="80"/>
        </w:rPr>
        <w:t>Jeuken</w:t>
      </w:r>
      <w:proofErr w:type="spellEnd"/>
      <w:r w:rsidRPr="00C0777E">
        <w:rPr>
          <w:iCs/>
          <w:color w:val="7F7F7F" w:themeColor="text1" w:themeTint="80"/>
        </w:rPr>
        <w:t xml:space="preserve"> et al. 2014</w:t>
      </w:r>
      <w:r w:rsidRPr="00C0777E">
        <w:rPr>
          <w:iCs/>
        </w:rPr>
        <w:t>).</w:t>
      </w:r>
      <w:r>
        <w:rPr>
          <w:iCs/>
        </w:rPr>
        <w:t xml:space="preserve"> </w:t>
      </w:r>
    </w:p>
    <w:p w14:paraId="214F1975" w14:textId="77777777" w:rsidR="00A119C8" w:rsidRPr="00D57D7F" w:rsidRDefault="00A119C8" w:rsidP="00A119C8">
      <w:pPr>
        <w:pStyle w:val="TEXTBODY"/>
        <w:rPr>
          <w:iCs/>
        </w:rPr>
      </w:pPr>
      <w:r w:rsidRPr="004032A5">
        <w:rPr>
          <w:rFonts w:eastAsiaTheme="minorHAnsi"/>
        </w:rPr>
        <w:t>Th</w:t>
      </w:r>
      <w:r>
        <w:rPr>
          <w:rFonts w:eastAsiaTheme="minorHAnsi"/>
        </w:rPr>
        <w:t xml:space="preserve">e design of the maps of adaptation paths with the X-axis representing time (rather than threshold-values), </w:t>
      </w:r>
      <w:r w:rsidRPr="004032A5">
        <w:rPr>
          <w:rFonts w:eastAsiaTheme="minorHAnsi"/>
        </w:rPr>
        <w:t xml:space="preserve">also reflects a difficulty that has been faced by most DP Subprogrammes: the specification of Adaptation Tipping-points was not easy </w:t>
      </w:r>
      <w:r>
        <w:rPr>
          <w:rFonts w:eastAsiaTheme="minorHAnsi"/>
        </w:rPr>
        <w:t>n</w:t>
      </w:r>
      <w:r w:rsidRPr="004032A5">
        <w:rPr>
          <w:rFonts w:eastAsiaTheme="minorHAnsi"/>
        </w:rPr>
        <w:t>or straightforward, and ultimately, contributed the lack of clarity regarding wh</w:t>
      </w:r>
      <w:r>
        <w:rPr>
          <w:rFonts w:eastAsiaTheme="minorHAnsi"/>
        </w:rPr>
        <w:t>at</w:t>
      </w:r>
      <w:r w:rsidRPr="004032A5">
        <w:rPr>
          <w:rFonts w:eastAsiaTheme="minorHAnsi"/>
        </w:rPr>
        <w:t xml:space="preserve"> ATPs were identified. In contrast, in the TE2100, not only was the specification of thresholds explored, but it </w:t>
      </w:r>
      <w:r>
        <w:rPr>
          <w:rFonts w:eastAsiaTheme="minorHAnsi"/>
        </w:rPr>
        <w:t>was also</w:t>
      </w:r>
      <w:r w:rsidRPr="004032A5">
        <w:rPr>
          <w:rFonts w:eastAsiaTheme="minorHAnsi"/>
        </w:rPr>
        <w:t xml:space="preserve"> devised a way of calculating decision-points (</w:t>
      </w:r>
      <w:proofErr w:type="gramStart"/>
      <w:r w:rsidRPr="004032A5">
        <w:rPr>
          <w:rFonts w:eastAsiaTheme="minorHAnsi"/>
        </w:rPr>
        <w:t>similar to</w:t>
      </w:r>
      <w:proofErr w:type="gramEnd"/>
      <w:r w:rsidRPr="004032A5">
        <w:rPr>
          <w:rFonts w:eastAsiaTheme="minorHAnsi"/>
        </w:rPr>
        <w:t xml:space="preserve"> the transfer-stations of a standard APs map) and implementation-points (at which an action must be in place and functioning). </w:t>
      </w:r>
    </w:p>
    <w:p w14:paraId="72907132" w14:textId="77777777" w:rsidR="00A119C8" w:rsidRDefault="00A119C8" w:rsidP="00A119C8">
      <w:pPr>
        <w:pStyle w:val="TEXTBODY"/>
      </w:pPr>
      <w:r w:rsidRPr="0014131F">
        <w:t>In the DP case, several Subprogrammes faced difficulties in specifying ATPs.</w:t>
      </w:r>
      <w:r>
        <w:t>, indeed t</w:t>
      </w:r>
      <w:r w:rsidRPr="00EE24E2">
        <w:rPr>
          <w:iCs/>
        </w:rPr>
        <w:t>he identification of ATPs was deemed one of the most difficult and complex aspects of ADM by the DP staff, particularly by the RE-D Subprogramme (</w:t>
      </w:r>
      <w:proofErr w:type="spellStart"/>
      <w:r w:rsidRPr="00EE24E2">
        <w:rPr>
          <w:iCs/>
          <w:color w:val="7F7F7F" w:themeColor="text1" w:themeTint="80"/>
        </w:rPr>
        <w:t>Gersonius</w:t>
      </w:r>
      <w:proofErr w:type="spellEnd"/>
      <w:r w:rsidRPr="00EE24E2">
        <w:rPr>
          <w:iCs/>
          <w:color w:val="7F7F7F" w:themeColor="text1" w:themeTint="80"/>
        </w:rPr>
        <w:t xml:space="preserve"> et al. 2016</w:t>
      </w:r>
      <w:r w:rsidRPr="00EE24E2">
        <w:rPr>
          <w:iCs/>
        </w:rPr>
        <w:t>). ATPs</w:t>
      </w:r>
      <w:r>
        <w:rPr>
          <w:iCs/>
        </w:rPr>
        <w:t xml:space="preserve"> were</w:t>
      </w:r>
      <w:r w:rsidRPr="00EE24E2">
        <w:rPr>
          <w:iCs/>
        </w:rPr>
        <w:t xml:space="preserve"> difficult to identify in situations where: a) the signals of climate change are weak in relation to the natural variability of the system, as in river discharges;</w:t>
      </w:r>
      <w:r>
        <w:rPr>
          <w:iCs/>
        </w:rPr>
        <w:t xml:space="preserve"> b</w:t>
      </w:r>
      <w:r w:rsidRPr="00EE24E2">
        <w:rPr>
          <w:iCs/>
        </w:rPr>
        <w:t>) in the case of strategies that are inherently flexible, e.g. sand nourishment (which can be extended indefinitely)</w:t>
      </w:r>
      <w:r>
        <w:rPr>
          <w:iCs/>
        </w:rPr>
        <w:t>, c</w:t>
      </w:r>
      <w:r w:rsidRPr="00EE24E2">
        <w:rPr>
          <w:iCs/>
        </w:rPr>
        <w:t xml:space="preserve">) there is an absence of </w:t>
      </w:r>
      <w:r>
        <w:rPr>
          <w:iCs/>
        </w:rPr>
        <w:t xml:space="preserve">clear policy goals or </w:t>
      </w:r>
      <w:r w:rsidRPr="00EE24E2">
        <w:rPr>
          <w:iCs/>
        </w:rPr>
        <w:t xml:space="preserve">binding safety norms, which happens in </w:t>
      </w:r>
      <w:proofErr w:type="spellStart"/>
      <w:r w:rsidRPr="00EE24E2">
        <w:rPr>
          <w:iCs/>
        </w:rPr>
        <w:t>unembanked</w:t>
      </w:r>
      <w:proofErr w:type="spellEnd"/>
      <w:r w:rsidRPr="00EE24E2">
        <w:rPr>
          <w:iCs/>
        </w:rPr>
        <w:t xml:space="preserve"> areas (</w:t>
      </w:r>
      <w:proofErr w:type="spellStart"/>
      <w:r w:rsidRPr="00EE24E2">
        <w:rPr>
          <w:iCs/>
          <w:color w:val="7F7F7F" w:themeColor="text1" w:themeTint="80"/>
        </w:rPr>
        <w:t>Gersonius</w:t>
      </w:r>
      <w:proofErr w:type="spellEnd"/>
      <w:r w:rsidRPr="00EE24E2">
        <w:rPr>
          <w:iCs/>
          <w:color w:val="7F7F7F" w:themeColor="text1" w:themeTint="80"/>
        </w:rPr>
        <w:t xml:space="preserve"> et al. 2016; Zevenbergen et al. 2018</w:t>
      </w:r>
      <w:r>
        <w:rPr>
          <w:iCs/>
        </w:rPr>
        <w:t xml:space="preserve">; </w:t>
      </w:r>
      <w:r w:rsidRPr="00EE24E2">
        <w:rPr>
          <w:color w:val="7F7F7F" w:themeColor="text1" w:themeTint="80"/>
        </w:rPr>
        <w:t>Bloemen et al. 201</w:t>
      </w:r>
      <w:r>
        <w:rPr>
          <w:color w:val="7F7F7F" w:themeColor="text1" w:themeTint="80"/>
        </w:rPr>
        <w:t>8</w:t>
      </w:r>
      <w:r w:rsidRPr="00EE24E2">
        <w:t>).</w:t>
      </w:r>
      <w:r w:rsidRPr="00A119C8">
        <w:rPr>
          <w:rStyle w:val="Refdenotaderodap"/>
          <w:highlight w:val="lightGray"/>
        </w:rPr>
        <w:footnoteReference w:id="142"/>
      </w:r>
      <w:r w:rsidRPr="00EE24E2">
        <w:t xml:space="preserve"> </w:t>
      </w:r>
    </w:p>
    <w:p w14:paraId="2A53873F" w14:textId="77777777" w:rsidR="00A119C8" w:rsidRPr="00D57D7F" w:rsidRDefault="00A119C8" w:rsidP="00A119C8">
      <w:pPr>
        <w:pStyle w:val="TEXTBODY"/>
        <w:rPr>
          <w:color w:val="C00000"/>
        </w:rPr>
      </w:pPr>
      <w:r w:rsidRPr="00EE24E2">
        <w:t>In the APs, it is implicitly assumed that some physical parameters that influence flood risk (e.g. climatic conditions that influence the probability of floods, or socioeconomic developments that influence flood</w:t>
      </w:r>
      <w:r>
        <w:t xml:space="preserve"> consequences</w:t>
      </w:r>
      <w:r w:rsidRPr="00EE24E2">
        <w:t xml:space="preserve">) change gradually and allow societal systems to </w:t>
      </w:r>
      <w:r w:rsidRPr="00EE24E2">
        <w:lastRenderedPageBreak/>
        <w:t>react and shift to a new measure. This works well in situations characterized by gradual trends/ slow changes, e.g. SLR, however, evidence shows that, in situations of large natural variability, the determination of tipping-points is challenging</w:t>
      </w:r>
      <w:r>
        <w:t>; f</w:t>
      </w:r>
      <w:r w:rsidRPr="00EE24E2">
        <w:t>or instance, there is usually a great difficulty in monitoring changes in the patterns of storms, in conjunction with a lack of observations of extreme events</w:t>
      </w:r>
      <w:r>
        <w:t xml:space="preserve"> </w:t>
      </w:r>
      <w:r w:rsidRPr="00EE24E2">
        <w:rPr>
          <w:bCs/>
        </w:rPr>
        <w:t>(</w:t>
      </w:r>
      <w:r>
        <w:rPr>
          <w:color w:val="7F7F7F" w:themeColor="text1" w:themeTint="80"/>
        </w:rPr>
        <w:t>Bloemen et al. 2018</w:t>
      </w:r>
      <w:r w:rsidRPr="00EE24E2">
        <w:rPr>
          <w:color w:val="7F7F7F" w:themeColor="text1" w:themeTint="80"/>
        </w:rPr>
        <w:t>, p.14</w:t>
      </w:r>
      <w:r w:rsidRPr="00EE24E2">
        <w:rPr>
          <w:bCs/>
        </w:rPr>
        <w:t>)</w:t>
      </w:r>
      <w:r w:rsidRPr="00EE24E2">
        <w:t>.</w:t>
      </w:r>
      <w:r w:rsidRPr="00EE24E2">
        <w:rPr>
          <w:bCs/>
        </w:rPr>
        <w:t xml:space="preserve"> </w:t>
      </w:r>
      <w:r w:rsidRPr="00EE24E2">
        <w:t xml:space="preserve"> The detection of </w:t>
      </w:r>
      <w:r>
        <w:t>CC</w:t>
      </w:r>
      <w:r w:rsidRPr="00EE24E2">
        <w:t xml:space="preserve">-induced </w:t>
      </w:r>
      <w:r w:rsidRPr="00EE24E2">
        <w:rPr>
          <w:color w:val="000000" w:themeColor="text1"/>
        </w:rPr>
        <w:t xml:space="preserve">changes in certain parameters, </w:t>
      </w:r>
      <w:r>
        <w:rPr>
          <w:color w:val="000000" w:themeColor="text1"/>
        </w:rPr>
        <w:t>like</w:t>
      </w:r>
      <w:r w:rsidRPr="00EE24E2">
        <w:t xml:space="preserve"> river discharges, requires detailed monitoring data and model calculations and often shows that the natural variability is so high that it may take </w:t>
      </w:r>
      <w:r>
        <w:t>several</w:t>
      </w:r>
      <w:r w:rsidRPr="00EE24E2">
        <w:t xml:space="preserve"> decades until CC signals can be distinguished accurately. Further research is needed to discern CC signals from ‘common’ measurements, through approaches that use observations and future projections, scenarios and modelling; t</w:t>
      </w:r>
      <w:r w:rsidRPr="00EE24E2">
        <w:rPr>
          <w:bCs/>
        </w:rPr>
        <w:t>here is a need of methods to distinguish climate signals from highly variable measurements of physical conditions (</w:t>
      </w:r>
      <w:r>
        <w:rPr>
          <w:color w:val="7F7F7F" w:themeColor="text1" w:themeTint="80"/>
        </w:rPr>
        <w:t>Bloemen et al. 2018</w:t>
      </w:r>
      <w:r w:rsidRPr="00EE24E2">
        <w:rPr>
          <w:color w:val="7F7F7F" w:themeColor="text1" w:themeTint="80"/>
        </w:rPr>
        <w:t>, p.14</w:t>
      </w:r>
      <w:r w:rsidRPr="00EE24E2">
        <w:rPr>
          <w:bCs/>
        </w:rPr>
        <w:t>)</w:t>
      </w:r>
      <w:r w:rsidRPr="00EE24E2">
        <w:t>.</w:t>
      </w:r>
      <w:r w:rsidRPr="00EE24E2">
        <w:rPr>
          <w:bCs/>
        </w:rPr>
        <w:t xml:space="preserve"> </w:t>
      </w:r>
      <w:r w:rsidRPr="00EE24E2">
        <w:rPr>
          <w:iCs/>
        </w:rPr>
        <w:t>The ATPs method works for slowly changing conditions, but for drivers affected by extreme events/ sudden changes, it runs the risk of being too late (</w:t>
      </w:r>
      <w:proofErr w:type="spellStart"/>
      <w:r w:rsidRPr="00EE24E2">
        <w:rPr>
          <w:iCs/>
          <w:color w:val="7F7F7F" w:themeColor="text1" w:themeTint="80"/>
        </w:rPr>
        <w:t>Gersonius</w:t>
      </w:r>
      <w:proofErr w:type="spellEnd"/>
      <w:r w:rsidRPr="00EE24E2">
        <w:rPr>
          <w:iCs/>
          <w:color w:val="7F7F7F" w:themeColor="text1" w:themeTint="80"/>
        </w:rPr>
        <w:t xml:space="preserve"> et al. 2016; Zevenbergen et al. 2018; </w:t>
      </w:r>
      <w:proofErr w:type="spellStart"/>
      <w:r w:rsidRPr="00EE24E2">
        <w:rPr>
          <w:iCs/>
          <w:color w:val="7F7F7F" w:themeColor="text1" w:themeTint="80"/>
        </w:rPr>
        <w:t>Haasnoot</w:t>
      </w:r>
      <w:proofErr w:type="spellEnd"/>
      <w:r w:rsidRPr="00EE24E2">
        <w:rPr>
          <w:iCs/>
          <w:color w:val="7F7F7F" w:themeColor="text1" w:themeTint="80"/>
        </w:rPr>
        <w:t xml:space="preserve"> et al. 2013</w:t>
      </w:r>
      <w:r w:rsidRPr="00EE24E2">
        <w:rPr>
          <w:bCs/>
        </w:rPr>
        <w:t>)</w:t>
      </w:r>
      <w:r w:rsidRPr="00EE24E2">
        <w:t>.</w:t>
      </w:r>
      <w:r>
        <w:rPr>
          <w:color w:val="C00000"/>
        </w:rPr>
        <w:t xml:space="preserve"> </w:t>
      </w:r>
      <w:r>
        <w:t>Besides, it</w:t>
      </w:r>
      <w:r w:rsidRPr="00EE24E2">
        <w:t xml:space="preserve"> also difficult to determine ATPs where there are not precise goals, and when strategies are inherently flexible</w:t>
      </w:r>
      <w:r>
        <w:t>, e.g. t</w:t>
      </w:r>
      <w:r w:rsidRPr="00EE24E2">
        <w:t xml:space="preserve">he DP’s strategy to manage coastal flood risk is sand nourishment, which is flexible: the sand volume supplied per year can be increased/ decreased according to observed SLR rate </w:t>
      </w:r>
      <w:r w:rsidRPr="00EE24E2">
        <w:rPr>
          <w:bCs/>
        </w:rPr>
        <w:t>(</w:t>
      </w:r>
      <w:r>
        <w:rPr>
          <w:color w:val="7F7F7F" w:themeColor="text1" w:themeTint="80"/>
        </w:rPr>
        <w:t>Bloemen et al. 2018</w:t>
      </w:r>
      <w:r w:rsidRPr="00EE24E2">
        <w:rPr>
          <w:color w:val="7F7F7F" w:themeColor="text1" w:themeTint="80"/>
        </w:rPr>
        <w:t>, p.14</w:t>
      </w:r>
      <w:r w:rsidRPr="00EE24E2">
        <w:rPr>
          <w:bCs/>
        </w:rPr>
        <w:t>).</w:t>
      </w:r>
    </w:p>
    <w:p w14:paraId="61784DEE" w14:textId="77777777" w:rsidR="00A119C8" w:rsidRDefault="00A119C8" w:rsidP="00A119C8">
      <w:pPr>
        <w:pStyle w:val="TEXTBODY"/>
      </w:pPr>
    </w:p>
    <w:p w14:paraId="5F529FB1" w14:textId="77777777" w:rsidR="00A119C8" w:rsidRPr="002A685D" w:rsidRDefault="00A119C8" w:rsidP="00A119C8">
      <w:pPr>
        <w:pStyle w:val="TEXTBODY"/>
        <w:rPr>
          <w:b/>
          <w:bCs/>
        </w:rPr>
      </w:pPr>
      <w:r w:rsidRPr="00EC507E">
        <w:t xml:space="preserve">The ATP and APs methods </w:t>
      </w:r>
      <w:r>
        <w:t>can be</w:t>
      </w:r>
      <w:r w:rsidRPr="00EC507E">
        <w:t xml:space="preserve"> quite complex and abstract for strategic policymaking at a national or regional scale (</w:t>
      </w:r>
      <w:proofErr w:type="spellStart"/>
      <w:r w:rsidRPr="00EC507E">
        <w:rPr>
          <w:color w:val="7F7F7F" w:themeColor="text1" w:themeTint="80"/>
        </w:rPr>
        <w:t>Restemeyer</w:t>
      </w:r>
      <w:proofErr w:type="spellEnd"/>
      <w:r w:rsidRPr="00EC507E">
        <w:rPr>
          <w:color w:val="7F7F7F" w:themeColor="text1" w:themeTint="80"/>
        </w:rPr>
        <w:t xml:space="preserve"> et al. 2017</w:t>
      </w:r>
      <w:r w:rsidRPr="00A119C8">
        <w:t>). In the DP, ADM was time-consuming and required detailed knowledge of the FRM system (</w:t>
      </w:r>
      <w:proofErr w:type="spellStart"/>
      <w:r w:rsidRPr="00A119C8">
        <w:rPr>
          <w:color w:val="7F7F7F" w:themeColor="text1" w:themeTint="80"/>
        </w:rPr>
        <w:t>Gersonius</w:t>
      </w:r>
      <w:proofErr w:type="spellEnd"/>
      <w:r w:rsidRPr="00A119C8">
        <w:rPr>
          <w:color w:val="7F7F7F" w:themeColor="text1" w:themeTint="80"/>
        </w:rPr>
        <w:t xml:space="preserve"> et al. 2016</w:t>
      </w:r>
      <w:r w:rsidRPr="00A119C8">
        <w:t xml:space="preserve">). For example, </w:t>
      </w:r>
      <w:r w:rsidRPr="00A119C8">
        <w:rPr>
          <w:bCs/>
        </w:rPr>
        <w:t>t</w:t>
      </w:r>
      <w:r w:rsidRPr="00A119C8">
        <w:t>he RE-D Subprogramme faced several difficulties in working with ATPs and APs</w:t>
      </w:r>
      <w:r w:rsidRPr="00A119C8">
        <w:rPr>
          <w:bCs/>
        </w:rPr>
        <w:t>; in</w:t>
      </w:r>
      <w:r w:rsidRPr="00A119C8">
        <w:t xml:space="preserve"> practice, it was quite complex to identify</w:t>
      </w:r>
      <w:r w:rsidRPr="00EC507E">
        <w:t xml:space="preserve"> tipping-points and envision adaptation pathways</w:t>
      </w:r>
      <w:r w:rsidRPr="00EC507E">
        <w:rPr>
          <w:iCs/>
        </w:rPr>
        <w:t xml:space="preserve"> (</w:t>
      </w:r>
      <w:proofErr w:type="spellStart"/>
      <w:r w:rsidRPr="00EC507E">
        <w:rPr>
          <w:color w:val="7F7F7F" w:themeColor="text1" w:themeTint="80"/>
        </w:rPr>
        <w:t>Restemeyer</w:t>
      </w:r>
      <w:proofErr w:type="spellEnd"/>
      <w:r w:rsidRPr="00EC507E">
        <w:rPr>
          <w:color w:val="7F7F7F" w:themeColor="text1" w:themeTint="80"/>
        </w:rPr>
        <w:t xml:space="preserve"> et al. 2017</w:t>
      </w:r>
      <w:r w:rsidRPr="00EC507E">
        <w:t>). Both ATPs and APs methods assume that tipping-points can be identified beforehand (or, at least, when they are reached), however, practice shows that there are limits to the forecasting capacity and it is quite difficult to define adequate monitoring parameters, namely in cases of large natural variability</w:t>
      </w:r>
      <w:r w:rsidRPr="00EC507E">
        <w:rPr>
          <w:iCs/>
        </w:rPr>
        <w:t xml:space="preserve"> (</w:t>
      </w:r>
      <w:proofErr w:type="spellStart"/>
      <w:r w:rsidRPr="00EC507E">
        <w:rPr>
          <w:color w:val="7F7F7F" w:themeColor="text1" w:themeTint="80"/>
        </w:rPr>
        <w:t>Restemeyer</w:t>
      </w:r>
      <w:proofErr w:type="spellEnd"/>
      <w:r w:rsidRPr="00EC507E">
        <w:rPr>
          <w:color w:val="7F7F7F" w:themeColor="text1" w:themeTint="80"/>
        </w:rPr>
        <w:t xml:space="preserve"> et al. 2017</w:t>
      </w:r>
      <w:r w:rsidRPr="00EC507E">
        <w:t>). While some indicators</w:t>
      </w:r>
      <w:r>
        <w:t xml:space="preserve"> / variables</w:t>
      </w:r>
      <w:r w:rsidRPr="00EC507E">
        <w:t xml:space="preserve"> can be easily monitored (e.g. SLR), others present more challenges, e.g. river discharge</w:t>
      </w:r>
      <w:r>
        <w:t xml:space="preserve"> which </w:t>
      </w:r>
      <w:r w:rsidRPr="00EC507E">
        <w:t>shows a large natural variability (it can increase or decrease during a period without a pattern). In the DP, it was nearly impossible to distinguish climate change signals from natural variations in river discharge. Hence, the DP decided to assume a fixed value of river discharge (maximum value): 17 000 m</w:t>
      </w:r>
      <w:r w:rsidRPr="00EC507E">
        <w:rPr>
          <w:vertAlign w:val="superscript"/>
        </w:rPr>
        <w:t>3</w:t>
      </w:r>
      <w:r w:rsidRPr="00EC507E">
        <w:t>/s in 2050 and 18000 m</w:t>
      </w:r>
      <w:r w:rsidRPr="00EC507E">
        <w:rPr>
          <w:vertAlign w:val="superscript"/>
        </w:rPr>
        <w:t>3</w:t>
      </w:r>
      <w:r w:rsidRPr="00EC507E">
        <w:t>/s in 2100. However, as noted by the DP Staff member responsible for ADM, taking decisions and measures based on ‘</w:t>
      </w:r>
      <w:proofErr w:type="gramStart"/>
      <w:r w:rsidRPr="00EC507E">
        <w:t>artificially-fixed</w:t>
      </w:r>
      <w:proofErr w:type="gramEnd"/>
      <w:r w:rsidRPr="00EC507E">
        <w:t>’ worst future conditions (in cases where one cannot rely on monitoring) goes against the idea of ‘flexibility’. Setting a fixed value resembles more a ‘predict-and-control’ approach</w:t>
      </w:r>
      <w:r w:rsidRPr="00EC507E">
        <w:rPr>
          <w:iCs/>
        </w:rPr>
        <w:t xml:space="preserve"> than an adaptive approach (</w:t>
      </w:r>
      <w:proofErr w:type="spellStart"/>
      <w:r w:rsidRPr="00EC507E">
        <w:rPr>
          <w:color w:val="7F7F7F" w:themeColor="text1" w:themeTint="80"/>
        </w:rPr>
        <w:t>Restemeyer</w:t>
      </w:r>
      <w:proofErr w:type="spellEnd"/>
      <w:r w:rsidRPr="00EC507E">
        <w:rPr>
          <w:color w:val="7F7F7F" w:themeColor="text1" w:themeTint="80"/>
        </w:rPr>
        <w:t xml:space="preserve"> et al. 2017, p.931</w:t>
      </w:r>
      <w:r w:rsidRPr="00EC507E">
        <w:t xml:space="preserve">). </w:t>
      </w:r>
      <w:r w:rsidRPr="002A685D">
        <w:rPr>
          <w:u w:val="single"/>
        </w:rPr>
        <w:t xml:space="preserve">In the RE-D </w:t>
      </w:r>
      <w:r w:rsidRPr="002A685D">
        <w:rPr>
          <w:color w:val="000000"/>
          <w:u w:val="single"/>
        </w:rPr>
        <w:t>Subprogramme, ATPs were difficult to find or did not exist, thus, the exercise was more about “</w:t>
      </w:r>
      <w:r w:rsidRPr="002A685D">
        <w:rPr>
          <w:i/>
          <w:iCs/>
          <w:color w:val="000000"/>
          <w:u w:val="single"/>
        </w:rPr>
        <w:t>spreading measures in time</w:t>
      </w:r>
      <w:r w:rsidRPr="002A685D">
        <w:rPr>
          <w:color w:val="000000"/>
          <w:u w:val="single"/>
        </w:rPr>
        <w:t>” than “</w:t>
      </w:r>
      <w:r w:rsidRPr="002A685D">
        <w:rPr>
          <w:i/>
          <w:iCs/>
          <w:color w:val="000000"/>
          <w:u w:val="single"/>
        </w:rPr>
        <w:t>exploring alternative measures to shift to</w:t>
      </w:r>
      <w:r w:rsidRPr="002A685D">
        <w:rPr>
          <w:color w:val="000000"/>
          <w:u w:val="single"/>
        </w:rPr>
        <w:t xml:space="preserve">” </w:t>
      </w:r>
      <w:r w:rsidRPr="005A2471">
        <w:rPr>
          <w:color w:val="000000"/>
        </w:rPr>
        <w:t>(</w:t>
      </w:r>
      <w:proofErr w:type="spellStart"/>
      <w:r w:rsidRPr="005A2471">
        <w:rPr>
          <w:color w:val="7F7F7F" w:themeColor="text1" w:themeTint="80"/>
        </w:rPr>
        <w:t>Restemeyer</w:t>
      </w:r>
      <w:proofErr w:type="spellEnd"/>
      <w:r w:rsidRPr="005A2471">
        <w:rPr>
          <w:color w:val="7F7F7F" w:themeColor="text1" w:themeTint="80"/>
        </w:rPr>
        <w:t xml:space="preserve"> et al. 2017, p.932</w:t>
      </w:r>
      <w:r w:rsidRPr="005A2471">
        <w:t>). APs</w:t>
      </w:r>
      <w:r w:rsidRPr="00EC507E">
        <w:t xml:space="preserve"> method can be complex and abstract for policymaking at national and regional scales; it is more feasible at a local scale, where </w:t>
      </w:r>
      <w:r>
        <w:t>“</w:t>
      </w:r>
      <w:r w:rsidRPr="00EC507E">
        <w:rPr>
          <w:i/>
        </w:rPr>
        <w:t>specific measures can be discussed in depth and better embedded into the physical, social and political reality</w:t>
      </w:r>
      <w:r>
        <w:t>”</w:t>
      </w:r>
      <w:r w:rsidRPr="00EC507E">
        <w:t xml:space="preserve"> (</w:t>
      </w:r>
      <w:proofErr w:type="spellStart"/>
      <w:r w:rsidRPr="00EC507E">
        <w:rPr>
          <w:color w:val="7F7F7F" w:themeColor="text1" w:themeTint="80"/>
        </w:rPr>
        <w:t>Restemeyer</w:t>
      </w:r>
      <w:proofErr w:type="spellEnd"/>
      <w:r w:rsidRPr="00EC507E">
        <w:rPr>
          <w:color w:val="7F7F7F" w:themeColor="text1" w:themeTint="80"/>
        </w:rPr>
        <w:t xml:space="preserve"> etal.2017, p.936</w:t>
      </w:r>
      <w:r w:rsidRPr="00EC507E">
        <w:t>).</w:t>
      </w:r>
    </w:p>
    <w:p w14:paraId="7FC52948" w14:textId="77777777" w:rsidR="00A119C8" w:rsidRDefault="00A119C8" w:rsidP="00A119C8">
      <w:pPr>
        <w:pStyle w:val="TEXTBODY"/>
        <w:rPr>
          <w:b/>
          <w:bCs/>
          <w:color w:val="C00000"/>
        </w:rPr>
      </w:pPr>
      <w:r>
        <w:t xml:space="preserve">All in all, both the TE2100 case and the DP2014 case have identified </w:t>
      </w:r>
      <w:r w:rsidRPr="00AB3D79">
        <w:t>thresholds</w:t>
      </w:r>
      <w:r>
        <w:t xml:space="preserve">/ </w:t>
      </w:r>
      <w:r w:rsidRPr="00A119C8">
        <w:t>ATPs, namely</w:t>
      </w:r>
      <w:r>
        <w:t xml:space="preserve"> thresholds/ATPs that are related with</w:t>
      </w:r>
      <w:r w:rsidRPr="002A685D">
        <w:t xml:space="preserve"> acceptable </w:t>
      </w:r>
      <w:r>
        <w:t xml:space="preserve">flood </w:t>
      </w:r>
      <w:r w:rsidRPr="002A685D">
        <w:t>return periods</w:t>
      </w:r>
      <w:r>
        <w:t xml:space="preserve">, which </w:t>
      </w:r>
      <w:r w:rsidRPr="002A685D">
        <w:t xml:space="preserve">were translated into design criteria for adaptation </w:t>
      </w:r>
      <w:r>
        <w:t>measures</w:t>
      </w:r>
      <w:r w:rsidRPr="002A685D">
        <w:t xml:space="preserve"> (e.g. flood protection structures) (</w:t>
      </w:r>
      <w:proofErr w:type="spellStart"/>
      <w:r w:rsidRPr="002A685D">
        <w:rPr>
          <w:iCs/>
          <w:color w:val="7F7F7F" w:themeColor="text1" w:themeTint="80"/>
        </w:rPr>
        <w:t>Jeuken</w:t>
      </w:r>
      <w:proofErr w:type="spellEnd"/>
      <w:r w:rsidRPr="002A685D">
        <w:rPr>
          <w:iCs/>
          <w:color w:val="7F7F7F" w:themeColor="text1" w:themeTint="80"/>
        </w:rPr>
        <w:t xml:space="preserve"> et al. 201</w:t>
      </w:r>
      <w:r w:rsidRPr="007C616F">
        <w:rPr>
          <w:iCs/>
          <w:color w:val="7F7F7F" w:themeColor="text1" w:themeTint="80"/>
        </w:rPr>
        <w:t>4</w:t>
      </w:r>
      <w:r w:rsidRPr="007C616F">
        <w:rPr>
          <w:iCs/>
        </w:rPr>
        <w:t>)</w:t>
      </w:r>
      <w:r>
        <w:rPr>
          <w:iCs/>
        </w:rPr>
        <w:t xml:space="preserve">. </w:t>
      </w:r>
      <w:r w:rsidRPr="00A119C8">
        <w:rPr>
          <w:iCs/>
        </w:rPr>
        <w:t>In the case of the TE2100, FRM policies were set for different “policy units” in the Estuary (based on an assessment of the pre-existing Standards of Protection (</w:t>
      </w:r>
      <w:proofErr w:type="spellStart"/>
      <w:r w:rsidRPr="00A119C8">
        <w:rPr>
          <w:iCs/>
        </w:rPr>
        <w:t>SoPs</w:t>
      </w:r>
      <w:proofErr w:type="spellEnd"/>
      <w:r w:rsidRPr="00A119C8">
        <w:rPr>
          <w:iCs/>
        </w:rPr>
        <w:t xml:space="preserve">, which correspond to a maximum acceptable flood probability expressed as a flood return period) and whether these </w:t>
      </w:r>
      <w:proofErr w:type="spellStart"/>
      <w:r w:rsidRPr="00A119C8">
        <w:rPr>
          <w:iCs/>
        </w:rPr>
        <w:t>SoPs</w:t>
      </w:r>
      <w:proofErr w:type="spellEnd"/>
      <w:r w:rsidRPr="00A119C8">
        <w:rPr>
          <w:iCs/>
        </w:rPr>
        <w:t xml:space="preserve"> should be increased, maintained or reduced in each policy-unit (Ramsbottom and Sheppard 2017, p.9; 4)</w:t>
      </w:r>
      <w:r w:rsidRPr="00A119C8">
        <w:rPr>
          <w:rStyle w:val="Refdenotaderodap"/>
          <w:iCs/>
        </w:rPr>
        <w:footnoteReference w:id="143"/>
      </w:r>
      <w:r w:rsidRPr="00A119C8">
        <w:rPr>
          <w:iCs/>
        </w:rPr>
        <w:t xml:space="preserve">; whereas in the DP2014, the flood safety standards (expressed a flood probability per year and set out per each defence / dyke section) were updated, and these new standards must be met until 2050 (these new flood protection standards were set in the DD on FRM, and were defined based on the worst scenario of the four Delta Scenarios – i.e. the Steam) (DP2014, p.158; Bloemen et al. 2018; Klijn et al. 2016). In the TE2100 case, the new design </w:t>
      </w:r>
      <w:proofErr w:type="spellStart"/>
      <w:r w:rsidRPr="00A119C8">
        <w:rPr>
          <w:iCs/>
        </w:rPr>
        <w:t>SoPs</w:t>
      </w:r>
      <w:proofErr w:type="spellEnd"/>
      <w:r w:rsidRPr="00A119C8">
        <w:rPr>
          <w:iCs/>
        </w:rPr>
        <w:t xml:space="preserve"> set out a threshold-value of acceptable flood probability for the flood defence system that must not be exceeded (</w:t>
      </w:r>
      <w:r w:rsidRPr="0035693A">
        <w:rPr>
          <w:iCs/>
          <w:color w:val="7F7F7F" w:themeColor="text1" w:themeTint="80"/>
        </w:rPr>
        <w:t>Ramsbottom and Sheppard 2017, p.4</w:t>
      </w:r>
      <w:r w:rsidRPr="00A119C8">
        <w:rPr>
          <w:iCs/>
        </w:rPr>
        <w:t xml:space="preserve">), and, similarly, in the DP2014, the new flood protection standards establish new standard specification for the primary flood defences. </w:t>
      </w:r>
    </w:p>
    <w:p w14:paraId="49CDA325" w14:textId="77777777" w:rsidR="00A119C8" w:rsidRDefault="00A119C8" w:rsidP="00A119C8">
      <w:pPr>
        <w:pStyle w:val="TEXTBODY"/>
        <w:rPr>
          <w:color w:val="C00000"/>
        </w:rPr>
      </w:pPr>
    </w:p>
    <w:p w14:paraId="70F8A32C" w14:textId="77777777" w:rsidR="00A119C8" w:rsidRDefault="00A119C8" w:rsidP="00A119C8">
      <w:pPr>
        <w:pStyle w:val="Ttulo4"/>
      </w:pPr>
      <w:r w:rsidRPr="00D57D7F">
        <w:rPr>
          <w:highlight w:val="lightGray"/>
        </w:rPr>
        <w:lastRenderedPageBreak/>
        <w:t>Regarding Key-element 3</w:t>
      </w:r>
    </w:p>
    <w:p w14:paraId="0D98BBEF" w14:textId="77777777" w:rsidR="00A119C8" w:rsidRPr="00B744D2" w:rsidRDefault="00A119C8" w:rsidP="00A119C8">
      <w:pPr>
        <w:pStyle w:val="TEXTBODY"/>
      </w:pPr>
      <w:r w:rsidRPr="00A248D3">
        <w:rPr>
          <w:rFonts w:eastAsiaTheme="minorHAnsi"/>
        </w:rPr>
        <w:t xml:space="preserve">While the </w:t>
      </w:r>
      <w:r>
        <w:rPr>
          <w:rFonts w:eastAsiaTheme="minorHAnsi"/>
        </w:rPr>
        <w:t>TE2100’s route-map</w:t>
      </w:r>
      <w:r w:rsidRPr="00A248D3">
        <w:rPr>
          <w:rFonts w:eastAsiaTheme="minorHAnsi"/>
        </w:rPr>
        <w:t xml:space="preserve"> clearly displays various pathways available to cope with changing conditions over time, and keep flood risk within an acceptable limit (threshold-values), the maps of adaptation paths of the DP’s Delta Decisions and Preferential Strategies </w:t>
      </w:r>
      <w:r w:rsidRPr="0014131F">
        <w:rPr>
          <w:rFonts w:eastAsiaTheme="minorHAnsi"/>
        </w:rPr>
        <w:t xml:space="preserve">may display a single path or various paths available over time, yet, most often, it is shown a single path with few options (possibilities) for switching to another measures – a single composite strategy or a set of strategies but with less “branching-points” (transfer-points) and less options available after such branching-points, resulting in an apparently more “deterministic” strategy (as noted by </w:t>
      </w:r>
      <w:proofErr w:type="spellStart"/>
      <w:r w:rsidRPr="0014131F">
        <w:rPr>
          <w:rFonts w:eastAsiaTheme="minorHAnsi"/>
          <w:color w:val="7F7F7F" w:themeColor="text1" w:themeTint="80"/>
        </w:rPr>
        <w:t>Restemeyer</w:t>
      </w:r>
      <w:proofErr w:type="spellEnd"/>
      <w:r w:rsidRPr="0014131F">
        <w:rPr>
          <w:rFonts w:eastAsiaTheme="minorHAnsi"/>
          <w:color w:val="7F7F7F" w:themeColor="text1" w:themeTint="80"/>
        </w:rPr>
        <w:t xml:space="preserve"> et al. 2017</w:t>
      </w:r>
      <w:r w:rsidRPr="0014131F">
        <w:rPr>
          <w:rFonts w:eastAsiaTheme="minorHAnsi"/>
        </w:rPr>
        <w:t>).</w:t>
      </w:r>
      <w:r w:rsidRPr="00A248D3">
        <w:rPr>
          <w:rFonts w:eastAsiaTheme="minorHAnsi"/>
        </w:rPr>
        <w:t xml:space="preserve"> The representation of a single path, </w:t>
      </w:r>
      <w:proofErr w:type="gramStart"/>
      <w:r w:rsidRPr="00A248D3">
        <w:rPr>
          <w:rFonts w:eastAsiaTheme="minorHAnsi"/>
        </w:rPr>
        <w:t>yet,</w:t>
      </w:r>
      <w:proofErr w:type="gramEnd"/>
      <w:r w:rsidRPr="00A248D3">
        <w:rPr>
          <w:rFonts w:eastAsiaTheme="minorHAnsi"/>
        </w:rPr>
        <w:t xml:space="preserve"> is in line with the selection of “one or more preferred pathways as input for a dynamic adaptive plan” suggested in the</w:t>
      </w:r>
      <w:r>
        <w:rPr>
          <w:rFonts w:eastAsiaTheme="minorHAnsi"/>
        </w:rPr>
        <w:t xml:space="preserve"> fourth</w:t>
      </w:r>
      <w:r w:rsidRPr="00A248D3">
        <w:rPr>
          <w:rFonts w:eastAsiaTheme="minorHAnsi"/>
        </w:rPr>
        <w:t xml:space="preserve"> step of the ADM cycle (</w:t>
      </w:r>
      <w:proofErr w:type="spellStart"/>
      <w:r w:rsidRPr="00BB4800">
        <w:rPr>
          <w:rFonts w:eastAsiaTheme="minorHAnsi"/>
          <w:color w:val="7F7F7F" w:themeColor="text1" w:themeTint="80"/>
        </w:rPr>
        <w:t>Deltares</w:t>
      </w:r>
      <w:proofErr w:type="spellEnd"/>
      <w:r w:rsidRPr="00BB4800">
        <w:rPr>
          <w:rFonts w:eastAsiaTheme="minorHAnsi"/>
          <w:color w:val="7F7F7F" w:themeColor="text1" w:themeTint="80"/>
        </w:rPr>
        <w:t xml:space="preserve">; Brugge and Bruggeman; </w:t>
      </w:r>
      <w:proofErr w:type="spellStart"/>
      <w:r w:rsidRPr="00BB4800">
        <w:rPr>
          <w:rFonts w:eastAsiaTheme="minorHAnsi"/>
          <w:color w:val="7F7F7F" w:themeColor="text1" w:themeTint="80"/>
        </w:rPr>
        <w:t>Haasnoot</w:t>
      </w:r>
      <w:proofErr w:type="spellEnd"/>
      <w:r w:rsidRPr="00BB4800">
        <w:rPr>
          <w:rFonts w:eastAsiaTheme="minorHAnsi"/>
          <w:color w:val="7F7F7F" w:themeColor="text1" w:themeTint="80"/>
        </w:rPr>
        <w:t xml:space="preserve"> and </w:t>
      </w:r>
      <w:proofErr w:type="spellStart"/>
      <w:r w:rsidRPr="00BB4800">
        <w:rPr>
          <w:rFonts w:eastAsiaTheme="minorHAnsi"/>
          <w:color w:val="7F7F7F" w:themeColor="text1" w:themeTint="80"/>
        </w:rPr>
        <w:t>Jeuken</w:t>
      </w:r>
      <w:proofErr w:type="spellEnd"/>
      <w:r w:rsidRPr="00BB4800">
        <w:rPr>
          <w:rFonts w:eastAsiaTheme="minorHAnsi"/>
          <w:color w:val="7F7F7F" w:themeColor="text1" w:themeTint="80"/>
        </w:rPr>
        <w:t xml:space="preserve">; </w:t>
      </w:r>
      <w:proofErr w:type="spellStart"/>
      <w:r w:rsidRPr="00BB4800">
        <w:rPr>
          <w:rFonts w:eastAsiaTheme="minorHAnsi"/>
          <w:color w:val="7F7F7F" w:themeColor="text1" w:themeTint="80"/>
        </w:rPr>
        <w:t>Jeuken</w:t>
      </w:r>
      <w:proofErr w:type="spellEnd"/>
      <w:r w:rsidRPr="00BB4800">
        <w:rPr>
          <w:rFonts w:eastAsiaTheme="minorHAnsi"/>
          <w:color w:val="7F7F7F" w:themeColor="text1" w:themeTint="80"/>
        </w:rPr>
        <w:t xml:space="preserve"> et al. 2014, p.4-5</w:t>
      </w:r>
      <w:r w:rsidRPr="00A248D3">
        <w:rPr>
          <w:rFonts w:eastAsiaTheme="minorHAnsi"/>
        </w:rPr>
        <w:t xml:space="preserve">). </w:t>
      </w:r>
    </w:p>
    <w:p w14:paraId="376E777F" w14:textId="25CE7834" w:rsidR="00A119C8" w:rsidRPr="00A119C8" w:rsidRDefault="00A119C8" w:rsidP="00A119C8">
      <w:pPr>
        <w:pStyle w:val="TEXTBODY"/>
        <w:rPr>
          <w:rFonts w:eastAsiaTheme="minorHAnsi"/>
        </w:rPr>
      </w:pPr>
      <w:r w:rsidRPr="00A119C8">
        <w:rPr>
          <w:rFonts w:eastAsiaTheme="minorHAnsi"/>
        </w:rPr>
        <w:t xml:space="preserve">Moreover, the TE2100 case clearly demonstrates its APs map is an evolving map (which has been updated, reviewed and redone over the last decade), whereas the maps of adaptation paths of the DP were presented in the DP2014, and since then no updates were presented in the annual DP reports. </w:t>
      </w:r>
    </w:p>
    <w:p w14:paraId="23EB1B67" w14:textId="77777777" w:rsidR="00A119C8" w:rsidRPr="00A119C8" w:rsidRDefault="00A119C8" w:rsidP="00A119C8">
      <w:pPr>
        <w:pStyle w:val="TEXTBODY"/>
        <w:rPr>
          <w:rFonts w:eastAsiaTheme="minorHAnsi"/>
        </w:rPr>
      </w:pPr>
      <w:r w:rsidRPr="00A119C8">
        <w:rPr>
          <w:rFonts w:eastAsiaTheme="minorHAnsi"/>
        </w:rPr>
        <w:t>This indicates that it may be useful to have two APs maps that should be regularly updated: a map with several possible pathways available to cope changing conditions (e.g. SLR) which is thresholds-/ATPs- dependent (i.e. with threshold-values indicated in the x-axis), and an additional map with one (or more) preferred pathways which is time-/years-dependent (i.e. with relevant time-horizons represented in the x-axis, according to a specific scenario (e.g. deemed most likely).</w:t>
      </w:r>
    </w:p>
    <w:p w14:paraId="762E7271" w14:textId="77777777" w:rsidR="00A119C8" w:rsidRDefault="00A119C8" w:rsidP="00A119C8">
      <w:pPr>
        <w:pStyle w:val="TEXTBODY"/>
      </w:pPr>
    </w:p>
    <w:p w14:paraId="12922F76" w14:textId="3816A929" w:rsidR="00A119C8" w:rsidRPr="00C0777E" w:rsidRDefault="00A119C8" w:rsidP="00A119C8">
      <w:pPr>
        <w:pStyle w:val="TEXTBODY"/>
        <w:rPr>
          <w:b/>
          <w:bCs/>
          <w:color w:val="C00000"/>
        </w:rPr>
      </w:pPr>
      <w:r w:rsidRPr="00A248D3">
        <w:t>In TE2100 case, the developed route-map contains multiple (five) possible alternative pathways (HLOs/ Options), which allow for switching between different measures or between different pathways (Options).  In the TE2100 case, if new information (e.g. updated scenarios) becomes available, it is possible to switch to other measures or pathways (Options</w:t>
      </w:r>
      <w:proofErr w:type="gramStart"/>
      <w:r w:rsidRPr="00A248D3">
        <w:t>), or</w:t>
      </w:r>
      <w:proofErr w:type="gramEnd"/>
      <w:r w:rsidRPr="00A248D3">
        <w:t xml:space="preserve"> adjust the Plan itself</w:t>
      </w:r>
      <w:r w:rsidRPr="00757492">
        <w:t>.</w:t>
      </w:r>
      <w:r w:rsidRPr="00A248D3">
        <w:t xml:space="preserve"> </w:t>
      </w:r>
    </w:p>
    <w:p w14:paraId="0D33883A" w14:textId="58645FE9" w:rsidR="00A119C8" w:rsidRDefault="00A119C8" w:rsidP="00A119C8">
      <w:pPr>
        <w:pStyle w:val="TEXTBODY"/>
      </w:pPr>
      <w:r w:rsidRPr="00A119C8">
        <w:t>In the DP 2014, each of DD and PS developed contains one or more “adaptation paths”, which allow shifting between measures (and, in the cases where more than one path is available, from a path to another one).</w:t>
      </w:r>
      <w:r w:rsidRPr="00A248D3">
        <w:t xml:space="preserve"> For example, the </w:t>
      </w:r>
      <w:r>
        <w:t>DD</w:t>
      </w:r>
      <w:r w:rsidRPr="00A248D3">
        <w:t xml:space="preserve"> </w:t>
      </w:r>
      <w:r>
        <w:t>of</w:t>
      </w:r>
      <w:r w:rsidRPr="00A248D3">
        <w:t xml:space="preserve"> the Rhine-Meuse Delta (</w:t>
      </w:r>
      <w:r w:rsidRPr="00A248D3">
        <w:rPr>
          <w:b/>
          <w:bCs/>
        </w:rPr>
        <w:t>Fig. 5</w:t>
      </w:r>
      <w:r w:rsidRPr="00A248D3">
        <w:t xml:space="preserve">) provides several alternative paths, </w:t>
      </w:r>
      <w:r>
        <w:t>and</w:t>
      </w:r>
      <w:r w:rsidRPr="00A248D3">
        <w:t xml:space="preserve"> the </w:t>
      </w:r>
      <w:r>
        <w:t>DD</w:t>
      </w:r>
      <w:r w:rsidRPr="00A248D3">
        <w:t xml:space="preserve"> on Sand (</w:t>
      </w:r>
      <w:r w:rsidRPr="00A248D3">
        <w:rPr>
          <w:b/>
          <w:bCs/>
        </w:rPr>
        <w:t>Fig.6</w:t>
      </w:r>
      <w:r w:rsidRPr="00A248D3">
        <w:t xml:space="preserve">) </w:t>
      </w:r>
      <w:r>
        <w:t>illustrates</w:t>
      </w:r>
      <w:r w:rsidRPr="00A248D3">
        <w:t xml:space="preserve"> two main alternative “paths” after 2040. The </w:t>
      </w:r>
      <w:r>
        <w:t>PS</w:t>
      </w:r>
      <w:r w:rsidRPr="00A248D3">
        <w:t xml:space="preserve"> for the Rhine Estuary-</w:t>
      </w:r>
      <w:proofErr w:type="spellStart"/>
      <w:r w:rsidRPr="00A248D3">
        <w:t>Drechtsteden</w:t>
      </w:r>
      <w:proofErr w:type="spellEnd"/>
      <w:r w:rsidRPr="00A248D3">
        <w:t xml:space="preserve"> (</w:t>
      </w:r>
      <w:r w:rsidRPr="00A248D3">
        <w:rPr>
          <w:b/>
          <w:bCs/>
        </w:rPr>
        <w:t>Fig. 4</w:t>
      </w:r>
      <w:r w:rsidRPr="00A248D3">
        <w:t xml:space="preserve">) presents a sequence of </w:t>
      </w:r>
      <w:r>
        <w:t>simultaneous (parallel, combinations of)</w:t>
      </w:r>
      <w:r w:rsidRPr="00A248D3">
        <w:t xml:space="preserve"> measures that must be taken in three time-periods (short-, mid-</w:t>
      </w:r>
      <w:r>
        <w:t>,</w:t>
      </w:r>
      <w:r w:rsidRPr="00A248D3">
        <w:t xml:space="preserve"> and long-term), with the possibility to choose between two different measures</w:t>
      </w:r>
      <w:r>
        <w:t>, or using both,</w:t>
      </w:r>
      <w:r w:rsidRPr="00A248D3">
        <w:t xml:space="preserve"> after 2050, </w:t>
      </w:r>
      <w:r>
        <w:t>thereby offering</w:t>
      </w:r>
      <w:r w:rsidRPr="00A248D3">
        <w:t xml:space="preserve"> </w:t>
      </w:r>
      <w:r>
        <w:t>three</w:t>
      </w:r>
      <w:r w:rsidRPr="00A248D3">
        <w:t xml:space="preserve"> distinct possible </w:t>
      </w:r>
      <w:r>
        <w:t>options for the long-</w:t>
      </w:r>
      <w:r w:rsidRPr="00371666">
        <w:t xml:space="preserve">term. </w:t>
      </w:r>
      <w:bookmarkStart w:id="134" w:name="_Hlk184910057"/>
      <w:r w:rsidRPr="00371666">
        <w:t xml:space="preserve">Overall, </w:t>
      </w:r>
      <w:bookmarkEnd w:id="134"/>
      <w:r w:rsidRPr="00371666">
        <w:t xml:space="preserve">in the DP2014 case, the maps of adaptation paths (of each DD and PS) safeguard </w:t>
      </w:r>
      <w:r>
        <w:t xml:space="preserve">the </w:t>
      </w:r>
      <w:r w:rsidRPr="00371666">
        <w:t>flexibility (of the general plan) by envisioning of a stepwise, staged implementation of several measures over time, and ensuring the possibility of switching to other</w:t>
      </w:r>
      <w:r>
        <w:t xml:space="preserve"> possible</w:t>
      </w:r>
      <w:r w:rsidRPr="00371666">
        <w:t xml:space="preserve"> measures (</w:t>
      </w:r>
      <w:proofErr w:type="spellStart"/>
      <w:r w:rsidRPr="00371666">
        <w:rPr>
          <w:color w:val="7F7F7F" w:themeColor="text1" w:themeTint="80"/>
        </w:rPr>
        <w:t>Jeuken</w:t>
      </w:r>
      <w:proofErr w:type="spellEnd"/>
      <w:r w:rsidRPr="00371666">
        <w:rPr>
          <w:color w:val="7F7F7F" w:themeColor="text1" w:themeTint="80"/>
        </w:rPr>
        <w:t xml:space="preserve"> et al. 2014, p.18</w:t>
      </w:r>
      <w:r w:rsidRPr="00371666">
        <w:t>).</w:t>
      </w:r>
      <w:r w:rsidRPr="00A119C8">
        <w:t xml:space="preserve"> </w:t>
      </w:r>
    </w:p>
    <w:p w14:paraId="0CFDE20E" w14:textId="77777777" w:rsidR="00A119C8" w:rsidRDefault="00A119C8" w:rsidP="00A119C8">
      <w:pPr>
        <w:pStyle w:val="TEXTBODY"/>
        <w:rPr>
          <w:rFonts w:cs="Arial"/>
          <w:szCs w:val="18"/>
        </w:rPr>
      </w:pPr>
      <w:r w:rsidRPr="008948F0">
        <w:t xml:space="preserve">The PS for the </w:t>
      </w:r>
      <w:r>
        <w:t>RE-D</w:t>
      </w:r>
      <w:r w:rsidRPr="008948F0">
        <w:t>, several ‘parallel trajectories’</w:t>
      </w:r>
      <w:r w:rsidRPr="008948F0">
        <w:rPr>
          <w:vertAlign w:val="superscript"/>
        </w:rPr>
        <w:t xml:space="preserve"> </w:t>
      </w:r>
      <w:r w:rsidRPr="008948F0">
        <w:t>(horizontal lines) were drawn, such horizontal lines do not constitute alternative pathways, but instead correspond to diverse measures to be implemented over each time</w:t>
      </w:r>
      <w:r>
        <w:t>-period, i.e. simultaneously to other horizontal lines (e.g. at</w:t>
      </w:r>
      <w:r w:rsidRPr="00C34F71">
        <w:t xml:space="preserve"> different locations</w:t>
      </w:r>
      <w:r>
        <w:t>). These horizontal, parallel “lines of action”</w:t>
      </w:r>
      <w:r w:rsidRPr="00C34F71">
        <w:t xml:space="preserve"> interact with each other (e.g. </w:t>
      </w:r>
      <w:r>
        <w:t xml:space="preserve">they are </w:t>
      </w:r>
      <w:r w:rsidRPr="00C34F71">
        <w:t>complementary</w:t>
      </w:r>
      <w:r>
        <w:t>, concurrent</w:t>
      </w:r>
      <w:r w:rsidRPr="00C34F71">
        <w:t>)</w:t>
      </w:r>
      <w:r>
        <w:t>, and are scheduled over the time-periods.</w:t>
      </w:r>
      <w:r w:rsidRPr="00C34F71">
        <w:t xml:space="preserve"> </w:t>
      </w:r>
      <w:r>
        <w:rPr>
          <w:rFonts w:cs="Arial"/>
          <w:szCs w:val="18"/>
        </w:rPr>
        <w:t>Thus, a</w:t>
      </w:r>
      <w:r w:rsidRPr="00C34F71">
        <w:rPr>
          <w:rFonts w:cs="Arial"/>
          <w:szCs w:val="18"/>
        </w:rPr>
        <w:t xml:space="preserve"> </w:t>
      </w:r>
      <w:r>
        <w:rPr>
          <w:rFonts w:cs="Arial"/>
          <w:szCs w:val="18"/>
        </w:rPr>
        <w:t>map</w:t>
      </w:r>
      <w:r w:rsidRPr="00C34F71">
        <w:rPr>
          <w:rFonts w:cs="Arial"/>
          <w:szCs w:val="18"/>
        </w:rPr>
        <w:t xml:space="preserve"> </w:t>
      </w:r>
      <w:r>
        <w:rPr>
          <w:rFonts w:cs="Arial"/>
          <w:szCs w:val="18"/>
        </w:rPr>
        <w:t>can contain</w:t>
      </w:r>
      <w:r w:rsidRPr="00C34F71">
        <w:rPr>
          <w:rFonts w:cs="Arial"/>
          <w:szCs w:val="18"/>
        </w:rPr>
        <w:t xml:space="preserve"> several ‘para</w:t>
      </w:r>
      <w:r>
        <w:rPr>
          <w:rFonts w:cs="Arial"/>
          <w:szCs w:val="18"/>
        </w:rPr>
        <w:t>l</w:t>
      </w:r>
      <w:r w:rsidRPr="00C34F71">
        <w:rPr>
          <w:rFonts w:cs="Arial"/>
          <w:szCs w:val="18"/>
        </w:rPr>
        <w:t>lel</w:t>
      </w:r>
      <w:r>
        <w:rPr>
          <w:rFonts w:cs="Arial"/>
          <w:szCs w:val="18"/>
        </w:rPr>
        <w:t xml:space="preserve">” </w:t>
      </w:r>
      <w:r w:rsidRPr="00C34F71">
        <w:rPr>
          <w:rFonts w:cs="Arial"/>
          <w:szCs w:val="18"/>
        </w:rPr>
        <w:t>horizon</w:t>
      </w:r>
      <w:r>
        <w:rPr>
          <w:rFonts w:cs="Arial"/>
          <w:szCs w:val="18"/>
        </w:rPr>
        <w:t>tal lines. Each</w:t>
      </w:r>
      <w:r w:rsidRPr="00C34F71">
        <w:rPr>
          <w:rFonts w:cs="Arial"/>
          <w:szCs w:val="18"/>
        </w:rPr>
        <w:t xml:space="preserve"> </w:t>
      </w:r>
      <w:r>
        <w:rPr>
          <w:rFonts w:cs="Arial"/>
          <w:szCs w:val="18"/>
        </w:rPr>
        <w:t xml:space="preserve">horizontal line consists of </w:t>
      </w:r>
      <w:r w:rsidRPr="00C34F71">
        <w:rPr>
          <w:rFonts w:cs="Arial"/>
          <w:szCs w:val="18"/>
        </w:rPr>
        <w:t>one measure that is adjusted over time.</w:t>
      </w:r>
      <w:r w:rsidRPr="00AD6133">
        <w:rPr>
          <w:rFonts w:cs="Arial"/>
          <w:color w:val="C00000"/>
          <w:szCs w:val="18"/>
        </w:rPr>
        <w:t xml:space="preserve"> </w:t>
      </w:r>
    </w:p>
    <w:p w14:paraId="02D5E36B" w14:textId="77777777" w:rsidR="00A119C8" w:rsidRDefault="00A119C8" w:rsidP="00A119C8">
      <w:pPr>
        <w:pStyle w:val="TEXTBODY"/>
        <w:rPr>
          <w:rFonts w:cs="Arial"/>
          <w:szCs w:val="18"/>
        </w:rPr>
      </w:pPr>
      <w:r w:rsidRPr="00C34F71">
        <w:rPr>
          <w:rFonts w:cs="Arial"/>
          <w:szCs w:val="18"/>
        </w:rPr>
        <w:t>In the TE2100</w:t>
      </w:r>
      <w:r>
        <w:rPr>
          <w:rFonts w:cs="Arial"/>
          <w:szCs w:val="18"/>
        </w:rPr>
        <w:t xml:space="preserve"> case</w:t>
      </w:r>
      <w:r w:rsidRPr="00C34F71">
        <w:rPr>
          <w:rFonts w:cs="Arial"/>
          <w:szCs w:val="18"/>
        </w:rPr>
        <w:t xml:space="preserve">, </w:t>
      </w:r>
      <w:r>
        <w:rPr>
          <w:rFonts w:cs="Arial"/>
          <w:szCs w:val="18"/>
        </w:rPr>
        <w:t>these “</w:t>
      </w:r>
      <w:r w:rsidRPr="00C34F71">
        <w:rPr>
          <w:rFonts w:cs="Arial"/>
          <w:szCs w:val="18"/>
        </w:rPr>
        <w:t>parallel</w:t>
      </w:r>
      <w:r>
        <w:rPr>
          <w:rFonts w:cs="Arial"/>
          <w:szCs w:val="18"/>
        </w:rPr>
        <w:t>, simultaneous</w:t>
      </w:r>
      <w:r w:rsidRPr="00C34F71">
        <w:rPr>
          <w:rFonts w:cs="Arial"/>
          <w:szCs w:val="18"/>
        </w:rPr>
        <w:t xml:space="preserve"> measures</w:t>
      </w:r>
      <w:r>
        <w:rPr>
          <w:rFonts w:cs="Arial"/>
          <w:szCs w:val="18"/>
        </w:rPr>
        <w:t>”</w:t>
      </w:r>
      <w:r w:rsidRPr="00C34F71">
        <w:rPr>
          <w:rFonts w:cs="Arial"/>
          <w:szCs w:val="18"/>
        </w:rPr>
        <w:t xml:space="preserve"> </w:t>
      </w:r>
      <w:r>
        <w:rPr>
          <w:rFonts w:cs="Arial"/>
          <w:szCs w:val="18"/>
        </w:rPr>
        <w:t>were</w:t>
      </w:r>
      <w:r w:rsidRPr="00C34F71">
        <w:rPr>
          <w:rFonts w:cs="Arial"/>
          <w:szCs w:val="18"/>
        </w:rPr>
        <w:t xml:space="preserve"> </w:t>
      </w:r>
      <w:r>
        <w:rPr>
          <w:rFonts w:cs="Arial"/>
          <w:szCs w:val="18"/>
        </w:rPr>
        <w:t xml:space="preserve">combined/ </w:t>
      </w:r>
      <w:r w:rsidRPr="00C34F71">
        <w:rPr>
          <w:rFonts w:cs="Arial"/>
          <w:szCs w:val="18"/>
        </w:rPr>
        <w:t>grouped in</w:t>
      </w:r>
      <w:r>
        <w:rPr>
          <w:rFonts w:cs="Arial"/>
          <w:szCs w:val="18"/>
        </w:rPr>
        <w:t>to “</w:t>
      </w:r>
      <w:r w:rsidRPr="00C34F71">
        <w:rPr>
          <w:rFonts w:cs="Arial"/>
          <w:szCs w:val="18"/>
        </w:rPr>
        <w:t>portfolios of measures</w:t>
      </w:r>
      <w:r>
        <w:rPr>
          <w:rFonts w:cs="Arial"/>
          <w:szCs w:val="18"/>
        </w:rPr>
        <w:t>”</w:t>
      </w:r>
      <w:r w:rsidRPr="00C34F71">
        <w:rPr>
          <w:rFonts w:cs="Arial"/>
          <w:szCs w:val="18"/>
        </w:rPr>
        <w:t xml:space="preserve"> </w:t>
      </w:r>
      <w:r>
        <w:rPr>
          <w:rFonts w:cs="Arial"/>
          <w:szCs w:val="18"/>
        </w:rPr>
        <w:t xml:space="preserve">(each box of the route-map represents a “portfolio of measures”). </w:t>
      </w:r>
    </w:p>
    <w:p w14:paraId="6282396A" w14:textId="77777777" w:rsidR="00A119C8" w:rsidRDefault="00A119C8" w:rsidP="00A119C8">
      <w:pPr>
        <w:pStyle w:val="TEXTBODY"/>
        <w:rPr>
          <w:rFonts w:cs="Arial"/>
          <w:szCs w:val="18"/>
        </w:rPr>
      </w:pPr>
      <w:r w:rsidRPr="0014131F">
        <w:t>In theory and conceptually</w:t>
      </w:r>
      <w:r w:rsidRPr="00A970A7">
        <w:t xml:space="preserve">, adaptation pathways are </w:t>
      </w:r>
      <w:r>
        <w:t xml:space="preserve">various alternative routes </w:t>
      </w:r>
      <w:r w:rsidRPr="00A970A7">
        <w:t xml:space="preserve">available that show </w:t>
      </w:r>
      <w:r>
        <w:rPr>
          <w:i/>
          <w:iCs/>
        </w:rPr>
        <w:t>“</w:t>
      </w:r>
      <w:r w:rsidRPr="00A970A7">
        <w:rPr>
          <w:i/>
          <w:iCs/>
        </w:rPr>
        <w:t>possibilities for switching from one trajectory to another when conditions indicate it is wise to do so</w:t>
      </w:r>
      <w:r>
        <w:t xml:space="preserve">”, and thus, </w:t>
      </w:r>
      <w:r w:rsidRPr="00A970A7">
        <w:t>only one trajector</w:t>
      </w:r>
      <w:r>
        <w:t>y</w:t>
      </w:r>
      <w:r w:rsidRPr="00A970A7">
        <w:t xml:space="preserve"> </w:t>
      </w:r>
      <w:r>
        <w:t>is followed</w:t>
      </w:r>
      <w:r w:rsidRPr="00A970A7">
        <w:t xml:space="preserve"> according to the existing and expected conditions</w:t>
      </w:r>
      <w:r>
        <w:t>, however, in some PS,</w:t>
      </w:r>
      <w:r w:rsidRPr="00A970A7">
        <w:t xml:space="preserve"> the </w:t>
      </w:r>
      <w:r>
        <w:t xml:space="preserve">map of the </w:t>
      </w:r>
      <w:r w:rsidRPr="00A970A7">
        <w:t xml:space="preserve">‘adaptation path’ contains several parallel </w:t>
      </w:r>
      <w:r>
        <w:t>horizontal lines</w:t>
      </w:r>
      <w:r w:rsidRPr="00A970A7">
        <w:t xml:space="preserve"> that</w:t>
      </w:r>
      <w:r>
        <w:t xml:space="preserve"> consist of simultaneous (concurrent) </w:t>
      </w:r>
      <w:r w:rsidRPr="00A970A7">
        <w:t>measures</w:t>
      </w:r>
      <w:r>
        <w:t xml:space="preserve"> </w:t>
      </w:r>
      <w:r w:rsidRPr="00A970A7">
        <w:t>(</w:t>
      </w:r>
      <w:r>
        <w:rPr>
          <w:color w:val="7F7F7F" w:themeColor="text1" w:themeTint="80"/>
        </w:rPr>
        <w:t>Bloemen et al. 2018</w:t>
      </w:r>
      <w:r w:rsidRPr="00A970A7">
        <w:rPr>
          <w:color w:val="7F7F7F" w:themeColor="text1" w:themeTint="80"/>
        </w:rPr>
        <w:t>, p.14</w:t>
      </w:r>
      <w:r w:rsidRPr="00A970A7">
        <w:t>).  Though the</w:t>
      </w:r>
      <w:r>
        <w:t>se</w:t>
      </w:r>
      <w:r w:rsidRPr="00A970A7">
        <w:t xml:space="preserve"> horizontal lines</w:t>
      </w:r>
      <w:r>
        <w:t>, at first glance,</w:t>
      </w:r>
      <w:r w:rsidRPr="00A970A7">
        <w:t xml:space="preserve"> appear to be different pathways, most often, they</w:t>
      </w:r>
      <w:r>
        <w:t xml:space="preserve"> </w:t>
      </w:r>
      <w:r w:rsidRPr="00A970A7">
        <w:t>correspond to di</w:t>
      </w:r>
      <w:r>
        <w:t>verse</w:t>
      </w:r>
      <w:r w:rsidRPr="00A970A7">
        <w:t xml:space="preserve"> measures that will </w:t>
      </w:r>
      <w:r>
        <w:t xml:space="preserve">all </w:t>
      </w:r>
      <w:r w:rsidRPr="00A970A7">
        <w:t xml:space="preserve">be followed simultaneously and that are interrelated (e.g. </w:t>
      </w:r>
      <w:r>
        <w:t xml:space="preserve">optimizing </w:t>
      </w:r>
      <w:r w:rsidRPr="00A970A7">
        <w:t xml:space="preserve">each other). </w:t>
      </w:r>
      <w:r>
        <w:t>Thus, in each</w:t>
      </w:r>
      <w:r w:rsidRPr="00A970A7">
        <w:t xml:space="preserve"> Preferential Strategy, there can be different measures envisioned for different zones</w:t>
      </w:r>
      <w:r>
        <w:t xml:space="preserve"> at the same time-period</w:t>
      </w:r>
      <w:r w:rsidRPr="00A970A7">
        <w:t xml:space="preserve">, e.g.: dyke reinforcement projects, improvements of </w:t>
      </w:r>
      <w:r>
        <w:t xml:space="preserve">a </w:t>
      </w:r>
      <w:r w:rsidRPr="00A970A7">
        <w:t xml:space="preserve">storm surge barrier, and pilot projects on </w:t>
      </w:r>
      <w:r>
        <w:t>multi-layer</w:t>
      </w:r>
      <w:r w:rsidRPr="00A970A7">
        <w:t xml:space="preserve"> FRM. </w:t>
      </w:r>
      <w:r w:rsidRPr="00A970A7">
        <w:rPr>
          <w:rFonts w:cs="Arial"/>
          <w:szCs w:val="18"/>
        </w:rPr>
        <w:t xml:space="preserve">The use of parallel measures </w:t>
      </w:r>
      <w:r>
        <w:rPr>
          <w:rFonts w:cs="Arial"/>
          <w:szCs w:val="18"/>
        </w:rPr>
        <w:t>/ lines of action</w:t>
      </w:r>
      <w:r w:rsidRPr="00A970A7">
        <w:rPr>
          <w:rFonts w:cs="Arial"/>
          <w:szCs w:val="18"/>
        </w:rPr>
        <w:t xml:space="preserve"> is deemed advantageous: a plan/ strategy with parallel </w:t>
      </w:r>
      <w:r>
        <w:rPr>
          <w:rFonts w:cs="Arial"/>
          <w:szCs w:val="18"/>
        </w:rPr>
        <w:t xml:space="preserve">lines of action </w:t>
      </w:r>
      <w:r w:rsidRPr="00A970A7">
        <w:rPr>
          <w:rFonts w:cs="Arial"/>
          <w:szCs w:val="18"/>
        </w:rPr>
        <w:t xml:space="preserve">enhances the system’s resilience, </w:t>
      </w:r>
      <w:r w:rsidRPr="00A970A7">
        <w:rPr>
          <w:rFonts w:cs="Arial"/>
          <w:szCs w:val="18"/>
        </w:rPr>
        <w:lastRenderedPageBreak/>
        <w:t>since it has more fallback options if one measure</w:t>
      </w:r>
      <w:r w:rsidRPr="00A970A7">
        <w:rPr>
          <w:rFonts w:cs="Arial"/>
          <w:color w:val="C00000"/>
          <w:szCs w:val="18"/>
        </w:rPr>
        <w:t xml:space="preserve"> </w:t>
      </w:r>
      <w:r w:rsidRPr="00A970A7">
        <w:rPr>
          <w:rFonts w:cs="Arial"/>
          <w:szCs w:val="18"/>
        </w:rPr>
        <w:t xml:space="preserve">does not perform as expected. However, these parallel </w:t>
      </w:r>
      <w:r>
        <w:rPr>
          <w:rFonts w:cs="Arial"/>
          <w:szCs w:val="18"/>
        </w:rPr>
        <w:t>measures often</w:t>
      </w:r>
      <w:r w:rsidRPr="00A970A7">
        <w:rPr>
          <w:rFonts w:cs="Arial"/>
          <w:szCs w:val="18"/>
        </w:rPr>
        <w:t xml:space="preserve"> concern different actors in di</w:t>
      </w:r>
      <w:r>
        <w:rPr>
          <w:rFonts w:cs="Arial"/>
          <w:szCs w:val="18"/>
        </w:rPr>
        <w:t xml:space="preserve">verse </w:t>
      </w:r>
      <w:r w:rsidRPr="00A970A7">
        <w:rPr>
          <w:rFonts w:cs="Arial"/>
          <w:szCs w:val="18"/>
        </w:rPr>
        <w:t>zones or fields, thus, the interrelatedness of their outcomes tends to be disregarded, and their successful (effective) implementation becomes more uncertain (</w:t>
      </w:r>
      <w:r>
        <w:rPr>
          <w:rFonts w:cs="Arial"/>
          <w:color w:val="7F7F7F" w:themeColor="text1" w:themeTint="80"/>
          <w:szCs w:val="18"/>
        </w:rPr>
        <w:t>Bloemen et al. 2018</w:t>
      </w:r>
      <w:r w:rsidRPr="00A970A7">
        <w:rPr>
          <w:rFonts w:cs="Arial"/>
          <w:szCs w:val="18"/>
        </w:rPr>
        <w:t>).</w:t>
      </w:r>
    </w:p>
    <w:p w14:paraId="38E18488" w14:textId="77777777" w:rsidR="00A119C8" w:rsidRDefault="00A119C8" w:rsidP="00A119C8">
      <w:pPr>
        <w:pStyle w:val="TEXTBODY"/>
        <w:rPr>
          <w:rFonts w:cs="Arial"/>
          <w:bCs/>
          <w:color w:val="7F7F7F" w:themeColor="text1" w:themeTint="80"/>
          <w:szCs w:val="18"/>
        </w:rPr>
      </w:pPr>
      <w:r w:rsidRPr="00A119C8">
        <w:rPr>
          <w:rFonts w:cs="Arial"/>
          <w:color w:val="000000"/>
          <w:szCs w:val="18"/>
        </w:rPr>
        <w:t>In the PS of</w:t>
      </w:r>
      <w:r w:rsidRPr="00A970A7">
        <w:rPr>
          <w:rFonts w:cs="Arial"/>
          <w:color w:val="000000"/>
          <w:szCs w:val="18"/>
        </w:rPr>
        <w:t xml:space="preserve"> the RE-D</w:t>
      </w:r>
      <w:r>
        <w:rPr>
          <w:rFonts w:cs="Arial"/>
          <w:color w:val="000000"/>
          <w:szCs w:val="18"/>
        </w:rPr>
        <w:t xml:space="preserve"> </w:t>
      </w:r>
      <w:r w:rsidRPr="0014131F">
        <w:rPr>
          <w:rFonts w:cs="Arial"/>
          <w:color w:val="000000"/>
          <w:szCs w:val="18"/>
        </w:rPr>
        <w:t>(</w:t>
      </w:r>
      <w:r w:rsidRPr="00A119C8">
        <w:rPr>
          <w:rFonts w:cs="Arial"/>
          <w:b/>
          <w:bCs/>
          <w:color w:val="000000"/>
          <w:szCs w:val="18"/>
        </w:rPr>
        <w:t>Figure 4</w:t>
      </w:r>
      <w:r>
        <w:rPr>
          <w:rFonts w:cs="Arial"/>
          <w:color w:val="000000"/>
          <w:szCs w:val="18"/>
        </w:rPr>
        <w:t>)</w:t>
      </w:r>
      <w:r w:rsidRPr="00A970A7">
        <w:rPr>
          <w:rFonts w:cs="Arial"/>
          <w:color w:val="000000"/>
          <w:szCs w:val="18"/>
        </w:rPr>
        <w:t xml:space="preserve">, the only option (alternative measure) indicated is </w:t>
      </w:r>
      <w:r w:rsidRPr="001A3E17">
        <w:rPr>
          <w:rFonts w:cs="Arial"/>
          <w:color w:val="000000"/>
          <w:szCs w:val="18"/>
        </w:rPr>
        <w:t>‘adjusting the river discharge distribution’</w:t>
      </w:r>
      <w:r w:rsidRPr="00A970A7">
        <w:rPr>
          <w:rFonts w:cs="Arial"/>
          <w:szCs w:val="18"/>
        </w:rPr>
        <w:t>.</w:t>
      </w:r>
      <w:r w:rsidRPr="00A970A7">
        <w:rPr>
          <w:rFonts w:cs="Arial"/>
          <w:b/>
          <w:szCs w:val="18"/>
        </w:rPr>
        <w:t xml:space="preserve"> </w:t>
      </w:r>
      <w:r w:rsidRPr="00A970A7">
        <w:rPr>
          <w:rFonts w:cs="Arial"/>
          <w:color w:val="000000"/>
          <w:szCs w:val="18"/>
        </w:rPr>
        <w:t>This option, which require</w:t>
      </w:r>
      <w:r>
        <w:rPr>
          <w:rFonts w:cs="Arial"/>
          <w:color w:val="000000"/>
          <w:szCs w:val="18"/>
        </w:rPr>
        <w:t>s</w:t>
      </w:r>
      <w:r w:rsidRPr="00A970A7">
        <w:rPr>
          <w:rFonts w:cs="Arial"/>
          <w:color w:val="000000"/>
          <w:szCs w:val="18"/>
        </w:rPr>
        <w:t xml:space="preserve"> a</w:t>
      </w:r>
      <w:r>
        <w:rPr>
          <w:rFonts w:cs="Arial"/>
          <w:color w:val="000000"/>
          <w:szCs w:val="18"/>
        </w:rPr>
        <w:t xml:space="preserve"> prior </w:t>
      </w:r>
      <w:r w:rsidRPr="00A970A7">
        <w:rPr>
          <w:rFonts w:cs="Arial"/>
          <w:color w:val="000000"/>
          <w:szCs w:val="18"/>
        </w:rPr>
        <w:t xml:space="preserve">analysis of how much the dykes need to be strengthened, </w:t>
      </w:r>
      <w:r>
        <w:rPr>
          <w:rFonts w:cs="Arial"/>
          <w:color w:val="000000"/>
          <w:szCs w:val="18"/>
        </w:rPr>
        <w:t>wa</w:t>
      </w:r>
      <w:r w:rsidRPr="00A970A7">
        <w:rPr>
          <w:rFonts w:cs="Arial"/>
          <w:color w:val="000000"/>
          <w:szCs w:val="18"/>
        </w:rPr>
        <w:t>s deemed</w:t>
      </w:r>
      <w:r w:rsidRPr="00A970A7">
        <w:rPr>
          <w:rFonts w:cs="Arial"/>
          <w:color w:val="00B050"/>
          <w:szCs w:val="18"/>
        </w:rPr>
        <w:t xml:space="preserve"> </w:t>
      </w:r>
      <w:r w:rsidRPr="00A970A7">
        <w:rPr>
          <w:rFonts w:cs="Arial"/>
          <w:i/>
          <w:color w:val="000000"/>
          <w:szCs w:val="18"/>
        </w:rPr>
        <w:t>adaptive</w:t>
      </w:r>
      <w:r>
        <w:rPr>
          <w:rFonts w:cs="Arial"/>
          <w:color w:val="000000"/>
          <w:szCs w:val="18"/>
        </w:rPr>
        <w:t xml:space="preserve"> since</w:t>
      </w:r>
      <w:r w:rsidRPr="00A970A7">
        <w:rPr>
          <w:rFonts w:cs="Arial"/>
          <w:color w:val="000000"/>
          <w:szCs w:val="18"/>
        </w:rPr>
        <w:t xml:space="preserve"> it is possible to do more or less of it depending on the climatic and socioeconomic changes</w:t>
      </w:r>
      <w:r>
        <w:rPr>
          <w:rFonts w:cs="Arial"/>
          <w:color w:val="000000"/>
          <w:szCs w:val="18"/>
        </w:rPr>
        <w:t xml:space="preserve">, however, </w:t>
      </w:r>
      <w:r w:rsidRPr="00A970A7">
        <w:rPr>
          <w:rFonts w:cs="Arial"/>
          <w:color w:val="000000"/>
          <w:szCs w:val="18"/>
        </w:rPr>
        <w:t>it is not clear how to evaluate whether more or less of this measure should be done (</w:t>
      </w:r>
      <w:proofErr w:type="spellStart"/>
      <w:r w:rsidRPr="00A970A7">
        <w:rPr>
          <w:rFonts w:cs="Arial"/>
          <w:color w:val="7F7F7F" w:themeColor="text1" w:themeTint="80"/>
          <w:szCs w:val="18"/>
        </w:rPr>
        <w:t>Restemeyer</w:t>
      </w:r>
      <w:proofErr w:type="spellEnd"/>
      <w:r w:rsidRPr="00A970A7">
        <w:rPr>
          <w:rFonts w:cs="Arial"/>
          <w:color w:val="7F7F7F" w:themeColor="text1" w:themeTint="80"/>
          <w:szCs w:val="18"/>
        </w:rPr>
        <w:t xml:space="preserve"> et al. 2017, p.932</w:t>
      </w:r>
      <w:r w:rsidRPr="00A970A7">
        <w:rPr>
          <w:rFonts w:cs="Arial"/>
          <w:szCs w:val="18"/>
        </w:rPr>
        <w:t>).</w:t>
      </w:r>
      <w:r w:rsidRPr="00A970A7">
        <w:rPr>
          <w:rStyle w:val="Refdenotaderodap"/>
          <w:rFonts w:eastAsiaTheme="majorEastAsia" w:cs="Arial"/>
          <w:szCs w:val="18"/>
          <w:highlight w:val="lightGray"/>
        </w:rPr>
        <w:footnoteReference w:id="144"/>
      </w:r>
      <w:r w:rsidRPr="00A970A7">
        <w:t xml:space="preserve"> For </w:t>
      </w:r>
      <w:proofErr w:type="spellStart"/>
      <w:r w:rsidRPr="00A970A7">
        <w:rPr>
          <w:rFonts w:cs="Arial"/>
          <w:color w:val="7F7F7F" w:themeColor="text1" w:themeTint="80"/>
          <w:szCs w:val="18"/>
        </w:rPr>
        <w:t>Restemeyer</w:t>
      </w:r>
      <w:proofErr w:type="spellEnd"/>
      <w:r w:rsidRPr="00A970A7">
        <w:rPr>
          <w:rFonts w:cs="Arial"/>
          <w:color w:val="7F7F7F" w:themeColor="text1" w:themeTint="80"/>
          <w:szCs w:val="18"/>
        </w:rPr>
        <w:t xml:space="preserve"> et al</w:t>
      </w:r>
      <w:r w:rsidRPr="00A970A7">
        <w:rPr>
          <w:rFonts w:cs="Arial"/>
          <w:szCs w:val="18"/>
        </w:rPr>
        <w:t xml:space="preserve">., the </w:t>
      </w:r>
      <w:r w:rsidRPr="00A970A7">
        <w:rPr>
          <w:rFonts w:cs="Arial"/>
          <w:color w:val="000000"/>
          <w:szCs w:val="18"/>
        </w:rPr>
        <w:t xml:space="preserve">general </w:t>
      </w:r>
      <w:r>
        <w:rPr>
          <w:rFonts w:cs="Arial"/>
          <w:color w:val="000000"/>
          <w:szCs w:val="18"/>
        </w:rPr>
        <w:t>S</w:t>
      </w:r>
      <w:r w:rsidRPr="00A970A7">
        <w:rPr>
          <w:rFonts w:cs="Arial"/>
          <w:color w:val="000000"/>
          <w:szCs w:val="18"/>
        </w:rPr>
        <w:t xml:space="preserve">trategy </w:t>
      </w:r>
      <w:r w:rsidRPr="0014131F">
        <w:rPr>
          <w:rFonts w:cs="Arial"/>
          <w:color w:val="000000"/>
          <w:szCs w:val="18"/>
        </w:rPr>
        <w:t>looks quite “determined and not so flexible”: it provides “little room for adjustments along the way”</w:t>
      </w:r>
      <w:r w:rsidRPr="0014131F">
        <w:rPr>
          <w:rFonts w:cs="Arial"/>
          <w:szCs w:val="18"/>
        </w:rPr>
        <w:t xml:space="preserve">, and it focusses mostly </w:t>
      </w:r>
      <w:r w:rsidRPr="0014131F">
        <w:t>on ‘prevention’ through the ‘gradual adjustment’ of the existing defence system (</w:t>
      </w:r>
      <w:r w:rsidRPr="0014131F">
        <w:rPr>
          <w:bCs/>
        </w:rPr>
        <w:t>“maintaining and improving the existing system”</w:t>
      </w:r>
      <w:r w:rsidRPr="0014131F">
        <w:t>) (</w:t>
      </w:r>
      <w:proofErr w:type="spellStart"/>
      <w:r w:rsidRPr="0014131F">
        <w:rPr>
          <w:color w:val="7F7F7F" w:themeColor="text1" w:themeTint="80"/>
        </w:rPr>
        <w:t>Restemeyer</w:t>
      </w:r>
      <w:proofErr w:type="spellEnd"/>
      <w:r w:rsidRPr="0014131F">
        <w:rPr>
          <w:color w:val="7F7F7F" w:themeColor="text1" w:themeTint="80"/>
        </w:rPr>
        <w:t xml:space="preserve"> et al. 2017, p.932, 934</w:t>
      </w:r>
      <w:r w:rsidRPr="0014131F">
        <w:t xml:space="preserve">). </w:t>
      </w:r>
      <w:bookmarkStart w:id="135" w:name="_Hlk21768256"/>
      <w:r w:rsidRPr="0014131F">
        <w:t>Although</w:t>
      </w:r>
      <w:r w:rsidRPr="0014131F">
        <w:rPr>
          <w:rFonts w:cs="Arial"/>
          <w:szCs w:val="18"/>
        </w:rPr>
        <w:t xml:space="preserve"> the </w:t>
      </w:r>
      <w:r w:rsidRPr="0014131F">
        <w:t xml:space="preserve">Team recognized the need for spatial adaptation measures in addition to the traditional preventive measures, in this Strategy, “adaptability mainly gets down to gradual adjustments of certain measures”, e.g. dyke strengthening </w:t>
      </w:r>
      <w:r w:rsidRPr="0014131F">
        <w:rPr>
          <w:szCs w:val="18"/>
        </w:rPr>
        <w:t>(</w:t>
      </w:r>
      <w:proofErr w:type="spellStart"/>
      <w:r w:rsidRPr="0014131F">
        <w:rPr>
          <w:color w:val="7F7F7F" w:themeColor="text1" w:themeTint="80"/>
          <w:szCs w:val="18"/>
        </w:rPr>
        <w:t>Restemeyer</w:t>
      </w:r>
      <w:proofErr w:type="spellEnd"/>
      <w:r w:rsidRPr="0014131F">
        <w:rPr>
          <w:color w:val="7F7F7F" w:themeColor="text1" w:themeTint="80"/>
          <w:szCs w:val="18"/>
        </w:rPr>
        <w:t xml:space="preserve"> et al.2017, p.932, 934-935</w:t>
      </w:r>
      <w:r w:rsidRPr="0014131F">
        <w:rPr>
          <w:szCs w:val="18"/>
        </w:rPr>
        <w:t xml:space="preserve">). </w:t>
      </w:r>
      <w:r w:rsidRPr="00A119C8">
        <w:rPr>
          <w:rFonts w:cs="Arial"/>
          <w:bCs/>
          <w:szCs w:val="18"/>
        </w:rPr>
        <w:t xml:space="preserve">As noted by these authors, this </w:t>
      </w:r>
      <w:r w:rsidRPr="0014131F">
        <w:rPr>
          <w:rFonts w:cs="Arial"/>
          <w:bCs/>
          <w:szCs w:val="18"/>
        </w:rPr>
        <w:t xml:space="preserve">Strategy </w:t>
      </w:r>
      <w:r w:rsidRPr="00A119C8">
        <w:rPr>
          <w:rFonts w:cs="Arial"/>
          <w:szCs w:val="18"/>
        </w:rPr>
        <w:t>is “predominantly preventive” (strongly based on measures to reduce the probability of flooding</w:t>
      </w:r>
      <w:r w:rsidRPr="00A119C8">
        <w:rPr>
          <w:rFonts w:cs="Arial"/>
          <w:iCs/>
          <w:szCs w:val="18"/>
        </w:rPr>
        <w:t>, e.g. dyke improvements, optimization and replacement of storm surge barriers</w:t>
      </w:r>
      <w:r w:rsidRPr="00A970A7">
        <w:rPr>
          <w:rFonts w:cs="Arial"/>
          <w:iCs/>
          <w:szCs w:val="18"/>
        </w:rPr>
        <w:t>)</w:t>
      </w:r>
      <w:r w:rsidRPr="00A970A7">
        <w:rPr>
          <w:rFonts w:cs="Arial"/>
          <w:szCs w:val="18"/>
        </w:rPr>
        <w:t xml:space="preserve">, and the measure </w:t>
      </w:r>
      <w:r>
        <w:rPr>
          <w:rFonts w:cs="Arial"/>
          <w:szCs w:val="18"/>
        </w:rPr>
        <w:t>“</w:t>
      </w:r>
      <w:r w:rsidRPr="00A970A7">
        <w:rPr>
          <w:rFonts w:cs="Arial"/>
          <w:szCs w:val="18"/>
        </w:rPr>
        <w:t>river widening</w:t>
      </w:r>
      <w:r>
        <w:rPr>
          <w:rFonts w:cs="Arial"/>
          <w:szCs w:val="18"/>
        </w:rPr>
        <w:t>”</w:t>
      </w:r>
      <w:r w:rsidRPr="00A970A7">
        <w:rPr>
          <w:rFonts w:cs="Arial"/>
          <w:szCs w:val="18"/>
        </w:rPr>
        <w:t xml:space="preserve"> is only envisioned for Dordrecht</w:t>
      </w:r>
      <w:r>
        <w:rPr>
          <w:rFonts w:cs="Arial"/>
          <w:szCs w:val="18"/>
        </w:rPr>
        <w:t xml:space="preserve">; thus, </w:t>
      </w:r>
      <w:r>
        <w:t>f</w:t>
      </w:r>
      <w:r w:rsidRPr="00C34F71">
        <w:t xml:space="preserve">urther attention should have been paid to the diversity of measures, including measures to reduce the probability of flooding and measures to reduce flood consequences. </w:t>
      </w:r>
      <w:r w:rsidRPr="00A970A7">
        <w:rPr>
          <w:rFonts w:cs="Arial"/>
          <w:szCs w:val="18"/>
        </w:rPr>
        <w:t>(</w:t>
      </w:r>
      <w:proofErr w:type="spellStart"/>
      <w:r w:rsidRPr="00C34F71">
        <w:rPr>
          <w:color w:val="7F7F7F" w:themeColor="text1" w:themeTint="80"/>
          <w:szCs w:val="18"/>
        </w:rPr>
        <w:t>Restemeyer</w:t>
      </w:r>
      <w:proofErr w:type="spellEnd"/>
      <w:r w:rsidRPr="00C34F71">
        <w:rPr>
          <w:color w:val="7F7F7F" w:themeColor="text1" w:themeTint="80"/>
          <w:szCs w:val="18"/>
        </w:rPr>
        <w:t xml:space="preserve"> et al.2017</w:t>
      </w:r>
      <w:r w:rsidRPr="00A970A7">
        <w:rPr>
          <w:rFonts w:cs="Arial"/>
          <w:color w:val="7F7F7F" w:themeColor="text1" w:themeTint="80"/>
          <w:szCs w:val="18"/>
        </w:rPr>
        <w:t>, p.933-935</w:t>
      </w:r>
      <w:r w:rsidRPr="00A970A7">
        <w:rPr>
          <w:rFonts w:cs="Arial"/>
          <w:szCs w:val="18"/>
        </w:rPr>
        <w:t>).</w:t>
      </w:r>
      <w:r w:rsidRPr="00A970A7">
        <w:rPr>
          <w:rStyle w:val="Refdenotaderodap"/>
          <w:rFonts w:eastAsiaTheme="majorEastAsia"/>
          <w:highlight w:val="lightGray"/>
        </w:rPr>
        <w:footnoteReference w:id="145"/>
      </w:r>
      <w:r w:rsidRPr="00A970A7">
        <w:t xml:space="preserve"> </w:t>
      </w:r>
      <w:bookmarkStart w:id="136" w:name="_Hlk21726383"/>
      <w:r w:rsidRPr="00A970A7">
        <w:rPr>
          <w:rFonts w:cs="Arial"/>
          <w:bCs/>
          <w:color w:val="000000"/>
          <w:szCs w:val="18"/>
        </w:rPr>
        <w:t>P</w:t>
      </w:r>
      <w:r w:rsidRPr="00A970A7">
        <w:rPr>
          <w:rFonts w:cs="Arial"/>
          <w:bCs/>
          <w:szCs w:val="18"/>
        </w:rPr>
        <w:t xml:space="preserve">ower and money issues also made the strategy-making process less rational than the APs </w:t>
      </w:r>
      <w:bookmarkEnd w:id="136"/>
      <w:r>
        <w:rPr>
          <w:rFonts w:cs="Arial"/>
          <w:bCs/>
          <w:szCs w:val="18"/>
        </w:rPr>
        <w:t>assumes</w:t>
      </w:r>
      <w:r w:rsidRPr="00A970A7">
        <w:rPr>
          <w:rFonts w:cs="Arial"/>
          <w:bCs/>
          <w:szCs w:val="18"/>
        </w:rPr>
        <w:t xml:space="preserve">; in </w:t>
      </w:r>
      <w:r w:rsidRPr="00A970A7">
        <w:rPr>
          <w:rFonts w:cs="Arial"/>
          <w:color w:val="000000"/>
          <w:szCs w:val="18"/>
        </w:rPr>
        <w:t>cases where there are two options but there is willingness to invest now, the political reality tends to be determining</w:t>
      </w:r>
      <w:r w:rsidRPr="00A970A7">
        <w:rPr>
          <w:rFonts w:cs="Arial"/>
          <w:bCs/>
          <w:szCs w:val="18"/>
        </w:rPr>
        <w:t xml:space="preserve"> </w:t>
      </w:r>
      <w:r w:rsidRPr="00A970A7">
        <w:rPr>
          <w:rFonts w:cs="Arial"/>
          <w:color w:val="000000"/>
          <w:szCs w:val="18"/>
        </w:rPr>
        <w:t>(</w:t>
      </w:r>
      <w:proofErr w:type="spellStart"/>
      <w:r w:rsidRPr="00C34F71">
        <w:rPr>
          <w:color w:val="7F7F7F" w:themeColor="text1" w:themeTint="80"/>
          <w:szCs w:val="18"/>
        </w:rPr>
        <w:t>Restemeyer</w:t>
      </w:r>
      <w:proofErr w:type="spellEnd"/>
      <w:r w:rsidRPr="00C34F71">
        <w:rPr>
          <w:color w:val="7F7F7F" w:themeColor="text1" w:themeTint="80"/>
          <w:szCs w:val="18"/>
        </w:rPr>
        <w:t xml:space="preserve"> et al.2017</w:t>
      </w:r>
      <w:r w:rsidRPr="00AD6133">
        <w:rPr>
          <w:rFonts w:cs="Arial"/>
          <w:szCs w:val="18"/>
        </w:rPr>
        <w:t>).</w:t>
      </w:r>
      <w:r w:rsidRPr="00AD6133">
        <w:rPr>
          <w:rFonts w:cs="Arial"/>
          <w:bCs/>
          <w:szCs w:val="18"/>
        </w:rPr>
        <w:t xml:space="preserve"> </w:t>
      </w:r>
    </w:p>
    <w:p w14:paraId="3EA62AE6" w14:textId="77777777" w:rsidR="00A119C8" w:rsidRDefault="00A119C8" w:rsidP="00A119C8">
      <w:pPr>
        <w:pStyle w:val="TEXTBODY"/>
        <w:rPr>
          <w:rFonts w:cs="Arial"/>
          <w:bCs/>
          <w:color w:val="7F7F7F" w:themeColor="text1" w:themeTint="80"/>
          <w:szCs w:val="18"/>
        </w:rPr>
      </w:pPr>
    </w:p>
    <w:p w14:paraId="07C89D10" w14:textId="6BB60B3B" w:rsidR="00A119C8" w:rsidRPr="00046801" w:rsidRDefault="00A119C8" w:rsidP="00A119C8">
      <w:pPr>
        <w:pStyle w:val="TEXTBODY"/>
        <w:rPr>
          <w:rFonts w:cs="Arial"/>
          <w:szCs w:val="18"/>
          <w:u w:val="single"/>
        </w:rPr>
      </w:pPr>
      <w:r>
        <w:t>In the</w:t>
      </w:r>
      <w:r w:rsidRPr="00A970A7">
        <w:t xml:space="preserve"> </w:t>
      </w:r>
      <w:r w:rsidRPr="00A970A7">
        <w:rPr>
          <w:rFonts w:cs="Arial"/>
          <w:color w:val="000000"/>
          <w:szCs w:val="18"/>
        </w:rPr>
        <w:t>RE-D</w:t>
      </w:r>
      <w:r w:rsidRPr="00A970A7">
        <w:t xml:space="preserve"> Subprogramme</w:t>
      </w:r>
      <w:r>
        <w:t xml:space="preserve">, the </w:t>
      </w:r>
      <w:r w:rsidRPr="00A970A7">
        <w:t>development of Strategies</w:t>
      </w:r>
      <w:r w:rsidRPr="00A970A7">
        <w:rPr>
          <w:color w:val="C00000"/>
        </w:rPr>
        <w:t xml:space="preserve"> </w:t>
      </w:r>
      <w:r w:rsidRPr="00A970A7">
        <w:t xml:space="preserve">followed a quite linear filtering </w:t>
      </w:r>
      <w:r>
        <w:t xml:space="preserve">(screening) </w:t>
      </w:r>
      <w:r w:rsidRPr="00A970A7">
        <w:t>process</w:t>
      </w:r>
      <w:r>
        <w:t xml:space="preserve">, </w:t>
      </w:r>
      <w:r w:rsidRPr="00A970A7">
        <w:t xml:space="preserve">from </w:t>
      </w:r>
      <w:r>
        <w:t>“</w:t>
      </w:r>
      <w:r w:rsidRPr="00A970A7">
        <w:t>Possible</w:t>
      </w:r>
      <w:r>
        <w:t>”</w:t>
      </w:r>
      <w:r w:rsidRPr="00A970A7">
        <w:t xml:space="preserve"> to </w:t>
      </w:r>
      <w:r>
        <w:t>“</w:t>
      </w:r>
      <w:r w:rsidRPr="00A970A7">
        <w:t>Promising</w:t>
      </w:r>
      <w:r>
        <w:t>”</w:t>
      </w:r>
      <w:r w:rsidRPr="00A970A7">
        <w:t xml:space="preserve"> strategies, and then to a </w:t>
      </w:r>
      <w:r>
        <w:t>“</w:t>
      </w:r>
      <w:r w:rsidRPr="00A970A7">
        <w:t>Preferential</w:t>
      </w:r>
      <w:r>
        <w:t xml:space="preserve"> S</w:t>
      </w:r>
      <w:r w:rsidRPr="00A970A7">
        <w:t>trategy</w:t>
      </w:r>
      <w:r>
        <w:t xml:space="preserve">” </w:t>
      </w:r>
      <w:r w:rsidRPr="00A970A7">
        <w:t>(</w:t>
      </w:r>
      <w:proofErr w:type="spellStart"/>
      <w:r w:rsidRPr="00C34F71">
        <w:rPr>
          <w:color w:val="7F7F7F" w:themeColor="text1" w:themeTint="80"/>
          <w:szCs w:val="18"/>
        </w:rPr>
        <w:t>Restemeyer</w:t>
      </w:r>
      <w:proofErr w:type="spellEnd"/>
      <w:r w:rsidRPr="00C34F71">
        <w:rPr>
          <w:color w:val="7F7F7F" w:themeColor="text1" w:themeTint="80"/>
          <w:szCs w:val="18"/>
        </w:rPr>
        <w:t xml:space="preserve"> et al.2017</w:t>
      </w:r>
      <w:r w:rsidRPr="00A970A7">
        <w:rPr>
          <w:rFonts w:cs="Arial"/>
          <w:color w:val="7F7F7F" w:themeColor="text1" w:themeTint="80"/>
          <w:szCs w:val="18"/>
        </w:rPr>
        <w:t xml:space="preserve">, </w:t>
      </w:r>
      <w:r w:rsidRPr="00A970A7">
        <w:rPr>
          <w:color w:val="7F7F7F" w:themeColor="text1" w:themeTint="80"/>
        </w:rPr>
        <w:t>p.929</w:t>
      </w:r>
      <w:r w:rsidRPr="00A970A7">
        <w:t xml:space="preserve">). </w:t>
      </w:r>
      <w:r>
        <w:t>During</w:t>
      </w:r>
      <w:r w:rsidRPr="00A970A7">
        <w:t xml:space="preserve"> this process, some measures discussed in the phase of Possible Strategies</w:t>
      </w:r>
      <w:r>
        <w:t>,</w:t>
      </w:r>
      <w:r w:rsidRPr="00A970A7">
        <w:t xml:space="preserve"> e.g. </w:t>
      </w:r>
      <w:r w:rsidRPr="0014131F">
        <w:t>a ring of weirs or a closed dam on the seaside,</w:t>
      </w:r>
      <w:r w:rsidRPr="00A970A7">
        <w:t xml:space="preserve"> were excluded, </w:t>
      </w:r>
      <w:r>
        <w:t>because they raised</w:t>
      </w:r>
      <w:r w:rsidRPr="00A970A7">
        <w:t xml:space="preserve"> controversy (engineer</w:t>
      </w:r>
      <w:r>
        <w:t xml:space="preserve"> groups</w:t>
      </w:r>
      <w:r w:rsidRPr="00A970A7">
        <w:t xml:space="preserve"> and the Agricultural and Horticultural Organization</w:t>
      </w:r>
      <w:r>
        <w:t xml:space="preserve"> were </w:t>
      </w:r>
      <w:proofErr w:type="spellStart"/>
      <w:r>
        <w:t>favorable</w:t>
      </w:r>
      <w:proofErr w:type="spellEnd"/>
      <w:r w:rsidRPr="00A970A7">
        <w:t xml:space="preserve">, while some nature organizations were in </w:t>
      </w:r>
      <w:proofErr w:type="spellStart"/>
      <w:r w:rsidRPr="00A970A7">
        <w:t>favor</w:t>
      </w:r>
      <w:proofErr w:type="spellEnd"/>
      <w:r w:rsidRPr="00A970A7">
        <w:t xml:space="preserve"> of allowing more natural estuarine dynamics in the seaside). Thus, the Subprogramme opted </w:t>
      </w:r>
      <w:r>
        <w:t>to “</w:t>
      </w:r>
      <w:r w:rsidRPr="0014131F">
        <w:rPr>
          <w:iCs/>
        </w:rPr>
        <w:t>maintain and improve the existing flood defence system” as</w:t>
      </w:r>
      <w:r w:rsidRPr="00A970A7">
        <w:t xml:space="preserve"> a middle-course solution. </w:t>
      </w:r>
      <w:r w:rsidRPr="00A970A7">
        <w:rPr>
          <w:rFonts w:cs="Arial"/>
          <w:szCs w:val="18"/>
        </w:rPr>
        <w:t xml:space="preserve">The </w:t>
      </w:r>
      <w:r>
        <w:rPr>
          <w:rFonts w:cs="Arial"/>
          <w:szCs w:val="18"/>
        </w:rPr>
        <w:t xml:space="preserve">Subprogramme </w:t>
      </w:r>
      <w:r w:rsidRPr="00A970A7">
        <w:rPr>
          <w:rFonts w:cs="Arial"/>
          <w:szCs w:val="18"/>
        </w:rPr>
        <w:t>Team consider</w:t>
      </w:r>
      <w:r>
        <w:rPr>
          <w:rFonts w:cs="Arial"/>
          <w:szCs w:val="18"/>
        </w:rPr>
        <w:t>s</w:t>
      </w:r>
      <w:r w:rsidRPr="00A970A7">
        <w:rPr>
          <w:rFonts w:cs="Arial"/>
          <w:szCs w:val="18"/>
        </w:rPr>
        <w:t xml:space="preserve"> </w:t>
      </w:r>
      <w:r>
        <w:rPr>
          <w:rFonts w:cs="Arial"/>
          <w:szCs w:val="18"/>
        </w:rPr>
        <w:t xml:space="preserve">that </w:t>
      </w:r>
      <w:r w:rsidRPr="00A970A7">
        <w:rPr>
          <w:rFonts w:cs="Arial"/>
          <w:szCs w:val="18"/>
        </w:rPr>
        <w:t>this Preferential S</w:t>
      </w:r>
      <w:r w:rsidRPr="00A970A7">
        <w:rPr>
          <w:rFonts w:cs="Arial"/>
          <w:iCs/>
          <w:szCs w:val="18"/>
        </w:rPr>
        <w:t>trategy</w:t>
      </w:r>
      <w:r w:rsidRPr="00A970A7">
        <w:rPr>
          <w:rFonts w:cs="Arial"/>
          <w:szCs w:val="18"/>
        </w:rPr>
        <w:t xml:space="preserve"> is </w:t>
      </w:r>
      <w:r w:rsidRPr="00A970A7">
        <w:rPr>
          <w:rFonts w:cs="Arial"/>
          <w:i/>
          <w:iCs/>
          <w:szCs w:val="18"/>
        </w:rPr>
        <w:t>robust</w:t>
      </w:r>
      <w:r w:rsidRPr="00A970A7">
        <w:rPr>
          <w:rFonts w:cs="Arial"/>
          <w:szCs w:val="18"/>
        </w:rPr>
        <w:t xml:space="preserve"> because it can cope with the most extreme </w:t>
      </w:r>
      <w:r>
        <w:rPr>
          <w:rFonts w:cs="Arial"/>
          <w:szCs w:val="18"/>
        </w:rPr>
        <w:t>Delta Scenario used</w:t>
      </w:r>
      <w:r w:rsidRPr="00A970A7">
        <w:rPr>
          <w:rFonts w:cs="Arial"/>
          <w:szCs w:val="18"/>
        </w:rPr>
        <w:t xml:space="preserve"> (the </w:t>
      </w:r>
      <w:r w:rsidRPr="00A970A7">
        <w:rPr>
          <w:rFonts w:cs="Arial"/>
          <w:i/>
          <w:iCs/>
          <w:szCs w:val="18"/>
        </w:rPr>
        <w:t>Steam</w:t>
      </w:r>
      <w:r w:rsidRPr="00A970A7">
        <w:rPr>
          <w:rFonts w:cs="Arial"/>
          <w:szCs w:val="18"/>
        </w:rPr>
        <w:t>) and</w:t>
      </w:r>
      <w:r w:rsidRPr="00A970A7">
        <w:rPr>
          <w:rFonts w:cs="Arial"/>
          <w:i/>
          <w:iCs/>
          <w:szCs w:val="18"/>
        </w:rPr>
        <w:t xml:space="preserve"> flexible</w:t>
      </w:r>
      <w:r w:rsidRPr="00A970A7">
        <w:rPr>
          <w:rFonts w:cs="Arial"/>
          <w:szCs w:val="18"/>
        </w:rPr>
        <w:t xml:space="preserve"> because it does not imply large-scale interventions but </w:t>
      </w:r>
      <w:r>
        <w:rPr>
          <w:rFonts w:cs="Arial"/>
          <w:szCs w:val="18"/>
        </w:rPr>
        <w:t xml:space="preserve">only </w:t>
      </w:r>
      <w:r w:rsidRPr="00A970A7">
        <w:rPr>
          <w:rFonts w:cs="Arial"/>
          <w:szCs w:val="18"/>
        </w:rPr>
        <w:t xml:space="preserve">gradual adjustments to the existing system. However, </w:t>
      </w:r>
      <w:r w:rsidRPr="00A970A7">
        <w:t xml:space="preserve">for </w:t>
      </w:r>
      <w:proofErr w:type="spellStart"/>
      <w:r w:rsidRPr="00A970A7">
        <w:rPr>
          <w:color w:val="7F7F7F" w:themeColor="text1" w:themeTint="80"/>
        </w:rPr>
        <w:t>Restemeyer</w:t>
      </w:r>
      <w:proofErr w:type="spellEnd"/>
      <w:r w:rsidRPr="00A970A7">
        <w:rPr>
          <w:color w:val="7F7F7F" w:themeColor="text1" w:themeTint="80"/>
        </w:rPr>
        <w:t xml:space="preserve"> et al.</w:t>
      </w:r>
      <w:r w:rsidRPr="00A970A7">
        <w:t xml:space="preserve">, </w:t>
      </w:r>
      <w:r w:rsidRPr="00A970A7">
        <w:rPr>
          <w:rFonts w:cs="Arial"/>
          <w:szCs w:val="18"/>
        </w:rPr>
        <w:t>this Strategy may not necessarily lead to an improved adaptability</w:t>
      </w:r>
      <w:r>
        <w:rPr>
          <w:rFonts w:cs="Arial"/>
          <w:szCs w:val="18"/>
        </w:rPr>
        <w:t xml:space="preserve"> and resilience</w:t>
      </w:r>
      <w:r w:rsidRPr="00A970A7">
        <w:rPr>
          <w:rFonts w:cs="Arial"/>
          <w:szCs w:val="18"/>
        </w:rPr>
        <w:t>, because</w:t>
      </w:r>
      <w:r>
        <w:rPr>
          <w:rFonts w:cs="Arial"/>
          <w:szCs w:val="18"/>
        </w:rPr>
        <w:t xml:space="preserve"> t</w:t>
      </w:r>
      <w:r>
        <w:t>he m</w:t>
      </w:r>
      <w:r w:rsidRPr="00A970A7">
        <w:t xml:space="preserve">easures </w:t>
      </w:r>
      <w:r w:rsidRPr="00A970A7">
        <w:rPr>
          <w:iCs/>
        </w:rPr>
        <w:t>of</w:t>
      </w:r>
      <w:r w:rsidRPr="00A970A7">
        <w:rPr>
          <w:i/>
        </w:rPr>
        <w:t xml:space="preserve"> </w:t>
      </w:r>
      <w:r w:rsidRPr="00AD6133">
        <w:rPr>
          <w:iCs/>
        </w:rPr>
        <w:t>gradual adjustment</w:t>
      </w:r>
      <w:r w:rsidRPr="00A970A7">
        <w:t xml:space="preserve"> of the existing system (</w:t>
      </w:r>
      <w:r>
        <w:t xml:space="preserve">like </w:t>
      </w:r>
      <w:r w:rsidRPr="00A970A7">
        <w:t xml:space="preserve">dyke improvements, heightening </w:t>
      </w:r>
      <w:r>
        <w:t>or</w:t>
      </w:r>
      <w:r w:rsidRPr="00A970A7">
        <w:t xml:space="preserve"> strengthening, or the optimization and eventual replacement of storm surge barrier) </w:t>
      </w:r>
      <w:r>
        <w:t>aim</w:t>
      </w:r>
      <w:r w:rsidRPr="00A970A7">
        <w:t xml:space="preserve"> at reducing the probability of flooding</w:t>
      </w:r>
      <w:r>
        <w:t>; and m</w:t>
      </w:r>
      <w:r w:rsidRPr="00A01F62">
        <w:rPr>
          <w:rFonts w:cs="Arial"/>
          <w:szCs w:val="18"/>
        </w:rPr>
        <w:t xml:space="preserve">easures to reduce flood consequences (e.g. flood-proofing buildings and evacuation measures) were only considered for a few </w:t>
      </w:r>
      <w:proofErr w:type="spellStart"/>
      <w:r w:rsidRPr="00A01F62">
        <w:rPr>
          <w:rFonts w:cs="Arial"/>
          <w:szCs w:val="18"/>
        </w:rPr>
        <w:t>unembanked</w:t>
      </w:r>
      <w:proofErr w:type="spellEnd"/>
      <w:r w:rsidRPr="00A01F62">
        <w:rPr>
          <w:rFonts w:cs="Arial"/>
          <w:szCs w:val="18"/>
        </w:rPr>
        <w:t xml:space="preserve"> areas (e.g. Dordrecht).</w:t>
      </w:r>
      <w:r>
        <w:rPr>
          <w:rFonts w:cs="Arial"/>
          <w:szCs w:val="18"/>
        </w:rPr>
        <w:t xml:space="preserve"> </w:t>
      </w:r>
      <w:r w:rsidRPr="00A970A7">
        <w:rPr>
          <w:rFonts w:cs="Arial"/>
          <w:szCs w:val="18"/>
        </w:rPr>
        <w:t xml:space="preserve">The measure </w:t>
      </w:r>
      <w:r>
        <w:rPr>
          <w:rFonts w:cs="Arial"/>
          <w:szCs w:val="18"/>
        </w:rPr>
        <w:t>“</w:t>
      </w:r>
      <w:r w:rsidRPr="00A970A7">
        <w:rPr>
          <w:rFonts w:cs="Arial"/>
          <w:szCs w:val="18"/>
        </w:rPr>
        <w:t>river widening</w:t>
      </w:r>
      <w:r>
        <w:rPr>
          <w:rFonts w:cs="Arial"/>
          <w:szCs w:val="18"/>
        </w:rPr>
        <w:t>”</w:t>
      </w:r>
      <w:r w:rsidRPr="00A970A7">
        <w:rPr>
          <w:rFonts w:cs="Arial"/>
          <w:szCs w:val="18"/>
        </w:rPr>
        <w:t xml:space="preserve"> is only </w:t>
      </w:r>
      <w:r>
        <w:rPr>
          <w:rFonts w:cs="Arial"/>
          <w:szCs w:val="18"/>
        </w:rPr>
        <w:t>set out for</w:t>
      </w:r>
      <w:r w:rsidRPr="00A970A7">
        <w:rPr>
          <w:rFonts w:cs="Arial"/>
          <w:szCs w:val="18"/>
        </w:rPr>
        <w:t xml:space="preserve"> one part of the region (east of Dordrecht).</w:t>
      </w:r>
      <w:r w:rsidRPr="00A970A7">
        <w:rPr>
          <w:rStyle w:val="Refdenotaderodap"/>
          <w:rFonts w:eastAsiaTheme="majorEastAsia" w:cs="Arial"/>
          <w:szCs w:val="18"/>
          <w:highlight w:val="lightGray"/>
        </w:rPr>
        <w:footnoteReference w:id="146"/>
      </w:r>
      <w:r>
        <w:rPr>
          <w:rFonts w:cs="Arial"/>
          <w:szCs w:val="18"/>
        </w:rPr>
        <w:t xml:space="preserve"> Thus, </w:t>
      </w:r>
      <w:r>
        <w:t>f</w:t>
      </w:r>
      <w:r w:rsidRPr="00A970A7">
        <w:t xml:space="preserve">urther attention could have been paid to the </w:t>
      </w:r>
      <w:r>
        <w:t>use of</w:t>
      </w:r>
      <w:r w:rsidRPr="00A970A7">
        <w:t xml:space="preserve"> diversified set of measures, including both measures to reduce the probability of flooding and measures to reduce flood </w:t>
      </w:r>
      <w:r>
        <w:t xml:space="preserve">impacts / </w:t>
      </w:r>
      <w:r w:rsidRPr="00A970A7">
        <w:t>consequences</w:t>
      </w:r>
      <w:r>
        <w:t xml:space="preserve"> </w:t>
      </w:r>
      <w:r w:rsidRPr="00C34F71">
        <w:t>(</w:t>
      </w:r>
      <w:proofErr w:type="spellStart"/>
      <w:r w:rsidRPr="00C34F71">
        <w:rPr>
          <w:rFonts w:cs="Arial"/>
          <w:color w:val="595959" w:themeColor="text1" w:themeTint="A6"/>
          <w:szCs w:val="18"/>
        </w:rPr>
        <w:t>Restemeyer</w:t>
      </w:r>
      <w:proofErr w:type="spellEnd"/>
      <w:r w:rsidRPr="00C34F71">
        <w:rPr>
          <w:rFonts w:cs="Arial"/>
          <w:color w:val="595959" w:themeColor="text1" w:themeTint="A6"/>
          <w:szCs w:val="18"/>
        </w:rPr>
        <w:t xml:space="preserve"> et al. 2017</w:t>
      </w:r>
      <w:r w:rsidRPr="00C34F71">
        <w:rPr>
          <w:rFonts w:cs="Arial"/>
          <w:iCs/>
          <w:szCs w:val="18"/>
        </w:rPr>
        <w:t>).</w:t>
      </w:r>
      <w:r>
        <w:rPr>
          <w:rFonts w:cs="Arial"/>
          <w:iCs/>
          <w:szCs w:val="18"/>
        </w:rPr>
        <w:t xml:space="preserve"> </w:t>
      </w:r>
      <w:r w:rsidRPr="00A970A7">
        <w:t xml:space="preserve">This </w:t>
      </w:r>
      <w:r w:rsidRPr="00A970A7">
        <w:rPr>
          <w:rFonts w:cs="Arial"/>
          <w:szCs w:val="18"/>
        </w:rPr>
        <w:t xml:space="preserve">Strategy calls for the integration of FRM and spatial planning (more than other subprogrammes), but it focusses mostly on improving the integration of dykes into the physical landscape (e.g. multifunctional dykes that incorporate car parks) and less on making the landscape resilient to floods and reducing impacts. The </w:t>
      </w:r>
      <w:r w:rsidRPr="00ED6053">
        <w:rPr>
          <w:rFonts w:cs="Arial"/>
          <w:szCs w:val="18"/>
        </w:rPr>
        <w:t>integration of FRM with spatial planning is weak</w:t>
      </w:r>
      <w:bookmarkEnd w:id="135"/>
      <w:r w:rsidRPr="00ED6053">
        <w:rPr>
          <w:rFonts w:cs="Arial"/>
          <w:szCs w:val="18"/>
        </w:rPr>
        <w:t xml:space="preserve"> (</w:t>
      </w:r>
      <w:proofErr w:type="spellStart"/>
      <w:r w:rsidRPr="00ED6053">
        <w:rPr>
          <w:rFonts w:cs="Arial"/>
          <w:color w:val="595959" w:themeColor="text1" w:themeTint="A6"/>
          <w:szCs w:val="18"/>
        </w:rPr>
        <w:t>Restemeyer</w:t>
      </w:r>
      <w:proofErr w:type="spellEnd"/>
      <w:r w:rsidRPr="00ED6053">
        <w:rPr>
          <w:rFonts w:cs="Arial"/>
          <w:color w:val="595959" w:themeColor="text1" w:themeTint="A6"/>
          <w:szCs w:val="18"/>
        </w:rPr>
        <w:t xml:space="preserve"> et al. 2017</w:t>
      </w:r>
      <w:r w:rsidRPr="00ED6053">
        <w:rPr>
          <w:rFonts w:cs="Arial"/>
          <w:color w:val="7F7F7F" w:themeColor="text1" w:themeTint="80"/>
          <w:szCs w:val="18"/>
        </w:rPr>
        <w:t>, p.934</w:t>
      </w:r>
      <w:r w:rsidRPr="00ED6053">
        <w:rPr>
          <w:rFonts w:cs="Arial"/>
          <w:szCs w:val="18"/>
        </w:rPr>
        <w:t xml:space="preserve">). </w:t>
      </w:r>
      <w:r w:rsidRPr="00ED6053">
        <w:t xml:space="preserve">All in all, this Subprogramme developed a Strategy that is </w:t>
      </w:r>
      <w:r w:rsidR="00ED6053" w:rsidRPr="00ED6053">
        <w:t xml:space="preserve">essentially </w:t>
      </w:r>
      <w:r w:rsidRPr="00ED6053">
        <w:t>preventive, as it is strongly based on improvements to existing defences</w:t>
      </w:r>
      <w:r w:rsidRPr="00ED6053">
        <w:rPr>
          <w:iCs/>
        </w:rPr>
        <w:t xml:space="preserve"> (dykes and barriers)</w:t>
      </w:r>
      <w:r w:rsidRPr="00ED6053">
        <w:t xml:space="preserve"> (</w:t>
      </w:r>
      <w:proofErr w:type="spellStart"/>
      <w:r w:rsidRPr="00ED6053">
        <w:rPr>
          <w:color w:val="7F7F7F" w:themeColor="text1" w:themeTint="80"/>
        </w:rPr>
        <w:t>Restemeyer</w:t>
      </w:r>
      <w:proofErr w:type="spellEnd"/>
      <w:r w:rsidRPr="00ED6053">
        <w:rPr>
          <w:color w:val="7F7F7F" w:themeColor="text1" w:themeTint="80"/>
        </w:rPr>
        <w:t xml:space="preserve"> et al.2017, p.934</w:t>
      </w:r>
      <w:r w:rsidRPr="00ED6053">
        <w:t>).</w:t>
      </w:r>
    </w:p>
    <w:p w14:paraId="09F83413" w14:textId="41D9C3E7" w:rsidR="00A119C8" w:rsidRPr="00ED6053" w:rsidRDefault="00A119C8" w:rsidP="00A119C8">
      <w:pPr>
        <w:pStyle w:val="TEXTBODY"/>
        <w:rPr>
          <w:rFonts w:cs="Arial"/>
          <w:szCs w:val="18"/>
        </w:rPr>
      </w:pPr>
      <w:r w:rsidRPr="00ED6053">
        <w:rPr>
          <w:rFonts w:cs="Arial"/>
          <w:szCs w:val="18"/>
        </w:rPr>
        <w:lastRenderedPageBreak/>
        <w:t>The entire map, thus, seems to present an “optimal” sequence of decisions and measures (a preferred pathway), rather than depict a robust and flexible set of alternative possible pathways.</w:t>
      </w:r>
    </w:p>
    <w:p w14:paraId="11F26EBC" w14:textId="77777777" w:rsidR="00A119C8" w:rsidRPr="00D56B07" w:rsidRDefault="00A119C8" w:rsidP="00A119C8">
      <w:pPr>
        <w:pStyle w:val="TEXTBODY"/>
        <w:rPr>
          <w:rFonts w:eastAsiaTheme="minorHAnsi"/>
          <w:color w:val="C00000"/>
        </w:rPr>
      </w:pPr>
      <w:r w:rsidRPr="0039172B">
        <w:rPr>
          <w:rFonts w:eastAsiaTheme="minorHAnsi"/>
        </w:rPr>
        <w:t xml:space="preserve">As noted by </w:t>
      </w:r>
      <w:proofErr w:type="spellStart"/>
      <w:r w:rsidRPr="0039172B">
        <w:rPr>
          <w:rFonts w:eastAsiaTheme="minorHAnsi"/>
          <w:color w:val="7F7F7F" w:themeColor="text1" w:themeTint="80"/>
        </w:rPr>
        <w:t>Restemeyer</w:t>
      </w:r>
      <w:proofErr w:type="spellEnd"/>
      <w:r w:rsidRPr="0039172B">
        <w:rPr>
          <w:rFonts w:eastAsiaTheme="minorHAnsi"/>
          <w:color w:val="7F7F7F" w:themeColor="text1" w:themeTint="80"/>
        </w:rPr>
        <w:t xml:space="preserve"> et al</w:t>
      </w:r>
      <w:r>
        <w:rPr>
          <w:rFonts w:eastAsiaTheme="minorHAnsi"/>
        </w:rPr>
        <w:t>.</w:t>
      </w:r>
      <w:r w:rsidRPr="0039172B">
        <w:rPr>
          <w:rFonts w:eastAsiaTheme="minorHAnsi"/>
        </w:rPr>
        <w:t xml:space="preserve">, the DP2014 case shows that decision-makers and policymakers faced a </w:t>
      </w:r>
      <w:r w:rsidRPr="0039172B">
        <w:t xml:space="preserve">dilemma between </w:t>
      </w:r>
      <w:r>
        <w:t xml:space="preserve">the aspired </w:t>
      </w:r>
      <w:r w:rsidRPr="0039172B">
        <w:t>‘adaptability’ and the ‘urge-to-control’</w:t>
      </w:r>
      <w:r w:rsidRPr="00D509C4">
        <w:t xml:space="preserve">. </w:t>
      </w:r>
      <w:r>
        <w:t>For example,</w:t>
      </w:r>
      <w:r w:rsidRPr="00A970A7">
        <w:t xml:space="preserve"> in the elaboration of the Preferential Strategy of the RE-D</w:t>
      </w:r>
      <w:r>
        <w:t>, t</w:t>
      </w:r>
      <w:r w:rsidRPr="00A970A7">
        <w:t>he idea of adaptability was adopted, but partially</w:t>
      </w:r>
      <w:r w:rsidRPr="00A970A7">
        <w:rPr>
          <w:rFonts w:cs="Arial"/>
          <w:szCs w:val="18"/>
        </w:rPr>
        <w:t xml:space="preserve"> (</w:t>
      </w:r>
      <w:proofErr w:type="spellStart"/>
      <w:r w:rsidRPr="00A970A7">
        <w:rPr>
          <w:rFonts w:cs="Arial"/>
          <w:color w:val="7F7F7F" w:themeColor="text1" w:themeTint="80"/>
          <w:szCs w:val="18"/>
        </w:rPr>
        <w:t>Restemeyer</w:t>
      </w:r>
      <w:proofErr w:type="spellEnd"/>
      <w:r w:rsidRPr="00A970A7">
        <w:rPr>
          <w:rFonts w:cs="Arial"/>
          <w:color w:val="7F7F7F" w:themeColor="text1" w:themeTint="80"/>
          <w:szCs w:val="18"/>
        </w:rPr>
        <w:t xml:space="preserve"> et al. 2017</w:t>
      </w:r>
      <w:r w:rsidRPr="00A970A7">
        <w:rPr>
          <w:color w:val="7F7F7F" w:themeColor="text1" w:themeTint="80"/>
        </w:rPr>
        <w:t>, p.920, 935</w:t>
      </w:r>
      <w:r w:rsidRPr="00A970A7">
        <w:t xml:space="preserve">). </w:t>
      </w:r>
      <w:r>
        <w:t>One</w:t>
      </w:r>
      <w:r w:rsidRPr="00A970A7">
        <w:t xml:space="preserve"> of the main conditions for </w:t>
      </w:r>
      <w:proofErr w:type="gramStart"/>
      <w:r w:rsidRPr="00A970A7">
        <w:t xml:space="preserve">making </w:t>
      </w:r>
      <w:r>
        <w:t>a</w:t>
      </w:r>
      <w:r w:rsidRPr="00A970A7">
        <w:t xml:space="preserve"> plan</w:t>
      </w:r>
      <w:proofErr w:type="gramEnd"/>
      <w:r w:rsidRPr="00A970A7">
        <w:t xml:space="preserve"> </w:t>
      </w:r>
      <w:r w:rsidRPr="0039172B">
        <w:t>‘adaptive’</w:t>
      </w:r>
      <w:r w:rsidRPr="00A970A7">
        <w:t xml:space="preserve"> is the elaboration of </w:t>
      </w:r>
      <w:r w:rsidRPr="0039172B">
        <w:t>flexible</w:t>
      </w:r>
      <w:r w:rsidRPr="00A970A7">
        <w:rPr>
          <w:i/>
          <w:iCs/>
        </w:rPr>
        <w:t xml:space="preserve"> </w:t>
      </w:r>
      <w:r w:rsidRPr="00A970A7">
        <w:t>strategies, which, in turn, implies identifying tipping-points, and designing adaptation pathways (by ordering various possible measures in time) (</w:t>
      </w:r>
      <w:proofErr w:type="spellStart"/>
      <w:r w:rsidRPr="00A970A7">
        <w:rPr>
          <w:color w:val="7F7F7F" w:themeColor="text1" w:themeTint="80"/>
        </w:rPr>
        <w:t>Restemeyer</w:t>
      </w:r>
      <w:proofErr w:type="spellEnd"/>
      <w:r w:rsidRPr="00A970A7">
        <w:rPr>
          <w:color w:val="7F7F7F" w:themeColor="text1" w:themeTint="80"/>
        </w:rPr>
        <w:t xml:space="preserve"> et al. 2017, p.921, 927, 935</w:t>
      </w:r>
      <w:r w:rsidRPr="00A970A7">
        <w:t xml:space="preserve">). ADM explicitly </w:t>
      </w:r>
      <w:r>
        <w:t>recommended using</w:t>
      </w:r>
      <w:r w:rsidRPr="00A970A7">
        <w:t xml:space="preserve"> Tipping-points and Adaptation Pathways to make strategies</w:t>
      </w:r>
      <w:r w:rsidRPr="00A970A7">
        <w:rPr>
          <w:i/>
        </w:rPr>
        <w:t xml:space="preserve"> </w:t>
      </w:r>
      <w:r w:rsidRPr="0039172B">
        <w:rPr>
          <w:iCs/>
        </w:rPr>
        <w:t>“more robust and flexible”</w:t>
      </w:r>
      <w:r>
        <w:rPr>
          <w:i/>
        </w:rPr>
        <w:t xml:space="preserve"> </w:t>
      </w:r>
      <w:r w:rsidRPr="00A970A7">
        <w:t>(</w:t>
      </w:r>
      <w:proofErr w:type="spellStart"/>
      <w:r w:rsidRPr="00A970A7">
        <w:rPr>
          <w:color w:val="7F7F7F" w:themeColor="text1" w:themeTint="80"/>
        </w:rPr>
        <w:t>Restemeyer</w:t>
      </w:r>
      <w:proofErr w:type="spellEnd"/>
      <w:r w:rsidRPr="00A970A7">
        <w:rPr>
          <w:color w:val="7F7F7F" w:themeColor="text1" w:themeTint="80"/>
        </w:rPr>
        <w:t xml:space="preserve"> et al. 2017, p.935, 931</w:t>
      </w:r>
      <w:r w:rsidRPr="00A970A7">
        <w:t>).</w:t>
      </w:r>
      <w:r>
        <w:rPr>
          <w:rFonts w:eastAsiaTheme="majorEastAsia"/>
        </w:rPr>
        <w:t xml:space="preserve"> </w:t>
      </w:r>
      <w:r w:rsidRPr="00ED6053">
        <w:rPr>
          <w:rFonts w:cs="Arial"/>
          <w:szCs w:val="18"/>
        </w:rPr>
        <w:t xml:space="preserve">However, the Preferential Strategy of the RE-D </w:t>
      </w:r>
      <w:r w:rsidRPr="00ED6053">
        <w:rPr>
          <w:rFonts w:cs="Arial"/>
          <w:color w:val="000000"/>
          <w:szCs w:val="18"/>
        </w:rPr>
        <w:t>looks quite “</w:t>
      </w:r>
      <w:r w:rsidRPr="00ED6053">
        <w:rPr>
          <w:rFonts w:cs="Arial"/>
          <w:i/>
          <w:color w:val="000000"/>
          <w:szCs w:val="18"/>
        </w:rPr>
        <w:t>determined and not so flexible”</w:t>
      </w:r>
      <w:r w:rsidRPr="00ED6053">
        <w:rPr>
          <w:rFonts w:cs="Arial"/>
          <w:color w:val="000000"/>
          <w:szCs w:val="18"/>
        </w:rPr>
        <w:t xml:space="preserve">: it offers little room for </w:t>
      </w:r>
      <w:r w:rsidRPr="00ED6053">
        <w:rPr>
          <w:rFonts w:cs="Arial"/>
          <w:szCs w:val="18"/>
        </w:rPr>
        <w:t xml:space="preserve">adjustments over time, it </w:t>
      </w:r>
      <w:r w:rsidRPr="00ED6053">
        <w:t xml:space="preserve">focusses mainly on ‘prevention’ measures (to reduce flood probability) through </w:t>
      </w:r>
      <w:r w:rsidRPr="00ED6053">
        <w:rPr>
          <w:i/>
          <w:iCs/>
        </w:rPr>
        <w:t>gradual adjustment</w:t>
      </w:r>
      <w:r w:rsidRPr="00ED6053">
        <w:t>s of the existing defences, and although</w:t>
      </w:r>
      <w:r w:rsidRPr="00ED6053">
        <w:rPr>
          <w:rFonts w:cs="Arial"/>
          <w:szCs w:val="18"/>
        </w:rPr>
        <w:t xml:space="preserve"> the </w:t>
      </w:r>
      <w:r w:rsidRPr="00ED6053">
        <w:t>Team recognized the need for spatial adaptation measures in addition to the traditional preventive measures, in this Strategy</w:t>
      </w:r>
      <w:r w:rsidRPr="00ED6053">
        <w:rPr>
          <w:i/>
        </w:rPr>
        <w:t xml:space="preserve"> </w:t>
      </w:r>
      <w:r w:rsidRPr="00ED6053">
        <w:rPr>
          <w:iCs/>
        </w:rPr>
        <w:t>“</w:t>
      </w:r>
      <w:r w:rsidRPr="00ED6053">
        <w:rPr>
          <w:i/>
        </w:rPr>
        <w:t>adaptability mainly gets down to gradual adjustments of certain measures</w:t>
      </w:r>
      <w:r w:rsidRPr="00ED6053">
        <w:rPr>
          <w:iCs/>
        </w:rPr>
        <w:t xml:space="preserve">”, e.g. dyke strengthening </w:t>
      </w:r>
      <w:r w:rsidRPr="00ED6053">
        <w:rPr>
          <w:szCs w:val="18"/>
        </w:rPr>
        <w:t>(</w:t>
      </w:r>
      <w:proofErr w:type="spellStart"/>
      <w:r w:rsidRPr="00ED6053">
        <w:rPr>
          <w:color w:val="7F7F7F" w:themeColor="text1" w:themeTint="80"/>
          <w:szCs w:val="18"/>
        </w:rPr>
        <w:t>Restemeyer</w:t>
      </w:r>
      <w:proofErr w:type="spellEnd"/>
      <w:r w:rsidRPr="00ED6053">
        <w:rPr>
          <w:color w:val="7F7F7F" w:themeColor="text1" w:themeTint="80"/>
          <w:szCs w:val="18"/>
        </w:rPr>
        <w:t xml:space="preserve"> et al.2017, p.932, 934-9355</w:t>
      </w:r>
      <w:r w:rsidRPr="00ED6053">
        <w:rPr>
          <w:szCs w:val="18"/>
        </w:rPr>
        <w:t>).</w:t>
      </w:r>
      <w:r w:rsidRPr="00A970A7">
        <w:t xml:space="preserve"> </w:t>
      </w:r>
    </w:p>
    <w:p w14:paraId="1C8ECDC2" w14:textId="77777777" w:rsidR="00A119C8" w:rsidRPr="00D509C4" w:rsidRDefault="00A119C8" w:rsidP="00A119C8">
      <w:pPr>
        <w:pStyle w:val="TEXTBODY"/>
        <w:rPr>
          <w:rFonts w:cs="Arial"/>
          <w:color w:val="C00000"/>
          <w:szCs w:val="18"/>
        </w:rPr>
      </w:pPr>
    </w:p>
    <w:p w14:paraId="2D784C71" w14:textId="669A1491" w:rsidR="00A119C8" w:rsidRDefault="00A119C8" w:rsidP="00A119C8">
      <w:pPr>
        <w:pStyle w:val="TEXTBODY"/>
        <w:rPr>
          <w:color w:val="C00000"/>
        </w:rPr>
      </w:pPr>
      <w:r w:rsidRPr="00ED6053">
        <w:t>Both the TE2100 and the DP2014 have considered and envisioned a stepwise /</w:t>
      </w:r>
      <w:r w:rsidRPr="00ED6053">
        <w:rPr>
          <w:color w:val="C00000"/>
        </w:rPr>
        <w:t xml:space="preserve"> staged </w:t>
      </w:r>
      <w:r w:rsidRPr="00ED6053">
        <w:t>implementation of several measures over time (rather than a single measure optimized for a particular level of risk).</w:t>
      </w:r>
      <w:r w:rsidRPr="00ED6053">
        <w:rPr>
          <w:color w:val="C00000"/>
        </w:rPr>
        <w:t xml:space="preserve"> </w:t>
      </w:r>
      <w:r w:rsidRPr="00ED6053">
        <w:t>Both cases envisaged short-term decisions and actions linked (coupled) with possible long-term options, and considered their timing (</w:t>
      </w:r>
      <w:proofErr w:type="spellStart"/>
      <w:r w:rsidRPr="00ED6053">
        <w:rPr>
          <w:color w:val="7F7F7F" w:themeColor="text1" w:themeTint="80"/>
        </w:rPr>
        <w:t>Jeuken</w:t>
      </w:r>
      <w:proofErr w:type="spellEnd"/>
      <w:r w:rsidRPr="00ED6053">
        <w:rPr>
          <w:color w:val="7F7F7F" w:themeColor="text1" w:themeTint="80"/>
        </w:rPr>
        <w:t xml:space="preserve"> et al. 2014, p.17, 24</w:t>
      </w:r>
      <w:r w:rsidRPr="00ED6053">
        <w:t xml:space="preserve">). In both cases, the APs maps designed display short-term measures coupled with (linked with) long-term options through adaptation pathways, which in the TE2100’s </w:t>
      </w:r>
      <w:proofErr w:type="spellStart"/>
      <w:r w:rsidRPr="00ED6053">
        <w:t>routemap</w:t>
      </w:r>
      <w:proofErr w:type="spellEnd"/>
      <w:r w:rsidRPr="00ED6053">
        <w:t xml:space="preserve"> clearly indicate thresholds (and Fig</w:t>
      </w:r>
      <w:r w:rsidR="00ED6053">
        <w:t>ure 2</w:t>
      </w:r>
      <w:r w:rsidRPr="00ED6053">
        <w:t xml:space="preserve"> shows  decision-points for taking a decision of switching of measure, and implementation-points), whereas in the DP2014 maps moments when it is necessary to switch from a measure to another one, thus ensuring and enhancing flexibility.</w:t>
      </w:r>
      <w:r w:rsidRPr="00ED6053">
        <w:rPr>
          <w:rStyle w:val="Refdenotaderodap"/>
        </w:rPr>
        <w:footnoteReference w:id="147"/>
      </w:r>
    </w:p>
    <w:p w14:paraId="7B195108" w14:textId="4013DAFD" w:rsidR="00A119C8" w:rsidRPr="00B17559" w:rsidRDefault="00A119C8" w:rsidP="00A119C8">
      <w:pPr>
        <w:pStyle w:val="TEXTBODY"/>
      </w:pPr>
      <w:r w:rsidRPr="00A248D3">
        <w:t>Regarding the flexibility of the FRM measures (themselves) used in the maps, in both cases, it should be noted that although soft protection measures are included, there seems to be an over-reliance on measures involving the improvement of existing hard defences, reflecting a certain path-dependency which compromises the flexibility of the broader plan and FRM syste</w:t>
      </w:r>
      <w:r w:rsidRPr="00ED6053">
        <w:t>m</w:t>
      </w:r>
      <w:r w:rsidRPr="00ED6053">
        <w:rPr>
          <w:rStyle w:val="Refdenotaderodap"/>
        </w:rPr>
        <w:footnoteReference w:id="148"/>
      </w:r>
      <w:r w:rsidRPr="00ED6053">
        <w:t>, and</w:t>
      </w:r>
      <w:r w:rsidRPr="00A248D3">
        <w:t xml:space="preserve"> which, in the future, might demand a greater variety of (and greater balance between diverse) coastal adaptation measures, including hard and soft protection measures, retreat / managed realignment measures, green / nature-based adaptation measures, non-structural measures. The FRM measures taken in the past are thus, quite determinant and decisive of the spectrum of options available in the future (i.e. for the widening / shrinking (narrowing) solution-space). In both the TE2100 case and the DP 2014 case, the APs maps are apparently flexible into the future, because large-scale (potentially irreversible) hard defence / structural measures were put postponed to the long-term. Both the TE2100 and the Delta Program cases, the maps of adaptation pathways appear relatively flexible in the future, primarily because the implementation of new large-scale structural (hard </w:t>
      </w:r>
      <w:proofErr w:type="spellStart"/>
      <w:r w:rsidRPr="00A248D3">
        <w:t>defen</w:t>
      </w:r>
      <w:r>
        <w:t>s</w:t>
      </w:r>
      <w:r w:rsidRPr="00A248D3">
        <w:t>es</w:t>
      </w:r>
      <w:proofErr w:type="spellEnd"/>
      <w:r w:rsidRPr="00A248D3">
        <w:t>) measures could be delayed (</w:t>
      </w:r>
      <w:proofErr w:type="spellStart"/>
      <w:r w:rsidRPr="00A248D3">
        <w:rPr>
          <w:color w:val="7F7F7F" w:themeColor="text1" w:themeTint="80"/>
        </w:rPr>
        <w:t>Jeuken</w:t>
      </w:r>
      <w:proofErr w:type="spellEnd"/>
      <w:r w:rsidRPr="00A248D3">
        <w:rPr>
          <w:color w:val="7F7F7F" w:themeColor="text1" w:themeTint="80"/>
        </w:rPr>
        <w:t xml:space="preserve"> et al. 2014, p.18</w:t>
      </w:r>
      <w:r w:rsidRPr="00A248D3">
        <w:t xml:space="preserve">). </w:t>
      </w:r>
    </w:p>
    <w:p w14:paraId="154692C6" w14:textId="77777777" w:rsidR="00A119C8" w:rsidRPr="004032A5" w:rsidRDefault="00A119C8" w:rsidP="00A119C8">
      <w:pPr>
        <w:pStyle w:val="TEXTBODY"/>
        <w:rPr>
          <w:rFonts w:eastAsiaTheme="minorHAnsi"/>
        </w:rPr>
      </w:pPr>
      <w:r w:rsidRPr="004032A5">
        <w:rPr>
          <w:rFonts w:eastAsiaTheme="minorHAnsi"/>
        </w:rPr>
        <w:t>Besides, in the TE2100 Plan, each of the HLOs/ pathways envisioned was mapped in a georeferenced map, which significantly helped to understand the implications of each pathway</w:t>
      </w:r>
      <w:r>
        <w:rPr>
          <w:rFonts w:eastAsiaTheme="minorHAnsi"/>
        </w:rPr>
        <w:t xml:space="preserve"> </w:t>
      </w:r>
      <w:r w:rsidRPr="004032A5">
        <w:rPr>
          <w:rFonts w:eastAsiaTheme="minorHAnsi"/>
        </w:rPr>
        <w:t>in space and over time.</w:t>
      </w:r>
    </w:p>
    <w:p w14:paraId="4F797AF0" w14:textId="77777777" w:rsidR="00A119C8" w:rsidRDefault="00A119C8" w:rsidP="00A119C8">
      <w:pPr>
        <w:pStyle w:val="TEXTBODY"/>
        <w:rPr>
          <w:rFonts w:eastAsiaTheme="minorHAnsi"/>
          <w:color w:val="C00000"/>
        </w:rPr>
      </w:pPr>
    </w:p>
    <w:p w14:paraId="21D2A6E9" w14:textId="77777777" w:rsidR="00ED6053" w:rsidRDefault="00ED6053" w:rsidP="00A119C8">
      <w:pPr>
        <w:pStyle w:val="TEXTBODY"/>
        <w:rPr>
          <w:rFonts w:eastAsiaTheme="minorHAnsi"/>
          <w:color w:val="C00000"/>
        </w:rPr>
      </w:pPr>
    </w:p>
    <w:p w14:paraId="026E2E32" w14:textId="77777777" w:rsidR="00A119C8" w:rsidRPr="006F7F1D" w:rsidRDefault="00A119C8" w:rsidP="00A119C8">
      <w:pPr>
        <w:pStyle w:val="Ttulo4"/>
        <w:rPr>
          <w:rFonts w:eastAsiaTheme="minorHAnsi"/>
        </w:rPr>
      </w:pPr>
      <w:r w:rsidRPr="006F7F1D">
        <w:rPr>
          <w:rFonts w:eastAsiaTheme="minorHAnsi"/>
        </w:rPr>
        <w:lastRenderedPageBreak/>
        <w:t>Regarding Key-element 4</w:t>
      </w:r>
    </w:p>
    <w:p w14:paraId="57EEE1F2" w14:textId="77777777" w:rsidR="00A119C8" w:rsidRPr="00ED6053" w:rsidRDefault="00A119C8" w:rsidP="00A119C8">
      <w:pPr>
        <w:pStyle w:val="TEXTBODY"/>
      </w:pPr>
      <w:r w:rsidRPr="006F7F1D">
        <w:t xml:space="preserve">In AP&amp;M approaches the monitoring and </w:t>
      </w:r>
      <w:proofErr w:type="spellStart"/>
      <w:r w:rsidRPr="006F7F1D">
        <w:t>reevaluation</w:t>
      </w:r>
      <w:proofErr w:type="spellEnd"/>
      <w:r w:rsidRPr="006F7F1D">
        <w:t xml:space="preserve"> system (M&amp;R) is developed to inform about measures that can be taken in response to new conditions and safeguards the “learning component” that ensures the dynamic robustness to uncertain futures and the flexibility to adapt to evolving conditions over time. The M&amp;R system defines indicators/ signposts that must be tracked to know e.g. whether the initial plan is currently achieving its goals and whether ATPs/ thresholds or any threats to the objectives are in sight, as well as trigger-vales (that signal the need to decide on or implement a new measure) (</w:t>
      </w:r>
      <w:proofErr w:type="spellStart"/>
      <w:r w:rsidRPr="006F7F1D">
        <w:rPr>
          <w:color w:val="7F7F7F" w:themeColor="text1" w:themeTint="80"/>
        </w:rPr>
        <w:t>Marchau</w:t>
      </w:r>
      <w:proofErr w:type="spellEnd"/>
      <w:r w:rsidRPr="006F7F1D">
        <w:rPr>
          <w:color w:val="7F7F7F" w:themeColor="text1" w:themeTint="80"/>
        </w:rPr>
        <w:t xml:space="preserve"> et al. 2019</w:t>
      </w:r>
      <w:r w:rsidRPr="006F7F1D">
        <w:t xml:space="preserve">). Moreover, the M&amp;E serves to regularly review or update plans over time </w:t>
      </w:r>
      <w:r w:rsidRPr="00ED6053">
        <w:t>based on emerging knowledge and ongoing changes. The definition of the M&amp;E, thus, makes adaptation over time explicit since the outset of plan’s formulation (</w:t>
      </w:r>
      <w:r w:rsidRPr="00ED6053">
        <w:rPr>
          <w:color w:val="7F7F7F" w:themeColor="text1" w:themeTint="80"/>
        </w:rPr>
        <w:t>Walker et al. 2001</w:t>
      </w:r>
      <w:r w:rsidRPr="00ED6053">
        <w:t xml:space="preserve">; </w:t>
      </w:r>
      <w:proofErr w:type="spellStart"/>
      <w:r w:rsidRPr="00ED6053">
        <w:rPr>
          <w:color w:val="7F7F7F" w:themeColor="text1" w:themeTint="80"/>
        </w:rPr>
        <w:t>Marchau</w:t>
      </w:r>
      <w:proofErr w:type="spellEnd"/>
      <w:r w:rsidRPr="00ED6053">
        <w:rPr>
          <w:color w:val="7F7F7F" w:themeColor="text1" w:themeTint="80"/>
        </w:rPr>
        <w:t xml:space="preserve"> et al. 2019</w:t>
      </w:r>
      <w:r w:rsidRPr="00ED6053">
        <w:t>). A well-designed M&amp;E system is a “condition sine qua non” for the implementation of an adaptive plan. An adaptive approach requires that “a system for the timely detection and interpretation of relevant signals has to be installed, and that the decision-making process has to be designed to translate these signals directly into suggestions for adjustments of policy frameworks, strategies, and plans at different levels of government” (</w:t>
      </w:r>
      <w:proofErr w:type="spellStart"/>
      <w:r w:rsidRPr="00ED6053">
        <w:rPr>
          <w:color w:val="7F7F7F" w:themeColor="text1" w:themeTint="80"/>
        </w:rPr>
        <w:t>Marchau</w:t>
      </w:r>
      <w:proofErr w:type="spellEnd"/>
      <w:r w:rsidRPr="00ED6053">
        <w:rPr>
          <w:color w:val="7F7F7F" w:themeColor="text1" w:themeTint="80"/>
        </w:rPr>
        <w:t xml:space="preserve"> et al. 2019, p.341</w:t>
      </w:r>
      <w:r w:rsidRPr="00ED6053">
        <w:t>). Monitoring is critical to realize adaptive plans (</w:t>
      </w:r>
      <w:proofErr w:type="spellStart"/>
      <w:r w:rsidRPr="00ED6053">
        <w:rPr>
          <w:color w:val="7F7F7F" w:themeColor="text1" w:themeTint="80"/>
        </w:rPr>
        <w:t>Marchau</w:t>
      </w:r>
      <w:proofErr w:type="spellEnd"/>
      <w:r w:rsidRPr="00ED6053">
        <w:rPr>
          <w:color w:val="7F7F7F" w:themeColor="text1" w:themeTint="80"/>
        </w:rPr>
        <w:t xml:space="preserve"> et al. 2019</w:t>
      </w:r>
      <w:r w:rsidRPr="00ED6053">
        <w:t>).</w:t>
      </w:r>
    </w:p>
    <w:p w14:paraId="025EDA16" w14:textId="77777777" w:rsidR="00A119C8" w:rsidRPr="00ED6053" w:rsidRDefault="00A119C8" w:rsidP="00A119C8">
      <w:pPr>
        <w:pStyle w:val="TEXTBODY"/>
      </w:pPr>
    </w:p>
    <w:p w14:paraId="0BE127F5" w14:textId="77777777" w:rsidR="00A119C8" w:rsidRPr="00ED6053" w:rsidRDefault="00A119C8" w:rsidP="00A119C8">
      <w:pPr>
        <w:pStyle w:val="TEXTBODY"/>
      </w:pPr>
      <w:r w:rsidRPr="00ED6053">
        <w:t xml:space="preserve">Since the outset, the TE2100 has defined a monitoring and review system, including key-indicators to be monitored and a method to calculate decision-points and implementation-points (dependent on thresholds, lead-time for building a measure, and monitoring results); and this system started to operate since the Plan’s publication in 2012. In the DP, a monitoring and evaluation system called “Monitoring, </w:t>
      </w:r>
      <w:proofErr w:type="spellStart"/>
      <w:r w:rsidRPr="00ED6053">
        <w:t>Analyzing</w:t>
      </w:r>
      <w:proofErr w:type="spellEnd"/>
      <w:r w:rsidRPr="00ED6053">
        <w:t xml:space="preserve">, </w:t>
      </w:r>
      <w:proofErr w:type="gramStart"/>
      <w:r w:rsidRPr="00ED6053">
        <w:t>Acting</w:t>
      </w:r>
      <w:proofErr w:type="gramEnd"/>
      <w:r w:rsidRPr="00ED6053">
        <w:t xml:space="preserve">” (MAA) was created from 2016 onwards and has been operating since 2017, the MAA also specifies indicators to be monitored. </w:t>
      </w:r>
    </w:p>
    <w:p w14:paraId="76C38AF8" w14:textId="2959ECDF" w:rsidR="00A119C8" w:rsidRPr="00ED6053" w:rsidRDefault="00A119C8" w:rsidP="00A119C8">
      <w:pPr>
        <w:pStyle w:val="TEXTBODY"/>
      </w:pPr>
      <w:r w:rsidRPr="006F7F1D">
        <w:t xml:space="preserve">In the </w:t>
      </w:r>
      <w:r w:rsidRPr="00ED6053">
        <w:t>TE2100, the M&amp;R system must inform a scheduled review and reassessment of the TE 2100 Plan every 10 years, with a mid-term review every 5 years. Similarly, the DP’s MAA system sets out a systematic review of all regional Strategies every 6 years, with an analysis every 12 years of practical experience and research findings to determine whether the new flood safety standards need to be revised (</w:t>
      </w:r>
      <w:r w:rsidRPr="00ED6053">
        <w:rPr>
          <w:color w:val="7F7F7F" w:themeColor="text1" w:themeTint="80"/>
        </w:rPr>
        <w:t>Bloemen et al. 2018, p.21</w:t>
      </w:r>
      <w:r w:rsidRPr="00ED6053">
        <w:t>).</w:t>
      </w:r>
    </w:p>
    <w:p w14:paraId="46B7457A" w14:textId="4D5958A9" w:rsidR="00A119C8" w:rsidRPr="00ED6053" w:rsidRDefault="00A119C8" w:rsidP="00A119C8">
      <w:pPr>
        <w:pStyle w:val="TEXTBODY"/>
      </w:pPr>
      <w:r w:rsidRPr="00ED6053">
        <w:t>The final TE2100 Plan explains how the timing of measures might need to be adjusted (changed) based on the monitoring of 10 key indicators (e.g. SLR, river flow, erosion rates). The results of the M&amp;R program must inform the scheduled 10-year reviews and re-appraisals of the TE2100 Plan, with an interim monitoring review conducted every 5 years (</w:t>
      </w:r>
      <w:r w:rsidRPr="00ED6053">
        <w:rPr>
          <w:color w:val="7F7F7F" w:themeColor="text1" w:themeTint="80"/>
        </w:rPr>
        <w:t>Bloemen et al. 2018, p.9</w:t>
      </w:r>
      <w:r w:rsidRPr="00ED6053">
        <w:t>). The TE2100 5-Year Monitoring Review provided in-depth information and insights into the monitoring of the 10 key indicators, e.g. it underlined the need to distinguish changes in indicator trends from natural variability, thus guiding subsequent research. This was the first monitoring review of an APs-based plan (</w:t>
      </w:r>
      <w:r w:rsidRPr="00ED6053">
        <w:rPr>
          <w:color w:val="7F7F7F" w:themeColor="text1" w:themeTint="80"/>
        </w:rPr>
        <w:t>Bloemen et al. 2018, p.6</w:t>
      </w:r>
      <w:r w:rsidRPr="00ED6053">
        <w:t>), demonstrating the value of the key-elements 4 and 5, and which are essential to operationalize an adaptive plan.</w:t>
      </w:r>
    </w:p>
    <w:p w14:paraId="7FF13D0C" w14:textId="77777777" w:rsidR="00A119C8" w:rsidRPr="006F7F1D" w:rsidRDefault="00A119C8" w:rsidP="00A119C8">
      <w:pPr>
        <w:pStyle w:val="TEXTBODY"/>
        <w:rPr>
          <w:color w:val="C00000"/>
        </w:rPr>
      </w:pPr>
    </w:p>
    <w:p w14:paraId="64BFEC7E" w14:textId="77777777" w:rsidR="00A119C8" w:rsidRPr="006F7F1D" w:rsidRDefault="00A119C8" w:rsidP="00A119C8">
      <w:pPr>
        <w:pStyle w:val="TEXTBODY"/>
        <w:rPr>
          <w:rFonts w:eastAsiaTheme="majorEastAsia"/>
        </w:rPr>
      </w:pPr>
      <w:r w:rsidRPr="006F7F1D">
        <w:t>In the DP, the monitoring and reassessment have been challenged by difficulties in detecting trends for certain variables, though offering valuable insights for advancing AP&amp;M approaches in dynamic coastal environments (</w:t>
      </w:r>
      <w:proofErr w:type="spellStart"/>
      <w:r w:rsidRPr="006F7F1D">
        <w:rPr>
          <w:color w:val="7F7F7F" w:themeColor="text1" w:themeTint="80"/>
        </w:rPr>
        <w:t>Jeuken</w:t>
      </w:r>
      <w:proofErr w:type="spellEnd"/>
      <w:r w:rsidRPr="006F7F1D">
        <w:rPr>
          <w:color w:val="7F7F7F" w:themeColor="text1" w:themeTint="80"/>
        </w:rPr>
        <w:t xml:space="preserve"> et al. 2014</w:t>
      </w:r>
      <w:r w:rsidRPr="006F7F1D">
        <w:t xml:space="preserve">). </w:t>
      </w:r>
      <w:r w:rsidRPr="006F7F1D">
        <w:rPr>
          <w:rFonts w:eastAsiaTheme="majorEastAsia"/>
        </w:rPr>
        <w:t>In the DP of the major difficulties was defining the right (adequate) parameters / indicators that could be monitored / tracked (and that clearly signal when it is time to take a new measure, based on a prior decision). While this works well for gradual, slowly changing parameters (like SLR for other factors (like river discharge, which is characterized by high natural variability) the identification of tipping-points and trigger-values is quite more complicated (</w:t>
      </w:r>
      <w:proofErr w:type="spellStart"/>
      <w:r w:rsidRPr="006F7F1D">
        <w:rPr>
          <w:rFonts w:eastAsiaTheme="majorEastAsia"/>
          <w:color w:val="7F7F7F" w:themeColor="text1" w:themeTint="80"/>
        </w:rPr>
        <w:t>Restemeyer</w:t>
      </w:r>
      <w:proofErr w:type="spellEnd"/>
      <w:r w:rsidRPr="006F7F1D">
        <w:rPr>
          <w:rFonts w:eastAsiaTheme="majorEastAsia"/>
          <w:color w:val="7F7F7F" w:themeColor="text1" w:themeTint="80"/>
        </w:rPr>
        <w:t xml:space="preserve"> et al. 2017, p.931</w:t>
      </w:r>
      <w:r w:rsidRPr="006F7F1D">
        <w:rPr>
          <w:rFonts w:eastAsiaTheme="majorEastAsia"/>
        </w:rPr>
        <w:t>).</w:t>
      </w:r>
    </w:p>
    <w:p w14:paraId="31E096C9" w14:textId="77777777" w:rsidR="00A119C8" w:rsidRPr="006F7F1D" w:rsidRDefault="00A119C8" w:rsidP="00A119C8">
      <w:pPr>
        <w:pStyle w:val="TEXTBODY"/>
        <w:rPr>
          <w:rFonts w:eastAsiaTheme="majorEastAsia"/>
        </w:rPr>
      </w:pPr>
      <w:r w:rsidRPr="006F7F1D">
        <w:rPr>
          <w:rFonts w:eastAsiaTheme="majorEastAsia"/>
        </w:rPr>
        <w:t>River discharge, unlike SLR, can gradually increase for a period before decreasing again, fluctuating without a clear pattern. In practice, identifying signals of climate change in river discharge through monitoring is considered nearly impossible due to its high natural variability. As a result, the DP opted to assume a fixed river discharge (17,000 m³/s by 2050 and 18,000 m³/s by 2100). While the DP staff acknowledges that this contradicts the notion of flexibility: as it is not possible to rely on monitoring, decisions are based on “artificially fixed' worst-case future conditions” (</w:t>
      </w:r>
      <w:proofErr w:type="spellStart"/>
      <w:r w:rsidRPr="006F7F1D">
        <w:rPr>
          <w:rFonts w:eastAsiaTheme="majorEastAsia"/>
          <w:color w:val="7F7F7F" w:themeColor="text1" w:themeTint="80"/>
        </w:rPr>
        <w:t>Restemeyer</w:t>
      </w:r>
      <w:proofErr w:type="spellEnd"/>
      <w:r w:rsidRPr="006F7F1D">
        <w:rPr>
          <w:rFonts w:eastAsiaTheme="majorEastAsia"/>
          <w:color w:val="7F7F7F" w:themeColor="text1" w:themeTint="80"/>
        </w:rPr>
        <w:t xml:space="preserve"> et al. 2017, p.931</w:t>
      </w:r>
      <w:r w:rsidRPr="006F7F1D">
        <w:rPr>
          <w:rFonts w:eastAsiaTheme="majorEastAsia"/>
        </w:rPr>
        <w:t>).</w:t>
      </w:r>
    </w:p>
    <w:p w14:paraId="10055DE9" w14:textId="77777777" w:rsidR="00A119C8" w:rsidRPr="006F7F1D" w:rsidRDefault="00A119C8" w:rsidP="00A119C8">
      <w:pPr>
        <w:pStyle w:val="TEXTBODY"/>
      </w:pPr>
      <w:r w:rsidRPr="006F7F1D">
        <w:lastRenderedPageBreak/>
        <w:t>In the DP case, a “Signal Group” has been tasked with providing information on developments and potential tipping points. The group includes knowledge institutes specialized in water, spatial planning, and climate. It reports on developments in three areas: “knowledge and innovation”, “climate change and socioeconomic developments”, and “societal preferences” (</w:t>
      </w:r>
      <w:r w:rsidRPr="006F7F1D">
        <w:rPr>
          <w:color w:val="7F7F7F" w:themeColor="text1" w:themeTint="80"/>
        </w:rPr>
        <w:t>Bloemen et al. 2018, p.10</w:t>
      </w:r>
      <w:r w:rsidRPr="006F7F1D">
        <w:t>).</w:t>
      </w:r>
    </w:p>
    <w:p w14:paraId="38F072A9" w14:textId="77777777" w:rsidR="00A119C8" w:rsidRPr="006F7F1D" w:rsidRDefault="00A119C8" w:rsidP="00A119C8">
      <w:pPr>
        <w:pStyle w:val="TEXTBODY"/>
      </w:pPr>
      <w:r w:rsidRPr="00DE0F6C">
        <w:t>The implementation of the</w:t>
      </w:r>
      <w:r w:rsidRPr="006F7F1D">
        <w:t xml:space="preserve"> </w:t>
      </w:r>
      <w:r w:rsidRPr="00DE0F6C">
        <w:t xml:space="preserve">MAA system within the </w:t>
      </w:r>
      <w:r w:rsidRPr="006F7F1D">
        <w:t>DP</w:t>
      </w:r>
      <w:r w:rsidRPr="00DE0F6C">
        <w:t xml:space="preserve"> reflects an effort to </w:t>
      </w:r>
      <w:r w:rsidRPr="006F7F1D">
        <w:t xml:space="preserve">rethink and </w:t>
      </w:r>
      <w:r w:rsidRPr="00DE0F6C">
        <w:t xml:space="preserve">tailor monitoring and evaluation (to address deep uncertainties and support adaptive approaches. </w:t>
      </w:r>
      <w:r w:rsidRPr="006F7F1D">
        <w:t>Since it started to operate (2017) and until 2019,</w:t>
      </w:r>
      <w:r w:rsidRPr="00DE0F6C">
        <w:t xml:space="preserve"> several key insights and challenges have emerged:</w:t>
      </w:r>
    </w:p>
    <w:p w14:paraId="7B6B8E04" w14:textId="77777777" w:rsidR="00A119C8" w:rsidRPr="00ED6053" w:rsidRDefault="00A119C8" w:rsidP="00336A37">
      <w:pPr>
        <w:pStyle w:val="TEXTBODY"/>
        <w:numPr>
          <w:ilvl w:val="0"/>
          <w:numId w:val="94"/>
        </w:numPr>
        <w:spacing w:after="0" w:line="276" w:lineRule="auto"/>
      </w:pPr>
      <w:r w:rsidRPr="00DE0F6C">
        <w:t xml:space="preserve">The MAA </w:t>
      </w:r>
      <w:r w:rsidRPr="006F7F1D">
        <w:t>has promoted</w:t>
      </w:r>
      <w:r w:rsidRPr="00DE0F6C">
        <w:t xml:space="preserve"> technical and </w:t>
      </w:r>
      <w:r w:rsidRPr="00ED6053">
        <w:t>strategic learning through annual and six-yearly reviews, which are closely tied to its information-collection and discussion procedures. Concentrating on a limited number of core questions has effectively engaged policymakers, researchers, and steering groups at both national and regional level. However, the process of gathering data and discussing findings has highlighted differing perspectives among stakeholders due to distributed responsibilities.</w:t>
      </w:r>
    </w:p>
    <w:p w14:paraId="68341A60" w14:textId="77777777" w:rsidR="00A119C8" w:rsidRPr="00ED6053" w:rsidRDefault="00A119C8" w:rsidP="00336A37">
      <w:pPr>
        <w:pStyle w:val="TEXTBODY"/>
        <w:numPr>
          <w:ilvl w:val="0"/>
          <w:numId w:val="94"/>
        </w:numPr>
        <w:spacing w:after="0" w:line="276" w:lineRule="auto"/>
      </w:pPr>
      <w:r w:rsidRPr="00ED6053">
        <w:t>The outputs of the MAA system need to better support decision-making at the regional level, as regional subprogrammes provide critical information on implementation processes.</w:t>
      </w:r>
    </w:p>
    <w:p w14:paraId="31E4B682" w14:textId="77777777" w:rsidR="00A119C8" w:rsidRPr="00ED6053" w:rsidRDefault="00A119C8" w:rsidP="00336A37">
      <w:pPr>
        <w:pStyle w:val="TEXTBODY"/>
        <w:numPr>
          <w:ilvl w:val="0"/>
          <w:numId w:val="94"/>
        </w:numPr>
        <w:spacing w:after="0" w:line="276" w:lineRule="auto"/>
      </w:pPr>
      <w:r w:rsidRPr="00ED6053">
        <w:t>The initial planning of the MAA system proved to be too ambitious, some of its parts were still being developed in 2019.</w:t>
      </w:r>
    </w:p>
    <w:p w14:paraId="2E3A66B4" w14:textId="77777777" w:rsidR="00A119C8" w:rsidRPr="00ED6053" w:rsidRDefault="00A119C8" w:rsidP="00336A37">
      <w:pPr>
        <w:pStyle w:val="TEXTBODY"/>
        <w:numPr>
          <w:ilvl w:val="0"/>
          <w:numId w:val="94"/>
        </w:numPr>
        <w:spacing w:after="0" w:line="276" w:lineRule="auto"/>
      </w:pPr>
      <w:r w:rsidRPr="00ED6053">
        <w:t>It is necessary to clarify and refine outcome criteria to evaluating whether implemented and planned measures meet the DP’s goals. This requires further research, and elaboration of the objectives to enable meaningful outcome assessments.</w:t>
      </w:r>
    </w:p>
    <w:p w14:paraId="1182DA31" w14:textId="270F396A" w:rsidR="00A119C8" w:rsidRPr="00ED6053" w:rsidRDefault="00A119C8" w:rsidP="00336A37">
      <w:pPr>
        <w:pStyle w:val="TEXTBODY"/>
        <w:numPr>
          <w:ilvl w:val="0"/>
          <w:numId w:val="94"/>
        </w:numPr>
        <w:spacing w:after="0" w:line="276" w:lineRule="auto"/>
      </w:pPr>
      <w:r w:rsidRPr="00ED6053">
        <w:t>Consideration is needed to better align criteria that are directly measurable with those that rely on model</w:t>
      </w:r>
      <w:r w:rsidR="00ED6053">
        <w:t>l</w:t>
      </w:r>
      <w:r w:rsidRPr="00ED6053">
        <w:t>ing (</w:t>
      </w:r>
      <w:proofErr w:type="spellStart"/>
      <w:r w:rsidRPr="00ED6053">
        <w:rPr>
          <w:color w:val="7F7F7F" w:themeColor="text1" w:themeTint="80"/>
        </w:rPr>
        <w:t>Marchau</w:t>
      </w:r>
      <w:proofErr w:type="spellEnd"/>
      <w:r w:rsidRPr="00ED6053">
        <w:rPr>
          <w:color w:val="7F7F7F" w:themeColor="text1" w:themeTint="80"/>
        </w:rPr>
        <w:t xml:space="preserve"> et al. 2019, p.347</w:t>
      </w:r>
      <w:r w:rsidRPr="00ED6053">
        <w:t>).</w:t>
      </w:r>
    </w:p>
    <w:p w14:paraId="63F93243" w14:textId="77777777" w:rsidR="00A119C8" w:rsidRPr="006F7F1D" w:rsidRDefault="00A119C8" w:rsidP="00A119C8">
      <w:pPr>
        <w:pStyle w:val="TEXTBODY"/>
        <w:rPr>
          <w:rFonts w:eastAsiaTheme="majorEastAsia"/>
        </w:rPr>
      </w:pPr>
      <w:r w:rsidRPr="00ED6053">
        <w:t>In the DP case, until 2014/2015, the</w:t>
      </w:r>
      <w:r w:rsidRPr="006F7F1D">
        <w:rPr>
          <w:b/>
          <w:bCs/>
        </w:rPr>
        <w:t xml:space="preserve"> </w:t>
      </w:r>
      <w:r w:rsidRPr="006F7F1D">
        <w:rPr>
          <w:rFonts w:eastAsiaTheme="majorEastAsia"/>
        </w:rPr>
        <w:t xml:space="preserve">capacity to adjust (adapt) based on new insights was still quite underdeveloped in the governance process of the DP. The ‘Delta Decisions’ were created in a quite linear filtering process. </w:t>
      </w:r>
      <w:r w:rsidRPr="00ED6053">
        <w:rPr>
          <w:rFonts w:eastAsiaTheme="majorEastAsia"/>
        </w:rPr>
        <w:t>Only later, between 2016 and 2018, the DP has set out its monitoring and evaluation system, clarifying what will happen if the underlying assumptions change, and explaining how monitoring will inform and allow learning from monitoring results and policy adjustment (and defining how these feedback moments might occur, in line with the ADM approach) (</w:t>
      </w:r>
      <w:proofErr w:type="spellStart"/>
      <w:r w:rsidRPr="00ED6053">
        <w:rPr>
          <w:rFonts w:eastAsiaTheme="majorEastAsia"/>
          <w:color w:val="7F7F7F" w:themeColor="text1" w:themeTint="80"/>
        </w:rPr>
        <w:t>Restemeyer</w:t>
      </w:r>
      <w:proofErr w:type="spellEnd"/>
      <w:r w:rsidRPr="00ED6053">
        <w:rPr>
          <w:rFonts w:eastAsiaTheme="majorEastAsia"/>
          <w:color w:val="7F7F7F" w:themeColor="text1" w:themeTint="80"/>
        </w:rPr>
        <w:t xml:space="preserve"> et al. 2017, p.929</w:t>
      </w:r>
      <w:r w:rsidRPr="00ED6053">
        <w:rPr>
          <w:rFonts w:eastAsiaTheme="majorEastAsia"/>
        </w:rPr>
        <w:t>).</w:t>
      </w:r>
    </w:p>
    <w:p w14:paraId="6A0A1179" w14:textId="77777777" w:rsidR="00A119C8" w:rsidRPr="006F7F1D" w:rsidRDefault="00A119C8" w:rsidP="00A119C8">
      <w:pPr>
        <w:pStyle w:val="TEXTBODY"/>
        <w:rPr>
          <w:rFonts w:eastAsiaTheme="majorEastAsia"/>
        </w:rPr>
      </w:pPr>
      <w:r w:rsidRPr="006F7F1D">
        <w:rPr>
          <w:rFonts w:eastAsiaTheme="majorEastAsia"/>
        </w:rPr>
        <w:t>The DP was predominantly government- and expert-driven; it heavily relied on expert knowledge from the water sector, with minimal involvement from local stakeholders and citizens. As a result, the approach remained largely technocratic in nature (</w:t>
      </w:r>
      <w:r w:rsidRPr="006F7F1D">
        <w:rPr>
          <w:rFonts w:eastAsiaTheme="majorEastAsia"/>
          <w:color w:val="7F7F7F" w:themeColor="text1" w:themeTint="80"/>
        </w:rPr>
        <w:t xml:space="preserve">Van Buuren 2013; </w:t>
      </w:r>
      <w:proofErr w:type="spellStart"/>
      <w:r w:rsidRPr="006F7F1D">
        <w:rPr>
          <w:rFonts w:eastAsiaTheme="majorEastAsia"/>
          <w:color w:val="7F7F7F" w:themeColor="text1" w:themeTint="80"/>
        </w:rPr>
        <w:t>Restemeyer</w:t>
      </w:r>
      <w:proofErr w:type="spellEnd"/>
      <w:r w:rsidRPr="006F7F1D">
        <w:rPr>
          <w:rFonts w:eastAsiaTheme="majorEastAsia"/>
          <w:color w:val="7F7F7F" w:themeColor="text1" w:themeTint="80"/>
        </w:rPr>
        <w:t xml:space="preserve"> et al. 2017, p.929</w:t>
      </w:r>
      <w:r w:rsidRPr="006F7F1D">
        <w:rPr>
          <w:rFonts w:eastAsiaTheme="majorEastAsia"/>
        </w:rPr>
        <w:t>).</w:t>
      </w:r>
    </w:p>
    <w:p w14:paraId="1F4D46B2" w14:textId="77777777" w:rsidR="00A119C8" w:rsidRPr="006F7F1D" w:rsidRDefault="00A119C8" w:rsidP="00A119C8">
      <w:pPr>
        <w:pStyle w:val="TEXTBODY"/>
      </w:pPr>
      <w:r w:rsidRPr="00ED6053">
        <w:rPr>
          <w:rFonts w:eastAsiaTheme="majorEastAsia"/>
        </w:rPr>
        <w:t xml:space="preserve">In the DP case, the “institutionalization” of the monitoring system only occurred between 2016-2018, including the definition of what to monitor, who should review the results, and determining when to </w:t>
      </w:r>
      <w:proofErr w:type="gramStart"/>
      <w:r w:rsidRPr="00ED6053">
        <w:rPr>
          <w:rFonts w:eastAsiaTheme="majorEastAsia"/>
        </w:rPr>
        <w:t>take action</w:t>
      </w:r>
      <w:proofErr w:type="gramEnd"/>
      <w:r w:rsidRPr="00ED6053">
        <w:rPr>
          <w:rFonts w:eastAsiaTheme="majorEastAsia"/>
        </w:rPr>
        <w:t xml:space="preserve">. </w:t>
      </w:r>
      <w:r w:rsidRPr="006F7F1D">
        <w:rPr>
          <w:rFonts w:eastAsiaTheme="majorEastAsia"/>
        </w:rPr>
        <w:t xml:space="preserve">To address the dilemma between adaptability and the urge to control, </w:t>
      </w:r>
      <w:proofErr w:type="spellStart"/>
      <w:r w:rsidRPr="00ED6053">
        <w:rPr>
          <w:rFonts w:eastAsiaTheme="majorEastAsia"/>
          <w:color w:val="7F7F7F" w:themeColor="text1" w:themeTint="80"/>
        </w:rPr>
        <w:t>Restemeyer</w:t>
      </w:r>
      <w:proofErr w:type="spellEnd"/>
      <w:r w:rsidRPr="00ED6053">
        <w:rPr>
          <w:rFonts w:eastAsiaTheme="majorEastAsia"/>
          <w:color w:val="7F7F7F" w:themeColor="text1" w:themeTint="80"/>
        </w:rPr>
        <w:t xml:space="preserve"> et al. </w:t>
      </w:r>
      <w:r w:rsidRPr="006F7F1D">
        <w:rPr>
          <w:rFonts w:eastAsiaTheme="majorEastAsia"/>
        </w:rPr>
        <w:t xml:space="preserve">propose a greater emphasis on monitoring and </w:t>
      </w:r>
      <w:proofErr w:type="gramStart"/>
      <w:r w:rsidRPr="006F7F1D">
        <w:rPr>
          <w:rFonts w:eastAsiaTheme="majorEastAsia"/>
        </w:rPr>
        <w:t>learning, and</w:t>
      </w:r>
      <w:proofErr w:type="gramEnd"/>
      <w:r w:rsidRPr="006F7F1D">
        <w:rPr>
          <w:rFonts w:eastAsiaTheme="majorEastAsia"/>
        </w:rPr>
        <w:t xml:space="preserve"> assessing both current practices and external developments (</w:t>
      </w:r>
      <w:proofErr w:type="spellStart"/>
      <w:r w:rsidRPr="006F7F1D">
        <w:rPr>
          <w:rFonts w:eastAsiaTheme="majorEastAsia"/>
          <w:color w:val="7F7F7F" w:themeColor="text1" w:themeTint="80"/>
        </w:rPr>
        <w:t>Restemeyer</w:t>
      </w:r>
      <w:proofErr w:type="spellEnd"/>
      <w:r w:rsidRPr="006F7F1D">
        <w:rPr>
          <w:rFonts w:eastAsiaTheme="majorEastAsia"/>
          <w:color w:val="7F7F7F" w:themeColor="text1" w:themeTint="80"/>
        </w:rPr>
        <w:t xml:space="preserve"> et al. 2017, p.935</w:t>
      </w:r>
      <w:r w:rsidRPr="006F7F1D">
        <w:rPr>
          <w:rFonts w:eastAsiaTheme="majorEastAsia"/>
        </w:rPr>
        <w:t>). For these authors, i</w:t>
      </w:r>
      <w:r w:rsidRPr="00ED6053">
        <w:rPr>
          <w:rFonts w:eastAsiaTheme="majorEastAsia"/>
        </w:rPr>
        <w:t>t is essential to consider and incorporate learning and monitoring into the policy planning process, before strategies are developed</w:t>
      </w:r>
      <w:r w:rsidRPr="006F7F1D">
        <w:rPr>
          <w:rFonts w:eastAsiaTheme="majorEastAsia"/>
        </w:rPr>
        <w:t xml:space="preserve"> (</w:t>
      </w:r>
      <w:proofErr w:type="spellStart"/>
      <w:r w:rsidRPr="006F7F1D">
        <w:rPr>
          <w:rFonts w:eastAsiaTheme="majorEastAsia"/>
          <w:color w:val="7F7F7F" w:themeColor="text1" w:themeTint="80"/>
        </w:rPr>
        <w:t>Restemeyer</w:t>
      </w:r>
      <w:proofErr w:type="spellEnd"/>
      <w:r w:rsidRPr="006F7F1D">
        <w:rPr>
          <w:rFonts w:eastAsiaTheme="majorEastAsia"/>
          <w:color w:val="7F7F7F" w:themeColor="text1" w:themeTint="80"/>
        </w:rPr>
        <w:t xml:space="preserve"> et al. 2017, p.936</w:t>
      </w:r>
      <w:r w:rsidRPr="006F7F1D">
        <w:rPr>
          <w:rFonts w:eastAsiaTheme="majorEastAsia"/>
        </w:rPr>
        <w:t>).</w:t>
      </w:r>
    </w:p>
    <w:p w14:paraId="729DD82D" w14:textId="77777777" w:rsidR="00A119C8" w:rsidRPr="006F7F1D" w:rsidRDefault="00A119C8" w:rsidP="00A119C8">
      <w:pPr>
        <w:pStyle w:val="TEXTBODY"/>
        <w:rPr>
          <w:rFonts w:eastAsiaTheme="minorHAnsi"/>
          <w:color w:val="C00000"/>
        </w:rPr>
      </w:pPr>
    </w:p>
    <w:p w14:paraId="2C7B3B6C" w14:textId="77777777" w:rsidR="00A119C8" w:rsidRPr="006F7F1D" w:rsidRDefault="00A119C8" w:rsidP="00A119C8">
      <w:pPr>
        <w:pStyle w:val="Ttulo4"/>
        <w:rPr>
          <w:rFonts w:eastAsiaTheme="minorHAnsi"/>
        </w:rPr>
      </w:pPr>
      <w:r w:rsidRPr="006F7F1D">
        <w:rPr>
          <w:rFonts w:eastAsiaTheme="minorHAnsi"/>
        </w:rPr>
        <w:t>Regarding Key-element 5</w:t>
      </w:r>
    </w:p>
    <w:p w14:paraId="0EA3687E" w14:textId="1C64F17A" w:rsidR="00A119C8" w:rsidRPr="006F7F1D" w:rsidRDefault="00A119C8" w:rsidP="00A119C8">
      <w:pPr>
        <w:pStyle w:val="TEXTBODY"/>
        <w:rPr>
          <w:b/>
          <w:bCs/>
          <w:color w:val="C00000"/>
        </w:rPr>
      </w:pPr>
      <w:r w:rsidRPr="006F7F1D">
        <w:t xml:space="preserve">Implementing adaptive plans requires a </w:t>
      </w:r>
      <w:r w:rsidRPr="006F7F1D">
        <w:rPr>
          <w:u w:val="single"/>
        </w:rPr>
        <w:t>decision-making process</w:t>
      </w:r>
      <w:r w:rsidRPr="006F7F1D">
        <w:t xml:space="preserve"> that directly links the output of the M&amp;E system to the prior steps of the process (</w:t>
      </w:r>
      <w:proofErr w:type="spellStart"/>
      <w:r w:rsidRPr="006F7F1D">
        <w:rPr>
          <w:color w:val="7F7F7F" w:themeColor="text1" w:themeTint="80"/>
        </w:rPr>
        <w:t>Marchau</w:t>
      </w:r>
      <w:proofErr w:type="spellEnd"/>
      <w:r w:rsidRPr="006F7F1D">
        <w:rPr>
          <w:color w:val="7F7F7F" w:themeColor="text1" w:themeTint="80"/>
        </w:rPr>
        <w:t xml:space="preserve"> et al. 2019, p.321</w:t>
      </w:r>
      <w:r w:rsidRPr="006F7F1D">
        <w:t xml:space="preserve">). An adaptive plan based on formal review and ongoing learning will ideally evolve in response to </w:t>
      </w:r>
      <w:r w:rsidRPr="00ED6053">
        <w:t>some predefined triggers but also as stakeholders’ values, interests and preferences evolve over time (</w:t>
      </w:r>
      <w:proofErr w:type="spellStart"/>
      <w:r w:rsidRPr="00ED6053">
        <w:rPr>
          <w:color w:val="7F7F7F" w:themeColor="text1" w:themeTint="80"/>
        </w:rPr>
        <w:t>Marchau</w:t>
      </w:r>
      <w:proofErr w:type="spellEnd"/>
      <w:r w:rsidRPr="00ED6053">
        <w:rPr>
          <w:color w:val="7F7F7F" w:themeColor="text1" w:themeTint="80"/>
        </w:rPr>
        <w:t xml:space="preserve"> et al. 2019, p.147</w:t>
      </w:r>
      <w:r w:rsidRPr="00ED6053">
        <w:t>). Moreover, all AP&amp;M approaches organize a decision</w:t>
      </w:r>
      <w:r w:rsidR="00ED6053">
        <w:t>-</w:t>
      </w:r>
      <w:r w:rsidRPr="00ED6053">
        <w:t>making process that is devised to adapt the plan based on evolving conditions (</w:t>
      </w:r>
      <w:proofErr w:type="spellStart"/>
      <w:r w:rsidRPr="00ED6053">
        <w:rPr>
          <w:color w:val="7F7F7F" w:themeColor="text1" w:themeTint="80"/>
        </w:rPr>
        <w:t>Marchau</w:t>
      </w:r>
      <w:proofErr w:type="spellEnd"/>
      <w:r w:rsidRPr="00ED6053">
        <w:rPr>
          <w:color w:val="7F7F7F" w:themeColor="text1" w:themeTint="80"/>
        </w:rPr>
        <w:t xml:space="preserve"> et al. 2019, p.394-395</w:t>
      </w:r>
      <w:r w:rsidRPr="00ED6053">
        <w:t xml:space="preserve">), making </w:t>
      </w:r>
      <w:r w:rsidRPr="00ED6053">
        <w:rPr>
          <w:i/>
          <w:iCs/>
        </w:rPr>
        <w:t>adaptations explicit at the outset of plan design</w:t>
      </w:r>
      <w:r w:rsidRPr="00ED6053">
        <w:t xml:space="preserve"> (</w:t>
      </w:r>
      <w:proofErr w:type="spellStart"/>
      <w:r w:rsidRPr="00ED6053">
        <w:rPr>
          <w:color w:val="7F7F7F" w:themeColor="text1" w:themeTint="80"/>
        </w:rPr>
        <w:t>Marchau</w:t>
      </w:r>
      <w:proofErr w:type="spellEnd"/>
      <w:r w:rsidRPr="00ED6053">
        <w:rPr>
          <w:color w:val="7F7F7F" w:themeColor="text1" w:themeTint="80"/>
        </w:rPr>
        <w:t xml:space="preserve"> et al. 2019, p.66-67</w:t>
      </w:r>
      <w:r w:rsidRPr="00ED6053">
        <w:t>). In this sense, AP&amp;M approaches imply repeating multiple iterations of their main steps over time</w:t>
      </w:r>
      <w:r w:rsidRPr="00ED6053">
        <w:rPr>
          <w:i/>
          <w:iCs/>
        </w:rPr>
        <w:t xml:space="preserve"> </w:t>
      </w:r>
      <w:r w:rsidRPr="00ED6053">
        <w:t>(</w:t>
      </w:r>
      <w:proofErr w:type="spellStart"/>
      <w:r w:rsidRPr="00ED6053">
        <w:rPr>
          <w:color w:val="7F7F7F" w:themeColor="text1" w:themeTint="80"/>
        </w:rPr>
        <w:t>Marchau</w:t>
      </w:r>
      <w:proofErr w:type="spellEnd"/>
      <w:r w:rsidRPr="00ED6053">
        <w:rPr>
          <w:color w:val="7F7F7F" w:themeColor="text1" w:themeTint="80"/>
        </w:rPr>
        <w:t xml:space="preserve"> et al. 2019, p.147</w:t>
      </w:r>
      <w:r w:rsidRPr="00ED6053">
        <w:t>).</w:t>
      </w:r>
      <w:r w:rsidRPr="006F7F1D">
        <w:rPr>
          <w:b/>
          <w:bCs/>
          <w:color w:val="C00000"/>
        </w:rPr>
        <w:t xml:space="preserve"> </w:t>
      </w:r>
    </w:p>
    <w:p w14:paraId="2DEC5D7A" w14:textId="77777777" w:rsidR="00A119C8" w:rsidRPr="006F7F1D" w:rsidRDefault="00A119C8" w:rsidP="00A119C8">
      <w:pPr>
        <w:pStyle w:val="TEXTBODY"/>
        <w:rPr>
          <w:b/>
          <w:bCs/>
          <w:color w:val="C00000"/>
        </w:rPr>
      </w:pPr>
    </w:p>
    <w:p w14:paraId="5FCAD188" w14:textId="77777777" w:rsidR="00A119C8" w:rsidRPr="006F7F1D" w:rsidRDefault="00A119C8" w:rsidP="00A119C8">
      <w:pPr>
        <w:pStyle w:val="TEXTBODY"/>
      </w:pPr>
      <w:r w:rsidRPr="006F7F1D">
        <w:rPr>
          <w:b/>
          <w:bCs/>
        </w:rPr>
        <w:t xml:space="preserve">Need </w:t>
      </w:r>
      <w:r>
        <w:rPr>
          <w:b/>
          <w:bCs/>
        </w:rPr>
        <w:t>for</w:t>
      </w:r>
      <w:r w:rsidRPr="006F7F1D">
        <w:rPr>
          <w:b/>
          <w:bCs/>
        </w:rPr>
        <w:t xml:space="preserve"> periodically updating the adaptation pathways. </w:t>
      </w:r>
      <w:r w:rsidRPr="006F7F1D">
        <w:t>Another key point identified is the need for regular updates of the pathways: adaptation pathways are not set in stone (fixed); their adaptations might occur according to updates to acceptable risk levels and, thus, they must be reassessed over time, instead of relying on an approach that establishes rigid (inflexible) standards (</w:t>
      </w:r>
      <w:r w:rsidRPr="006F7F1D">
        <w:rPr>
          <w:color w:val="7F7F7F" w:themeColor="text1" w:themeTint="80"/>
        </w:rPr>
        <w:t>Bloemen et al. 2018, p.19</w:t>
      </w:r>
      <w:r w:rsidRPr="006F7F1D">
        <w:t>).</w:t>
      </w:r>
    </w:p>
    <w:p w14:paraId="02D541CD" w14:textId="77777777" w:rsidR="00A119C8" w:rsidRPr="00ED6053" w:rsidRDefault="00A119C8" w:rsidP="00A119C8">
      <w:pPr>
        <w:pStyle w:val="TEXTBODY"/>
      </w:pPr>
      <w:r w:rsidRPr="006F7F1D">
        <w:lastRenderedPageBreak/>
        <w:t xml:space="preserve">This has been effectively ensured </w:t>
      </w:r>
      <w:r w:rsidRPr="00ED6053">
        <w:t>in the TE2100 case: new versions of its route-map have been issued since 2012, with new (Figure 3). In the DP case, despite its annual reports, the maps of the PS and DD have not been updated since 2014 (up until DP2023).</w:t>
      </w:r>
    </w:p>
    <w:p w14:paraId="4A49FE75" w14:textId="3E28CA4F" w:rsidR="00A119C8" w:rsidRPr="00C97BDA" w:rsidRDefault="00A119C8" w:rsidP="00A119C8">
      <w:pPr>
        <w:pStyle w:val="TEXTBODY"/>
        <w:rPr>
          <w:color w:val="C00000"/>
          <w:szCs w:val="18"/>
        </w:rPr>
      </w:pPr>
      <w:r w:rsidRPr="007D729B">
        <w:rPr>
          <w:szCs w:val="24"/>
        </w:rPr>
        <w:t xml:space="preserve">A </w:t>
      </w:r>
      <w:r w:rsidRPr="00ED6053">
        <w:rPr>
          <w:szCs w:val="24"/>
        </w:rPr>
        <w:t>study on the governance of the DP, following the release of the DP2014 (for 2015), concluded that ADM and the use of adaptation pathways are key outcomes of the DP. Among the top three "core qualities" of the DP, which must be maintained in the next phases, are shared ownership, coherence, and adaptivity. Several organizations, including research institutes, emphasized the importance of preserving the adaptive nature of the DP during the implementation and subsequent phases (</w:t>
      </w:r>
      <w:r w:rsidRPr="00ED6053">
        <w:rPr>
          <w:color w:val="7F7F7F" w:themeColor="text1" w:themeTint="80"/>
          <w:szCs w:val="24"/>
        </w:rPr>
        <w:t xml:space="preserve">van Buuren and </w:t>
      </w:r>
      <w:proofErr w:type="spellStart"/>
      <w:r w:rsidRPr="00ED6053">
        <w:rPr>
          <w:color w:val="7F7F7F" w:themeColor="text1" w:themeTint="80"/>
          <w:szCs w:val="24"/>
        </w:rPr>
        <w:t>Teisman</w:t>
      </w:r>
      <w:proofErr w:type="spellEnd"/>
      <w:r w:rsidRPr="00ED6053">
        <w:rPr>
          <w:color w:val="7F7F7F" w:themeColor="text1" w:themeTint="80"/>
          <w:szCs w:val="24"/>
        </w:rPr>
        <w:t xml:space="preserve"> 2014</w:t>
      </w:r>
      <w:r w:rsidR="00ED6053">
        <w:rPr>
          <w:szCs w:val="24"/>
        </w:rPr>
        <w:t>,</w:t>
      </w:r>
      <w:r w:rsidRPr="00ED6053">
        <w:rPr>
          <w:i/>
          <w:iCs/>
          <w:szCs w:val="24"/>
        </w:rPr>
        <w:t xml:space="preserve"> in</w:t>
      </w:r>
      <w:r w:rsidRPr="00ED6053">
        <w:rPr>
          <w:szCs w:val="24"/>
        </w:rPr>
        <w:t xml:space="preserve"> </w:t>
      </w:r>
      <w:r w:rsidRPr="00ED6053">
        <w:rPr>
          <w:color w:val="7F7F7F" w:themeColor="text1" w:themeTint="80"/>
          <w:szCs w:val="24"/>
        </w:rPr>
        <w:t>Bloemen et al. 2018, p.12</w:t>
      </w:r>
      <w:r w:rsidRPr="00ED6053">
        <w:rPr>
          <w:szCs w:val="24"/>
        </w:rPr>
        <w:t>). A formal legislative evaluation of the DP conducted in 2016 emphasized the need to preserve adaptivity within the programme: maintaining adaptivity is regarded as essential (</w:t>
      </w:r>
      <w:r w:rsidRPr="00ED6053">
        <w:rPr>
          <w:color w:val="7F7F7F" w:themeColor="text1" w:themeTint="80"/>
          <w:szCs w:val="24"/>
        </w:rPr>
        <w:t>Bloemen et</w:t>
      </w:r>
      <w:r w:rsidRPr="007D729B">
        <w:rPr>
          <w:color w:val="7F7F7F" w:themeColor="text1" w:themeTint="80"/>
          <w:szCs w:val="24"/>
        </w:rPr>
        <w:t xml:space="preserve"> al. 2018, p.13</w:t>
      </w:r>
      <w:r w:rsidRPr="007D729B">
        <w:rPr>
          <w:szCs w:val="24"/>
        </w:rPr>
        <w:t>).</w:t>
      </w:r>
    </w:p>
    <w:p w14:paraId="13B3B60F" w14:textId="77777777" w:rsidR="00A119C8" w:rsidRDefault="00A119C8" w:rsidP="00A119C8">
      <w:pPr>
        <w:pStyle w:val="Ttulo4"/>
        <w:rPr>
          <w:rFonts w:eastAsiaTheme="minorHAnsi"/>
        </w:rPr>
      </w:pPr>
      <w:r>
        <w:rPr>
          <w:rFonts w:eastAsiaTheme="minorHAnsi"/>
        </w:rPr>
        <w:t>General findings</w:t>
      </w:r>
    </w:p>
    <w:p w14:paraId="705C28F9" w14:textId="77777777" w:rsidR="00A119C8" w:rsidRPr="00ED6053" w:rsidRDefault="00A119C8" w:rsidP="00A119C8">
      <w:pPr>
        <w:pStyle w:val="TEXTBODY"/>
        <w:rPr>
          <w:rFonts w:eastAsiaTheme="minorHAnsi"/>
        </w:rPr>
      </w:pPr>
      <w:r w:rsidRPr="004032A5">
        <w:rPr>
          <w:rFonts w:eastAsiaTheme="minorHAnsi"/>
        </w:rPr>
        <w:t xml:space="preserve">The findings from this analysis suggested that </w:t>
      </w:r>
      <w:r w:rsidRPr="004032A5">
        <w:rPr>
          <w:rFonts w:eastAsiaTheme="minorHAnsi"/>
          <w:b/>
          <w:bCs/>
        </w:rPr>
        <w:t>five elements were key / essential to develop and implement a robust adaptive plan / strategies</w:t>
      </w:r>
      <w:r w:rsidRPr="004032A5">
        <w:rPr>
          <w:rFonts w:eastAsiaTheme="minorHAnsi"/>
        </w:rPr>
        <w:t xml:space="preserve">, and operationalize AP&amp;M, in the studied cases: 1) considering and using of a wide range of plausible future </w:t>
      </w:r>
      <w:r w:rsidRPr="00ED6053">
        <w:rPr>
          <w:rFonts w:eastAsiaTheme="minorHAnsi"/>
        </w:rPr>
        <w:t>scenarios, to assess measures and pathways on their robustness and effectiveness over time; 2) specifying thresholds / Adaptation Tipping-points (as critical levels / conditions at which a given measure ceases to meet to objectives, and another measure is needed); 3) developing a robust and flexible set of measures (or, more precisely, sets of measures, each set as a pathway) to respond to changing conditions, through the design of adaptation pathways; 4) monitoring changes and effects of implemented measures and regularly reassessing / reviewing the plan; and 5) following the ongoing iterative process with its several steps that allow adapting the plan and its contents as changes occur over time. The key-elements 1, 3 and 4 are in line with the central elements of Adaptive Planning suggested by</w:t>
      </w:r>
      <w:r w:rsidRPr="00ED6053">
        <w:rPr>
          <w:rFonts w:eastAsiaTheme="minorHAnsi"/>
          <w:color w:val="C00000"/>
        </w:rPr>
        <w:t xml:space="preserve"> </w:t>
      </w:r>
      <w:r w:rsidRPr="00ED6053">
        <w:rPr>
          <w:rFonts w:eastAsiaTheme="minorHAnsi"/>
          <w:color w:val="7F7F7F" w:themeColor="text1" w:themeTint="80"/>
        </w:rPr>
        <w:t xml:space="preserve">Sayers et al. (2012); </w:t>
      </w:r>
      <w:proofErr w:type="spellStart"/>
      <w:r w:rsidRPr="00ED6053">
        <w:rPr>
          <w:rFonts w:eastAsiaTheme="minorHAnsi"/>
          <w:color w:val="7F7F7F" w:themeColor="text1" w:themeTint="80"/>
        </w:rPr>
        <w:t>Jeuken</w:t>
      </w:r>
      <w:proofErr w:type="spellEnd"/>
      <w:r w:rsidRPr="00ED6053">
        <w:rPr>
          <w:rFonts w:eastAsiaTheme="minorHAnsi"/>
          <w:color w:val="7F7F7F" w:themeColor="text1" w:themeTint="80"/>
        </w:rPr>
        <w:t xml:space="preserve"> et al. (2014), and </w:t>
      </w:r>
      <w:proofErr w:type="spellStart"/>
      <w:r w:rsidRPr="00ED6053">
        <w:rPr>
          <w:rFonts w:eastAsiaTheme="minorHAnsi"/>
          <w:color w:val="7F7F7F" w:themeColor="text1" w:themeTint="80"/>
        </w:rPr>
        <w:t>Restemeyer</w:t>
      </w:r>
      <w:proofErr w:type="spellEnd"/>
      <w:r w:rsidRPr="00ED6053">
        <w:rPr>
          <w:rFonts w:eastAsiaTheme="minorHAnsi"/>
          <w:color w:val="7F7F7F" w:themeColor="text1" w:themeTint="80"/>
        </w:rPr>
        <w:t xml:space="preserve"> et al. (2017)</w:t>
      </w:r>
      <w:r w:rsidRPr="00ED6053">
        <w:rPr>
          <w:rFonts w:eastAsiaTheme="minorHAnsi"/>
        </w:rPr>
        <w:t>.</w:t>
      </w:r>
      <w:r w:rsidRPr="00ED6053">
        <w:rPr>
          <w:rStyle w:val="Refdenotaderodap"/>
          <w:rFonts w:eastAsiaTheme="minorHAnsi"/>
        </w:rPr>
        <w:footnoteReference w:id="149"/>
      </w:r>
      <w:r w:rsidRPr="00ED6053">
        <w:rPr>
          <w:rFonts w:eastAsiaTheme="minorHAnsi"/>
        </w:rPr>
        <w:t xml:space="preserve"> </w:t>
      </w:r>
    </w:p>
    <w:p w14:paraId="1A9CDC42" w14:textId="77777777" w:rsidR="00A119C8" w:rsidRPr="004032A5" w:rsidRDefault="00A119C8" w:rsidP="00A119C8">
      <w:pPr>
        <w:pStyle w:val="TEXTBODY"/>
        <w:rPr>
          <w:rFonts w:eastAsiaTheme="minorHAnsi"/>
        </w:rPr>
      </w:pPr>
      <w:r w:rsidRPr="00ED6053">
        <w:rPr>
          <w:rFonts w:eastAsiaTheme="minorHAnsi"/>
        </w:rPr>
        <w:t>Importantly, ingredients that confer dynamic robustness and flexibility to the general plan, including sub-elements of Key-element 3, could also be identified, for example: choosing measures that do not foreclose, constrain or hinder future options unnecessarily, using measures that are low-/no-regrets (which have properties of reversibility, adjustability, or correctability), envisioning a phased / step-wise implementation of various projects / measures over time; using diverse types of FRM measures (measures to reduce probability, measures to reduce exposure and vulnerability, measures to reduce flood consequences) and ensuring heterogeneity, or safeguarding planned redundancy (where the risk of failure is distributed among diverse component elements of the FRM system).</w:t>
      </w:r>
    </w:p>
    <w:p w14:paraId="0EBA96F0" w14:textId="77777777" w:rsidR="00A119C8" w:rsidRPr="00ED6053" w:rsidRDefault="00A119C8" w:rsidP="00A119C8">
      <w:pPr>
        <w:pStyle w:val="TEXTBODY"/>
        <w:rPr>
          <w:rFonts w:eastAsiaTheme="minorHAnsi"/>
          <w:color w:val="C00000"/>
        </w:rPr>
      </w:pPr>
      <w:r w:rsidRPr="00ED6053">
        <w:rPr>
          <w:rFonts w:eastAsiaTheme="minorHAnsi"/>
        </w:rPr>
        <w:t xml:space="preserve">The key-elements and ingredients, individually and in conjunction, have built-in and safeguarded the dynamic robustness, flexibility, and adaptability, in the general plan / strategies in both cases. </w:t>
      </w:r>
    </w:p>
    <w:p w14:paraId="273D2931" w14:textId="77777777" w:rsidR="00A119C8" w:rsidRDefault="00A119C8" w:rsidP="00A119C8">
      <w:pPr>
        <w:pStyle w:val="TEXTBODY"/>
      </w:pPr>
    </w:p>
    <w:p w14:paraId="7061F286" w14:textId="77777777" w:rsidR="00A119C8" w:rsidRDefault="00A119C8" w:rsidP="00A119C8">
      <w:pPr>
        <w:pStyle w:val="TEXTBODY"/>
      </w:pPr>
      <w:r>
        <w:t xml:space="preserve">The TE2100 Project </w:t>
      </w:r>
      <w:r w:rsidRPr="006341B3">
        <w:t xml:space="preserve">sought to guarantee ‘dynamic robustness’ (recommended by the UK </w:t>
      </w:r>
      <w:r w:rsidRPr="00ED6053">
        <w:t xml:space="preserve">Government) and adaptability </w:t>
      </w:r>
      <w:r>
        <w:t xml:space="preserve">mainly through: ensuring the ability to change between Options (i.e. </w:t>
      </w:r>
      <w:r w:rsidRPr="006341B3">
        <w:t>pathways’ flexibility</w:t>
      </w:r>
      <w:r>
        <w:t xml:space="preserve">, the plan allows for switching of measure or pathway if necessary, </w:t>
      </w:r>
      <w:r w:rsidRPr="006341B3">
        <w:t xml:space="preserve">the plan </w:t>
      </w:r>
      <w:r>
        <w:t xml:space="preserve">must </w:t>
      </w:r>
      <w:r w:rsidRPr="006341B3">
        <w:t xml:space="preserve">be managed iteratively, and its measures </w:t>
      </w:r>
      <w:r>
        <w:t>or</w:t>
      </w:r>
      <w:r w:rsidRPr="006341B3">
        <w:t xml:space="preserve"> their timing c</w:t>
      </w:r>
      <w:r>
        <w:t>an</w:t>
      </w:r>
      <w:r w:rsidRPr="006341B3">
        <w:t xml:space="preserve"> be changed)</w:t>
      </w:r>
      <w:r>
        <w:t xml:space="preserve">; changing the timing of new measures (bringing forward / delaying measures according to the rate of change observed); using </w:t>
      </w:r>
      <w:r w:rsidRPr="006341B3">
        <w:t>low-regrets measures (i.e. cost-efficient and beneficial under multiple scenarios), structural flexibility (i.e. adjustable</w:t>
      </w:r>
      <w:r>
        <w:t xml:space="preserve"> </w:t>
      </w:r>
      <w:r w:rsidRPr="006341B3">
        <w:t xml:space="preserve"> engineering solutions</w:t>
      </w:r>
      <w:r>
        <w:t xml:space="preserve">, structures designed so that they can be adapted to changing conditions, embedding / mainstreaming adaptation into new infrastructure projects), safeguarding land for future FRM measures (to ensure that future options remain possible) </w:t>
      </w:r>
      <w:r w:rsidRPr="006341B3">
        <w:t>(</w:t>
      </w:r>
      <w:r w:rsidRPr="006341B3">
        <w:rPr>
          <w:color w:val="7F7F7F" w:themeColor="text1" w:themeTint="80"/>
        </w:rPr>
        <w:t>Ranger et al. 2013</w:t>
      </w:r>
      <w:r>
        <w:rPr>
          <w:color w:val="7F7F7F" w:themeColor="text1" w:themeTint="80"/>
        </w:rPr>
        <w:t>; Environment Agency 2012</w:t>
      </w:r>
      <w:r w:rsidRPr="006341B3">
        <w:t>).</w:t>
      </w:r>
    </w:p>
    <w:p w14:paraId="75730C56" w14:textId="77777777" w:rsidR="00ED6053" w:rsidRDefault="00A119C8" w:rsidP="00A119C8">
      <w:pPr>
        <w:pStyle w:val="TEXTBODY"/>
      </w:pPr>
      <w:r w:rsidRPr="00A970A7">
        <w:t>The DP</w:t>
      </w:r>
      <w:r>
        <w:t xml:space="preserve">’s ADM approach </w:t>
      </w:r>
      <w:r w:rsidRPr="00A970A7">
        <w:t>values flexibility mainly in terms of possible strategies</w:t>
      </w:r>
      <w:r>
        <w:t xml:space="preserve"> (measures)</w:t>
      </w:r>
      <w:r w:rsidRPr="00A970A7">
        <w:t xml:space="preserve"> and possible timing of implementation (</w:t>
      </w:r>
      <w:r w:rsidRPr="00A970A7">
        <w:rPr>
          <w:color w:val="7F7F7F" w:themeColor="text1" w:themeTint="80"/>
        </w:rPr>
        <w:t xml:space="preserve">Haegen and </w:t>
      </w:r>
      <w:proofErr w:type="spellStart"/>
      <w:r w:rsidRPr="00A970A7">
        <w:rPr>
          <w:color w:val="7F7F7F" w:themeColor="text1" w:themeTint="80"/>
        </w:rPr>
        <w:t>Wieriks</w:t>
      </w:r>
      <w:proofErr w:type="spellEnd"/>
      <w:r w:rsidRPr="00A970A7">
        <w:rPr>
          <w:color w:val="7F7F7F" w:themeColor="text1" w:themeTint="80"/>
        </w:rPr>
        <w:t xml:space="preserve"> 2015; Zevenbergen et al. 2018</w:t>
      </w:r>
      <w:r w:rsidRPr="00A970A7">
        <w:t>), i.e. possibility of switching to other measures (or modifying a measure) and anticipating / delaying measures</w:t>
      </w:r>
      <w:r w:rsidRPr="00A970A7">
        <w:rPr>
          <w:iCs/>
        </w:rPr>
        <w:t xml:space="preserve"> </w:t>
      </w:r>
      <w:r w:rsidRPr="00A970A7">
        <w:t>(</w:t>
      </w:r>
      <w:r w:rsidRPr="00A970A7">
        <w:rPr>
          <w:color w:val="7F7F7F" w:themeColor="text1" w:themeTint="80"/>
        </w:rPr>
        <w:t>Vink et al. 2013, p.92</w:t>
      </w:r>
      <w:r w:rsidRPr="00A970A7">
        <w:t>)</w:t>
      </w:r>
      <w:r>
        <w:t xml:space="preserve">. </w:t>
      </w:r>
      <w:r w:rsidRPr="00A970A7">
        <w:rPr>
          <w:rFonts w:eastAsia="RijksoverheidSerif-Regular"/>
          <w:lang w:eastAsia="en-US"/>
        </w:rPr>
        <w:t xml:space="preserve">Flexibility </w:t>
      </w:r>
      <w:r>
        <w:rPr>
          <w:rFonts w:eastAsia="RijksoverheidSerif-Regular"/>
          <w:lang w:eastAsia="en-US"/>
        </w:rPr>
        <w:t>is</w:t>
      </w:r>
      <w:r w:rsidRPr="00A970A7">
        <w:rPr>
          <w:rFonts w:eastAsia="RijksoverheidSerif-Regular"/>
          <w:lang w:eastAsia="en-US"/>
        </w:rPr>
        <w:t xml:space="preserve"> delivered in several ways, e.g.: </w:t>
      </w:r>
      <w:r>
        <w:rPr>
          <w:rFonts w:eastAsia="RijksoverheidSerif-Regular"/>
          <w:lang w:eastAsia="en-US"/>
        </w:rPr>
        <w:t xml:space="preserve">by </w:t>
      </w:r>
      <w:r w:rsidRPr="00A970A7">
        <w:rPr>
          <w:rFonts w:eastAsia="RijksoverheidSerif-Regular"/>
          <w:lang w:eastAsia="en-US"/>
        </w:rPr>
        <w:t xml:space="preserve">designing each strategy as an </w:t>
      </w:r>
      <w:r w:rsidRPr="00A970A7">
        <w:rPr>
          <w:rFonts w:eastAsia="RijksoverheidSerif-Regular"/>
          <w:i/>
          <w:iCs/>
          <w:lang w:eastAsia="en-US"/>
        </w:rPr>
        <w:lastRenderedPageBreak/>
        <w:t>adaptation path</w:t>
      </w:r>
      <w:r w:rsidRPr="00A970A7">
        <w:rPr>
          <w:rFonts w:eastAsia="RijksoverheidSerif-Regular"/>
          <w:lang w:eastAsia="en-US"/>
        </w:rPr>
        <w:t xml:space="preserve"> (pathway), </w:t>
      </w:r>
      <w:r>
        <w:rPr>
          <w:rFonts w:eastAsia="RijksoverheidSerif-Regular"/>
          <w:lang w:eastAsia="en-US"/>
        </w:rPr>
        <w:t xml:space="preserve">by </w:t>
      </w:r>
      <w:r w:rsidRPr="00A970A7">
        <w:rPr>
          <w:rFonts w:eastAsia="RijksoverheidSerif-Regular"/>
          <w:lang w:eastAsia="en-US"/>
        </w:rPr>
        <w:t xml:space="preserve">using solutions that are ‘flexible’ </w:t>
      </w:r>
      <w:r w:rsidRPr="00A970A7">
        <w:rPr>
          <w:rFonts w:eastAsia="RijksoverheidSerif-Regular"/>
          <w:i/>
          <w:iCs/>
          <w:lang w:eastAsia="en-US"/>
        </w:rPr>
        <w:t>per se</w:t>
      </w:r>
      <w:r w:rsidRPr="00A970A7">
        <w:rPr>
          <w:rFonts w:eastAsia="RijksoverheidSerif-Regular"/>
          <w:lang w:eastAsia="en-US"/>
        </w:rPr>
        <w:t xml:space="preserve">, </w:t>
      </w:r>
      <w:r>
        <w:rPr>
          <w:rFonts w:eastAsia="RijksoverheidSerif-Regular"/>
          <w:lang w:eastAsia="en-US"/>
        </w:rPr>
        <w:t xml:space="preserve">by </w:t>
      </w:r>
      <w:r w:rsidRPr="00A970A7">
        <w:rPr>
          <w:rFonts w:eastAsia="RijksoverheidSerif-Regular"/>
          <w:lang w:eastAsia="en-US"/>
        </w:rPr>
        <w:t xml:space="preserve">using various pathways, </w:t>
      </w:r>
      <w:r>
        <w:rPr>
          <w:rFonts w:eastAsia="RijksoverheidSerif-Regular"/>
          <w:lang w:eastAsia="en-US"/>
        </w:rPr>
        <w:t xml:space="preserve">by </w:t>
      </w:r>
      <w:r w:rsidRPr="00A970A7">
        <w:rPr>
          <w:rFonts w:eastAsia="RijksoverheidSerif-Regular"/>
          <w:lang w:eastAsia="en-US"/>
        </w:rPr>
        <w:t>linking agendas, etc. Th</w:t>
      </w:r>
      <w:r w:rsidRPr="00A970A7">
        <w:t xml:space="preserve">ese types of flexibility </w:t>
      </w:r>
      <w:r>
        <w:t>create</w:t>
      </w:r>
      <w:r w:rsidRPr="00A970A7">
        <w:t xml:space="preserve"> added value in terms of cost reduction, feasibility</w:t>
      </w:r>
      <w:r>
        <w:t xml:space="preserve">, </w:t>
      </w:r>
      <w:r w:rsidRPr="00A970A7">
        <w:t>and benefits (</w:t>
      </w:r>
      <w:r w:rsidRPr="00A970A7">
        <w:rPr>
          <w:color w:val="7F7F7F" w:themeColor="text1" w:themeTint="80"/>
        </w:rPr>
        <w:t>DP 2014, p.90, 139</w:t>
      </w:r>
      <w:r w:rsidRPr="00A970A7">
        <w:t>).</w:t>
      </w:r>
      <w:r w:rsidRPr="00A970A7">
        <w:rPr>
          <w:rFonts w:cs="Arial"/>
          <w:szCs w:val="18"/>
        </w:rPr>
        <w:t xml:space="preserve"> </w:t>
      </w:r>
      <w:r>
        <w:rPr>
          <w:rFonts w:cs="Arial"/>
          <w:szCs w:val="18"/>
        </w:rPr>
        <w:t xml:space="preserve"> </w:t>
      </w:r>
      <w:r w:rsidRPr="00A970A7">
        <w:t xml:space="preserve">The development of </w:t>
      </w:r>
      <w:r w:rsidRPr="00A970A7">
        <w:rPr>
          <w:i/>
          <w:iCs/>
        </w:rPr>
        <w:t>adaptation paths</w:t>
      </w:r>
      <w:r w:rsidRPr="00A970A7">
        <w:t xml:space="preserve"> contributed to ensure flexibility: the pathways can be accelerated / slowed </w:t>
      </w:r>
      <w:proofErr w:type="gramStart"/>
      <w:r w:rsidRPr="00A970A7">
        <w:t>down</w:t>
      </w:r>
      <w:r>
        <w:t xml:space="preserve">, </w:t>
      </w:r>
      <w:r w:rsidRPr="00A970A7">
        <w:t>or</w:t>
      </w:r>
      <w:proofErr w:type="gramEnd"/>
      <w:r w:rsidRPr="00A970A7">
        <w:t xml:space="preserve"> adjusted (by shifting from a measure to another), and options are kept open for the future (</w:t>
      </w:r>
      <w:proofErr w:type="spellStart"/>
      <w:r w:rsidRPr="00A970A7">
        <w:rPr>
          <w:color w:val="7F7F7F" w:themeColor="text1" w:themeTint="80"/>
        </w:rPr>
        <w:t>Gersonius</w:t>
      </w:r>
      <w:proofErr w:type="spellEnd"/>
      <w:r w:rsidRPr="00A970A7">
        <w:rPr>
          <w:color w:val="7F7F7F" w:themeColor="text1" w:themeTint="80"/>
        </w:rPr>
        <w:t xml:space="preserve"> et al. 2016</w:t>
      </w:r>
      <w:r>
        <w:rPr>
          <w:color w:val="7F7F7F" w:themeColor="text1" w:themeTint="80"/>
        </w:rPr>
        <w:t>,</w:t>
      </w:r>
      <w:r w:rsidRPr="00A970A7">
        <w:rPr>
          <w:color w:val="7F7F7F" w:themeColor="text1" w:themeTint="80"/>
        </w:rPr>
        <w:t xml:space="preserve"> p.12</w:t>
      </w:r>
      <w:r w:rsidRPr="00A970A7">
        <w:t>).</w:t>
      </w:r>
      <w:bookmarkEnd w:id="133"/>
    </w:p>
    <w:p w14:paraId="17404982" w14:textId="77777777" w:rsidR="00ED6053" w:rsidRDefault="00ED6053" w:rsidP="00A119C8">
      <w:pPr>
        <w:pStyle w:val="TEXTBODY"/>
        <w:rPr>
          <w:sz w:val="20"/>
          <w:szCs w:val="24"/>
        </w:rPr>
      </w:pPr>
    </w:p>
    <w:p w14:paraId="66C93C0A" w14:textId="7AEEDAB2" w:rsidR="00ED6053" w:rsidRDefault="00ED6053" w:rsidP="00ED6053">
      <w:pPr>
        <w:pStyle w:val="Ttulo5"/>
      </w:pPr>
      <w:r>
        <w:t xml:space="preserve">A. </w:t>
      </w:r>
      <w:r w:rsidRPr="00ED6053">
        <w:t>Ways of ensuring, delivering and enhancing dynamic robustness and flexibility in the Plan / Strategy</w:t>
      </w:r>
    </w:p>
    <w:p w14:paraId="5B450237" w14:textId="77777777" w:rsidR="00ED6053" w:rsidRPr="00ED6053" w:rsidRDefault="00ED6053" w:rsidP="00ED6053">
      <w:pPr>
        <w:rPr>
          <w:rFonts w:eastAsiaTheme="minorHAnsi"/>
        </w:rPr>
      </w:pPr>
    </w:p>
    <w:tbl>
      <w:tblPr>
        <w:tblStyle w:val="TabelacomGrelha"/>
        <w:tblW w:w="5000" w:type="pct"/>
        <w:tblBorders>
          <w:left w:val="none" w:sz="0" w:space="0" w:color="auto"/>
          <w:right w:val="none" w:sz="0" w:space="0" w:color="auto"/>
        </w:tblBorders>
        <w:tblLayout w:type="fixed"/>
        <w:tblCellMar>
          <w:left w:w="85" w:type="dxa"/>
          <w:right w:w="85" w:type="dxa"/>
        </w:tblCellMar>
        <w:tblLook w:val="04A0" w:firstRow="1" w:lastRow="0" w:firstColumn="1" w:lastColumn="0" w:noHBand="0" w:noVBand="1"/>
      </w:tblPr>
      <w:tblGrid>
        <w:gridCol w:w="7797"/>
        <w:gridCol w:w="850"/>
        <w:gridCol w:w="1217"/>
      </w:tblGrid>
      <w:tr w:rsidR="00ED6053" w:rsidRPr="00ED6053" w14:paraId="1BA62FCF" w14:textId="77777777" w:rsidTr="00FF4124">
        <w:tc>
          <w:tcPr>
            <w:tcW w:w="9864" w:type="dxa"/>
            <w:gridSpan w:val="3"/>
            <w:tcBorders>
              <w:left w:val="nil"/>
            </w:tcBorders>
          </w:tcPr>
          <w:p w14:paraId="51113189" w14:textId="5DAC270E" w:rsidR="00ED6053" w:rsidRPr="00ED6053" w:rsidRDefault="00ED6053" w:rsidP="00336A37">
            <w:pPr>
              <w:pStyle w:val="tablecontenttext"/>
              <w:spacing w:line="240" w:lineRule="auto"/>
              <w:rPr>
                <w:rFonts w:ascii="Times New Roman" w:hAnsi="Times New Roman" w:cs="Times New Roman"/>
                <w:b/>
                <w:bCs w:val="0"/>
              </w:rPr>
            </w:pPr>
            <w:r w:rsidRPr="00ED6053">
              <w:rPr>
                <w:rFonts w:ascii="Times New Roman" w:hAnsi="Times New Roman" w:cs="Times New Roman"/>
                <w:b/>
                <w:bCs w:val="0"/>
              </w:rPr>
              <w:t xml:space="preserve">Table A. Ways of ensuring, delivering and enhancing dynamic robustness and flexibility in the Plan / Strategy </w:t>
            </w:r>
          </w:p>
        </w:tc>
      </w:tr>
      <w:tr w:rsidR="00ED6053" w:rsidRPr="00ED6053" w14:paraId="3B4E95F6" w14:textId="77777777" w:rsidTr="00FF4124">
        <w:tc>
          <w:tcPr>
            <w:tcW w:w="7797" w:type="dxa"/>
            <w:tcBorders>
              <w:left w:val="nil"/>
              <w:right w:val="nil"/>
            </w:tcBorders>
          </w:tcPr>
          <w:p w14:paraId="5184E646" w14:textId="7697E8EC" w:rsidR="00ED6053" w:rsidRPr="00ED6053" w:rsidRDefault="00ED6053" w:rsidP="00336A37">
            <w:pPr>
              <w:pStyle w:val="tablecontenttext"/>
              <w:spacing w:line="240" w:lineRule="auto"/>
              <w:rPr>
                <w:rFonts w:ascii="Times New Roman" w:hAnsi="Times New Roman" w:cs="Times New Roman"/>
              </w:rPr>
            </w:pPr>
          </w:p>
        </w:tc>
        <w:tc>
          <w:tcPr>
            <w:tcW w:w="850" w:type="dxa"/>
            <w:tcBorders>
              <w:left w:val="nil"/>
              <w:right w:val="nil"/>
            </w:tcBorders>
          </w:tcPr>
          <w:p w14:paraId="7282EF9B" w14:textId="77777777" w:rsidR="00ED6053" w:rsidRPr="00ED6053" w:rsidRDefault="00ED6053" w:rsidP="00336A37">
            <w:pPr>
              <w:pStyle w:val="tablecontenttext"/>
              <w:spacing w:line="240" w:lineRule="auto"/>
              <w:rPr>
                <w:rFonts w:ascii="Times New Roman" w:hAnsi="Times New Roman" w:cs="Times New Roman"/>
                <w:b/>
                <w:bCs w:val="0"/>
              </w:rPr>
            </w:pPr>
            <w:r w:rsidRPr="00ED6053">
              <w:rPr>
                <w:rFonts w:ascii="Times New Roman" w:hAnsi="Times New Roman" w:cs="Times New Roman"/>
                <w:b/>
                <w:bCs w:val="0"/>
              </w:rPr>
              <w:t>TE2100 case</w:t>
            </w:r>
          </w:p>
        </w:tc>
        <w:tc>
          <w:tcPr>
            <w:tcW w:w="1217" w:type="dxa"/>
            <w:tcBorders>
              <w:left w:val="nil"/>
            </w:tcBorders>
          </w:tcPr>
          <w:p w14:paraId="242F07E5" w14:textId="77777777" w:rsidR="00ED6053" w:rsidRPr="00ED6053" w:rsidRDefault="00ED6053" w:rsidP="00336A37">
            <w:pPr>
              <w:pStyle w:val="tablecontenttext"/>
              <w:spacing w:line="240" w:lineRule="auto"/>
              <w:rPr>
                <w:rFonts w:ascii="Times New Roman" w:hAnsi="Times New Roman" w:cs="Times New Roman"/>
                <w:b/>
                <w:bCs w:val="0"/>
              </w:rPr>
            </w:pPr>
            <w:r w:rsidRPr="00ED6053">
              <w:rPr>
                <w:rFonts w:ascii="Times New Roman" w:hAnsi="Times New Roman" w:cs="Times New Roman"/>
                <w:b/>
                <w:bCs w:val="0"/>
              </w:rPr>
              <w:t>DP 2014 case</w:t>
            </w:r>
          </w:p>
        </w:tc>
      </w:tr>
      <w:tr w:rsidR="00ED6053" w:rsidRPr="00ED6053" w14:paraId="4F5C78F9" w14:textId="77777777" w:rsidTr="00FF4124">
        <w:tc>
          <w:tcPr>
            <w:tcW w:w="7797" w:type="dxa"/>
            <w:tcBorders>
              <w:left w:val="nil"/>
              <w:right w:val="nil"/>
            </w:tcBorders>
          </w:tcPr>
          <w:p w14:paraId="50DBD9EE"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t>Choosing actions/ measures that remain flexible with respect to uncertain future changes and/or to create a robust system that may better cope with extreme events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 p.3</w:t>
            </w:r>
            <w:r w:rsidRPr="00ED6053">
              <w:rPr>
                <w:rFonts w:ascii="Times New Roman" w:hAnsi="Times New Roman" w:cs="Times New Roman"/>
              </w:rPr>
              <w:t xml:space="preserve">). </w:t>
            </w:r>
          </w:p>
          <w:p w14:paraId="1D4457F4"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t xml:space="preserve">Design measures that </w:t>
            </w:r>
            <w:proofErr w:type="gramStart"/>
            <w:r w:rsidRPr="00ED6053">
              <w:rPr>
                <w:rFonts w:ascii="Times New Roman" w:hAnsi="Times New Roman" w:cs="Times New Roman"/>
              </w:rPr>
              <w:t>are able to</w:t>
            </w:r>
            <w:proofErr w:type="gramEnd"/>
            <w:r w:rsidRPr="00ED6053">
              <w:rPr>
                <w:rFonts w:ascii="Times New Roman" w:hAnsi="Times New Roman" w:cs="Times New Roman"/>
              </w:rPr>
              <w:t xml:space="preserve"> cope with multiple potential future conditions (robust actions), or design measures that leave room for adaptation if needed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 p.24</w:t>
            </w:r>
            <w:r w:rsidRPr="00ED6053">
              <w:rPr>
                <w:rFonts w:ascii="Times New Roman" w:hAnsi="Times New Roman" w:cs="Times New Roman"/>
              </w:rPr>
              <w:t>).</w:t>
            </w:r>
          </w:p>
          <w:p w14:paraId="61EEF2F8"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t>Choosing measures that are “effective under the widest set of all plausible future scenarios’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 p.3, based on Sayers et al. 2012</w:t>
            </w:r>
            <w:r w:rsidRPr="00ED6053">
              <w:rPr>
                <w:rFonts w:ascii="Times New Roman" w:hAnsi="Times New Roman" w:cs="Times New Roman"/>
              </w:rPr>
              <w:t xml:space="preserve">).  </w:t>
            </w:r>
          </w:p>
          <w:p w14:paraId="26EC114D"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t>Choosing measures that do not foreclose future options or unnecessarily constrain future choices’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 p.3, based on Sayers et al. 2012</w:t>
            </w:r>
            <w:r w:rsidRPr="00ED6053">
              <w:rPr>
                <w:rFonts w:ascii="Times New Roman" w:hAnsi="Times New Roman" w:cs="Times New Roman"/>
              </w:rPr>
              <w:t>).</w:t>
            </w:r>
          </w:p>
        </w:tc>
        <w:tc>
          <w:tcPr>
            <w:tcW w:w="850" w:type="dxa"/>
            <w:tcBorders>
              <w:left w:val="nil"/>
              <w:right w:val="nil"/>
            </w:tcBorders>
          </w:tcPr>
          <w:p w14:paraId="49607E74" w14:textId="77777777" w:rsidR="00ED6053" w:rsidRPr="00ED6053" w:rsidRDefault="00ED6053" w:rsidP="00336A37">
            <w:pPr>
              <w:pStyle w:val="tablecontenttext"/>
              <w:spacing w:line="240" w:lineRule="auto"/>
              <w:rPr>
                <w:rFonts w:ascii="Times New Roman" w:hAnsi="Times New Roman" w:cs="Times New Roman"/>
                <w:b/>
                <w:bCs w:val="0"/>
              </w:rPr>
            </w:pPr>
            <w:r w:rsidRPr="00ED6053">
              <w:rPr>
                <w:rFonts w:ascii="Times New Roman" w:hAnsi="Times New Roman" w:cs="Times New Roman"/>
                <w:b/>
                <w:bCs w:val="0"/>
              </w:rPr>
              <w:t>Yes</w:t>
            </w:r>
            <w:r w:rsidRPr="00ED6053">
              <w:rPr>
                <w:rFonts w:ascii="Times New Roman" w:hAnsi="Times New Roman" w:cs="Times New Roman"/>
              </w:rPr>
              <w:t>, e.g. measure to enhance system robustness</w:t>
            </w:r>
            <w:r w:rsidRPr="00ED6053">
              <w:rPr>
                <w:rFonts w:ascii="Times New Roman" w:hAnsi="Times New Roman" w:cs="Times New Roman"/>
                <w:b/>
                <w:bCs w:val="0"/>
              </w:rPr>
              <w:t xml:space="preserve"> </w:t>
            </w:r>
          </w:p>
        </w:tc>
        <w:tc>
          <w:tcPr>
            <w:tcW w:w="1217" w:type="dxa"/>
            <w:tcBorders>
              <w:left w:val="nil"/>
            </w:tcBorders>
          </w:tcPr>
          <w:p w14:paraId="15E00CEC"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b/>
                <w:bCs w:val="0"/>
              </w:rPr>
              <w:t>Yes</w:t>
            </w:r>
            <w:r w:rsidRPr="00ED6053">
              <w:rPr>
                <w:rFonts w:ascii="Times New Roman" w:hAnsi="Times New Roman" w:cs="Times New Roman"/>
              </w:rPr>
              <w:t>, e.g. measure to enhance system robustness. Flexible measures like river widening, beach nourishment</w:t>
            </w:r>
          </w:p>
        </w:tc>
      </w:tr>
      <w:tr w:rsidR="00ED6053" w:rsidRPr="00ED6053" w14:paraId="7D1E46B6" w14:textId="77777777" w:rsidTr="00FF4124">
        <w:tc>
          <w:tcPr>
            <w:tcW w:w="7797" w:type="dxa"/>
            <w:tcBorders>
              <w:left w:val="nil"/>
              <w:right w:val="nil"/>
            </w:tcBorders>
          </w:tcPr>
          <w:p w14:paraId="2999CDFD" w14:textId="77777777" w:rsidR="00ED6053" w:rsidRPr="00ED6053" w:rsidRDefault="00ED6053" w:rsidP="00336A37">
            <w:pPr>
              <w:pStyle w:val="tablecontenttext"/>
              <w:spacing w:after="120" w:line="240" w:lineRule="auto"/>
              <w:ind w:right="40"/>
              <w:rPr>
                <w:rFonts w:ascii="Times New Roman" w:hAnsi="Times New Roman" w:cs="Times New Roman"/>
                <w:color w:val="C00000"/>
              </w:rPr>
            </w:pPr>
            <w:r w:rsidRPr="00ED6053">
              <w:rPr>
                <w:rFonts w:ascii="Times New Roman" w:hAnsi="Times New Roman" w:cs="Times New Roman"/>
              </w:rPr>
              <w:t>Use robust measures that increase a system’s resilience (capacity to ‘cope with and recover from uncertain future flood hazards’), or ‘incorporate large safety margins and increase the resistance of the system’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 p.10, 16, 18</w:t>
            </w:r>
            <w:r w:rsidRPr="00ED6053">
              <w:rPr>
                <w:rFonts w:ascii="Times New Roman" w:hAnsi="Times New Roman" w:cs="Times New Roman"/>
              </w:rPr>
              <w:t>).</w:t>
            </w:r>
            <w:r w:rsidRPr="00ED6053">
              <w:rPr>
                <w:rFonts w:ascii="Times New Roman" w:hAnsi="Times New Roman" w:cs="Times New Roman"/>
                <w:color w:val="C00000"/>
              </w:rPr>
              <w:t xml:space="preserve"> </w:t>
            </w:r>
          </w:p>
        </w:tc>
        <w:tc>
          <w:tcPr>
            <w:tcW w:w="850" w:type="dxa"/>
            <w:tcBorders>
              <w:left w:val="nil"/>
              <w:right w:val="nil"/>
            </w:tcBorders>
          </w:tcPr>
          <w:p w14:paraId="0C801B1C" w14:textId="77777777" w:rsidR="00ED6053" w:rsidRPr="00ED6053" w:rsidRDefault="00ED6053" w:rsidP="00336A37">
            <w:pPr>
              <w:pStyle w:val="tablecontenttext"/>
              <w:spacing w:line="240" w:lineRule="auto"/>
              <w:rPr>
                <w:rFonts w:ascii="Times New Roman" w:hAnsi="Times New Roman" w:cs="Times New Roman"/>
                <w:b/>
                <w:bCs w:val="0"/>
              </w:rPr>
            </w:pPr>
          </w:p>
        </w:tc>
        <w:tc>
          <w:tcPr>
            <w:tcW w:w="1217" w:type="dxa"/>
            <w:tcBorders>
              <w:left w:val="nil"/>
            </w:tcBorders>
          </w:tcPr>
          <w:p w14:paraId="299CBD7E" w14:textId="77777777" w:rsidR="00ED6053" w:rsidRPr="00ED6053" w:rsidRDefault="00ED6053" w:rsidP="00336A37">
            <w:pPr>
              <w:pStyle w:val="tablecontenttext"/>
              <w:spacing w:line="240" w:lineRule="auto"/>
              <w:rPr>
                <w:rFonts w:ascii="Times New Roman" w:hAnsi="Times New Roman" w:cs="Times New Roman"/>
                <w:b/>
                <w:bCs w:val="0"/>
              </w:rPr>
            </w:pPr>
          </w:p>
        </w:tc>
      </w:tr>
      <w:tr w:rsidR="00ED6053" w:rsidRPr="00ED6053" w14:paraId="70026EE2" w14:textId="77777777" w:rsidTr="00FF4124">
        <w:tc>
          <w:tcPr>
            <w:tcW w:w="7797" w:type="dxa"/>
            <w:tcBorders>
              <w:left w:val="nil"/>
              <w:right w:val="nil"/>
            </w:tcBorders>
          </w:tcPr>
          <w:p w14:paraId="0D8BC050" w14:textId="77777777" w:rsidR="00ED6053" w:rsidRPr="00ED6053" w:rsidRDefault="00ED6053" w:rsidP="00336A37">
            <w:pPr>
              <w:pStyle w:val="tablecontenttext"/>
              <w:spacing w:after="120" w:line="240" w:lineRule="auto"/>
              <w:ind w:right="40"/>
              <w:rPr>
                <w:rFonts w:ascii="Times New Roman" w:hAnsi="Times New Roman" w:cs="Times New Roman"/>
              </w:rPr>
            </w:pPr>
            <w:r w:rsidRPr="00ED6053">
              <w:rPr>
                <w:rFonts w:ascii="Times New Roman" w:hAnsi="Times New Roman" w:cs="Times New Roman"/>
              </w:rPr>
              <w:t>Envisioning alternative options (i.e. alternative measures, and alternative pathways) and possibilities for switching between them, through adaptation pathways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 p.1</w:t>
            </w:r>
            <w:r w:rsidRPr="00ED6053">
              <w:rPr>
                <w:rFonts w:ascii="Times New Roman" w:hAnsi="Times New Roman" w:cs="Times New Roman"/>
              </w:rPr>
              <w:t>). Allowing for switching between different options in the future’, and, in this way, remaining flexible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 p.10</w:t>
            </w:r>
            <w:r w:rsidRPr="00ED6053">
              <w:rPr>
                <w:rFonts w:ascii="Times New Roman" w:hAnsi="Times New Roman" w:cs="Times New Roman"/>
              </w:rPr>
              <w:t>).</w:t>
            </w:r>
          </w:p>
          <w:p w14:paraId="455D6AD8" w14:textId="77777777" w:rsidR="00ED6053" w:rsidRPr="00ED6053" w:rsidRDefault="00ED6053" w:rsidP="00336A37">
            <w:pPr>
              <w:pStyle w:val="tablecontenttext"/>
              <w:spacing w:after="120" w:line="240" w:lineRule="auto"/>
              <w:ind w:right="40"/>
              <w:rPr>
                <w:rFonts w:ascii="Times New Roman" w:hAnsi="Times New Roman" w:cs="Times New Roman"/>
              </w:rPr>
            </w:pPr>
            <w:r w:rsidRPr="00ED6053">
              <w:rPr>
                <w:rFonts w:ascii="Times New Roman" w:hAnsi="Times New Roman" w:cs="Times New Roman"/>
              </w:rPr>
              <w:t>Containing / having multiple pathways (which allow</w:t>
            </w:r>
            <w:r w:rsidRPr="00ED6053">
              <w:rPr>
                <w:rFonts w:ascii="Times New Roman" w:hAnsi="Times New Roman" w:cs="Times New Roman"/>
                <w:color w:val="7F7F7F" w:themeColor="text1" w:themeTint="80"/>
              </w:rPr>
              <w:t xml:space="preserve"> </w:t>
            </w:r>
            <w:r w:rsidRPr="00ED6053">
              <w:rPr>
                <w:rFonts w:ascii="Times New Roman" w:hAnsi="Times New Roman" w:cs="Times New Roman"/>
              </w:rPr>
              <w:t>switching between different options in the future)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 p.18</w:t>
            </w:r>
            <w:r w:rsidRPr="00ED6053">
              <w:rPr>
                <w:rFonts w:ascii="Times New Roman" w:hAnsi="Times New Roman" w:cs="Times New Roman"/>
              </w:rPr>
              <w:t>).</w:t>
            </w:r>
          </w:p>
        </w:tc>
        <w:tc>
          <w:tcPr>
            <w:tcW w:w="850" w:type="dxa"/>
            <w:tcBorders>
              <w:left w:val="nil"/>
              <w:right w:val="nil"/>
            </w:tcBorders>
          </w:tcPr>
          <w:p w14:paraId="2BD8B9A3" w14:textId="77777777" w:rsidR="00ED6053" w:rsidRPr="00ED6053" w:rsidRDefault="00ED6053" w:rsidP="00336A37">
            <w:pPr>
              <w:pStyle w:val="tablecontenttext"/>
              <w:spacing w:line="240" w:lineRule="auto"/>
              <w:rPr>
                <w:rFonts w:ascii="Times New Roman" w:hAnsi="Times New Roman" w:cs="Times New Roman"/>
                <w:b/>
                <w:bCs w:val="0"/>
              </w:rPr>
            </w:pPr>
            <w:r w:rsidRPr="00ED6053">
              <w:rPr>
                <w:rFonts w:ascii="Times New Roman" w:hAnsi="Times New Roman" w:cs="Times New Roman"/>
                <w:b/>
                <w:bCs w:val="0"/>
              </w:rPr>
              <w:t>Yes.</w:t>
            </w:r>
          </w:p>
        </w:tc>
        <w:tc>
          <w:tcPr>
            <w:tcW w:w="1217" w:type="dxa"/>
            <w:tcBorders>
              <w:left w:val="nil"/>
            </w:tcBorders>
          </w:tcPr>
          <w:p w14:paraId="34565B89"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t>Partially. Some PS only have one path. Yet, the possibility of switching to different measures is safeguard.</w:t>
            </w:r>
          </w:p>
        </w:tc>
      </w:tr>
      <w:tr w:rsidR="00ED6053" w:rsidRPr="00ED6053" w14:paraId="64F41276" w14:textId="77777777" w:rsidTr="00FF4124">
        <w:tc>
          <w:tcPr>
            <w:tcW w:w="7797" w:type="dxa"/>
            <w:tcBorders>
              <w:left w:val="nil"/>
              <w:right w:val="nil"/>
            </w:tcBorders>
          </w:tcPr>
          <w:p w14:paraId="2864C552" w14:textId="77777777" w:rsidR="00ED6053" w:rsidRPr="00ED6053" w:rsidRDefault="00ED6053" w:rsidP="00336A37">
            <w:pPr>
              <w:pStyle w:val="tablecontenttext"/>
              <w:spacing w:after="120" w:line="240" w:lineRule="auto"/>
              <w:ind w:right="40"/>
              <w:rPr>
                <w:rFonts w:ascii="Times New Roman" w:hAnsi="Times New Roman" w:cs="Times New Roman"/>
              </w:rPr>
            </w:pPr>
            <w:r w:rsidRPr="00ED6053">
              <w:rPr>
                <w:rFonts w:ascii="Times New Roman" w:hAnsi="Times New Roman" w:cs="Times New Roman"/>
              </w:rPr>
              <w:t>Short-term decisions and measures are coupled with / linked to long-term options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 p.1</w:t>
            </w:r>
            <w:r w:rsidRPr="00ED6053">
              <w:rPr>
                <w:rFonts w:ascii="Times New Roman" w:hAnsi="Times New Roman" w:cs="Times New Roman"/>
              </w:rPr>
              <w:t>)</w:t>
            </w:r>
          </w:p>
        </w:tc>
        <w:tc>
          <w:tcPr>
            <w:tcW w:w="850" w:type="dxa"/>
            <w:tcBorders>
              <w:left w:val="nil"/>
              <w:right w:val="nil"/>
            </w:tcBorders>
          </w:tcPr>
          <w:p w14:paraId="3CF29FF3" w14:textId="77777777" w:rsidR="00ED6053" w:rsidRPr="00ED6053" w:rsidRDefault="00ED6053" w:rsidP="00336A37">
            <w:pPr>
              <w:pStyle w:val="tablecontenttext"/>
              <w:spacing w:line="240" w:lineRule="auto"/>
              <w:rPr>
                <w:rFonts w:ascii="Times New Roman" w:hAnsi="Times New Roman" w:cs="Times New Roman"/>
                <w:b/>
                <w:bCs w:val="0"/>
              </w:rPr>
            </w:pPr>
            <w:r w:rsidRPr="00ED6053">
              <w:rPr>
                <w:rFonts w:ascii="Times New Roman" w:hAnsi="Times New Roman" w:cs="Times New Roman"/>
                <w:b/>
                <w:bCs w:val="0"/>
              </w:rPr>
              <w:t>Yes</w:t>
            </w:r>
          </w:p>
        </w:tc>
        <w:tc>
          <w:tcPr>
            <w:tcW w:w="1217" w:type="dxa"/>
            <w:tcBorders>
              <w:left w:val="nil"/>
            </w:tcBorders>
          </w:tcPr>
          <w:p w14:paraId="42EEF9DB" w14:textId="77777777" w:rsidR="00ED6053" w:rsidRPr="00ED6053" w:rsidRDefault="00ED6053" w:rsidP="00336A37">
            <w:pPr>
              <w:pStyle w:val="tablecontenttext"/>
              <w:spacing w:line="240" w:lineRule="auto"/>
              <w:rPr>
                <w:rFonts w:ascii="Times New Roman" w:hAnsi="Times New Roman" w:cs="Times New Roman"/>
                <w:b/>
                <w:bCs w:val="0"/>
              </w:rPr>
            </w:pPr>
            <w:r w:rsidRPr="00ED6053">
              <w:rPr>
                <w:rFonts w:ascii="Times New Roman" w:hAnsi="Times New Roman" w:cs="Times New Roman"/>
                <w:b/>
                <w:bCs w:val="0"/>
              </w:rPr>
              <w:t>Yes</w:t>
            </w:r>
          </w:p>
        </w:tc>
      </w:tr>
      <w:tr w:rsidR="00ED6053" w:rsidRPr="00ED6053" w14:paraId="438F6857" w14:textId="77777777" w:rsidTr="00FF4124">
        <w:tc>
          <w:tcPr>
            <w:tcW w:w="7797" w:type="dxa"/>
            <w:tcBorders>
              <w:left w:val="nil"/>
              <w:right w:val="nil"/>
            </w:tcBorders>
          </w:tcPr>
          <w:p w14:paraId="027512C9" w14:textId="77777777" w:rsidR="00ED6053" w:rsidRPr="00ED6053" w:rsidRDefault="00ED6053" w:rsidP="00336A37">
            <w:pPr>
              <w:pStyle w:val="tablecontenttext"/>
              <w:spacing w:after="120" w:line="240" w:lineRule="auto"/>
              <w:ind w:right="40"/>
              <w:rPr>
                <w:rFonts w:ascii="Times New Roman" w:hAnsi="Times New Roman" w:cs="Times New Roman"/>
              </w:rPr>
            </w:pPr>
            <w:r w:rsidRPr="00ED6053">
              <w:rPr>
                <w:rFonts w:ascii="Times New Roman" w:hAnsi="Times New Roman" w:cs="Times New Roman"/>
              </w:rPr>
              <w:t>APs map shows “clearly marked thresholds defining when to decide to switch from one action to another”, which “ensures maximum flexibility”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 p.24</w:t>
            </w:r>
            <w:r w:rsidRPr="00ED6053">
              <w:rPr>
                <w:rFonts w:ascii="Times New Roman" w:hAnsi="Times New Roman" w:cs="Times New Roman"/>
              </w:rPr>
              <w:t>).</w:t>
            </w:r>
          </w:p>
        </w:tc>
        <w:tc>
          <w:tcPr>
            <w:tcW w:w="850" w:type="dxa"/>
            <w:tcBorders>
              <w:left w:val="nil"/>
              <w:right w:val="nil"/>
            </w:tcBorders>
          </w:tcPr>
          <w:p w14:paraId="605E5B4B" w14:textId="77777777" w:rsidR="00ED6053" w:rsidRPr="00ED6053" w:rsidRDefault="00ED6053" w:rsidP="00336A37">
            <w:pPr>
              <w:pStyle w:val="CORPOTEXTO"/>
              <w:spacing w:after="60"/>
              <w:jc w:val="left"/>
              <w:rPr>
                <w:sz w:val="16"/>
                <w:szCs w:val="16"/>
              </w:rPr>
            </w:pPr>
            <w:r w:rsidRPr="00ED6053">
              <w:rPr>
                <w:sz w:val="16"/>
                <w:szCs w:val="16"/>
              </w:rPr>
              <w:t>Yes</w:t>
            </w:r>
          </w:p>
        </w:tc>
        <w:tc>
          <w:tcPr>
            <w:tcW w:w="1217" w:type="dxa"/>
            <w:tcBorders>
              <w:left w:val="nil"/>
            </w:tcBorders>
          </w:tcPr>
          <w:p w14:paraId="1EE147E2"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t>No</w:t>
            </w:r>
          </w:p>
        </w:tc>
      </w:tr>
      <w:tr w:rsidR="00ED6053" w:rsidRPr="00ED6053" w14:paraId="74ED3642" w14:textId="77777777" w:rsidTr="00FF4124">
        <w:tc>
          <w:tcPr>
            <w:tcW w:w="7797" w:type="dxa"/>
            <w:tcBorders>
              <w:left w:val="nil"/>
              <w:right w:val="nil"/>
            </w:tcBorders>
          </w:tcPr>
          <w:p w14:paraId="6FA2B721" w14:textId="77777777" w:rsidR="00ED6053" w:rsidRPr="00ED6053" w:rsidRDefault="00ED6053" w:rsidP="00336A37">
            <w:pPr>
              <w:pStyle w:val="tablecontenttext"/>
              <w:spacing w:after="120" w:line="240" w:lineRule="auto"/>
              <w:ind w:right="40"/>
              <w:rPr>
                <w:rFonts w:ascii="Times New Roman" w:hAnsi="Times New Roman" w:cs="Times New Roman"/>
              </w:rPr>
            </w:pPr>
            <w:r w:rsidRPr="00ED6053">
              <w:rPr>
                <w:rFonts w:ascii="Times New Roman" w:hAnsi="Times New Roman" w:cs="Times New Roman"/>
              </w:rPr>
              <w:t>Envision a phased / stepwise implementation of several adaptation measures or various smaller projects (though there may be cases where a single large-scale investment is more cost-effective)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 p.10, 16, 18</w:t>
            </w:r>
            <w:r w:rsidRPr="00ED6053">
              <w:rPr>
                <w:rFonts w:ascii="Times New Roman" w:hAnsi="Times New Roman" w:cs="Times New Roman"/>
              </w:rPr>
              <w:t>).</w:t>
            </w:r>
          </w:p>
          <w:p w14:paraId="505871E9" w14:textId="77777777" w:rsidR="00ED6053" w:rsidRPr="00ED6053" w:rsidRDefault="00ED6053" w:rsidP="00336A37">
            <w:pPr>
              <w:pStyle w:val="tablecontenttext"/>
              <w:spacing w:after="120" w:line="240" w:lineRule="auto"/>
              <w:ind w:right="40"/>
              <w:rPr>
                <w:rFonts w:ascii="Times New Roman" w:hAnsi="Times New Roman" w:cs="Times New Roman"/>
              </w:rPr>
            </w:pPr>
            <w:r w:rsidRPr="00ED6053">
              <w:rPr>
                <w:rFonts w:ascii="Times New Roman" w:hAnsi="Times New Roman" w:cs="Times New Roman"/>
              </w:rPr>
              <w:t>Ensure that measures can be implemented stepwise, or that there is the possibility of switching to other measures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 p.18</w:t>
            </w:r>
            <w:r w:rsidRPr="00ED6053">
              <w:rPr>
                <w:rFonts w:ascii="Times New Roman" w:hAnsi="Times New Roman" w:cs="Times New Roman"/>
              </w:rPr>
              <w:t>).</w:t>
            </w:r>
          </w:p>
        </w:tc>
        <w:tc>
          <w:tcPr>
            <w:tcW w:w="850" w:type="dxa"/>
            <w:tcBorders>
              <w:left w:val="nil"/>
              <w:right w:val="nil"/>
            </w:tcBorders>
          </w:tcPr>
          <w:p w14:paraId="6C16DA79" w14:textId="77777777" w:rsidR="00ED6053" w:rsidRPr="00ED6053" w:rsidRDefault="00ED6053" w:rsidP="00336A37">
            <w:pPr>
              <w:pStyle w:val="CORPOTEXTO"/>
              <w:spacing w:after="60"/>
              <w:jc w:val="left"/>
              <w:rPr>
                <w:sz w:val="16"/>
                <w:szCs w:val="16"/>
              </w:rPr>
            </w:pPr>
            <w:r w:rsidRPr="00ED6053">
              <w:rPr>
                <w:sz w:val="16"/>
                <w:szCs w:val="16"/>
              </w:rPr>
              <w:t>Yes</w:t>
            </w:r>
          </w:p>
        </w:tc>
        <w:tc>
          <w:tcPr>
            <w:tcW w:w="1217" w:type="dxa"/>
            <w:tcBorders>
              <w:left w:val="nil"/>
            </w:tcBorders>
          </w:tcPr>
          <w:p w14:paraId="43C84433"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t>Yes</w:t>
            </w:r>
          </w:p>
        </w:tc>
      </w:tr>
      <w:tr w:rsidR="00ED6053" w:rsidRPr="00ED6053" w14:paraId="2332D592" w14:textId="77777777" w:rsidTr="00FF4124">
        <w:tc>
          <w:tcPr>
            <w:tcW w:w="7797" w:type="dxa"/>
            <w:tcBorders>
              <w:left w:val="nil"/>
              <w:right w:val="nil"/>
            </w:tcBorders>
          </w:tcPr>
          <w:p w14:paraId="4B478B18" w14:textId="77777777" w:rsidR="00ED6053" w:rsidRPr="00ED6053" w:rsidRDefault="00ED6053" w:rsidP="00336A37">
            <w:pPr>
              <w:pStyle w:val="tablecontenttext"/>
              <w:spacing w:after="120" w:line="240" w:lineRule="auto"/>
              <w:ind w:right="40"/>
              <w:rPr>
                <w:rFonts w:ascii="Times New Roman" w:hAnsi="Times New Roman" w:cs="Times New Roman"/>
              </w:rPr>
            </w:pPr>
            <w:r w:rsidRPr="00ED6053">
              <w:rPr>
                <w:rFonts w:ascii="Times New Roman" w:hAnsi="Times New Roman" w:cs="Times New Roman"/>
              </w:rPr>
              <w:t xml:space="preserve">Several measures are implemented iteratively over time to keep risk below target levels, while </w:t>
            </w:r>
            <w:r w:rsidRPr="00ED6053">
              <w:rPr>
                <w:rFonts w:ascii="Times New Roman" w:hAnsi="Times New Roman" w:cs="Times New Roman"/>
                <w:b/>
                <w:bCs w:val="0"/>
              </w:rPr>
              <w:t>keeping open</w:t>
            </w:r>
            <w:r w:rsidRPr="00ED6053">
              <w:rPr>
                <w:rFonts w:ascii="Times New Roman" w:hAnsi="Times New Roman" w:cs="Times New Roman"/>
              </w:rPr>
              <w:t xml:space="preserve"> </w:t>
            </w:r>
            <w:r w:rsidRPr="00ED6053">
              <w:rPr>
                <w:rFonts w:ascii="Times New Roman" w:hAnsi="Times New Roman" w:cs="Times New Roman"/>
                <w:b/>
                <w:bCs w:val="0"/>
              </w:rPr>
              <w:t>options (alternatives)</w:t>
            </w:r>
            <w:r w:rsidRPr="00ED6053">
              <w:rPr>
                <w:rFonts w:ascii="Times New Roman" w:hAnsi="Times New Roman" w:cs="Times New Roman"/>
              </w:rPr>
              <w:t xml:space="preserve"> to manage future risk (</w:t>
            </w:r>
            <w:r w:rsidRPr="00ED6053">
              <w:rPr>
                <w:rFonts w:ascii="Times New Roman" w:hAnsi="Times New Roman" w:cs="Times New Roman"/>
                <w:color w:val="7F7F7F" w:themeColor="text1" w:themeTint="80"/>
              </w:rPr>
              <w:t>Ranger et al. 2013, 247, 249, 239; Reeder and Ranger 2011, p.13</w:t>
            </w:r>
            <w:r w:rsidRPr="00ED6053">
              <w:rPr>
                <w:rFonts w:ascii="Times New Roman" w:hAnsi="Times New Roman" w:cs="Times New Roman"/>
              </w:rPr>
              <w:t>)</w:t>
            </w:r>
          </w:p>
          <w:p w14:paraId="12B00125" w14:textId="77777777" w:rsidR="00ED6053" w:rsidRPr="00ED6053" w:rsidRDefault="00ED6053" w:rsidP="00336A37">
            <w:pPr>
              <w:pStyle w:val="tablecontenttext"/>
              <w:spacing w:after="120" w:line="240" w:lineRule="auto"/>
              <w:ind w:right="40"/>
              <w:rPr>
                <w:rFonts w:ascii="Times New Roman" w:hAnsi="Times New Roman" w:cs="Times New Roman"/>
              </w:rPr>
            </w:pPr>
            <w:r w:rsidRPr="00ED6053">
              <w:rPr>
                <w:rFonts w:ascii="Times New Roman" w:hAnsi="Times New Roman" w:cs="Times New Roman"/>
              </w:rPr>
              <w:t>In the Route-map approach, diverse measures are implemented over time, and alternatives (options) are left open to cope with plausible (different) future conditions (</w:t>
            </w:r>
            <w:r w:rsidRPr="00ED6053">
              <w:rPr>
                <w:rFonts w:ascii="Times New Roman" w:hAnsi="Times New Roman" w:cs="Times New Roman"/>
                <w:color w:val="7F7F7F" w:themeColor="text1" w:themeTint="80"/>
              </w:rPr>
              <w:t>Reeder and Ranger 2011, p.3</w:t>
            </w:r>
            <w:r w:rsidRPr="00ED6053">
              <w:rPr>
                <w:rFonts w:ascii="Times New Roman" w:hAnsi="Times New Roman" w:cs="Times New Roman"/>
              </w:rPr>
              <w:t>)</w:t>
            </w:r>
          </w:p>
        </w:tc>
        <w:tc>
          <w:tcPr>
            <w:tcW w:w="850" w:type="dxa"/>
            <w:tcBorders>
              <w:left w:val="nil"/>
              <w:right w:val="nil"/>
            </w:tcBorders>
          </w:tcPr>
          <w:p w14:paraId="0528B1BA" w14:textId="77777777" w:rsidR="00ED6053" w:rsidRPr="00ED6053" w:rsidRDefault="00ED6053" w:rsidP="00336A37">
            <w:pPr>
              <w:pStyle w:val="CORPOTEXTO"/>
              <w:spacing w:after="60"/>
              <w:jc w:val="left"/>
              <w:rPr>
                <w:sz w:val="16"/>
                <w:szCs w:val="16"/>
              </w:rPr>
            </w:pPr>
            <w:r w:rsidRPr="00ED6053">
              <w:rPr>
                <w:sz w:val="16"/>
                <w:szCs w:val="16"/>
              </w:rPr>
              <w:t>Yes</w:t>
            </w:r>
          </w:p>
        </w:tc>
        <w:tc>
          <w:tcPr>
            <w:tcW w:w="1217" w:type="dxa"/>
            <w:tcBorders>
              <w:left w:val="nil"/>
            </w:tcBorders>
          </w:tcPr>
          <w:p w14:paraId="0536D26A"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t>Partially met (few alternative options in some PS)</w:t>
            </w:r>
          </w:p>
        </w:tc>
      </w:tr>
      <w:tr w:rsidR="00ED6053" w:rsidRPr="00ED6053" w14:paraId="592C5EE2" w14:textId="77777777" w:rsidTr="00FF4124">
        <w:tc>
          <w:tcPr>
            <w:tcW w:w="7797" w:type="dxa"/>
            <w:tcBorders>
              <w:left w:val="nil"/>
              <w:right w:val="nil"/>
            </w:tcBorders>
          </w:tcPr>
          <w:p w14:paraId="70380A31" w14:textId="77777777" w:rsidR="00ED6053" w:rsidRPr="00ED6053" w:rsidRDefault="00ED6053" w:rsidP="00336A37">
            <w:pPr>
              <w:pStyle w:val="tablecontenttext"/>
              <w:spacing w:after="120" w:line="240" w:lineRule="auto"/>
              <w:ind w:right="40"/>
              <w:rPr>
                <w:rFonts w:ascii="Times New Roman" w:hAnsi="Times New Roman" w:cs="Times New Roman"/>
              </w:rPr>
            </w:pPr>
            <w:r w:rsidRPr="00ED6053">
              <w:rPr>
                <w:rFonts w:ascii="Times New Roman" w:hAnsi="Times New Roman" w:cs="Times New Roman"/>
              </w:rPr>
              <w:t>Each pathway contains a set of measures (individual or grouped) that are implemented over time to manage changing risk (</w:t>
            </w:r>
            <w:r w:rsidRPr="00ED6053">
              <w:rPr>
                <w:rFonts w:ascii="Times New Roman" w:hAnsi="Times New Roman" w:cs="Times New Roman"/>
                <w:color w:val="7F7F7F" w:themeColor="text1" w:themeTint="80"/>
              </w:rPr>
              <w:t xml:space="preserve">Reeder and Ranger 2011, p.9; Lowe et al. 2009, p.89;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and Reeder 2011, p.4;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 p.18</w:t>
            </w:r>
            <w:r w:rsidRPr="00ED6053">
              <w:rPr>
                <w:rFonts w:ascii="Times New Roman" w:hAnsi="Times New Roman" w:cs="Times New Roman"/>
                <w:bCs w:val="0"/>
              </w:rPr>
              <w:t>).</w:t>
            </w:r>
          </w:p>
        </w:tc>
        <w:tc>
          <w:tcPr>
            <w:tcW w:w="850" w:type="dxa"/>
            <w:tcBorders>
              <w:left w:val="nil"/>
              <w:right w:val="nil"/>
            </w:tcBorders>
          </w:tcPr>
          <w:p w14:paraId="30EBF6EF" w14:textId="77777777" w:rsidR="00ED6053" w:rsidRPr="00ED6053" w:rsidRDefault="00ED6053" w:rsidP="00336A37">
            <w:pPr>
              <w:pStyle w:val="CORPOTEXTO"/>
              <w:spacing w:after="60"/>
              <w:jc w:val="left"/>
              <w:rPr>
                <w:sz w:val="16"/>
                <w:szCs w:val="16"/>
              </w:rPr>
            </w:pPr>
            <w:r w:rsidRPr="00ED6053">
              <w:rPr>
                <w:sz w:val="16"/>
                <w:szCs w:val="16"/>
              </w:rPr>
              <w:t xml:space="preserve">Yes </w:t>
            </w:r>
          </w:p>
        </w:tc>
        <w:tc>
          <w:tcPr>
            <w:tcW w:w="1217" w:type="dxa"/>
            <w:tcBorders>
              <w:left w:val="nil"/>
            </w:tcBorders>
          </w:tcPr>
          <w:p w14:paraId="676CEF7C"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t>Yes</w:t>
            </w:r>
          </w:p>
        </w:tc>
      </w:tr>
      <w:tr w:rsidR="00ED6053" w:rsidRPr="00ED6053" w14:paraId="36FE01D3" w14:textId="77777777" w:rsidTr="00FF4124">
        <w:tc>
          <w:tcPr>
            <w:tcW w:w="7797" w:type="dxa"/>
            <w:tcBorders>
              <w:left w:val="nil"/>
              <w:right w:val="nil"/>
            </w:tcBorders>
          </w:tcPr>
          <w:p w14:paraId="1640E117" w14:textId="77777777" w:rsidR="00ED6053" w:rsidRPr="00ED6053" w:rsidRDefault="00ED6053" w:rsidP="00336A37">
            <w:pPr>
              <w:pStyle w:val="tablecontenttext"/>
              <w:spacing w:after="120" w:line="240" w:lineRule="auto"/>
              <w:ind w:right="40"/>
              <w:rPr>
                <w:rFonts w:ascii="Times New Roman" w:hAnsi="Times New Roman" w:cs="Times New Roman"/>
              </w:rPr>
            </w:pPr>
            <w:r w:rsidRPr="00ED6053">
              <w:rPr>
                <w:rFonts w:ascii="Times New Roman" w:hAnsi="Times New Roman" w:cs="Times New Roman"/>
              </w:rPr>
              <w:t xml:space="preserve">Several pathways are usually designed in an APs’ map. Each pathway is itself flexible (e.g. it is possible to switch from a measure to another), but it is also possible to move from a pathway to another, depending on the rate of change that </w:t>
            </w:r>
            <w:proofErr w:type="gramStart"/>
            <w:r w:rsidRPr="00ED6053">
              <w:rPr>
                <w:rFonts w:ascii="Times New Roman" w:hAnsi="Times New Roman" w:cs="Times New Roman"/>
              </w:rPr>
              <w:t>actually occurs</w:t>
            </w:r>
            <w:proofErr w:type="gramEnd"/>
            <w:r w:rsidRPr="00ED6053">
              <w:rPr>
                <w:rFonts w:ascii="Times New Roman" w:hAnsi="Times New Roman" w:cs="Times New Roman"/>
              </w:rPr>
              <w:t xml:space="preserve"> (</w:t>
            </w:r>
            <w:r w:rsidRPr="00ED6053">
              <w:rPr>
                <w:rFonts w:ascii="Times New Roman" w:hAnsi="Times New Roman" w:cs="Times New Roman"/>
                <w:color w:val="7F7F7F" w:themeColor="text1" w:themeTint="80"/>
              </w:rPr>
              <w:t xml:space="preserve">Reeder and Ranger 2011, p.9; Lowe et al. 2009, p.89;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and Reeder 2011, p.4;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 p.18</w:t>
            </w:r>
            <w:r w:rsidRPr="00ED6053">
              <w:rPr>
                <w:rFonts w:ascii="Times New Roman" w:hAnsi="Times New Roman" w:cs="Times New Roman"/>
                <w:bCs w:val="0"/>
              </w:rPr>
              <w:t>).</w:t>
            </w:r>
          </w:p>
        </w:tc>
        <w:tc>
          <w:tcPr>
            <w:tcW w:w="850" w:type="dxa"/>
            <w:tcBorders>
              <w:left w:val="nil"/>
              <w:right w:val="nil"/>
            </w:tcBorders>
          </w:tcPr>
          <w:p w14:paraId="5207F2CA" w14:textId="77777777" w:rsidR="00ED6053" w:rsidRPr="00ED6053" w:rsidRDefault="00ED6053" w:rsidP="00336A37">
            <w:pPr>
              <w:pStyle w:val="CORPOTEXTO"/>
              <w:spacing w:after="60"/>
              <w:jc w:val="left"/>
              <w:rPr>
                <w:sz w:val="16"/>
                <w:szCs w:val="16"/>
              </w:rPr>
            </w:pPr>
            <w:r w:rsidRPr="00ED6053">
              <w:rPr>
                <w:sz w:val="16"/>
                <w:szCs w:val="16"/>
              </w:rPr>
              <w:t>Yes</w:t>
            </w:r>
          </w:p>
        </w:tc>
        <w:tc>
          <w:tcPr>
            <w:tcW w:w="1217" w:type="dxa"/>
            <w:tcBorders>
              <w:left w:val="nil"/>
            </w:tcBorders>
          </w:tcPr>
          <w:p w14:paraId="15FA1B82"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t>Partially met. Not all PS contain more than one pathway</w:t>
            </w:r>
          </w:p>
        </w:tc>
      </w:tr>
      <w:tr w:rsidR="00ED6053" w:rsidRPr="00ED6053" w14:paraId="13D21FF3" w14:textId="77777777" w:rsidTr="00FF4124">
        <w:tc>
          <w:tcPr>
            <w:tcW w:w="7797" w:type="dxa"/>
            <w:tcBorders>
              <w:left w:val="nil"/>
              <w:right w:val="nil"/>
            </w:tcBorders>
          </w:tcPr>
          <w:p w14:paraId="4998CCF3" w14:textId="77777777" w:rsidR="00ED6053" w:rsidRPr="00ED6053" w:rsidRDefault="00ED6053" w:rsidP="00336A37">
            <w:pPr>
              <w:spacing w:after="60"/>
              <w:rPr>
                <w:rFonts w:ascii="Times New Roman" w:hAnsi="Times New Roman"/>
                <w:iCs/>
                <w:sz w:val="16"/>
                <w:szCs w:val="16"/>
              </w:rPr>
            </w:pPr>
            <w:r w:rsidRPr="00ED6053">
              <w:rPr>
                <w:rFonts w:ascii="Times New Roman" w:hAnsi="Times New Roman"/>
                <w:iCs/>
                <w:sz w:val="16"/>
                <w:szCs w:val="16"/>
              </w:rPr>
              <w:t>Use / promote diversity of measures (within and across sectors and actors) (</w:t>
            </w:r>
            <w:proofErr w:type="spellStart"/>
            <w:r w:rsidRPr="00ED6053">
              <w:rPr>
                <w:rFonts w:ascii="Times New Roman" w:hAnsi="Times New Roman"/>
                <w:iCs/>
                <w:color w:val="7F7F7F" w:themeColor="text1" w:themeTint="80"/>
                <w:sz w:val="16"/>
                <w:szCs w:val="16"/>
              </w:rPr>
              <w:t>Jeuken</w:t>
            </w:r>
            <w:proofErr w:type="spellEnd"/>
            <w:r w:rsidRPr="00ED6053">
              <w:rPr>
                <w:rFonts w:ascii="Times New Roman" w:hAnsi="Times New Roman"/>
                <w:iCs/>
                <w:color w:val="7F7F7F" w:themeColor="text1" w:themeTint="80"/>
                <w:sz w:val="16"/>
                <w:szCs w:val="16"/>
              </w:rPr>
              <w:t xml:space="preserve"> et al. 2014, p.10, 16, 18</w:t>
            </w:r>
            <w:r w:rsidRPr="00ED6053">
              <w:rPr>
                <w:rFonts w:ascii="Times New Roman" w:hAnsi="Times New Roman"/>
                <w:iCs/>
                <w:sz w:val="16"/>
                <w:szCs w:val="16"/>
              </w:rPr>
              <w:t>).</w:t>
            </w:r>
          </w:p>
        </w:tc>
        <w:tc>
          <w:tcPr>
            <w:tcW w:w="850" w:type="dxa"/>
            <w:tcBorders>
              <w:left w:val="nil"/>
              <w:right w:val="nil"/>
            </w:tcBorders>
          </w:tcPr>
          <w:p w14:paraId="05FB6331" w14:textId="77777777" w:rsidR="00ED6053" w:rsidRPr="00ED6053" w:rsidRDefault="00ED6053" w:rsidP="00336A37">
            <w:pPr>
              <w:pStyle w:val="CORPOTEXTO"/>
              <w:spacing w:after="60"/>
              <w:jc w:val="left"/>
              <w:rPr>
                <w:bCs/>
                <w:sz w:val="16"/>
                <w:szCs w:val="16"/>
              </w:rPr>
            </w:pPr>
            <w:r w:rsidRPr="00ED6053">
              <w:rPr>
                <w:bCs/>
                <w:sz w:val="16"/>
                <w:szCs w:val="16"/>
              </w:rPr>
              <w:t>Yes.</w:t>
            </w:r>
          </w:p>
        </w:tc>
        <w:tc>
          <w:tcPr>
            <w:tcW w:w="1217" w:type="dxa"/>
            <w:tcBorders>
              <w:left w:val="nil"/>
            </w:tcBorders>
          </w:tcPr>
          <w:p w14:paraId="18190B45"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t xml:space="preserve">Partially met (in some PS there is a predominance of preventive (protection) measures to reduce flood probability, over other types </w:t>
            </w:r>
            <w:r w:rsidRPr="00ED6053">
              <w:rPr>
                <w:rFonts w:ascii="Times New Roman" w:hAnsi="Times New Roman" w:cs="Times New Roman"/>
              </w:rPr>
              <w:lastRenderedPageBreak/>
              <w:t>of FRM measures</w:t>
            </w:r>
          </w:p>
        </w:tc>
      </w:tr>
      <w:tr w:rsidR="00ED6053" w:rsidRPr="00ED6053" w14:paraId="0D609183" w14:textId="77777777" w:rsidTr="00FF4124">
        <w:tc>
          <w:tcPr>
            <w:tcW w:w="7797" w:type="dxa"/>
            <w:tcBorders>
              <w:left w:val="nil"/>
              <w:right w:val="nil"/>
            </w:tcBorders>
          </w:tcPr>
          <w:p w14:paraId="7F20647F"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lastRenderedPageBreak/>
              <w:t xml:space="preserve">Link (potential) future actions to current problems, e.g. by searching for </w:t>
            </w:r>
            <w:r w:rsidRPr="00ED6053">
              <w:rPr>
                <w:rFonts w:ascii="Times New Roman" w:hAnsi="Times New Roman" w:cs="Times New Roman"/>
                <w:b/>
                <w:bCs w:val="0"/>
              </w:rPr>
              <w:t>win-win options</w:t>
            </w:r>
            <w:r w:rsidRPr="00ED6053">
              <w:rPr>
                <w:rFonts w:ascii="Times New Roman" w:hAnsi="Times New Roman" w:cs="Times New Roman"/>
              </w:rPr>
              <w:t xml:space="preserve">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 p.24</w:t>
            </w:r>
            <w:r w:rsidRPr="00ED6053">
              <w:rPr>
                <w:rFonts w:ascii="Times New Roman" w:hAnsi="Times New Roman" w:cs="Times New Roman"/>
              </w:rPr>
              <w:t>).</w:t>
            </w:r>
          </w:p>
        </w:tc>
        <w:tc>
          <w:tcPr>
            <w:tcW w:w="850" w:type="dxa"/>
            <w:tcBorders>
              <w:left w:val="nil"/>
              <w:right w:val="nil"/>
            </w:tcBorders>
          </w:tcPr>
          <w:p w14:paraId="18BC5752" w14:textId="77777777" w:rsidR="00ED6053" w:rsidRPr="00ED6053" w:rsidRDefault="00ED6053" w:rsidP="00336A37">
            <w:pPr>
              <w:pStyle w:val="CORPOTEXTO"/>
              <w:spacing w:after="60"/>
              <w:jc w:val="left"/>
              <w:rPr>
                <w:sz w:val="16"/>
                <w:szCs w:val="16"/>
              </w:rPr>
            </w:pPr>
            <w:r w:rsidRPr="00ED6053">
              <w:rPr>
                <w:sz w:val="16"/>
                <w:szCs w:val="16"/>
              </w:rPr>
              <w:t>Yes</w:t>
            </w:r>
          </w:p>
        </w:tc>
        <w:tc>
          <w:tcPr>
            <w:tcW w:w="1217" w:type="dxa"/>
            <w:tcBorders>
              <w:left w:val="nil"/>
            </w:tcBorders>
          </w:tcPr>
          <w:p w14:paraId="0C6EAFF2"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t>Yes</w:t>
            </w:r>
          </w:p>
        </w:tc>
      </w:tr>
      <w:tr w:rsidR="00ED6053" w:rsidRPr="00ED6053" w14:paraId="38037265" w14:textId="77777777" w:rsidTr="00FF4124">
        <w:tc>
          <w:tcPr>
            <w:tcW w:w="7797" w:type="dxa"/>
            <w:tcBorders>
              <w:left w:val="nil"/>
              <w:right w:val="nil"/>
            </w:tcBorders>
          </w:tcPr>
          <w:p w14:paraId="4CBB03B7"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t>Use low-regrets measures (with properties like reversibility, adjustability, correctability)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w:t>
            </w:r>
            <w:r w:rsidRPr="00ED6053">
              <w:rPr>
                <w:rFonts w:ascii="Times New Roman" w:hAnsi="Times New Roman" w:cs="Times New Roman"/>
              </w:rPr>
              <w:t>).</w:t>
            </w:r>
          </w:p>
        </w:tc>
        <w:tc>
          <w:tcPr>
            <w:tcW w:w="850" w:type="dxa"/>
            <w:tcBorders>
              <w:left w:val="nil"/>
              <w:right w:val="nil"/>
            </w:tcBorders>
          </w:tcPr>
          <w:p w14:paraId="3D8A5501" w14:textId="77777777" w:rsidR="00ED6053" w:rsidRPr="00ED6053" w:rsidRDefault="00ED6053" w:rsidP="00336A37">
            <w:pPr>
              <w:pStyle w:val="CORPOTEXTO"/>
              <w:spacing w:after="60"/>
              <w:jc w:val="left"/>
              <w:rPr>
                <w:sz w:val="16"/>
                <w:szCs w:val="16"/>
              </w:rPr>
            </w:pPr>
            <w:r w:rsidRPr="00ED6053">
              <w:rPr>
                <w:sz w:val="16"/>
                <w:szCs w:val="16"/>
              </w:rPr>
              <w:t>Yes</w:t>
            </w:r>
          </w:p>
        </w:tc>
        <w:tc>
          <w:tcPr>
            <w:tcW w:w="1217" w:type="dxa"/>
            <w:tcBorders>
              <w:left w:val="nil"/>
            </w:tcBorders>
          </w:tcPr>
          <w:p w14:paraId="7EEBD2D0"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t>Yes</w:t>
            </w:r>
          </w:p>
        </w:tc>
      </w:tr>
      <w:tr w:rsidR="00ED6053" w:rsidRPr="00ED6053" w14:paraId="1661D442" w14:textId="77777777" w:rsidTr="00FF4124">
        <w:tc>
          <w:tcPr>
            <w:tcW w:w="7797" w:type="dxa"/>
            <w:tcBorders>
              <w:left w:val="nil"/>
              <w:right w:val="nil"/>
            </w:tcBorders>
          </w:tcPr>
          <w:p w14:paraId="774857D7"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t>Integrate adaptation into coastal planning and management (mainstreaming)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 p.10, 16, 18</w:t>
            </w:r>
            <w:r w:rsidRPr="00ED6053">
              <w:rPr>
                <w:rFonts w:ascii="Times New Roman" w:hAnsi="Times New Roman" w:cs="Times New Roman"/>
              </w:rPr>
              <w:t>).</w:t>
            </w:r>
          </w:p>
        </w:tc>
        <w:tc>
          <w:tcPr>
            <w:tcW w:w="850" w:type="dxa"/>
            <w:tcBorders>
              <w:left w:val="nil"/>
              <w:right w:val="nil"/>
            </w:tcBorders>
          </w:tcPr>
          <w:p w14:paraId="2D5EDA6D" w14:textId="77777777" w:rsidR="00ED6053" w:rsidRPr="00ED6053" w:rsidRDefault="00ED6053" w:rsidP="00336A37">
            <w:pPr>
              <w:pStyle w:val="CORPOTEXTO"/>
              <w:spacing w:after="60"/>
              <w:jc w:val="left"/>
              <w:rPr>
                <w:sz w:val="16"/>
                <w:szCs w:val="16"/>
              </w:rPr>
            </w:pPr>
            <w:r w:rsidRPr="00ED6053">
              <w:rPr>
                <w:sz w:val="16"/>
                <w:szCs w:val="16"/>
              </w:rPr>
              <w:t>Yes</w:t>
            </w:r>
          </w:p>
        </w:tc>
        <w:tc>
          <w:tcPr>
            <w:tcW w:w="1217" w:type="dxa"/>
            <w:tcBorders>
              <w:left w:val="nil"/>
            </w:tcBorders>
          </w:tcPr>
          <w:p w14:paraId="2AEE633D"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t>Yes</w:t>
            </w:r>
          </w:p>
        </w:tc>
      </w:tr>
      <w:tr w:rsidR="00ED6053" w:rsidRPr="00ED6053" w14:paraId="1F50AF73" w14:textId="77777777" w:rsidTr="00FF4124">
        <w:tc>
          <w:tcPr>
            <w:tcW w:w="7797" w:type="dxa"/>
            <w:tcBorders>
              <w:left w:val="nil"/>
              <w:right w:val="nil"/>
            </w:tcBorders>
          </w:tcPr>
          <w:p w14:paraId="4218AB30" w14:textId="77777777" w:rsidR="00ED6053" w:rsidRPr="00ED6053" w:rsidRDefault="00ED6053" w:rsidP="00336A37">
            <w:pPr>
              <w:pStyle w:val="tablecontenttext"/>
              <w:spacing w:line="240" w:lineRule="auto"/>
              <w:rPr>
                <w:rFonts w:ascii="Times New Roman" w:hAnsi="Times New Roman" w:cs="Times New Roman"/>
                <w:b/>
                <w:bCs w:val="0"/>
              </w:rPr>
            </w:pPr>
            <w:r w:rsidRPr="00ED6053">
              <w:rPr>
                <w:rFonts w:ascii="Times New Roman" w:hAnsi="Times New Roman" w:cs="Times New Roman"/>
              </w:rPr>
              <w:t>Seize opportunities once they arise, to integrate FRM / adaptation measures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 p.24</w:t>
            </w:r>
            <w:r w:rsidRPr="00ED6053">
              <w:rPr>
                <w:rFonts w:ascii="Times New Roman" w:hAnsi="Times New Roman" w:cs="Times New Roman"/>
              </w:rPr>
              <w:t>).</w:t>
            </w:r>
          </w:p>
        </w:tc>
        <w:tc>
          <w:tcPr>
            <w:tcW w:w="850" w:type="dxa"/>
            <w:tcBorders>
              <w:left w:val="nil"/>
              <w:right w:val="nil"/>
            </w:tcBorders>
          </w:tcPr>
          <w:p w14:paraId="476C27A7" w14:textId="77777777" w:rsidR="00ED6053" w:rsidRPr="00ED6053" w:rsidRDefault="00ED6053" w:rsidP="00336A37">
            <w:pPr>
              <w:pStyle w:val="CORPOTEXTO"/>
              <w:jc w:val="left"/>
              <w:rPr>
                <w:bCs/>
                <w:sz w:val="16"/>
                <w:szCs w:val="16"/>
              </w:rPr>
            </w:pPr>
            <w:r w:rsidRPr="00ED6053">
              <w:rPr>
                <w:bCs/>
                <w:sz w:val="16"/>
                <w:szCs w:val="16"/>
              </w:rPr>
              <w:t>Yes</w:t>
            </w:r>
          </w:p>
        </w:tc>
        <w:tc>
          <w:tcPr>
            <w:tcW w:w="1217" w:type="dxa"/>
            <w:tcBorders>
              <w:left w:val="nil"/>
            </w:tcBorders>
          </w:tcPr>
          <w:p w14:paraId="1B3A1BFE"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t>Yes</w:t>
            </w:r>
          </w:p>
        </w:tc>
      </w:tr>
      <w:tr w:rsidR="00ED6053" w:rsidRPr="00ED6053" w14:paraId="3EC993C6" w14:textId="77777777" w:rsidTr="00FF4124">
        <w:tc>
          <w:tcPr>
            <w:tcW w:w="7797" w:type="dxa"/>
            <w:tcBorders>
              <w:left w:val="nil"/>
              <w:right w:val="nil"/>
            </w:tcBorders>
          </w:tcPr>
          <w:p w14:paraId="75678FE3" w14:textId="77777777" w:rsidR="00ED6053" w:rsidRPr="00ED6053" w:rsidRDefault="00ED6053" w:rsidP="00336A37">
            <w:pPr>
              <w:pStyle w:val="tablecontenttext"/>
              <w:spacing w:line="240" w:lineRule="auto"/>
              <w:rPr>
                <w:rFonts w:ascii="Times New Roman" w:hAnsi="Times New Roman" w:cs="Times New Roman"/>
              </w:rPr>
            </w:pPr>
            <w:r w:rsidRPr="00ED6053">
              <w:rPr>
                <w:rFonts w:ascii="Times New Roman" w:hAnsi="Times New Roman" w:cs="Times New Roman"/>
              </w:rPr>
              <w:t>targeted monitoring, continual reassessment of scenarios of the future, and the redefinition of policies, strategies and structure plans, are accounted for in the Plan (</w:t>
            </w:r>
            <w:proofErr w:type="spellStart"/>
            <w:r w:rsidRPr="00ED6053">
              <w:rPr>
                <w:rFonts w:ascii="Times New Roman" w:hAnsi="Times New Roman" w:cs="Times New Roman"/>
                <w:color w:val="7F7F7F" w:themeColor="text1" w:themeTint="80"/>
              </w:rPr>
              <w:t>Jeuken</w:t>
            </w:r>
            <w:proofErr w:type="spellEnd"/>
            <w:r w:rsidRPr="00ED6053">
              <w:rPr>
                <w:rFonts w:ascii="Times New Roman" w:hAnsi="Times New Roman" w:cs="Times New Roman"/>
                <w:color w:val="7F7F7F" w:themeColor="text1" w:themeTint="80"/>
              </w:rPr>
              <w:t xml:space="preserve"> et al. 2014, p.3, based on Sayers et al. 2012</w:t>
            </w:r>
            <w:r w:rsidRPr="00ED6053">
              <w:rPr>
                <w:rFonts w:ascii="Times New Roman" w:hAnsi="Times New Roman" w:cs="Times New Roman"/>
              </w:rPr>
              <w:t xml:space="preserve">). </w:t>
            </w:r>
          </w:p>
        </w:tc>
        <w:tc>
          <w:tcPr>
            <w:tcW w:w="850" w:type="dxa"/>
            <w:tcBorders>
              <w:left w:val="nil"/>
              <w:right w:val="nil"/>
            </w:tcBorders>
          </w:tcPr>
          <w:p w14:paraId="2107F1C0" w14:textId="77777777" w:rsidR="00ED6053" w:rsidRPr="00ED6053" w:rsidRDefault="00ED6053" w:rsidP="00336A37">
            <w:pPr>
              <w:pStyle w:val="CORPOTEXTO"/>
              <w:spacing w:after="60"/>
              <w:jc w:val="left"/>
              <w:rPr>
                <w:sz w:val="16"/>
                <w:szCs w:val="16"/>
              </w:rPr>
            </w:pPr>
            <w:r w:rsidRPr="00ED6053">
              <w:rPr>
                <w:sz w:val="16"/>
                <w:szCs w:val="16"/>
              </w:rPr>
              <w:t xml:space="preserve">Yes </w:t>
            </w:r>
          </w:p>
        </w:tc>
        <w:tc>
          <w:tcPr>
            <w:tcW w:w="1217" w:type="dxa"/>
            <w:tcBorders>
              <w:left w:val="nil"/>
            </w:tcBorders>
          </w:tcPr>
          <w:p w14:paraId="48D21702" w14:textId="77777777" w:rsidR="00ED6053" w:rsidRPr="00ED6053" w:rsidRDefault="00ED6053" w:rsidP="00336A37">
            <w:pPr>
              <w:pStyle w:val="tablecontenttext"/>
              <w:spacing w:line="240" w:lineRule="auto"/>
              <w:rPr>
                <w:rFonts w:ascii="Times New Roman" w:hAnsi="Times New Roman" w:cs="Times New Roman"/>
                <w:bCs w:val="0"/>
              </w:rPr>
            </w:pPr>
            <w:r w:rsidRPr="00ED6053">
              <w:rPr>
                <w:rFonts w:ascii="Times New Roman" w:hAnsi="Times New Roman" w:cs="Times New Roman"/>
                <w:bCs w:val="0"/>
              </w:rPr>
              <w:t xml:space="preserve">Yes </w:t>
            </w:r>
          </w:p>
        </w:tc>
      </w:tr>
      <w:tr w:rsidR="00ED6053" w:rsidRPr="00F229B1" w14:paraId="5344DBBE" w14:textId="77777777" w:rsidTr="00FF4124">
        <w:tc>
          <w:tcPr>
            <w:tcW w:w="7797" w:type="dxa"/>
            <w:tcBorders>
              <w:left w:val="nil"/>
              <w:right w:val="nil"/>
            </w:tcBorders>
          </w:tcPr>
          <w:p w14:paraId="5636E9EC" w14:textId="77777777" w:rsidR="00ED6053" w:rsidRPr="00ED6053" w:rsidRDefault="00ED6053" w:rsidP="00336A37">
            <w:pPr>
              <w:pStyle w:val="tablecontenttext"/>
              <w:spacing w:line="240" w:lineRule="auto"/>
              <w:ind w:right="67"/>
              <w:rPr>
                <w:rFonts w:ascii="Times New Roman" w:hAnsi="Times New Roman" w:cs="Times New Roman"/>
              </w:rPr>
            </w:pPr>
            <w:r w:rsidRPr="00ED6053">
              <w:rPr>
                <w:rFonts w:ascii="Times New Roman" w:hAnsi="Times New Roman" w:cs="Times New Roman"/>
                <w:bCs w:val="0"/>
              </w:rPr>
              <w:t>The Plan / strategy is</w:t>
            </w:r>
            <w:r w:rsidRPr="00ED6053">
              <w:rPr>
                <w:rFonts w:ascii="Times New Roman" w:hAnsi="Times New Roman" w:cs="Times New Roman"/>
              </w:rPr>
              <w:t xml:space="preserve"> ‘designed to be adjusted over time as more is learnt about the future’ or as changes occur. The timing for new interventions, and the interventions themselves, can be changed (modified) over time, therefore, flexibility is built-in into the long-term strategy itself (</w:t>
            </w:r>
            <w:r w:rsidRPr="00ED6053">
              <w:rPr>
                <w:rFonts w:ascii="Times New Roman" w:hAnsi="Times New Roman" w:cs="Times New Roman"/>
                <w:color w:val="7F7F7F" w:themeColor="text1" w:themeTint="80"/>
              </w:rPr>
              <w:t>Ranger et al. 2013, p.249</w:t>
            </w:r>
            <w:r w:rsidRPr="00ED6053">
              <w:rPr>
                <w:rFonts w:ascii="Times New Roman" w:hAnsi="Times New Roman" w:cs="Times New Roman"/>
              </w:rPr>
              <w:t>).</w:t>
            </w:r>
          </w:p>
        </w:tc>
        <w:tc>
          <w:tcPr>
            <w:tcW w:w="850" w:type="dxa"/>
            <w:tcBorders>
              <w:left w:val="nil"/>
              <w:right w:val="nil"/>
            </w:tcBorders>
          </w:tcPr>
          <w:p w14:paraId="13B8D828" w14:textId="77777777" w:rsidR="00ED6053" w:rsidRPr="00ED6053" w:rsidRDefault="00ED6053" w:rsidP="00336A37">
            <w:pPr>
              <w:pStyle w:val="CORPOTEXTO"/>
              <w:spacing w:after="60"/>
              <w:jc w:val="left"/>
              <w:rPr>
                <w:sz w:val="16"/>
                <w:szCs w:val="16"/>
              </w:rPr>
            </w:pPr>
            <w:r w:rsidRPr="00ED6053">
              <w:rPr>
                <w:sz w:val="16"/>
                <w:szCs w:val="16"/>
              </w:rPr>
              <w:t>Yes</w:t>
            </w:r>
          </w:p>
        </w:tc>
        <w:tc>
          <w:tcPr>
            <w:tcW w:w="1217" w:type="dxa"/>
            <w:tcBorders>
              <w:left w:val="nil"/>
            </w:tcBorders>
          </w:tcPr>
          <w:p w14:paraId="35492CB5" w14:textId="77777777" w:rsidR="00ED6053" w:rsidRPr="00F229B1" w:rsidRDefault="00ED6053" w:rsidP="00336A37">
            <w:pPr>
              <w:pStyle w:val="tablecontenttext"/>
              <w:spacing w:line="240" w:lineRule="auto"/>
              <w:rPr>
                <w:rFonts w:ascii="Times New Roman" w:hAnsi="Times New Roman" w:cs="Times New Roman"/>
                <w:bCs w:val="0"/>
              </w:rPr>
            </w:pPr>
            <w:r w:rsidRPr="00ED6053">
              <w:rPr>
                <w:rFonts w:ascii="Times New Roman" w:hAnsi="Times New Roman" w:cs="Times New Roman"/>
                <w:bCs w:val="0"/>
              </w:rPr>
              <w:t>Yes (but less clear how such adjustments will be translated in the APs map)</w:t>
            </w:r>
          </w:p>
        </w:tc>
      </w:tr>
    </w:tbl>
    <w:p w14:paraId="13AEE683" w14:textId="77777777" w:rsidR="00ED6053" w:rsidRDefault="00ED6053" w:rsidP="00ED6053">
      <w:pPr>
        <w:pStyle w:val="TEXTBODY"/>
        <w:rPr>
          <w:rFonts w:eastAsiaTheme="minorHAnsi"/>
          <w:color w:val="C00000"/>
        </w:rPr>
      </w:pPr>
    </w:p>
    <w:p w14:paraId="37CDE4F1" w14:textId="77777777" w:rsidR="00ED6053" w:rsidRDefault="00ED6053" w:rsidP="00ED6053">
      <w:pPr>
        <w:pStyle w:val="TEXTBODY"/>
        <w:rPr>
          <w:rFonts w:eastAsiaTheme="minorHAnsi"/>
          <w:color w:val="C00000"/>
        </w:rPr>
      </w:pPr>
    </w:p>
    <w:p w14:paraId="365CBD92" w14:textId="77777777" w:rsidR="00ED6053" w:rsidRDefault="00ED6053" w:rsidP="00ED6053">
      <w:pPr>
        <w:pStyle w:val="TEXTBODY"/>
        <w:rPr>
          <w:rFonts w:eastAsiaTheme="minorHAnsi"/>
          <w:color w:val="C00000"/>
        </w:rPr>
      </w:pPr>
    </w:p>
    <w:p w14:paraId="7F823789" w14:textId="611F67F7" w:rsidR="00ED6053" w:rsidRDefault="00ED6053" w:rsidP="00336A37">
      <w:pPr>
        <w:pStyle w:val="Ttulo5"/>
      </w:pPr>
      <w:r>
        <w:t xml:space="preserve">B. </w:t>
      </w:r>
      <w:r w:rsidRPr="00ED6053">
        <w:t>Key concepts from APs</w:t>
      </w:r>
      <w:r>
        <w:t xml:space="preserve"> /</w:t>
      </w:r>
      <w:r w:rsidRPr="00ED6053">
        <w:t xml:space="preserve"> AP&amp;M literature, and their use and conceptualization (understanding and meaning) in each case</w:t>
      </w:r>
    </w:p>
    <w:p w14:paraId="2FAC3916" w14:textId="77777777" w:rsidR="00336A37" w:rsidRPr="00336A37" w:rsidRDefault="00336A37" w:rsidP="00336A37">
      <w:pPr>
        <w:rPr>
          <w:rFonts w:eastAsiaTheme="minorHAnsi"/>
        </w:rPr>
      </w:pPr>
    </w:p>
    <w:tbl>
      <w:tblPr>
        <w:tblStyle w:val="TabelacomGrelha"/>
        <w:tblW w:w="5000" w:type="pct"/>
        <w:tblBorders>
          <w:left w:val="none" w:sz="0" w:space="0" w:color="auto"/>
          <w:right w:val="none" w:sz="0" w:space="0" w:color="auto"/>
        </w:tblBorders>
        <w:tblLayout w:type="fixed"/>
        <w:tblCellMar>
          <w:left w:w="85" w:type="dxa"/>
          <w:right w:w="85" w:type="dxa"/>
        </w:tblCellMar>
        <w:tblLook w:val="04A0" w:firstRow="1" w:lastRow="0" w:firstColumn="1" w:lastColumn="0" w:noHBand="0" w:noVBand="1"/>
      </w:tblPr>
      <w:tblGrid>
        <w:gridCol w:w="794"/>
        <w:gridCol w:w="4535"/>
        <w:gridCol w:w="4535"/>
      </w:tblGrid>
      <w:tr w:rsidR="00ED6053" w:rsidRPr="00ED6053" w14:paraId="0C0EC828" w14:textId="77777777" w:rsidTr="00FF4124">
        <w:tc>
          <w:tcPr>
            <w:tcW w:w="9864" w:type="dxa"/>
            <w:gridSpan w:val="3"/>
            <w:tcBorders>
              <w:left w:val="nil"/>
            </w:tcBorders>
          </w:tcPr>
          <w:p w14:paraId="2AAEB97D" w14:textId="34E007E1" w:rsidR="00ED6053" w:rsidRPr="00ED6053" w:rsidRDefault="00ED6053" w:rsidP="00336A37">
            <w:pPr>
              <w:pStyle w:val="tablecontenttext"/>
              <w:spacing w:line="240" w:lineRule="auto"/>
              <w:rPr>
                <w:rFonts w:ascii="Times New Roman" w:hAnsi="Times New Roman" w:cs="Times New Roman"/>
                <w:b/>
                <w:bCs w:val="0"/>
                <w:sz w:val="14"/>
                <w:szCs w:val="14"/>
              </w:rPr>
            </w:pPr>
            <w:r w:rsidRPr="00ED6053">
              <w:rPr>
                <w:rFonts w:ascii="Times New Roman" w:hAnsi="Times New Roman" w:cs="Times New Roman"/>
                <w:b/>
                <w:bCs w:val="0"/>
                <w:sz w:val="14"/>
                <w:szCs w:val="14"/>
              </w:rPr>
              <w:t>Table B. Key concepts in / from APs-based AP&amp;M literature, and their use and conceptualization (understanding and meaning) in each case</w:t>
            </w:r>
          </w:p>
        </w:tc>
      </w:tr>
      <w:tr w:rsidR="00ED6053" w:rsidRPr="00ED6053" w14:paraId="1A2F9E9E" w14:textId="77777777" w:rsidTr="00FF4124">
        <w:tc>
          <w:tcPr>
            <w:tcW w:w="794" w:type="dxa"/>
            <w:tcBorders>
              <w:left w:val="nil"/>
              <w:right w:val="nil"/>
            </w:tcBorders>
          </w:tcPr>
          <w:p w14:paraId="2E214E8B" w14:textId="77777777" w:rsidR="00ED6053" w:rsidRPr="00ED6053" w:rsidRDefault="00ED6053" w:rsidP="00336A37">
            <w:pPr>
              <w:pStyle w:val="tablecontenttext"/>
              <w:spacing w:line="240" w:lineRule="auto"/>
              <w:rPr>
                <w:rFonts w:ascii="Times New Roman" w:hAnsi="Times New Roman" w:cs="Times New Roman"/>
                <w:b/>
                <w:bCs w:val="0"/>
                <w:sz w:val="14"/>
                <w:szCs w:val="14"/>
              </w:rPr>
            </w:pPr>
            <w:r w:rsidRPr="00ED6053">
              <w:rPr>
                <w:rFonts w:ascii="Times New Roman" w:hAnsi="Times New Roman" w:cs="Times New Roman"/>
                <w:b/>
                <w:bCs w:val="0"/>
                <w:sz w:val="14"/>
                <w:szCs w:val="14"/>
              </w:rPr>
              <w:t xml:space="preserve">Key concepts </w:t>
            </w:r>
          </w:p>
        </w:tc>
        <w:tc>
          <w:tcPr>
            <w:tcW w:w="4535" w:type="dxa"/>
            <w:tcBorders>
              <w:left w:val="nil"/>
              <w:right w:val="nil"/>
            </w:tcBorders>
          </w:tcPr>
          <w:p w14:paraId="4ECF042F" w14:textId="77777777" w:rsidR="00ED6053" w:rsidRPr="00ED6053" w:rsidRDefault="00ED6053" w:rsidP="00336A37">
            <w:pPr>
              <w:pStyle w:val="tablecontenttext"/>
              <w:spacing w:line="240" w:lineRule="auto"/>
              <w:rPr>
                <w:rFonts w:ascii="Times New Roman" w:hAnsi="Times New Roman" w:cs="Times New Roman"/>
                <w:b/>
                <w:bCs w:val="0"/>
                <w:sz w:val="14"/>
                <w:szCs w:val="14"/>
              </w:rPr>
            </w:pPr>
            <w:r w:rsidRPr="00ED6053">
              <w:rPr>
                <w:rFonts w:ascii="Times New Roman" w:hAnsi="Times New Roman" w:cs="Times New Roman"/>
                <w:b/>
                <w:bCs w:val="0"/>
                <w:sz w:val="14"/>
                <w:szCs w:val="14"/>
              </w:rPr>
              <w:t xml:space="preserve">TE2100 case </w:t>
            </w:r>
          </w:p>
        </w:tc>
        <w:tc>
          <w:tcPr>
            <w:tcW w:w="4535" w:type="dxa"/>
            <w:tcBorders>
              <w:left w:val="nil"/>
            </w:tcBorders>
          </w:tcPr>
          <w:p w14:paraId="76E0692B" w14:textId="77777777" w:rsidR="00ED6053" w:rsidRPr="00ED6053" w:rsidRDefault="00ED6053" w:rsidP="00336A37">
            <w:pPr>
              <w:pStyle w:val="tablecontenttext"/>
              <w:spacing w:line="240" w:lineRule="auto"/>
              <w:rPr>
                <w:rFonts w:ascii="Times New Roman" w:hAnsi="Times New Roman" w:cs="Times New Roman"/>
                <w:b/>
                <w:bCs w:val="0"/>
                <w:sz w:val="14"/>
                <w:szCs w:val="14"/>
              </w:rPr>
            </w:pPr>
            <w:r w:rsidRPr="00ED6053">
              <w:rPr>
                <w:rFonts w:ascii="Times New Roman" w:hAnsi="Times New Roman" w:cs="Times New Roman"/>
                <w:b/>
                <w:bCs w:val="0"/>
                <w:sz w:val="14"/>
                <w:szCs w:val="14"/>
              </w:rPr>
              <w:t xml:space="preserve">DP 2014 case </w:t>
            </w:r>
          </w:p>
        </w:tc>
      </w:tr>
      <w:tr w:rsidR="00ED6053" w:rsidRPr="00ED6053" w14:paraId="14C66FDC" w14:textId="77777777" w:rsidTr="00FF4124">
        <w:tc>
          <w:tcPr>
            <w:tcW w:w="794" w:type="dxa"/>
            <w:tcBorders>
              <w:left w:val="nil"/>
              <w:right w:val="nil"/>
            </w:tcBorders>
          </w:tcPr>
          <w:p w14:paraId="2FE4E0F3" w14:textId="77777777" w:rsidR="00ED6053" w:rsidRPr="00ED6053" w:rsidRDefault="00ED6053" w:rsidP="00336A37">
            <w:pPr>
              <w:pStyle w:val="tablecontenttext"/>
              <w:spacing w:line="240" w:lineRule="auto"/>
              <w:rPr>
                <w:rFonts w:ascii="Times New Roman" w:hAnsi="Times New Roman" w:cs="Times New Roman"/>
                <w:b/>
                <w:bCs w:val="0"/>
                <w:sz w:val="14"/>
                <w:szCs w:val="14"/>
              </w:rPr>
            </w:pPr>
            <w:r w:rsidRPr="00ED6053">
              <w:rPr>
                <w:rFonts w:ascii="Times New Roman" w:hAnsi="Times New Roman" w:cs="Times New Roman"/>
                <w:b/>
                <w:bCs w:val="0"/>
                <w:sz w:val="14"/>
                <w:szCs w:val="14"/>
              </w:rPr>
              <w:t>Name of AP&amp;M approach</w:t>
            </w:r>
          </w:p>
        </w:tc>
        <w:tc>
          <w:tcPr>
            <w:tcW w:w="4535" w:type="dxa"/>
            <w:tcBorders>
              <w:left w:val="nil"/>
              <w:right w:val="nil"/>
            </w:tcBorders>
          </w:tcPr>
          <w:p w14:paraId="7A96A40A" w14:textId="77777777" w:rsidR="00ED6053" w:rsidRPr="00ED6053" w:rsidRDefault="00ED6053" w:rsidP="00336A37">
            <w:pPr>
              <w:pStyle w:val="CORPOTEXTO"/>
              <w:spacing w:after="60"/>
              <w:jc w:val="left"/>
              <w:rPr>
                <w:sz w:val="14"/>
                <w:szCs w:val="14"/>
              </w:rPr>
            </w:pPr>
            <w:r w:rsidRPr="00ED6053">
              <w:rPr>
                <w:sz w:val="14"/>
                <w:szCs w:val="14"/>
              </w:rPr>
              <w:t>Dynamic Adaptive Planning, also called Managed Adaptive approach, or Iterative Risk Management. It was based on the concept of ‘Dynamic Robustness’.</w:t>
            </w:r>
          </w:p>
        </w:tc>
        <w:tc>
          <w:tcPr>
            <w:tcW w:w="4535" w:type="dxa"/>
            <w:tcBorders>
              <w:left w:val="nil"/>
            </w:tcBorders>
          </w:tcPr>
          <w:p w14:paraId="002004B4"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 xml:space="preserve">Adaptive Delta Management (initially called Adaptive Delta Planning) </w:t>
            </w:r>
          </w:p>
          <w:p w14:paraId="6761249C"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 xml:space="preserve">ADM builds on the DAPP approach (of </w:t>
            </w:r>
            <w:proofErr w:type="spellStart"/>
            <w:r w:rsidRPr="00ED6053">
              <w:rPr>
                <w:rFonts w:ascii="Times New Roman" w:hAnsi="Times New Roman" w:cs="Times New Roman"/>
                <w:bCs w:val="0"/>
                <w:color w:val="7F7F7F" w:themeColor="text1" w:themeTint="80"/>
                <w:sz w:val="14"/>
                <w:szCs w:val="14"/>
              </w:rPr>
              <w:t>Haasnoot</w:t>
            </w:r>
            <w:proofErr w:type="spellEnd"/>
            <w:r w:rsidRPr="00ED6053">
              <w:rPr>
                <w:rFonts w:ascii="Times New Roman" w:hAnsi="Times New Roman" w:cs="Times New Roman"/>
                <w:bCs w:val="0"/>
                <w:color w:val="7F7F7F" w:themeColor="text1" w:themeTint="80"/>
                <w:sz w:val="14"/>
                <w:szCs w:val="14"/>
              </w:rPr>
              <w:t xml:space="preserve"> et al. 2013</w:t>
            </w:r>
            <w:r w:rsidRPr="00ED6053">
              <w:rPr>
                <w:rFonts w:ascii="Times New Roman" w:hAnsi="Times New Roman" w:cs="Times New Roman"/>
                <w:bCs w:val="0"/>
                <w:sz w:val="14"/>
                <w:szCs w:val="14"/>
              </w:rPr>
              <w:t>) and was inspired by the TE2100 Project.</w:t>
            </w:r>
          </w:p>
        </w:tc>
      </w:tr>
      <w:tr w:rsidR="00ED6053" w:rsidRPr="00ED6053" w14:paraId="1EC8D215" w14:textId="77777777" w:rsidTr="00FF4124">
        <w:tc>
          <w:tcPr>
            <w:tcW w:w="794" w:type="dxa"/>
            <w:tcBorders>
              <w:left w:val="nil"/>
              <w:right w:val="nil"/>
            </w:tcBorders>
          </w:tcPr>
          <w:p w14:paraId="1BBDFE1A" w14:textId="77777777" w:rsidR="00ED6053" w:rsidRPr="00ED6053" w:rsidRDefault="00ED6053" w:rsidP="00336A37">
            <w:pPr>
              <w:pStyle w:val="tablecontenttext"/>
              <w:spacing w:line="240" w:lineRule="auto"/>
              <w:rPr>
                <w:rFonts w:ascii="Times New Roman" w:hAnsi="Times New Roman" w:cs="Times New Roman"/>
                <w:b/>
                <w:bCs w:val="0"/>
                <w:sz w:val="14"/>
                <w:szCs w:val="14"/>
              </w:rPr>
            </w:pPr>
            <w:r w:rsidRPr="00ED6053">
              <w:rPr>
                <w:rFonts w:ascii="Times New Roman" w:hAnsi="Times New Roman" w:cs="Times New Roman"/>
                <w:b/>
                <w:bCs w:val="0"/>
                <w:sz w:val="14"/>
                <w:szCs w:val="14"/>
              </w:rPr>
              <w:t>Sub-methods within it:</w:t>
            </w:r>
          </w:p>
          <w:p w14:paraId="62C9E13E" w14:textId="77777777" w:rsidR="00ED6053" w:rsidRPr="00ED6053" w:rsidRDefault="00ED6053" w:rsidP="00336A37">
            <w:pPr>
              <w:pStyle w:val="tablecontenttext"/>
              <w:spacing w:line="240" w:lineRule="auto"/>
              <w:rPr>
                <w:rFonts w:ascii="Times New Roman" w:hAnsi="Times New Roman" w:cs="Times New Roman"/>
                <w:b/>
                <w:bCs w:val="0"/>
                <w:sz w:val="14"/>
                <w:szCs w:val="14"/>
              </w:rPr>
            </w:pPr>
            <w:r w:rsidRPr="00ED6053">
              <w:rPr>
                <w:rFonts w:ascii="Times New Roman" w:hAnsi="Times New Roman" w:cs="Times New Roman"/>
                <w:b/>
                <w:bCs w:val="0"/>
                <w:sz w:val="14"/>
                <w:szCs w:val="14"/>
              </w:rPr>
              <w:t>Adaptation Pathways (APs)</w:t>
            </w:r>
          </w:p>
          <w:p w14:paraId="75D2F165" w14:textId="77777777" w:rsidR="00ED6053" w:rsidRPr="00ED6053" w:rsidRDefault="00ED6053" w:rsidP="00336A37">
            <w:pPr>
              <w:pStyle w:val="tablecontenttext"/>
              <w:spacing w:line="240" w:lineRule="auto"/>
              <w:rPr>
                <w:rFonts w:ascii="Times New Roman" w:hAnsi="Times New Roman" w:cs="Times New Roman"/>
                <w:b/>
                <w:bCs w:val="0"/>
                <w:sz w:val="14"/>
                <w:szCs w:val="14"/>
              </w:rPr>
            </w:pPr>
            <w:r w:rsidRPr="00ED6053">
              <w:rPr>
                <w:rFonts w:ascii="Times New Roman" w:hAnsi="Times New Roman" w:cs="Times New Roman"/>
                <w:b/>
                <w:bCs w:val="0"/>
                <w:sz w:val="14"/>
                <w:szCs w:val="14"/>
              </w:rPr>
              <w:t>Thresholds/ ATPs approach</w:t>
            </w:r>
          </w:p>
        </w:tc>
        <w:tc>
          <w:tcPr>
            <w:tcW w:w="4535" w:type="dxa"/>
            <w:tcBorders>
              <w:left w:val="nil"/>
              <w:right w:val="nil"/>
            </w:tcBorders>
          </w:tcPr>
          <w:p w14:paraId="3883A2C8" w14:textId="77777777" w:rsidR="00ED6053" w:rsidRPr="00ED6053" w:rsidRDefault="00ED6053" w:rsidP="00336A37">
            <w:pPr>
              <w:pStyle w:val="CORPOTEXTO"/>
              <w:spacing w:after="60"/>
              <w:jc w:val="left"/>
              <w:rPr>
                <w:sz w:val="14"/>
                <w:szCs w:val="14"/>
              </w:rPr>
            </w:pPr>
            <w:r w:rsidRPr="00ED6053">
              <w:rPr>
                <w:sz w:val="14"/>
                <w:szCs w:val="14"/>
              </w:rPr>
              <w:t>It included the Adaptation Pathways approach, also called Route-map approach, or Decision Pathways approach; as well as the “Threshold approach / Scenario-neutral approach”</w:t>
            </w:r>
          </w:p>
          <w:p w14:paraId="2D08AC7F" w14:textId="77777777" w:rsidR="00ED6053" w:rsidRPr="00ED6053" w:rsidRDefault="00ED6053" w:rsidP="00336A37">
            <w:pPr>
              <w:pStyle w:val="CORPOTEXTO"/>
              <w:spacing w:after="60"/>
              <w:jc w:val="left"/>
              <w:rPr>
                <w:sz w:val="14"/>
                <w:szCs w:val="14"/>
              </w:rPr>
            </w:pPr>
            <w:r w:rsidRPr="00ED6053">
              <w:rPr>
                <w:sz w:val="14"/>
                <w:szCs w:val="14"/>
              </w:rPr>
              <w:t>The APs approach allowed exploring possible adaptation measures over time and sequencing them (in pathways); it also allows identifying the timing for such measures under different scenarios (</w:t>
            </w:r>
            <w:r w:rsidRPr="00ED6053">
              <w:rPr>
                <w:color w:val="595959" w:themeColor="text1" w:themeTint="A6"/>
                <w:sz w:val="14"/>
                <w:szCs w:val="14"/>
              </w:rPr>
              <w:t>Ranger et al. 2010</w:t>
            </w:r>
            <w:r w:rsidRPr="00ED6053">
              <w:rPr>
                <w:sz w:val="14"/>
                <w:szCs w:val="14"/>
              </w:rPr>
              <w:t>).</w:t>
            </w:r>
          </w:p>
          <w:p w14:paraId="40CE55CF" w14:textId="77777777" w:rsidR="00ED6053" w:rsidRPr="00ED6053" w:rsidRDefault="00ED6053" w:rsidP="00336A37">
            <w:pPr>
              <w:pStyle w:val="CORPOTEXTO"/>
              <w:spacing w:after="60"/>
              <w:jc w:val="left"/>
              <w:rPr>
                <w:sz w:val="14"/>
                <w:szCs w:val="14"/>
              </w:rPr>
            </w:pPr>
            <w:r w:rsidRPr="00ED6053">
              <w:rPr>
                <w:sz w:val="14"/>
                <w:szCs w:val="14"/>
              </w:rPr>
              <w:t>The APs’ map identifies thresholds (points where an action no longer meets the predefined criteria, and where it is necessary to take an additional action, or switch to other action or pathway (</w:t>
            </w:r>
            <w:r w:rsidRPr="00ED6053">
              <w:rPr>
                <w:color w:val="595959" w:themeColor="text1" w:themeTint="A6"/>
                <w:sz w:val="14"/>
                <w:szCs w:val="14"/>
              </w:rPr>
              <w:t>Ranger et al. 2013</w:t>
            </w:r>
            <w:r w:rsidRPr="00ED6053">
              <w:rPr>
                <w:sz w:val="14"/>
                <w:szCs w:val="14"/>
              </w:rPr>
              <w:t>).</w:t>
            </w:r>
          </w:p>
        </w:tc>
        <w:tc>
          <w:tcPr>
            <w:tcW w:w="4535" w:type="dxa"/>
            <w:tcBorders>
              <w:left w:val="nil"/>
            </w:tcBorders>
          </w:tcPr>
          <w:p w14:paraId="46BEBF97"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ADM explicitly implied using the APs and ATPs methods.</w:t>
            </w:r>
          </w:p>
        </w:tc>
      </w:tr>
      <w:tr w:rsidR="00ED6053" w:rsidRPr="00ED6053" w14:paraId="4F6184D3" w14:textId="77777777" w:rsidTr="00FF4124">
        <w:tc>
          <w:tcPr>
            <w:tcW w:w="794" w:type="dxa"/>
            <w:tcBorders>
              <w:left w:val="nil"/>
              <w:right w:val="nil"/>
            </w:tcBorders>
          </w:tcPr>
          <w:p w14:paraId="19303B62" w14:textId="77777777" w:rsidR="00ED6053" w:rsidRPr="00ED6053" w:rsidRDefault="00ED6053" w:rsidP="00336A37">
            <w:pPr>
              <w:pStyle w:val="tablecontenttext"/>
              <w:spacing w:line="240" w:lineRule="auto"/>
              <w:rPr>
                <w:rFonts w:ascii="Times New Roman" w:hAnsi="Times New Roman" w:cs="Times New Roman"/>
                <w:b/>
                <w:bCs w:val="0"/>
                <w:sz w:val="14"/>
                <w:szCs w:val="14"/>
              </w:rPr>
            </w:pPr>
            <w:r w:rsidRPr="00ED6053">
              <w:rPr>
                <w:rFonts w:ascii="Times New Roman" w:hAnsi="Times New Roman" w:cs="Times New Roman"/>
                <w:b/>
                <w:bCs w:val="0"/>
                <w:sz w:val="14"/>
                <w:szCs w:val="14"/>
              </w:rPr>
              <w:t>Process of steps provided;</w:t>
            </w:r>
          </w:p>
        </w:tc>
        <w:tc>
          <w:tcPr>
            <w:tcW w:w="4535" w:type="dxa"/>
            <w:tcBorders>
              <w:left w:val="nil"/>
              <w:right w:val="nil"/>
            </w:tcBorders>
          </w:tcPr>
          <w:p w14:paraId="6A62EA94" w14:textId="77777777" w:rsidR="00ED6053" w:rsidRPr="00ED6053" w:rsidRDefault="00ED6053" w:rsidP="00336A37">
            <w:pPr>
              <w:pStyle w:val="CORPOTEXTO"/>
              <w:spacing w:after="60"/>
              <w:jc w:val="left"/>
              <w:rPr>
                <w:sz w:val="14"/>
                <w:szCs w:val="14"/>
              </w:rPr>
            </w:pPr>
            <w:r w:rsidRPr="00ED6053">
              <w:rPr>
                <w:sz w:val="14"/>
                <w:szCs w:val="14"/>
              </w:rPr>
              <w:t xml:space="preserve">It was not provided a pre-established process / cycle of steps to be followed. </w:t>
            </w:r>
            <w:proofErr w:type="gramStart"/>
            <w:r w:rsidRPr="00ED6053">
              <w:rPr>
                <w:sz w:val="14"/>
                <w:szCs w:val="14"/>
              </w:rPr>
              <w:t>However</w:t>
            </w:r>
            <w:proofErr w:type="gramEnd"/>
            <w:r w:rsidRPr="00ED6053">
              <w:rPr>
                <w:sz w:val="14"/>
                <w:szCs w:val="14"/>
              </w:rPr>
              <w:t xml:space="preserve"> the Adaptive Planning approach of the TE2100 was based on the approach provided by Willows and Connell 2003.</w:t>
            </w:r>
          </w:p>
        </w:tc>
        <w:tc>
          <w:tcPr>
            <w:tcW w:w="4535" w:type="dxa"/>
            <w:tcBorders>
              <w:left w:val="nil"/>
            </w:tcBorders>
          </w:tcPr>
          <w:p w14:paraId="6FCE10A5"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It was provided a diagram of the ADM process to the DP and its Subprogrammes, which is based on (adapted from) the diagram of the DAPP process (</w:t>
            </w:r>
            <w:proofErr w:type="spellStart"/>
            <w:r w:rsidRPr="00ED6053">
              <w:rPr>
                <w:rFonts w:ascii="Times New Roman" w:hAnsi="Times New Roman" w:cs="Times New Roman"/>
                <w:bCs w:val="0"/>
                <w:sz w:val="14"/>
                <w:szCs w:val="14"/>
              </w:rPr>
              <w:t>Haasnoot</w:t>
            </w:r>
            <w:proofErr w:type="spellEnd"/>
            <w:r w:rsidRPr="00ED6053">
              <w:rPr>
                <w:rFonts w:ascii="Times New Roman" w:hAnsi="Times New Roman" w:cs="Times New Roman"/>
                <w:bCs w:val="0"/>
                <w:sz w:val="14"/>
                <w:szCs w:val="14"/>
              </w:rPr>
              <w:t xml:space="preserve"> et al..2013). </w:t>
            </w:r>
          </w:p>
        </w:tc>
      </w:tr>
      <w:tr w:rsidR="00ED6053" w:rsidRPr="00ED6053" w14:paraId="2614FE73" w14:textId="77777777" w:rsidTr="00FF4124">
        <w:tc>
          <w:tcPr>
            <w:tcW w:w="794" w:type="dxa"/>
            <w:tcBorders>
              <w:left w:val="nil"/>
              <w:right w:val="nil"/>
            </w:tcBorders>
          </w:tcPr>
          <w:p w14:paraId="6B31684B" w14:textId="77777777" w:rsidR="00ED6053" w:rsidRPr="00ED6053" w:rsidRDefault="00ED6053" w:rsidP="00336A37">
            <w:pPr>
              <w:pStyle w:val="tablecontenttext"/>
              <w:spacing w:line="240" w:lineRule="auto"/>
              <w:rPr>
                <w:rFonts w:ascii="Times New Roman" w:hAnsi="Times New Roman" w:cs="Times New Roman"/>
                <w:b/>
                <w:bCs w:val="0"/>
                <w:sz w:val="14"/>
                <w:szCs w:val="14"/>
              </w:rPr>
            </w:pPr>
          </w:p>
        </w:tc>
        <w:tc>
          <w:tcPr>
            <w:tcW w:w="4535" w:type="dxa"/>
            <w:tcBorders>
              <w:left w:val="nil"/>
              <w:right w:val="nil"/>
            </w:tcBorders>
          </w:tcPr>
          <w:p w14:paraId="617AF6B0" w14:textId="77777777" w:rsidR="00ED6053" w:rsidRPr="00ED6053" w:rsidRDefault="00ED6053" w:rsidP="00336A37">
            <w:pPr>
              <w:pStyle w:val="CORPOTEXTO"/>
              <w:spacing w:after="60"/>
              <w:jc w:val="left"/>
              <w:rPr>
                <w:sz w:val="14"/>
                <w:szCs w:val="14"/>
              </w:rPr>
            </w:pPr>
          </w:p>
        </w:tc>
        <w:tc>
          <w:tcPr>
            <w:tcW w:w="4535" w:type="dxa"/>
            <w:tcBorders>
              <w:left w:val="nil"/>
            </w:tcBorders>
          </w:tcPr>
          <w:p w14:paraId="45569814" w14:textId="77777777" w:rsidR="00ED6053" w:rsidRPr="00ED6053" w:rsidRDefault="00ED6053" w:rsidP="00336A37">
            <w:pPr>
              <w:pStyle w:val="tablecontenttext"/>
              <w:spacing w:line="240" w:lineRule="auto"/>
              <w:rPr>
                <w:rFonts w:ascii="Times New Roman" w:hAnsi="Times New Roman" w:cs="Times New Roman"/>
                <w:bCs w:val="0"/>
                <w:sz w:val="14"/>
                <w:szCs w:val="14"/>
              </w:rPr>
            </w:pPr>
          </w:p>
        </w:tc>
      </w:tr>
      <w:tr w:rsidR="00ED6053" w:rsidRPr="00ED6053" w14:paraId="1B0734A3" w14:textId="77777777" w:rsidTr="00FF4124">
        <w:tc>
          <w:tcPr>
            <w:tcW w:w="794" w:type="dxa"/>
            <w:tcBorders>
              <w:left w:val="nil"/>
              <w:right w:val="nil"/>
            </w:tcBorders>
          </w:tcPr>
          <w:p w14:paraId="0E724AB0" w14:textId="77777777" w:rsidR="00ED6053" w:rsidRPr="00ED6053" w:rsidRDefault="00ED6053" w:rsidP="00336A37">
            <w:pPr>
              <w:pStyle w:val="tablecontenttext"/>
              <w:spacing w:line="240" w:lineRule="auto"/>
              <w:rPr>
                <w:rFonts w:ascii="Times New Roman" w:hAnsi="Times New Roman" w:cs="Times New Roman"/>
                <w:b/>
                <w:bCs w:val="0"/>
                <w:sz w:val="14"/>
                <w:szCs w:val="14"/>
              </w:rPr>
            </w:pPr>
            <w:r w:rsidRPr="00ED6053">
              <w:rPr>
                <w:rFonts w:ascii="Times New Roman" w:hAnsi="Times New Roman" w:cs="Times New Roman"/>
                <w:b/>
                <w:bCs w:val="0"/>
                <w:sz w:val="14"/>
                <w:szCs w:val="14"/>
              </w:rPr>
              <w:t xml:space="preserve">Scenarios </w:t>
            </w:r>
          </w:p>
        </w:tc>
        <w:tc>
          <w:tcPr>
            <w:tcW w:w="4535" w:type="dxa"/>
            <w:tcBorders>
              <w:left w:val="nil"/>
              <w:right w:val="nil"/>
            </w:tcBorders>
          </w:tcPr>
          <w:p w14:paraId="51A7EB4C"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Four SLR scenarios + four socioeconomic scenarios considered.</w:t>
            </w:r>
          </w:p>
          <w:p w14:paraId="31FAA6A4"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 xml:space="preserve">Four plausible future SLR scenarios specifically produced for the TE up to 2100, namely: the </w:t>
            </w:r>
            <w:r w:rsidRPr="00ED6053">
              <w:rPr>
                <w:rFonts w:ascii="Times New Roman" w:hAnsi="Times New Roman" w:cs="Times New Roman"/>
                <w:bCs w:val="0"/>
                <w:i/>
                <w:sz w:val="14"/>
                <w:szCs w:val="14"/>
              </w:rPr>
              <w:t>DEFRA</w:t>
            </w:r>
            <w:r w:rsidRPr="00ED6053">
              <w:rPr>
                <w:rFonts w:ascii="Times New Roman" w:hAnsi="Times New Roman" w:cs="Times New Roman"/>
                <w:bCs w:val="0"/>
                <w:sz w:val="14"/>
                <w:szCs w:val="14"/>
              </w:rPr>
              <w:t xml:space="preserve"> 06 central (0,9m, deemed the “most likely”), initial </w:t>
            </w:r>
            <w:r w:rsidRPr="00ED6053">
              <w:rPr>
                <w:rFonts w:ascii="Times New Roman" w:hAnsi="Times New Roman" w:cs="Times New Roman"/>
                <w:bCs w:val="0"/>
                <w:i/>
                <w:sz w:val="14"/>
                <w:szCs w:val="14"/>
              </w:rPr>
              <w:t>High++</w:t>
            </w:r>
            <w:r w:rsidRPr="00ED6053">
              <w:rPr>
                <w:rFonts w:ascii="Times New Roman" w:hAnsi="Times New Roman" w:cs="Times New Roman"/>
                <w:bCs w:val="0"/>
                <w:sz w:val="14"/>
                <w:szCs w:val="14"/>
              </w:rPr>
              <w:t xml:space="preserve"> (4,2m), </w:t>
            </w:r>
            <w:r w:rsidRPr="00ED6053">
              <w:rPr>
                <w:rFonts w:ascii="Times New Roman" w:hAnsi="Times New Roman" w:cs="Times New Roman"/>
                <w:bCs w:val="0"/>
                <w:i/>
                <w:iCs w:val="0"/>
                <w:sz w:val="14"/>
                <w:szCs w:val="14"/>
              </w:rPr>
              <w:t>Medium-High</w:t>
            </w:r>
            <w:r w:rsidRPr="00ED6053">
              <w:rPr>
                <w:rFonts w:ascii="Times New Roman" w:hAnsi="Times New Roman" w:cs="Times New Roman"/>
                <w:bCs w:val="0"/>
                <w:sz w:val="14"/>
                <w:szCs w:val="14"/>
              </w:rPr>
              <w:t xml:space="preserve"> (1,5m), and the later revised High ++ called </w:t>
            </w:r>
            <w:r w:rsidRPr="00ED6053">
              <w:rPr>
                <w:rFonts w:ascii="Times New Roman" w:hAnsi="Times New Roman" w:cs="Times New Roman"/>
                <w:bCs w:val="0"/>
                <w:i/>
                <w:sz w:val="14"/>
                <w:szCs w:val="14"/>
              </w:rPr>
              <w:t>High+</w:t>
            </w:r>
            <w:r w:rsidRPr="00ED6053">
              <w:rPr>
                <w:rFonts w:ascii="Times New Roman" w:hAnsi="Times New Roman" w:cs="Times New Roman"/>
                <w:bCs w:val="0"/>
                <w:sz w:val="14"/>
                <w:szCs w:val="14"/>
              </w:rPr>
              <w:t xml:space="preserve"> (2,7m). + Four socioeconomic scenarios (A to D)</w:t>
            </w:r>
          </w:p>
        </w:tc>
        <w:tc>
          <w:tcPr>
            <w:tcW w:w="4535" w:type="dxa"/>
            <w:tcBorders>
              <w:left w:val="nil"/>
            </w:tcBorders>
          </w:tcPr>
          <w:p w14:paraId="77D7A7DC"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 xml:space="preserve">Four Delta Scenarios, each combining climatic and socioeconomic changes (i.e. merged climate and socioeconomic scenarios). However, the maps of adaptation paths were developed </w:t>
            </w:r>
            <w:proofErr w:type="gramStart"/>
            <w:r w:rsidRPr="00ED6053">
              <w:rPr>
                <w:rFonts w:ascii="Times New Roman" w:hAnsi="Times New Roman" w:cs="Times New Roman"/>
                <w:bCs w:val="0"/>
                <w:sz w:val="14"/>
                <w:szCs w:val="14"/>
              </w:rPr>
              <w:t>taking into account</w:t>
            </w:r>
            <w:proofErr w:type="gramEnd"/>
            <w:r w:rsidRPr="00ED6053">
              <w:rPr>
                <w:rFonts w:ascii="Times New Roman" w:hAnsi="Times New Roman" w:cs="Times New Roman"/>
                <w:bCs w:val="0"/>
                <w:sz w:val="14"/>
                <w:szCs w:val="14"/>
              </w:rPr>
              <w:t xml:space="preserve"> one of the four Delta Scenarios. </w:t>
            </w:r>
          </w:p>
          <w:p w14:paraId="274F8B4C"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 xml:space="preserve">Four </w:t>
            </w:r>
            <w:r w:rsidRPr="00ED6053">
              <w:rPr>
                <w:rFonts w:ascii="Times New Roman" w:hAnsi="Times New Roman" w:cs="Times New Roman"/>
                <w:bCs w:val="0"/>
                <w:i/>
                <w:iCs w:val="0"/>
                <w:sz w:val="14"/>
                <w:szCs w:val="14"/>
              </w:rPr>
              <w:t>Delta Scenarios</w:t>
            </w:r>
            <w:r w:rsidRPr="00ED6053">
              <w:rPr>
                <w:rFonts w:ascii="Times New Roman" w:hAnsi="Times New Roman" w:cs="Times New Roman"/>
                <w:bCs w:val="0"/>
                <w:sz w:val="14"/>
                <w:szCs w:val="14"/>
              </w:rPr>
              <w:t xml:space="preserve"> (</w:t>
            </w:r>
            <w:r w:rsidRPr="00ED6053">
              <w:rPr>
                <w:rFonts w:ascii="Times New Roman" w:hAnsi="Times New Roman" w:cs="Times New Roman"/>
                <w:bCs w:val="0"/>
                <w:i/>
                <w:sz w:val="14"/>
                <w:szCs w:val="14"/>
              </w:rPr>
              <w:t>Busy</w:t>
            </w:r>
            <w:r w:rsidRPr="00ED6053">
              <w:rPr>
                <w:rFonts w:ascii="Times New Roman" w:hAnsi="Times New Roman" w:cs="Times New Roman"/>
                <w:bCs w:val="0"/>
                <w:sz w:val="14"/>
                <w:szCs w:val="14"/>
              </w:rPr>
              <w:t xml:space="preserve">, </w:t>
            </w:r>
            <w:r w:rsidRPr="00ED6053">
              <w:rPr>
                <w:rFonts w:ascii="Times New Roman" w:hAnsi="Times New Roman" w:cs="Times New Roman"/>
                <w:bCs w:val="0"/>
                <w:i/>
                <w:sz w:val="14"/>
                <w:szCs w:val="14"/>
              </w:rPr>
              <w:t>Steam</w:t>
            </w:r>
            <w:r w:rsidRPr="00ED6053">
              <w:rPr>
                <w:rFonts w:ascii="Times New Roman" w:hAnsi="Times New Roman" w:cs="Times New Roman"/>
                <w:bCs w:val="0"/>
                <w:sz w:val="14"/>
                <w:szCs w:val="14"/>
              </w:rPr>
              <w:t xml:space="preserve">, </w:t>
            </w:r>
            <w:r w:rsidRPr="00ED6053">
              <w:rPr>
                <w:rFonts w:ascii="Times New Roman" w:hAnsi="Times New Roman" w:cs="Times New Roman"/>
                <w:bCs w:val="0"/>
                <w:i/>
                <w:sz w:val="14"/>
                <w:szCs w:val="14"/>
              </w:rPr>
              <w:t>Rest, Warm</w:t>
            </w:r>
            <w:r w:rsidRPr="00ED6053">
              <w:rPr>
                <w:rFonts w:ascii="Times New Roman" w:hAnsi="Times New Roman" w:cs="Times New Roman"/>
                <w:bCs w:val="0"/>
                <w:sz w:val="14"/>
                <w:szCs w:val="14"/>
              </w:rPr>
              <w:t>), which consist of four different plausible futures that</w:t>
            </w:r>
            <w:r w:rsidRPr="00ED6053">
              <w:rPr>
                <w:rFonts w:ascii="Times New Roman" w:hAnsi="Times New Roman" w:cs="Times New Roman"/>
                <w:bCs w:val="0"/>
                <w:i/>
                <w:sz w:val="14"/>
                <w:szCs w:val="14"/>
              </w:rPr>
              <w:t xml:space="preserve"> </w:t>
            </w:r>
            <w:r w:rsidRPr="00ED6053">
              <w:rPr>
                <w:rFonts w:ascii="Times New Roman" w:hAnsi="Times New Roman" w:cs="Times New Roman"/>
                <w:bCs w:val="0"/>
                <w:sz w:val="14"/>
                <w:szCs w:val="14"/>
              </w:rPr>
              <w:t>show how the climatic and socioeconomic conditions might change until 2050 and 2100, not predictions. They differ in terms of rapid / moderate CC and socioeconomic growth / decline. Each presents its figures for SLR, river discharges, and soil subsidence.</w:t>
            </w:r>
          </w:p>
          <w:p w14:paraId="319FBD80" w14:textId="77777777" w:rsidR="00ED6053" w:rsidRPr="00ED6053" w:rsidRDefault="00ED6053" w:rsidP="00336A37">
            <w:pPr>
              <w:pStyle w:val="tablecontenttext"/>
              <w:spacing w:line="240" w:lineRule="auto"/>
              <w:jc w:val="both"/>
              <w:rPr>
                <w:rFonts w:ascii="Times New Roman" w:hAnsi="Times New Roman" w:cs="Times New Roman"/>
                <w:bCs w:val="0"/>
                <w:sz w:val="14"/>
                <w:szCs w:val="14"/>
              </w:rPr>
            </w:pPr>
          </w:p>
          <w:p w14:paraId="583597A3" w14:textId="77777777" w:rsidR="00ED6053" w:rsidRPr="00ED6053" w:rsidRDefault="00ED6053" w:rsidP="00336A37">
            <w:pPr>
              <w:pStyle w:val="tablecontenttext"/>
              <w:spacing w:line="240" w:lineRule="auto"/>
              <w:jc w:val="both"/>
              <w:rPr>
                <w:rFonts w:ascii="Times New Roman" w:hAnsi="Times New Roman" w:cs="Times New Roman"/>
                <w:bCs w:val="0"/>
                <w:sz w:val="14"/>
                <w:szCs w:val="14"/>
              </w:rPr>
            </w:pPr>
            <w:r w:rsidRPr="00ED6053">
              <w:rPr>
                <w:rFonts w:ascii="Times New Roman" w:hAnsi="Times New Roman" w:cs="Times New Roman"/>
                <w:sz w:val="14"/>
                <w:szCs w:val="14"/>
              </w:rPr>
              <w:t xml:space="preserve">Due to uncertainty about the rate of CC, the DP decided to work with several possible future </w:t>
            </w:r>
            <w:r w:rsidRPr="00ED6053">
              <w:rPr>
                <w:rFonts w:ascii="Times New Roman" w:hAnsi="Times New Roman" w:cs="Times New Roman"/>
                <w:i/>
                <w:sz w:val="14"/>
                <w:szCs w:val="14"/>
              </w:rPr>
              <w:t>Delta Scenarios</w:t>
            </w:r>
            <w:r w:rsidRPr="00ED6053">
              <w:rPr>
                <w:rFonts w:ascii="Times New Roman" w:hAnsi="Times New Roman" w:cs="Times New Roman"/>
                <w:sz w:val="14"/>
                <w:szCs w:val="14"/>
              </w:rPr>
              <w:t xml:space="preserve"> and draw up strategies for them (DP 2013, p.6).</w:t>
            </w:r>
          </w:p>
        </w:tc>
      </w:tr>
      <w:tr w:rsidR="00ED6053" w:rsidRPr="00ED6053" w14:paraId="25F8E5EC" w14:textId="77777777" w:rsidTr="00FF4124">
        <w:tc>
          <w:tcPr>
            <w:tcW w:w="794" w:type="dxa"/>
            <w:tcBorders>
              <w:left w:val="nil"/>
              <w:right w:val="nil"/>
            </w:tcBorders>
          </w:tcPr>
          <w:p w14:paraId="7E7B24AE" w14:textId="77777777" w:rsidR="00ED6053" w:rsidRPr="00ED6053" w:rsidRDefault="00ED6053" w:rsidP="00336A37">
            <w:pPr>
              <w:pStyle w:val="tablecontenttext"/>
              <w:spacing w:line="240" w:lineRule="auto"/>
              <w:rPr>
                <w:rFonts w:ascii="Times New Roman" w:hAnsi="Times New Roman" w:cs="Times New Roman"/>
                <w:b/>
                <w:bCs w:val="0"/>
                <w:sz w:val="14"/>
                <w:szCs w:val="14"/>
              </w:rPr>
            </w:pPr>
            <w:r w:rsidRPr="00ED6053">
              <w:rPr>
                <w:rFonts w:ascii="Times New Roman" w:hAnsi="Times New Roman" w:cs="Times New Roman"/>
                <w:b/>
                <w:bCs w:val="0"/>
                <w:i/>
                <w:iCs w:val="0"/>
                <w:sz w:val="14"/>
                <w:szCs w:val="14"/>
              </w:rPr>
              <w:t>Sell-by date</w:t>
            </w:r>
            <w:r w:rsidRPr="00ED6053">
              <w:rPr>
                <w:rFonts w:ascii="Times New Roman" w:hAnsi="Times New Roman" w:cs="Times New Roman"/>
                <w:b/>
                <w:bCs w:val="0"/>
                <w:sz w:val="14"/>
                <w:szCs w:val="14"/>
              </w:rPr>
              <w:t xml:space="preserve"> of measures (Terminal Station in APs map)</w:t>
            </w:r>
          </w:p>
          <w:p w14:paraId="553B34C0" w14:textId="77777777" w:rsidR="00ED6053" w:rsidRPr="00ED6053" w:rsidRDefault="00ED6053" w:rsidP="00336A37">
            <w:pPr>
              <w:pStyle w:val="tablecontenttext"/>
              <w:spacing w:line="240" w:lineRule="auto"/>
              <w:rPr>
                <w:rFonts w:ascii="Times New Roman" w:hAnsi="Times New Roman" w:cs="Times New Roman"/>
                <w:b/>
                <w:bCs w:val="0"/>
                <w:sz w:val="14"/>
                <w:szCs w:val="14"/>
              </w:rPr>
            </w:pPr>
          </w:p>
          <w:p w14:paraId="5B63883C" w14:textId="77777777" w:rsidR="00ED6053" w:rsidRPr="00ED6053" w:rsidRDefault="00ED6053" w:rsidP="00336A37">
            <w:pPr>
              <w:pStyle w:val="tablecontenttext"/>
              <w:spacing w:line="240" w:lineRule="auto"/>
              <w:rPr>
                <w:rFonts w:ascii="Times New Roman" w:hAnsi="Times New Roman" w:cs="Times New Roman"/>
                <w:b/>
                <w:bCs w:val="0"/>
                <w:sz w:val="14"/>
                <w:szCs w:val="14"/>
              </w:rPr>
            </w:pPr>
          </w:p>
          <w:p w14:paraId="146E4183" w14:textId="77777777" w:rsidR="00ED6053" w:rsidRPr="00ED6053" w:rsidRDefault="00ED6053" w:rsidP="00336A37">
            <w:pPr>
              <w:pStyle w:val="tablecontenttext"/>
              <w:spacing w:line="240" w:lineRule="auto"/>
              <w:rPr>
                <w:rFonts w:ascii="Times New Roman" w:hAnsi="Times New Roman" w:cs="Times New Roman"/>
                <w:b/>
                <w:bCs w:val="0"/>
                <w:sz w:val="14"/>
                <w:szCs w:val="14"/>
              </w:rPr>
            </w:pPr>
            <w:r w:rsidRPr="00ED6053">
              <w:rPr>
                <w:rFonts w:ascii="Times New Roman" w:hAnsi="Times New Roman" w:cs="Times New Roman"/>
                <w:b/>
                <w:bCs w:val="0"/>
                <w:sz w:val="14"/>
                <w:szCs w:val="14"/>
              </w:rPr>
              <w:t xml:space="preserve">Thresholds / Adaptation </w:t>
            </w:r>
            <w:r w:rsidRPr="00ED6053">
              <w:rPr>
                <w:rFonts w:ascii="Times New Roman" w:hAnsi="Times New Roman" w:cs="Times New Roman"/>
                <w:b/>
                <w:bCs w:val="0"/>
                <w:sz w:val="14"/>
                <w:szCs w:val="14"/>
              </w:rPr>
              <w:lastRenderedPageBreak/>
              <w:t xml:space="preserve">Tipping-points </w:t>
            </w:r>
          </w:p>
        </w:tc>
        <w:tc>
          <w:tcPr>
            <w:tcW w:w="4535" w:type="dxa"/>
            <w:tcBorders>
              <w:left w:val="nil"/>
              <w:right w:val="nil"/>
            </w:tcBorders>
          </w:tcPr>
          <w:p w14:paraId="64D3FEA7" w14:textId="77777777" w:rsidR="00ED6053" w:rsidRPr="00ED6053" w:rsidRDefault="00ED6053" w:rsidP="00336A37">
            <w:pPr>
              <w:pStyle w:val="tablecontenttext"/>
              <w:spacing w:line="240" w:lineRule="auto"/>
              <w:rPr>
                <w:rFonts w:ascii="Times New Roman" w:eastAsia="RijksoverheidSerif-Regular" w:hAnsi="Times New Roman" w:cs="Times New Roman"/>
                <w:bCs w:val="0"/>
                <w:sz w:val="14"/>
                <w:szCs w:val="14"/>
                <w:lang w:eastAsia="en-US"/>
              </w:rPr>
            </w:pPr>
            <w:r w:rsidRPr="00ED6053">
              <w:rPr>
                <w:rFonts w:ascii="Times New Roman" w:eastAsia="RijksoverheidSerif-Regular" w:hAnsi="Times New Roman" w:cs="Times New Roman"/>
                <w:bCs w:val="0"/>
                <w:sz w:val="14"/>
                <w:szCs w:val="14"/>
                <w:lang w:eastAsia="en-US"/>
              </w:rPr>
              <w:lastRenderedPageBreak/>
              <w:t>The term “threshold” most often refers to critical threshold levels expressed in terms of SLR or rising water levels. Represent critical limits / values for the existing FRM system, namely for its sensitivity and vulnerability. For example, the level of SLR at which a flood defence or any FRM measure ceases to be effective, and which requires switching to a new measure (before the threshold in reached).</w:t>
            </w:r>
          </w:p>
          <w:p w14:paraId="33DD321F"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 xml:space="preserve">In the case of the TE, thresholds refer to critical levels, i.e. critical threshold levels / values for (in) the vulnerability and sensitivity of the FRM system, namely the level of SLR at which pre-existing sea defences fail and any other levels that pose limits to adaptation. These included, for example, the limit for the existing system </w:t>
            </w:r>
            <w:r w:rsidRPr="00ED6053">
              <w:rPr>
                <w:rFonts w:ascii="Times New Roman" w:hAnsi="Times New Roman" w:cs="Times New Roman"/>
                <w:bCs w:val="0"/>
                <w:iCs w:val="0"/>
                <w:sz w:val="14"/>
                <w:szCs w:val="14"/>
              </w:rPr>
              <w:t xml:space="preserve">of walls and embankments, the level of SLR at which the existing Thames Barrier (as it is designed) no longer meets the target protection level (1 in 1000); the engineering limit of the Thames Barrier with </w:t>
            </w:r>
            <w:r w:rsidRPr="00ED6053">
              <w:rPr>
                <w:rFonts w:ascii="Times New Roman" w:hAnsi="Times New Roman" w:cs="Times New Roman"/>
                <w:bCs w:val="0"/>
                <w:iCs w:val="0"/>
                <w:sz w:val="14"/>
                <w:szCs w:val="14"/>
              </w:rPr>
              <w:lastRenderedPageBreak/>
              <w:t>modification works; and the limit at which it will be difficult to continue to protect the Estuary and London in the current ways and retreat would be required.</w:t>
            </w:r>
            <w:r w:rsidRPr="00ED6053">
              <w:rPr>
                <w:rFonts w:ascii="Times New Roman" w:hAnsi="Times New Roman" w:cs="Times New Roman"/>
                <w:bCs w:val="0"/>
                <w:sz w:val="14"/>
                <w:szCs w:val="14"/>
              </w:rPr>
              <w:t xml:space="preserve"> Thresholds levels are indicated in the x-axis of the route-map which reflects the increase in extreme water levels in the TE. The Team examined key thresholds of climate change and water level rise at which other measure or Option will be required.</w:t>
            </w:r>
          </w:p>
          <w:p w14:paraId="47D8A6DA" w14:textId="77777777" w:rsidR="00ED6053" w:rsidRPr="00ED6053" w:rsidRDefault="00ED6053" w:rsidP="00336A37">
            <w:pPr>
              <w:pStyle w:val="tablecontenttext"/>
              <w:spacing w:line="240" w:lineRule="auto"/>
              <w:rPr>
                <w:rFonts w:ascii="Times New Roman" w:hAnsi="Times New Roman" w:cs="Times New Roman"/>
                <w:bCs w:val="0"/>
                <w:sz w:val="14"/>
                <w:szCs w:val="14"/>
              </w:rPr>
            </w:pPr>
          </w:p>
          <w:p w14:paraId="5D85DFFF" w14:textId="77777777" w:rsidR="00ED6053" w:rsidRPr="00ED6053" w:rsidRDefault="00ED6053" w:rsidP="00336A37">
            <w:pPr>
              <w:pStyle w:val="CORPOTEXTO"/>
              <w:rPr>
                <w:i/>
                <w:iCs/>
                <w:sz w:val="14"/>
                <w:szCs w:val="14"/>
              </w:rPr>
            </w:pPr>
            <w:r w:rsidRPr="00ED6053">
              <w:rPr>
                <w:sz w:val="14"/>
                <w:szCs w:val="14"/>
              </w:rPr>
              <w:t xml:space="preserve">The identification of thresholds (and detection of their date in different scenarios) informed the development of </w:t>
            </w:r>
            <w:r w:rsidRPr="00ED6053">
              <w:rPr>
                <w:i/>
                <w:iCs/>
                <w:sz w:val="14"/>
                <w:szCs w:val="14"/>
              </w:rPr>
              <w:t>Options</w:t>
            </w:r>
            <w:r w:rsidRPr="00ED6053">
              <w:rPr>
                <w:sz w:val="14"/>
                <w:szCs w:val="14"/>
              </w:rPr>
              <w:t xml:space="preserve"> (pathways) (</w:t>
            </w:r>
            <w:r w:rsidRPr="00ED6053">
              <w:rPr>
                <w:color w:val="7F7F7F" w:themeColor="text1" w:themeTint="80"/>
                <w:sz w:val="14"/>
                <w:szCs w:val="14"/>
              </w:rPr>
              <w:t>TE2100 Appendix L 2009, p.5, 10, 12</w:t>
            </w:r>
            <w:r w:rsidRPr="00ED6053">
              <w:rPr>
                <w:sz w:val="14"/>
                <w:szCs w:val="14"/>
              </w:rPr>
              <w:t>). T</w:t>
            </w:r>
            <w:r w:rsidRPr="00ED6053">
              <w:rPr>
                <w:bCs/>
                <w:sz w:val="14"/>
                <w:szCs w:val="14"/>
              </w:rPr>
              <w:t xml:space="preserve">he </w:t>
            </w:r>
            <w:r w:rsidRPr="00ED6053">
              <w:rPr>
                <w:sz w:val="14"/>
                <w:szCs w:val="14"/>
              </w:rPr>
              <w:t>thresholds were used to sequence and assemble the possible measures into ‘</w:t>
            </w:r>
            <w:r w:rsidRPr="00ED6053">
              <w:rPr>
                <w:i/>
                <w:iCs/>
                <w:sz w:val="14"/>
                <w:szCs w:val="14"/>
              </w:rPr>
              <w:t xml:space="preserve">packages </w:t>
            </w:r>
            <w:r w:rsidRPr="00ED6053">
              <w:rPr>
                <w:sz w:val="14"/>
                <w:szCs w:val="14"/>
              </w:rPr>
              <w:t>of measures’ (i.e. to design pathways) (</w:t>
            </w:r>
            <w:proofErr w:type="spellStart"/>
            <w:r w:rsidRPr="00ED6053">
              <w:rPr>
                <w:color w:val="7F7F7F" w:themeColor="text1" w:themeTint="80"/>
                <w:sz w:val="14"/>
                <w:szCs w:val="14"/>
              </w:rPr>
              <w:t>Jeuken</w:t>
            </w:r>
            <w:proofErr w:type="spellEnd"/>
            <w:r w:rsidRPr="00ED6053">
              <w:rPr>
                <w:color w:val="7F7F7F" w:themeColor="text1" w:themeTint="80"/>
                <w:sz w:val="14"/>
                <w:szCs w:val="14"/>
              </w:rPr>
              <w:t xml:space="preserve"> et al. 2014, p.17</w:t>
            </w:r>
            <w:r w:rsidRPr="00ED6053">
              <w:rPr>
                <w:sz w:val="14"/>
                <w:szCs w:val="14"/>
              </w:rPr>
              <w:t>). The route-map shows the thresholds at which it is necessary to switch from a measure to another. The identification of thresholds helped to enhance the flexibility of the Plan (</w:t>
            </w:r>
            <w:r w:rsidRPr="00ED6053">
              <w:rPr>
                <w:color w:val="7F7F7F" w:themeColor="text1" w:themeTint="80"/>
                <w:sz w:val="14"/>
                <w:szCs w:val="14"/>
              </w:rPr>
              <w:t>ibid</w:t>
            </w:r>
            <w:r w:rsidRPr="00ED6053">
              <w:rPr>
                <w:sz w:val="14"/>
                <w:szCs w:val="14"/>
              </w:rPr>
              <w:t xml:space="preserve">). </w:t>
            </w:r>
          </w:p>
          <w:p w14:paraId="73EF1B91" w14:textId="77777777" w:rsidR="00ED6053" w:rsidRPr="00ED6053" w:rsidRDefault="00ED6053" w:rsidP="00336A37">
            <w:pPr>
              <w:pStyle w:val="CORPOTEXTO"/>
              <w:rPr>
                <w:sz w:val="14"/>
                <w:szCs w:val="14"/>
              </w:rPr>
            </w:pPr>
            <w:r w:rsidRPr="00ED6053">
              <w:rPr>
                <w:sz w:val="14"/>
                <w:szCs w:val="14"/>
              </w:rPr>
              <w:t>This ‘threshold analysis’ allowed a more ‘</w:t>
            </w:r>
            <w:r w:rsidRPr="00ED6053">
              <w:rPr>
                <w:i/>
                <w:iCs/>
                <w:sz w:val="14"/>
                <w:szCs w:val="14"/>
              </w:rPr>
              <w:t>scenario neutral approach</w:t>
            </w:r>
            <w:r w:rsidRPr="00ED6053">
              <w:rPr>
                <w:sz w:val="14"/>
                <w:szCs w:val="14"/>
              </w:rPr>
              <w:t>’, and it is deemed one of the main successes of the TE2100 (</w:t>
            </w:r>
            <w:r w:rsidRPr="00ED6053">
              <w:rPr>
                <w:color w:val="7F7F7F" w:themeColor="text1" w:themeTint="80"/>
                <w:sz w:val="14"/>
                <w:szCs w:val="14"/>
              </w:rPr>
              <w:t>TE2100 Appendix L 2009, p.5, 10, 12</w:t>
            </w:r>
            <w:r w:rsidRPr="00ED6053">
              <w:rPr>
                <w:sz w:val="14"/>
                <w:szCs w:val="14"/>
              </w:rPr>
              <w:t xml:space="preserve">). The Route-map approach is more </w:t>
            </w:r>
            <w:r w:rsidRPr="00ED6053">
              <w:rPr>
                <w:i/>
                <w:iCs/>
                <w:sz w:val="14"/>
                <w:szCs w:val="14"/>
              </w:rPr>
              <w:t>scenario neutral</w:t>
            </w:r>
            <w:r w:rsidRPr="00ED6053">
              <w:rPr>
                <w:sz w:val="14"/>
                <w:szCs w:val="14"/>
              </w:rPr>
              <w:t xml:space="preserve"> because decisions do not require information about the likelihood of different scenarios (</w:t>
            </w:r>
            <w:r w:rsidRPr="00ED6053">
              <w:rPr>
                <w:color w:val="7F7F7F" w:themeColor="text1" w:themeTint="80"/>
                <w:sz w:val="14"/>
                <w:szCs w:val="14"/>
              </w:rPr>
              <w:t>Ranger et al. 2013, p.254; Reeder and Ranger 2011, p.9</w:t>
            </w:r>
            <w:r w:rsidRPr="00ED6053">
              <w:rPr>
                <w:sz w:val="14"/>
                <w:szCs w:val="14"/>
              </w:rPr>
              <w:t xml:space="preserve">). </w:t>
            </w:r>
          </w:p>
          <w:p w14:paraId="37017307" w14:textId="77777777" w:rsidR="00ED6053" w:rsidRPr="00ED6053" w:rsidRDefault="00ED6053" w:rsidP="00336A37">
            <w:pPr>
              <w:pStyle w:val="CORPOTEXTO"/>
              <w:rPr>
                <w:sz w:val="14"/>
                <w:szCs w:val="14"/>
              </w:rPr>
            </w:pPr>
            <w:r w:rsidRPr="00ED6053">
              <w:rPr>
                <w:sz w:val="14"/>
                <w:szCs w:val="14"/>
              </w:rPr>
              <w:t>The ‘APs approach’ required the analysis of thresholds – i.e. points under which a measure no longer meets the predefined decision criteria (</w:t>
            </w:r>
            <w:proofErr w:type="spellStart"/>
            <w:r w:rsidRPr="00ED6053">
              <w:rPr>
                <w:color w:val="7F7F7F" w:themeColor="text1" w:themeTint="80"/>
                <w:sz w:val="14"/>
                <w:szCs w:val="14"/>
              </w:rPr>
              <w:t>Kwadijk</w:t>
            </w:r>
            <w:proofErr w:type="spellEnd"/>
            <w:r w:rsidRPr="00ED6053">
              <w:rPr>
                <w:color w:val="7F7F7F" w:themeColor="text1" w:themeTint="80"/>
                <w:sz w:val="14"/>
                <w:szCs w:val="14"/>
              </w:rPr>
              <w:t xml:space="preserve"> et al. 2010</w:t>
            </w:r>
            <w:r w:rsidRPr="00ED6053">
              <w:rPr>
                <w:sz w:val="14"/>
                <w:szCs w:val="14"/>
              </w:rPr>
              <w:t>) and it is necessary to take a new measure or switch to other pathway – and examining under what conditions the Plan fails and preparing actions to guard against this (</w:t>
            </w:r>
            <w:r w:rsidRPr="00ED6053">
              <w:rPr>
                <w:color w:val="7F7F7F" w:themeColor="text1" w:themeTint="80"/>
                <w:sz w:val="14"/>
                <w:szCs w:val="14"/>
              </w:rPr>
              <w:t>Ranger et al. 2013, p.250</w:t>
            </w:r>
            <w:r w:rsidRPr="00ED6053">
              <w:rPr>
                <w:sz w:val="14"/>
                <w:szCs w:val="14"/>
              </w:rPr>
              <w:t>).</w:t>
            </w:r>
          </w:p>
          <w:p w14:paraId="4DA69601" w14:textId="77777777" w:rsidR="00ED6053" w:rsidRPr="00ED6053" w:rsidRDefault="00ED6053" w:rsidP="00336A37">
            <w:pPr>
              <w:pStyle w:val="tablecontenttext"/>
              <w:spacing w:line="240" w:lineRule="auto"/>
              <w:rPr>
                <w:rFonts w:ascii="Times New Roman" w:eastAsia="RijksoverheidSerif-Regular" w:hAnsi="Times New Roman" w:cs="Times New Roman"/>
                <w:bCs w:val="0"/>
                <w:sz w:val="14"/>
                <w:szCs w:val="14"/>
                <w:lang w:eastAsia="en-US"/>
              </w:rPr>
            </w:pPr>
          </w:p>
        </w:tc>
        <w:tc>
          <w:tcPr>
            <w:tcW w:w="4535" w:type="dxa"/>
            <w:tcBorders>
              <w:left w:val="nil"/>
            </w:tcBorders>
          </w:tcPr>
          <w:p w14:paraId="0AD582A0"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lastRenderedPageBreak/>
              <w:t xml:space="preserve">Adaptation Tipping-Points of </w:t>
            </w:r>
            <w:proofErr w:type="spellStart"/>
            <w:r w:rsidRPr="00ED6053">
              <w:rPr>
                <w:rFonts w:ascii="Times New Roman" w:hAnsi="Times New Roman" w:cs="Times New Roman"/>
                <w:bCs w:val="0"/>
                <w:color w:val="7F7F7F" w:themeColor="text1" w:themeTint="80"/>
                <w:sz w:val="14"/>
                <w:szCs w:val="14"/>
              </w:rPr>
              <w:t>Kwadijk</w:t>
            </w:r>
            <w:proofErr w:type="spellEnd"/>
            <w:r w:rsidRPr="00ED6053">
              <w:rPr>
                <w:rFonts w:ascii="Times New Roman" w:hAnsi="Times New Roman" w:cs="Times New Roman"/>
                <w:bCs w:val="0"/>
                <w:color w:val="7F7F7F" w:themeColor="text1" w:themeTint="80"/>
                <w:sz w:val="14"/>
                <w:szCs w:val="14"/>
              </w:rPr>
              <w:t xml:space="preserve"> et al. 2010</w:t>
            </w:r>
            <w:r w:rsidRPr="00ED6053">
              <w:rPr>
                <w:rFonts w:ascii="Times New Roman" w:hAnsi="Times New Roman" w:cs="Times New Roman"/>
                <w:bCs w:val="0"/>
                <w:sz w:val="14"/>
                <w:szCs w:val="14"/>
              </w:rPr>
              <w:t xml:space="preserve">). Refer to </w:t>
            </w:r>
            <w:r w:rsidRPr="00ED6053">
              <w:rPr>
                <w:rFonts w:ascii="Times New Roman" w:eastAsia="RijksoverheidSansText-Regular" w:hAnsi="Times New Roman" w:cs="Times New Roman"/>
                <w:bCs w:val="0"/>
                <w:sz w:val="14"/>
                <w:szCs w:val="14"/>
              </w:rPr>
              <w:t>points at which the existing system ceases to meet the requirements; a</w:t>
            </w:r>
            <w:r w:rsidRPr="00ED6053">
              <w:rPr>
                <w:rFonts w:ascii="Times New Roman" w:hAnsi="Times New Roman" w:cs="Times New Roman"/>
                <w:bCs w:val="0"/>
                <w:sz w:val="14"/>
                <w:szCs w:val="14"/>
              </w:rPr>
              <w:t xml:space="preserve"> </w:t>
            </w:r>
            <w:r w:rsidRPr="00ED6053">
              <w:rPr>
                <w:rFonts w:ascii="Times New Roman" w:hAnsi="Times New Roman" w:cs="Times New Roman"/>
                <w:bCs w:val="0"/>
                <w:i/>
                <w:sz w:val="14"/>
                <w:szCs w:val="14"/>
              </w:rPr>
              <w:t>tipping-point</w:t>
            </w:r>
            <w:r w:rsidRPr="00ED6053">
              <w:rPr>
                <w:rFonts w:ascii="Times New Roman" w:hAnsi="Times New Roman" w:cs="Times New Roman"/>
                <w:bCs w:val="0"/>
                <w:sz w:val="14"/>
                <w:szCs w:val="14"/>
              </w:rPr>
              <w:t xml:space="preserve"> occurs when, due to climatic or socioeconomic changes, an existing measure, policy, or infrastructure, becomes insufficient to comply with defined criteria (due to physical, technical, financial constraints or socially unacceptable effects); hence, ATPs’ analysis helps determining when decisions and new measures must be taken.</w:t>
            </w:r>
          </w:p>
          <w:p w14:paraId="3C00FAEF"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 xml:space="preserve">The ATPs method, as used in the DP, implied specifying the tipping-point of diverse possible measures (the degree of change under which each measure starts to perform inadequately), and assessing when this might occur at earliest and latest, and analysing whether it is necessary to adjust / change </w:t>
            </w:r>
            <w:r w:rsidRPr="00ED6053">
              <w:rPr>
                <w:rFonts w:ascii="Times New Roman" w:hAnsi="Times New Roman" w:cs="Times New Roman"/>
                <w:bCs w:val="0"/>
                <w:sz w:val="14"/>
                <w:szCs w:val="14"/>
              </w:rPr>
              <w:lastRenderedPageBreak/>
              <w:t>such measure or shift to another measure. Once a tipping-point is in sight, a switch to a new measure is needed.</w:t>
            </w:r>
          </w:p>
          <w:p w14:paraId="0CA76F41" w14:textId="77777777" w:rsidR="00ED6053" w:rsidRPr="00ED6053" w:rsidRDefault="00ED6053" w:rsidP="00336A37">
            <w:pPr>
              <w:pStyle w:val="tablecontenttext"/>
              <w:spacing w:line="240" w:lineRule="auto"/>
              <w:rPr>
                <w:rFonts w:ascii="Times New Roman" w:eastAsia="RijksoverheidSansText-Regular" w:hAnsi="Times New Roman" w:cs="Times New Roman"/>
                <w:bCs w:val="0"/>
                <w:sz w:val="14"/>
                <w:szCs w:val="14"/>
              </w:rPr>
            </w:pPr>
            <w:r w:rsidRPr="00ED6053">
              <w:rPr>
                <w:rFonts w:ascii="Times New Roman" w:hAnsi="Times New Roman" w:cs="Times New Roman"/>
                <w:bCs w:val="0"/>
                <w:sz w:val="14"/>
                <w:szCs w:val="14"/>
              </w:rPr>
              <w:t xml:space="preserve">In the DP2014, </w:t>
            </w:r>
            <w:r w:rsidRPr="00ED6053">
              <w:rPr>
                <w:rFonts w:ascii="Times New Roman" w:hAnsi="Times New Roman" w:cs="Times New Roman"/>
                <w:b/>
                <w:sz w:val="14"/>
                <w:szCs w:val="14"/>
              </w:rPr>
              <w:t>the maps of adaptation paths do not explicitly show / illustrate the ATPs</w:t>
            </w:r>
            <w:r w:rsidRPr="00ED6053">
              <w:rPr>
                <w:rFonts w:ascii="Times New Roman" w:hAnsi="Times New Roman" w:cs="Times New Roman"/>
                <w:bCs w:val="0"/>
                <w:sz w:val="14"/>
                <w:szCs w:val="14"/>
              </w:rPr>
              <w:t xml:space="preserve">, the X-axis displays a timeline (with the short-, mid- and long-term periods represented). By crossing ATPs with scenarios, the Subprogrammes and DP Staff could obtain information on the timing for new measure. </w:t>
            </w:r>
            <w:r w:rsidRPr="00ED6053">
              <w:rPr>
                <w:rFonts w:ascii="Times New Roman" w:eastAsia="RijksoverheidSansText-Regular" w:hAnsi="Times New Roman" w:cs="Times New Roman"/>
                <w:bCs w:val="0"/>
                <w:sz w:val="14"/>
                <w:szCs w:val="14"/>
              </w:rPr>
              <w:t>Initially, the development of alternative paths required examining “how long the current policy will suffice” and “when the tipping-point (at which such policy is no longer tenable) will be reached”</w:t>
            </w:r>
            <w:r w:rsidRPr="00ED6053">
              <w:rPr>
                <w:rFonts w:ascii="Times New Roman" w:eastAsia="RijksoverheidSansText-Regular" w:hAnsi="Times New Roman" w:cs="Times New Roman"/>
                <w:bCs w:val="0"/>
                <w:i/>
                <w:sz w:val="14"/>
                <w:szCs w:val="14"/>
              </w:rPr>
              <w:t xml:space="preserve"> </w:t>
            </w:r>
            <w:r w:rsidRPr="00ED6053">
              <w:rPr>
                <w:rFonts w:ascii="Times New Roman" w:eastAsia="RijksoverheidSansText-Regular" w:hAnsi="Times New Roman" w:cs="Times New Roman"/>
                <w:bCs w:val="0"/>
                <w:sz w:val="14"/>
                <w:szCs w:val="14"/>
              </w:rPr>
              <w:t>(its moment in different scenarios.</w:t>
            </w:r>
          </w:p>
          <w:p w14:paraId="0E63CE95"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eastAsia="RijksoverheidSansText-Regular" w:hAnsi="Times New Roman" w:cs="Times New Roman"/>
                <w:bCs w:val="0"/>
                <w:sz w:val="14"/>
                <w:szCs w:val="14"/>
              </w:rPr>
              <w:t xml:space="preserve">ATPs / terminal stations can be implicitly understood as the end of each box that represents a measure. </w:t>
            </w:r>
          </w:p>
        </w:tc>
      </w:tr>
      <w:tr w:rsidR="00ED6053" w:rsidRPr="00ED6053" w14:paraId="3A4E30A2" w14:textId="77777777" w:rsidTr="00FF4124">
        <w:tc>
          <w:tcPr>
            <w:tcW w:w="794" w:type="dxa"/>
            <w:tcBorders>
              <w:left w:val="nil"/>
              <w:right w:val="nil"/>
            </w:tcBorders>
          </w:tcPr>
          <w:p w14:paraId="589966A0" w14:textId="77777777" w:rsidR="00ED6053" w:rsidRPr="00ED6053" w:rsidRDefault="00ED6053" w:rsidP="00336A37">
            <w:pPr>
              <w:pStyle w:val="tablecontenttext"/>
              <w:spacing w:line="240" w:lineRule="auto"/>
              <w:rPr>
                <w:rFonts w:ascii="Times New Roman" w:eastAsiaTheme="minorHAnsi" w:hAnsi="Times New Roman" w:cs="Times New Roman"/>
                <w:b/>
                <w:sz w:val="14"/>
                <w:szCs w:val="14"/>
                <w:lang w:eastAsia="en-US"/>
              </w:rPr>
            </w:pPr>
            <w:r w:rsidRPr="00ED6053">
              <w:rPr>
                <w:rFonts w:ascii="Times New Roman" w:eastAsiaTheme="minorHAnsi" w:hAnsi="Times New Roman" w:cs="Times New Roman"/>
                <w:b/>
                <w:sz w:val="14"/>
                <w:szCs w:val="14"/>
                <w:lang w:eastAsia="en-US"/>
              </w:rPr>
              <w:lastRenderedPageBreak/>
              <w:t xml:space="preserve">Adaptation Pathways </w:t>
            </w:r>
          </w:p>
        </w:tc>
        <w:tc>
          <w:tcPr>
            <w:tcW w:w="4535" w:type="dxa"/>
            <w:tcBorders>
              <w:left w:val="nil"/>
              <w:right w:val="nil"/>
            </w:tcBorders>
          </w:tcPr>
          <w:p w14:paraId="1002E471"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Adaptation pathways are called</w:t>
            </w:r>
            <w:r w:rsidRPr="00ED6053">
              <w:rPr>
                <w:rFonts w:ascii="Times New Roman" w:hAnsi="Times New Roman" w:cs="Times New Roman"/>
                <w:bCs w:val="0"/>
                <w:i/>
                <w:iCs w:val="0"/>
                <w:sz w:val="14"/>
                <w:szCs w:val="14"/>
              </w:rPr>
              <w:t xml:space="preserve"> </w:t>
            </w:r>
            <w:r w:rsidRPr="00ED6053">
              <w:rPr>
                <w:rFonts w:ascii="Times New Roman" w:hAnsi="Times New Roman" w:cs="Times New Roman"/>
                <w:b/>
                <w:i/>
                <w:iCs w:val="0"/>
                <w:sz w:val="14"/>
                <w:szCs w:val="14"/>
              </w:rPr>
              <w:t>High-level Options</w:t>
            </w:r>
            <w:r w:rsidRPr="00ED6053">
              <w:rPr>
                <w:rFonts w:ascii="Times New Roman" w:hAnsi="Times New Roman" w:cs="Times New Roman"/>
                <w:b/>
                <w:i/>
                <w:sz w:val="14"/>
                <w:szCs w:val="14"/>
              </w:rPr>
              <w:t xml:space="preserve"> </w:t>
            </w:r>
            <w:r w:rsidRPr="00ED6053">
              <w:rPr>
                <w:rFonts w:ascii="Times New Roman" w:hAnsi="Times New Roman" w:cs="Times New Roman"/>
                <w:b/>
                <w:iCs w:val="0"/>
                <w:sz w:val="14"/>
                <w:szCs w:val="14"/>
              </w:rPr>
              <w:t>(HLOs)</w:t>
            </w:r>
            <w:r w:rsidRPr="00ED6053">
              <w:rPr>
                <w:rFonts w:ascii="Times New Roman" w:hAnsi="Times New Roman" w:cs="Times New Roman"/>
                <w:bCs w:val="0"/>
                <w:iCs w:val="0"/>
                <w:sz w:val="14"/>
                <w:szCs w:val="14"/>
              </w:rPr>
              <w:t xml:space="preserve">, </w:t>
            </w:r>
            <w:r w:rsidRPr="00ED6053">
              <w:rPr>
                <w:rFonts w:ascii="Times New Roman" w:hAnsi="Times New Roman" w:cs="Times New Roman"/>
                <w:bCs w:val="0"/>
                <w:sz w:val="14"/>
                <w:szCs w:val="14"/>
              </w:rPr>
              <w:t xml:space="preserve">also called </w:t>
            </w:r>
            <w:r w:rsidRPr="00ED6053">
              <w:rPr>
                <w:rFonts w:ascii="Times New Roman" w:hAnsi="Times New Roman" w:cs="Times New Roman"/>
                <w:bCs w:val="0"/>
                <w:i/>
                <w:iCs w:val="0"/>
                <w:sz w:val="14"/>
                <w:szCs w:val="14"/>
              </w:rPr>
              <w:t>Options</w:t>
            </w:r>
            <w:r w:rsidRPr="00ED6053">
              <w:rPr>
                <w:rFonts w:ascii="Times New Roman" w:hAnsi="Times New Roman" w:cs="Times New Roman"/>
                <w:bCs w:val="0"/>
                <w:sz w:val="14"/>
                <w:szCs w:val="14"/>
              </w:rPr>
              <w:t xml:space="preserve">, routes, or decision pathways. The pathways for the post-2070 period </w:t>
            </w:r>
            <w:proofErr w:type="gramStart"/>
            <w:r w:rsidRPr="00ED6053">
              <w:rPr>
                <w:rFonts w:ascii="Times New Roman" w:hAnsi="Times New Roman" w:cs="Times New Roman"/>
                <w:bCs w:val="0"/>
                <w:sz w:val="14"/>
                <w:szCs w:val="14"/>
              </w:rPr>
              <w:t>are</w:t>
            </w:r>
            <w:proofErr w:type="gramEnd"/>
            <w:r w:rsidRPr="00ED6053">
              <w:rPr>
                <w:rFonts w:ascii="Times New Roman" w:hAnsi="Times New Roman" w:cs="Times New Roman"/>
                <w:bCs w:val="0"/>
                <w:sz w:val="14"/>
                <w:szCs w:val="14"/>
              </w:rPr>
              <w:t xml:space="preserve"> called </w:t>
            </w:r>
            <w:r w:rsidRPr="00ED6053">
              <w:rPr>
                <w:rFonts w:ascii="Times New Roman" w:hAnsi="Times New Roman" w:cs="Times New Roman"/>
                <w:bCs w:val="0"/>
                <w:i/>
                <w:iCs w:val="0"/>
                <w:sz w:val="14"/>
                <w:szCs w:val="14"/>
              </w:rPr>
              <w:t>End-of-the-Century Options</w:t>
            </w:r>
            <w:r w:rsidRPr="00ED6053">
              <w:rPr>
                <w:rFonts w:ascii="Times New Roman" w:hAnsi="Times New Roman" w:cs="Times New Roman"/>
                <w:bCs w:val="0"/>
                <w:sz w:val="14"/>
                <w:szCs w:val="14"/>
              </w:rPr>
              <w:t>.</w:t>
            </w:r>
          </w:p>
          <w:p w14:paraId="5A026E22" w14:textId="77777777" w:rsidR="00ED6053" w:rsidRPr="00ED6053" w:rsidRDefault="00ED6053" w:rsidP="00336A37">
            <w:pPr>
              <w:pStyle w:val="CORPOTEXTO"/>
              <w:jc w:val="left"/>
              <w:rPr>
                <w:sz w:val="14"/>
                <w:szCs w:val="14"/>
                <w:u w:val="single"/>
              </w:rPr>
            </w:pPr>
            <w:r w:rsidRPr="00ED6053">
              <w:rPr>
                <w:sz w:val="14"/>
                <w:szCs w:val="14"/>
                <w:u w:val="single"/>
              </w:rPr>
              <w:t xml:space="preserve">Each pathway consists of a set of </w:t>
            </w:r>
            <w:bookmarkStart w:id="138" w:name="_Hlk184583142"/>
            <w:r w:rsidRPr="00ED6053">
              <w:rPr>
                <w:sz w:val="14"/>
                <w:szCs w:val="14"/>
                <w:u w:val="single"/>
              </w:rPr>
              <w:t xml:space="preserve">sequenced </w:t>
            </w:r>
            <w:proofErr w:type="gramStart"/>
            <w:r w:rsidRPr="00ED6053">
              <w:rPr>
                <w:sz w:val="14"/>
                <w:szCs w:val="14"/>
                <w:u w:val="single"/>
              </w:rPr>
              <w:t>individual</w:t>
            </w:r>
            <w:proofErr w:type="gramEnd"/>
            <w:r w:rsidRPr="00ED6053">
              <w:rPr>
                <w:sz w:val="14"/>
                <w:szCs w:val="14"/>
                <w:u w:val="single"/>
              </w:rPr>
              <w:t xml:space="preserve"> and / or combined </w:t>
            </w:r>
            <w:bookmarkEnd w:id="138"/>
            <w:r w:rsidRPr="00ED6053">
              <w:rPr>
                <w:sz w:val="14"/>
                <w:szCs w:val="14"/>
                <w:u w:val="single"/>
              </w:rPr>
              <w:t xml:space="preserve">adaptation measures. </w:t>
            </w:r>
          </w:p>
          <w:p w14:paraId="2A47F933"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 xml:space="preserve">Each HLO is a package of FRM measures sequenced that can be implemented over time to manage risk stepwise. Each measure (individual or portfolio) is represented in a box that finishes at the SLR level at which it ceases to be effective (threshold for such measure); the arrows link to other measures available (which must be implemented / in place before the prior measure reaches a threshold (or before the threshold level is reached). Each HLO comprises a sequence of measures and / or portfolios, and the points at which one portfolio changes to another portfolio depend on key thresholds for FRM assumed.  Each HLO is made up of </w:t>
            </w:r>
            <w:proofErr w:type="gramStart"/>
            <w:r w:rsidRPr="00ED6053">
              <w:rPr>
                <w:rFonts w:ascii="Times New Roman" w:hAnsi="Times New Roman" w:cs="Times New Roman"/>
                <w:bCs w:val="0"/>
                <w:sz w:val="14"/>
                <w:szCs w:val="14"/>
              </w:rPr>
              <w:t xml:space="preserve">a </w:t>
            </w:r>
            <w:r w:rsidRPr="00ED6053">
              <w:rPr>
                <w:rFonts w:ascii="Times New Roman" w:hAnsi="Times New Roman" w:cs="Times New Roman"/>
                <w:bCs w:val="0"/>
                <w:iCs w:val="0"/>
                <w:sz w:val="14"/>
                <w:szCs w:val="14"/>
              </w:rPr>
              <w:t>set / number</w:t>
            </w:r>
            <w:r w:rsidRPr="00ED6053">
              <w:rPr>
                <w:rFonts w:ascii="Times New Roman" w:hAnsi="Times New Roman" w:cs="Times New Roman"/>
                <w:bCs w:val="0"/>
                <w:sz w:val="14"/>
                <w:szCs w:val="14"/>
              </w:rPr>
              <w:t xml:space="preserve"> of</w:t>
            </w:r>
            <w:proofErr w:type="gramEnd"/>
            <w:r w:rsidRPr="00ED6053">
              <w:rPr>
                <w:rFonts w:ascii="Times New Roman" w:hAnsi="Times New Roman" w:cs="Times New Roman"/>
                <w:bCs w:val="0"/>
                <w:sz w:val="14"/>
                <w:szCs w:val="14"/>
              </w:rPr>
              <w:t xml:space="preserve"> measures (individual and / or in </w:t>
            </w:r>
            <w:r w:rsidRPr="00ED6053">
              <w:rPr>
                <w:rFonts w:ascii="Times New Roman" w:hAnsi="Times New Roman" w:cs="Times New Roman"/>
                <w:bCs w:val="0"/>
                <w:iCs w:val="0"/>
                <w:sz w:val="14"/>
                <w:szCs w:val="14"/>
              </w:rPr>
              <w:t>portfolios</w:t>
            </w:r>
            <w:r w:rsidRPr="00ED6053">
              <w:rPr>
                <w:rFonts w:ascii="Times New Roman" w:hAnsi="Times New Roman" w:cs="Times New Roman"/>
                <w:bCs w:val="0"/>
                <w:sz w:val="14"/>
                <w:szCs w:val="14"/>
              </w:rPr>
              <w:t xml:space="preserve">) that are implemented in sequence to manage flood risk in a staged way, up to 2100. </w:t>
            </w:r>
          </w:p>
          <w:p w14:paraId="262FF41E"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In the first maps of the HLOs (Figure 1), the x-axis illustrated rising water levels (the map of APs was a threshold-based map). In more recent versions (Figure 3), the map is time-based (timeline / years represented in the x-axis).</w:t>
            </w:r>
          </w:p>
          <w:p w14:paraId="18B4ED88" w14:textId="77777777" w:rsidR="00ED6053" w:rsidRPr="00ED6053" w:rsidRDefault="00ED6053" w:rsidP="00336A37">
            <w:pPr>
              <w:pStyle w:val="CORPOTEXTO"/>
              <w:jc w:val="left"/>
              <w:rPr>
                <w:sz w:val="14"/>
                <w:szCs w:val="14"/>
              </w:rPr>
            </w:pPr>
            <w:r w:rsidRPr="00ED6053">
              <w:rPr>
                <w:sz w:val="14"/>
                <w:szCs w:val="14"/>
              </w:rPr>
              <w:t>The approach ‘</w:t>
            </w:r>
            <w:r w:rsidRPr="00ED6053">
              <w:rPr>
                <w:i/>
                <w:iCs/>
                <w:sz w:val="14"/>
                <w:szCs w:val="14"/>
              </w:rPr>
              <w:t>focuses on sequencing a suite of measures in order to cost-effectively manage current risk while maintaining the flexibility to cope with the range of possible future sea level rise</w:t>
            </w:r>
            <w:r w:rsidRPr="00ED6053">
              <w:rPr>
                <w:sz w:val="14"/>
                <w:szCs w:val="14"/>
              </w:rPr>
              <w:t xml:space="preserve">’ (Reeder and Ranger 2011, p.13). </w:t>
            </w:r>
          </w:p>
          <w:p w14:paraId="70092A95" w14:textId="77777777" w:rsidR="00ED6053" w:rsidRPr="00ED6053" w:rsidRDefault="00ED6053" w:rsidP="00336A37">
            <w:pPr>
              <w:pStyle w:val="CORPOTEXTO"/>
              <w:jc w:val="left"/>
              <w:rPr>
                <w:sz w:val="14"/>
                <w:szCs w:val="14"/>
              </w:rPr>
            </w:pPr>
            <w:r w:rsidRPr="00ED6053">
              <w:rPr>
                <w:sz w:val="14"/>
                <w:szCs w:val="14"/>
              </w:rPr>
              <w:t xml:space="preserve">To deal with uncertain future change, the TE2100 Team sought to </w:t>
            </w:r>
            <w:r w:rsidRPr="00ED6053">
              <w:rPr>
                <w:i/>
                <w:iCs/>
                <w:sz w:val="14"/>
                <w:szCs w:val="14"/>
              </w:rPr>
              <w:t>build-in</w:t>
            </w:r>
            <w:r w:rsidRPr="00ED6053">
              <w:rPr>
                <w:sz w:val="14"/>
                <w:szCs w:val="14"/>
              </w:rPr>
              <w:t xml:space="preserve"> (embed) flexibility (i.e. </w:t>
            </w:r>
            <w:r w:rsidRPr="00ED6053">
              <w:rPr>
                <w:i/>
                <w:iCs/>
                <w:sz w:val="14"/>
                <w:szCs w:val="14"/>
              </w:rPr>
              <w:t>dynamic robustness</w:t>
            </w:r>
            <w:r w:rsidRPr="00ED6053">
              <w:rPr>
                <w:sz w:val="14"/>
                <w:szCs w:val="14"/>
              </w:rPr>
              <w:t xml:space="preserve">) into the Plan and its measures (Ranger et al. 2013, p.249). This was done with the ‘Route-map / APs approach’. By using the ‘APs approach’, the TE2100 sought to safeguard the </w:t>
            </w:r>
            <w:r w:rsidRPr="00ED6053">
              <w:rPr>
                <w:i/>
                <w:iCs/>
                <w:sz w:val="14"/>
                <w:szCs w:val="14"/>
              </w:rPr>
              <w:t>robustness</w:t>
            </w:r>
            <w:r w:rsidRPr="00ED6053">
              <w:rPr>
                <w:sz w:val="14"/>
                <w:szCs w:val="14"/>
              </w:rPr>
              <w:t xml:space="preserve"> and </w:t>
            </w:r>
            <w:r w:rsidRPr="00ED6053">
              <w:rPr>
                <w:i/>
                <w:iCs/>
                <w:sz w:val="14"/>
                <w:szCs w:val="14"/>
              </w:rPr>
              <w:t>flexibility</w:t>
            </w:r>
            <w:r w:rsidRPr="00ED6053">
              <w:rPr>
                <w:sz w:val="14"/>
                <w:szCs w:val="14"/>
              </w:rPr>
              <w:t xml:space="preserve"> of the Plan (</w:t>
            </w:r>
            <w:proofErr w:type="spellStart"/>
            <w:r w:rsidRPr="00ED6053">
              <w:rPr>
                <w:sz w:val="14"/>
                <w:szCs w:val="14"/>
              </w:rPr>
              <w:t>Jeuken</w:t>
            </w:r>
            <w:proofErr w:type="spellEnd"/>
            <w:r w:rsidRPr="00ED6053">
              <w:rPr>
                <w:sz w:val="14"/>
                <w:szCs w:val="14"/>
              </w:rPr>
              <w:t xml:space="preserve"> et al. 2014, p.10). In the TE2100, the robustness and flexibility of the Plan was safeguarded by using the ‘Route-map / APs method’; this approach allows for switching between different measures or pathways in the future (</w:t>
            </w:r>
            <w:proofErr w:type="spellStart"/>
            <w:r w:rsidRPr="00ED6053">
              <w:rPr>
                <w:sz w:val="14"/>
                <w:szCs w:val="14"/>
              </w:rPr>
              <w:t>Jeuken</w:t>
            </w:r>
            <w:proofErr w:type="spellEnd"/>
            <w:r w:rsidRPr="00ED6053">
              <w:rPr>
                <w:sz w:val="14"/>
                <w:szCs w:val="14"/>
              </w:rPr>
              <w:t xml:space="preserve"> et al. 2014, p.10). The ‘Route-map approach’ helped to incorporate (</w:t>
            </w:r>
            <w:r w:rsidRPr="00ED6053">
              <w:rPr>
                <w:i/>
                <w:iCs/>
                <w:sz w:val="14"/>
                <w:szCs w:val="14"/>
              </w:rPr>
              <w:t>build-in</w:t>
            </w:r>
            <w:r w:rsidRPr="00ED6053">
              <w:rPr>
                <w:sz w:val="14"/>
                <w:szCs w:val="14"/>
              </w:rPr>
              <w:t xml:space="preserve">) and enhance the </w:t>
            </w:r>
            <w:r w:rsidRPr="00ED6053">
              <w:rPr>
                <w:i/>
                <w:iCs/>
                <w:sz w:val="14"/>
                <w:szCs w:val="14"/>
              </w:rPr>
              <w:t>robustness</w:t>
            </w:r>
            <w:r w:rsidRPr="00ED6053">
              <w:rPr>
                <w:sz w:val="14"/>
                <w:szCs w:val="14"/>
              </w:rPr>
              <w:t xml:space="preserve"> to uncertain future conditions and </w:t>
            </w:r>
            <w:r w:rsidRPr="00ED6053">
              <w:rPr>
                <w:i/>
                <w:iCs/>
                <w:sz w:val="14"/>
                <w:szCs w:val="14"/>
              </w:rPr>
              <w:t xml:space="preserve">flexibility </w:t>
            </w:r>
            <w:r w:rsidRPr="00ED6053">
              <w:rPr>
                <w:sz w:val="14"/>
                <w:szCs w:val="14"/>
              </w:rPr>
              <w:t xml:space="preserve">to deal with change, into the plan itself and its </w:t>
            </w:r>
            <w:r w:rsidRPr="00ED6053">
              <w:rPr>
                <w:i/>
                <w:iCs/>
                <w:sz w:val="14"/>
                <w:szCs w:val="14"/>
              </w:rPr>
              <w:t>strategies</w:t>
            </w:r>
            <w:r w:rsidRPr="00ED6053">
              <w:rPr>
                <w:sz w:val="14"/>
                <w:szCs w:val="14"/>
              </w:rPr>
              <w:t xml:space="preserve"> (pathways). </w:t>
            </w:r>
          </w:p>
          <w:p w14:paraId="2AB38E77" w14:textId="77777777" w:rsidR="00ED6053" w:rsidRPr="00ED6053" w:rsidRDefault="00ED6053" w:rsidP="00336A37">
            <w:pPr>
              <w:pStyle w:val="CORPOTEXTO"/>
              <w:jc w:val="left"/>
              <w:rPr>
                <w:sz w:val="14"/>
                <w:szCs w:val="14"/>
              </w:rPr>
            </w:pPr>
          </w:p>
          <w:p w14:paraId="456D3A48" w14:textId="77777777" w:rsidR="00ED6053" w:rsidRPr="00ED6053" w:rsidRDefault="00ED6053" w:rsidP="00336A37">
            <w:pPr>
              <w:pStyle w:val="CORPOTEXTO"/>
              <w:spacing w:after="60"/>
              <w:jc w:val="left"/>
              <w:rPr>
                <w:sz w:val="14"/>
                <w:szCs w:val="14"/>
              </w:rPr>
            </w:pPr>
            <w:r w:rsidRPr="00ED6053">
              <w:rPr>
                <w:bCs/>
                <w:sz w:val="14"/>
                <w:szCs w:val="14"/>
              </w:rPr>
              <w:t xml:space="preserve">The adoption of the ‘APs approach’ to design several possible pathways (of adaptation / FRM) is one of the main and most innovative elements of the TE2100 </w:t>
            </w:r>
            <w:r w:rsidRPr="00ED6053">
              <w:rPr>
                <w:sz w:val="14"/>
                <w:szCs w:val="14"/>
              </w:rPr>
              <w:t xml:space="preserve">(Ranger et al. 2013, p.233, 239, 258). The development of adaptation </w:t>
            </w:r>
            <w:r w:rsidRPr="00ED6053">
              <w:rPr>
                <w:iCs/>
                <w:sz w:val="14"/>
                <w:szCs w:val="14"/>
              </w:rPr>
              <w:t>pathways (</w:t>
            </w:r>
            <w:r w:rsidRPr="00ED6053">
              <w:rPr>
                <w:i/>
                <w:sz w:val="14"/>
                <w:szCs w:val="14"/>
              </w:rPr>
              <w:t>Options</w:t>
            </w:r>
            <w:r w:rsidRPr="00ED6053">
              <w:rPr>
                <w:iCs/>
                <w:sz w:val="14"/>
                <w:szCs w:val="14"/>
              </w:rPr>
              <w:t xml:space="preserve">) is </w:t>
            </w:r>
            <w:r w:rsidRPr="00ED6053">
              <w:rPr>
                <w:sz w:val="14"/>
                <w:szCs w:val="14"/>
              </w:rPr>
              <w:t xml:space="preserve">one of the essential elements of its </w:t>
            </w:r>
            <w:r w:rsidRPr="00ED6053">
              <w:rPr>
                <w:i/>
                <w:iCs/>
                <w:sz w:val="14"/>
                <w:szCs w:val="14"/>
              </w:rPr>
              <w:t>Adaptive Planning approach</w:t>
            </w:r>
            <w:r w:rsidRPr="00ED6053">
              <w:rPr>
                <w:sz w:val="14"/>
                <w:szCs w:val="14"/>
              </w:rPr>
              <w:t xml:space="preserve"> (Ramsbottom and Sheppard 2017, p.5). APs approach allowed the development of </w:t>
            </w:r>
            <w:r w:rsidRPr="00ED6053">
              <w:rPr>
                <w:i/>
                <w:iCs/>
                <w:sz w:val="14"/>
                <w:szCs w:val="14"/>
              </w:rPr>
              <w:t>robust flexible strategies</w:t>
            </w:r>
            <w:r w:rsidRPr="00ED6053">
              <w:rPr>
                <w:sz w:val="14"/>
                <w:szCs w:val="14"/>
              </w:rPr>
              <w:t xml:space="preserve"> / Options, it is one of the main elements of the Adaptive Planning approach of the TE2100 (</w:t>
            </w:r>
            <w:proofErr w:type="spellStart"/>
            <w:r w:rsidRPr="00ED6053">
              <w:rPr>
                <w:sz w:val="14"/>
                <w:szCs w:val="14"/>
              </w:rPr>
              <w:t>Jeuken</w:t>
            </w:r>
            <w:proofErr w:type="spellEnd"/>
            <w:r w:rsidRPr="00ED6053">
              <w:rPr>
                <w:sz w:val="14"/>
                <w:szCs w:val="14"/>
              </w:rPr>
              <w:t xml:space="preserve"> and Reeder 2011, p.2).  </w:t>
            </w:r>
          </w:p>
          <w:p w14:paraId="0A61A7D6" w14:textId="77777777" w:rsidR="00ED6053" w:rsidRPr="00ED6053" w:rsidRDefault="00ED6053" w:rsidP="00336A37">
            <w:pPr>
              <w:pStyle w:val="CORPOTEXTO"/>
              <w:jc w:val="left"/>
              <w:rPr>
                <w:sz w:val="14"/>
                <w:szCs w:val="14"/>
              </w:rPr>
            </w:pPr>
            <w:r w:rsidRPr="00ED6053">
              <w:rPr>
                <w:sz w:val="14"/>
                <w:szCs w:val="14"/>
              </w:rPr>
              <w:t>This element involved developing ‘</w:t>
            </w:r>
            <w:r w:rsidRPr="00ED6053">
              <w:rPr>
                <w:i/>
                <w:iCs/>
                <w:sz w:val="14"/>
                <w:szCs w:val="14"/>
              </w:rPr>
              <w:t>robust</w:t>
            </w:r>
            <w:r w:rsidRPr="00ED6053">
              <w:rPr>
                <w:sz w:val="14"/>
                <w:szCs w:val="14"/>
              </w:rPr>
              <w:t xml:space="preserve"> </w:t>
            </w:r>
            <w:r w:rsidRPr="00ED6053">
              <w:rPr>
                <w:i/>
                <w:iCs/>
                <w:sz w:val="14"/>
                <w:szCs w:val="14"/>
              </w:rPr>
              <w:t>and flexible</w:t>
            </w:r>
            <w:r w:rsidRPr="00ED6053">
              <w:rPr>
                <w:sz w:val="14"/>
                <w:szCs w:val="14"/>
              </w:rPr>
              <w:t>’</w:t>
            </w:r>
            <w:r w:rsidRPr="00ED6053">
              <w:rPr>
                <w:i/>
                <w:iCs/>
                <w:sz w:val="14"/>
                <w:szCs w:val="14"/>
              </w:rPr>
              <w:t xml:space="preserve"> </w:t>
            </w:r>
            <w:r w:rsidRPr="00ED6053">
              <w:rPr>
                <w:sz w:val="14"/>
                <w:szCs w:val="14"/>
              </w:rPr>
              <w:t xml:space="preserve">sets of measures to deal with uncertain changes, using the </w:t>
            </w:r>
            <w:r w:rsidRPr="00ED6053">
              <w:rPr>
                <w:rFonts w:eastAsiaTheme="minorHAnsi"/>
                <w:bCs/>
                <w:sz w:val="14"/>
                <w:szCs w:val="14"/>
                <w:lang w:eastAsia="en-US"/>
              </w:rPr>
              <w:t xml:space="preserve">APs </w:t>
            </w:r>
            <w:r w:rsidRPr="00ED6053">
              <w:rPr>
                <w:bCs/>
                <w:sz w:val="14"/>
                <w:szCs w:val="14"/>
              </w:rPr>
              <w:t>approach’, i.e. devising each set of measures as an alternative pathway.</w:t>
            </w:r>
            <w:r w:rsidRPr="00ED6053">
              <w:rPr>
                <w:sz w:val="14"/>
                <w:szCs w:val="14"/>
              </w:rPr>
              <w:t xml:space="preserve"> This required searching for measures that are </w:t>
            </w:r>
            <w:r w:rsidRPr="00ED6053">
              <w:rPr>
                <w:i/>
                <w:iCs/>
                <w:sz w:val="14"/>
                <w:szCs w:val="14"/>
              </w:rPr>
              <w:t xml:space="preserve">robust </w:t>
            </w:r>
            <w:r w:rsidRPr="00ED6053">
              <w:rPr>
                <w:sz w:val="14"/>
                <w:szCs w:val="14"/>
              </w:rPr>
              <w:t xml:space="preserve">and / or </w:t>
            </w:r>
            <w:r w:rsidRPr="00ED6053">
              <w:rPr>
                <w:i/>
                <w:iCs/>
                <w:sz w:val="14"/>
                <w:szCs w:val="14"/>
              </w:rPr>
              <w:t>flexible</w:t>
            </w:r>
            <w:r w:rsidRPr="00ED6053">
              <w:rPr>
                <w:sz w:val="14"/>
                <w:szCs w:val="14"/>
              </w:rPr>
              <w:t xml:space="preserve"> and preparing a ‘</w:t>
            </w:r>
            <w:r w:rsidRPr="00ED6053">
              <w:rPr>
                <w:i/>
                <w:iCs/>
                <w:sz w:val="14"/>
                <w:szCs w:val="14"/>
              </w:rPr>
              <w:t>robust flexible</w:t>
            </w:r>
            <w:r w:rsidRPr="00ED6053">
              <w:rPr>
                <w:sz w:val="14"/>
                <w:szCs w:val="14"/>
              </w:rPr>
              <w:t xml:space="preserve">’ set of measures. The set of measures </w:t>
            </w:r>
            <w:r w:rsidRPr="00ED6053">
              <w:rPr>
                <w:rFonts w:eastAsiaTheme="minorHAnsi"/>
                <w:sz w:val="14"/>
                <w:szCs w:val="14"/>
                <w:lang w:eastAsia="en-US"/>
              </w:rPr>
              <w:t xml:space="preserve">should contain the following properties: </w:t>
            </w:r>
            <w:r w:rsidRPr="00ED6053">
              <w:rPr>
                <w:rFonts w:eastAsiaTheme="minorHAnsi"/>
                <w:i/>
                <w:iCs/>
                <w:sz w:val="14"/>
                <w:szCs w:val="14"/>
                <w:lang w:eastAsia="en-US"/>
              </w:rPr>
              <w:t>robustness</w:t>
            </w:r>
            <w:r w:rsidRPr="00ED6053">
              <w:rPr>
                <w:rFonts w:eastAsiaTheme="minorHAnsi"/>
                <w:sz w:val="14"/>
                <w:szCs w:val="14"/>
                <w:lang w:eastAsia="en-US"/>
              </w:rPr>
              <w:t xml:space="preserve"> (ability to achieve the objectives despite how the future unfolds and be effective under a wide range of future scenarios), </w:t>
            </w:r>
            <w:r w:rsidRPr="00ED6053">
              <w:rPr>
                <w:rFonts w:eastAsiaTheme="minorHAnsi"/>
                <w:i/>
                <w:iCs/>
                <w:sz w:val="14"/>
                <w:szCs w:val="14"/>
                <w:lang w:eastAsia="en-US"/>
              </w:rPr>
              <w:t>flexibility</w:t>
            </w:r>
            <w:r w:rsidRPr="00ED6053">
              <w:rPr>
                <w:rFonts w:eastAsiaTheme="minorHAnsi"/>
                <w:sz w:val="14"/>
                <w:szCs w:val="14"/>
                <w:lang w:eastAsia="en-US"/>
              </w:rPr>
              <w:t xml:space="preserve"> (ability to be changed over time as changes occur or as new information arises, and keep options open / not foreclose future options), and be </w:t>
            </w:r>
            <w:r w:rsidRPr="00ED6053">
              <w:rPr>
                <w:rFonts w:eastAsiaTheme="minorHAnsi"/>
                <w:i/>
                <w:iCs/>
                <w:sz w:val="14"/>
                <w:szCs w:val="14"/>
                <w:lang w:eastAsia="en-US"/>
              </w:rPr>
              <w:t>no / low-regret</w:t>
            </w:r>
            <w:r w:rsidRPr="00ED6053">
              <w:rPr>
                <w:rFonts w:eastAsiaTheme="minorHAnsi"/>
                <w:sz w:val="14"/>
                <w:szCs w:val="14"/>
                <w:lang w:eastAsia="en-US"/>
              </w:rPr>
              <w:t xml:space="preserve"> whenever possible (with properties like </w:t>
            </w:r>
            <w:r w:rsidRPr="00ED6053">
              <w:rPr>
                <w:rFonts w:eastAsiaTheme="minorHAnsi"/>
                <w:i/>
                <w:iCs/>
                <w:sz w:val="14"/>
                <w:szCs w:val="14"/>
                <w:lang w:eastAsia="en-US"/>
              </w:rPr>
              <w:t>reversibility</w:t>
            </w:r>
            <w:r w:rsidRPr="00ED6053">
              <w:rPr>
                <w:rFonts w:eastAsiaTheme="minorHAnsi"/>
                <w:sz w:val="14"/>
                <w:szCs w:val="14"/>
                <w:lang w:eastAsia="en-US"/>
              </w:rPr>
              <w:t xml:space="preserve">, adaptability, etc.). </w:t>
            </w:r>
            <w:r w:rsidRPr="00ED6053">
              <w:rPr>
                <w:sz w:val="14"/>
                <w:szCs w:val="14"/>
              </w:rPr>
              <w:t xml:space="preserve">By using the ‘APs approach’, it was possible to design of several packages of sequenced measures, i.e. pathways. Each pathway can be deemed a set of </w:t>
            </w:r>
            <w:r w:rsidRPr="00ED6053">
              <w:rPr>
                <w:sz w:val="14"/>
                <w:szCs w:val="14"/>
              </w:rPr>
              <w:lastRenderedPageBreak/>
              <w:t xml:space="preserve">measures sequenced and implemented over time to manage changing risk; and several pathways were designed. Together, the various pathways offer robust and flexible sets of measures (a set of various robust flexible strategies), which form a </w:t>
            </w:r>
            <w:r w:rsidRPr="00ED6053">
              <w:rPr>
                <w:i/>
                <w:sz w:val="14"/>
                <w:szCs w:val="14"/>
              </w:rPr>
              <w:t>robust</w:t>
            </w:r>
            <w:r w:rsidRPr="00ED6053">
              <w:rPr>
                <w:iCs/>
                <w:sz w:val="14"/>
                <w:szCs w:val="14"/>
              </w:rPr>
              <w:t xml:space="preserve"> and </w:t>
            </w:r>
            <w:r w:rsidRPr="00ED6053">
              <w:rPr>
                <w:i/>
                <w:sz w:val="14"/>
                <w:szCs w:val="14"/>
              </w:rPr>
              <w:t>adaptive</w:t>
            </w:r>
            <w:r w:rsidRPr="00ED6053">
              <w:rPr>
                <w:iCs/>
                <w:sz w:val="14"/>
                <w:szCs w:val="14"/>
              </w:rPr>
              <w:t xml:space="preserve"> plan.</w:t>
            </w:r>
          </w:p>
        </w:tc>
        <w:tc>
          <w:tcPr>
            <w:tcW w:w="4535" w:type="dxa"/>
            <w:tcBorders>
              <w:left w:val="nil"/>
            </w:tcBorders>
          </w:tcPr>
          <w:p w14:paraId="5F7081C0"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
                <w:i/>
                <w:iCs w:val="0"/>
                <w:sz w:val="14"/>
                <w:szCs w:val="14"/>
              </w:rPr>
              <w:lastRenderedPageBreak/>
              <w:t>Adaptation paths</w:t>
            </w:r>
            <w:r w:rsidRPr="00ED6053">
              <w:rPr>
                <w:rFonts w:ascii="Times New Roman" w:hAnsi="Times New Roman" w:cs="Times New Roman"/>
                <w:b/>
                <w:sz w:val="14"/>
                <w:szCs w:val="14"/>
              </w:rPr>
              <w:t>,</w:t>
            </w:r>
            <w:r w:rsidRPr="00ED6053">
              <w:rPr>
                <w:rFonts w:ascii="Times New Roman" w:hAnsi="Times New Roman" w:cs="Times New Roman"/>
                <w:bCs w:val="0"/>
                <w:sz w:val="14"/>
                <w:szCs w:val="14"/>
              </w:rPr>
              <w:t xml:space="preserve"> i.e. multiple strategies that can be alternated between (i.e. different strategies that can be implemented alternatingly depending on climatic and socioeconomic developments)</w:t>
            </w:r>
          </w:p>
          <w:p w14:paraId="7A2E87C0"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Each path is a sequence of measures over time that can be activated before ATPs occur. The various paths provide coherent sequences of measures to achieve predefined objectives.</w:t>
            </w:r>
          </w:p>
          <w:p w14:paraId="661ACB41"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 xml:space="preserve">Each (regional) Preferential Strategy (PS), and most Delta Decisions (DD), contain a map of adaptation paths, with one or more paths (i.e. the pathway to be followed or the pathways available). Each </w:t>
            </w:r>
            <w:r w:rsidRPr="00ED6053">
              <w:rPr>
                <w:rFonts w:ascii="Times New Roman" w:hAnsi="Times New Roman" w:cs="Times New Roman"/>
                <w:bCs w:val="0"/>
                <w:i/>
                <w:sz w:val="14"/>
                <w:szCs w:val="14"/>
              </w:rPr>
              <w:t>path</w:t>
            </w:r>
            <w:r w:rsidRPr="00ED6053">
              <w:rPr>
                <w:rFonts w:ascii="Times New Roman" w:hAnsi="Times New Roman" w:cs="Times New Roman"/>
                <w:bCs w:val="0"/>
                <w:sz w:val="14"/>
                <w:szCs w:val="14"/>
              </w:rPr>
              <w:t xml:space="preserve"> is a logical set of measures including measures for the short-term and options for the mid- and long-term.</w:t>
            </w:r>
            <w:r w:rsidRPr="00ED6053">
              <w:rPr>
                <w:rStyle w:val="Refdenotaderodap"/>
                <w:rFonts w:ascii="Times New Roman" w:hAnsi="Times New Roman" w:cs="Times New Roman"/>
                <w:bCs w:val="0"/>
                <w:sz w:val="14"/>
                <w:szCs w:val="14"/>
              </w:rPr>
              <w:t xml:space="preserve"> </w:t>
            </w:r>
            <w:r w:rsidRPr="00ED6053">
              <w:rPr>
                <w:rFonts w:ascii="Times New Roman" w:hAnsi="Times New Roman" w:cs="Times New Roman"/>
                <w:bCs w:val="0"/>
                <w:sz w:val="14"/>
                <w:szCs w:val="14"/>
              </w:rPr>
              <w:t xml:space="preserve">Most often, each PS </w:t>
            </w:r>
            <w:r w:rsidRPr="00ED6053">
              <w:rPr>
                <w:rFonts w:ascii="Times New Roman" w:hAnsi="Times New Roman" w:cs="Times New Roman"/>
                <w:bCs w:val="0"/>
                <w:i/>
                <w:iCs w:val="0"/>
                <w:sz w:val="14"/>
                <w:szCs w:val="14"/>
              </w:rPr>
              <w:t>provides sets of measures</w:t>
            </w:r>
            <w:r w:rsidRPr="00ED6053">
              <w:rPr>
                <w:rFonts w:ascii="Times New Roman" w:hAnsi="Times New Roman" w:cs="Times New Roman"/>
                <w:bCs w:val="0"/>
                <w:sz w:val="14"/>
                <w:szCs w:val="14"/>
              </w:rPr>
              <w:t xml:space="preserve"> – each </w:t>
            </w:r>
            <w:r w:rsidRPr="00ED6053">
              <w:rPr>
                <w:rFonts w:ascii="Times New Roman" w:hAnsi="Times New Roman" w:cs="Times New Roman"/>
                <w:bCs w:val="0"/>
                <w:i/>
                <w:sz w:val="14"/>
                <w:szCs w:val="14"/>
              </w:rPr>
              <w:t xml:space="preserve">set </w:t>
            </w:r>
            <w:r w:rsidRPr="00ED6053">
              <w:rPr>
                <w:rFonts w:ascii="Times New Roman" w:hAnsi="Times New Roman" w:cs="Times New Roman"/>
                <w:bCs w:val="0"/>
                <w:sz w:val="14"/>
                <w:szCs w:val="14"/>
              </w:rPr>
              <w:t xml:space="preserve">offers a </w:t>
            </w:r>
            <w:r w:rsidRPr="00ED6053">
              <w:rPr>
                <w:rFonts w:ascii="Times New Roman" w:hAnsi="Times New Roman" w:cs="Times New Roman"/>
                <w:bCs w:val="0"/>
                <w:i/>
                <w:sz w:val="14"/>
                <w:szCs w:val="14"/>
              </w:rPr>
              <w:t>path</w:t>
            </w:r>
            <w:r w:rsidRPr="00ED6053">
              <w:rPr>
                <w:rFonts w:ascii="Times New Roman" w:hAnsi="Times New Roman" w:cs="Times New Roman"/>
                <w:bCs w:val="0"/>
                <w:sz w:val="14"/>
                <w:szCs w:val="14"/>
              </w:rPr>
              <w:t xml:space="preserve"> and </w:t>
            </w:r>
            <w:r w:rsidRPr="00ED6053">
              <w:rPr>
                <w:rFonts w:ascii="Times New Roman" w:hAnsi="Times New Roman" w:cs="Times New Roman"/>
                <w:bCs w:val="0"/>
                <w:iCs w:val="0"/>
                <w:sz w:val="14"/>
                <w:szCs w:val="14"/>
              </w:rPr>
              <w:t>sets of measures (</w:t>
            </w:r>
            <w:r w:rsidRPr="00ED6053">
              <w:rPr>
                <w:rFonts w:ascii="Times New Roman" w:hAnsi="Times New Roman" w:cs="Times New Roman"/>
                <w:bCs w:val="0"/>
                <w:sz w:val="14"/>
                <w:szCs w:val="14"/>
              </w:rPr>
              <w:t xml:space="preserve">several </w:t>
            </w:r>
            <w:r w:rsidRPr="00ED6053">
              <w:rPr>
                <w:rFonts w:ascii="Times New Roman" w:hAnsi="Times New Roman" w:cs="Times New Roman"/>
                <w:bCs w:val="0"/>
                <w:i/>
                <w:sz w:val="14"/>
                <w:szCs w:val="14"/>
              </w:rPr>
              <w:t>paths</w:t>
            </w:r>
            <w:r w:rsidRPr="00ED6053">
              <w:rPr>
                <w:rFonts w:ascii="Times New Roman" w:hAnsi="Times New Roman" w:cs="Times New Roman"/>
                <w:bCs w:val="0"/>
                <w:sz w:val="14"/>
                <w:szCs w:val="14"/>
              </w:rPr>
              <w:t>) were elaborated separately for each Region. The diverse paths offer different possible trajectories the system may follow to meet objectives.</w:t>
            </w:r>
          </w:p>
          <w:p w14:paraId="2CF47C38"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The maps of adaptation pathways of the PS and DD are time-dependent (time/ years are illustrated in the x-axis, rather than ATPs). Although 4 Delta Scenarios were available, each map of adaptation paths was developed considering one (a single) Delta Scenario – Steam???</w:t>
            </w:r>
          </w:p>
        </w:tc>
      </w:tr>
      <w:tr w:rsidR="00ED6053" w:rsidRPr="00ED6053" w14:paraId="35A9E895" w14:textId="77777777" w:rsidTr="00FF4124">
        <w:trPr>
          <w:trHeight w:val="413"/>
        </w:trPr>
        <w:tc>
          <w:tcPr>
            <w:tcW w:w="794" w:type="dxa"/>
            <w:tcBorders>
              <w:left w:val="nil"/>
              <w:right w:val="nil"/>
            </w:tcBorders>
          </w:tcPr>
          <w:p w14:paraId="64AC8AD8" w14:textId="77777777" w:rsidR="00ED6053" w:rsidRPr="00ED6053" w:rsidRDefault="00ED6053" w:rsidP="00336A37">
            <w:pPr>
              <w:pStyle w:val="tablecontenttext"/>
              <w:spacing w:line="240" w:lineRule="auto"/>
              <w:rPr>
                <w:rFonts w:ascii="Times New Roman" w:hAnsi="Times New Roman" w:cs="Times New Roman"/>
                <w:b/>
                <w:sz w:val="14"/>
                <w:szCs w:val="14"/>
              </w:rPr>
            </w:pPr>
            <w:r w:rsidRPr="00ED6053">
              <w:rPr>
                <w:rFonts w:ascii="Times New Roman" w:hAnsi="Times New Roman" w:cs="Times New Roman"/>
                <w:b/>
                <w:sz w:val="14"/>
                <w:szCs w:val="14"/>
              </w:rPr>
              <w:t>Transfer station / transfer-point</w:t>
            </w:r>
          </w:p>
          <w:p w14:paraId="4A57720F" w14:textId="77777777" w:rsidR="00ED6053" w:rsidRPr="00ED6053" w:rsidRDefault="00ED6053" w:rsidP="00336A37">
            <w:pPr>
              <w:pStyle w:val="tablecontenttext"/>
              <w:spacing w:line="240" w:lineRule="auto"/>
              <w:rPr>
                <w:rFonts w:ascii="Times New Roman" w:hAnsi="Times New Roman" w:cs="Times New Roman"/>
                <w:b/>
                <w:sz w:val="14"/>
                <w:szCs w:val="14"/>
              </w:rPr>
            </w:pPr>
            <w:r w:rsidRPr="00ED6053">
              <w:rPr>
                <w:rFonts w:ascii="Times New Roman" w:hAnsi="Times New Roman" w:cs="Times New Roman"/>
                <w:b/>
                <w:sz w:val="14"/>
                <w:szCs w:val="14"/>
              </w:rPr>
              <w:t xml:space="preserve">(prior to reaching an ATP, as represented in APs map) </w:t>
            </w:r>
          </w:p>
          <w:p w14:paraId="17BF9161" w14:textId="77777777" w:rsidR="00ED6053" w:rsidRPr="00ED6053" w:rsidRDefault="00ED6053" w:rsidP="00336A37">
            <w:pPr>
              <w:pStyle w:val="tablecontenttext"/>
              <w:spacing w:line="240" w:lineRule="auto"/>
              <w:rPr>
                <w:rFonts w:ascii="Times New Roman" w:hAnsi="Times New Roman" w:cs="Times New Roman"/>
                <w:b/>
                <w:sz w:val="14"/>
                <w:szCs w:val="14"/>
              </w:rPr>
            </w:pPr>
          </w:p>
          <w:p w14:paraId="2B38E73E" w14:textId="77777777" w:rsidR="00ED6053" w:rsidRPr="00ED6053" w:rsidRDefault="00ED6053" w:rsidP="00336A37">
            <w:pPr>
              <w:pStyle w:val="tablecontenttext"/>
              <w:spacing w:line="240" w:lineRule="auto"/>
              <w:rPr>
                <w:rFonts w:ascii="Times New Roman" w:hAnsi="Times New Roman" w:cs="Times New Roman"/>
                <w:b/>
                <w:sz w:val="14"/>
                <w:szCs w:val="14"/>
              </w:rPr>
            </w:pPr>
            <w:r w:rsidRPr="00ED6053">
              <w:rPr>
                <w:rFonts w:ascii="Times New Roman" w:hAnsi="Times New Roman" w:cs="Times New Roman"/>
                <w:b/>
                <w:sz w:val="14"/>
                <w:szCs w:val="14"/>
              </w:rPr>
              <w:t xml:space="preserve">Triggers / trigger-points / trigger-values </w:t>
            </w:r>
          </w:p>
          <w:p w14:paraId="410C076C" w14:textId="77777777" w:rsidR="00ED6053" w:rsidRPr="00ED6053" w:rsidRDefault="00ED6053" w:rsidP="00336A37">
            <w:pPr>
              <w:pStyle w:val="tablecontenttext"/>
              <w:spacing w:line="240" w:lineRule="auto"/>
              <w:rPr>
                <w:rFonts w:ascii="Times New Roman" w:hAnsi="Times New Roman" w:cs="Times New Roman"/>
                <w:b/>
                <w:sz w:val="14"/>
                <w:szCs w:val="14"/>
              </w:rPr>
            </w:pPr>
          </w:p>
        </w:tc>
        <w:tc>
          <w:tcPr>
            <w:tcW w:w="4535" w:type="dxa"/>
            <w:tcBorders>
              <w:left w:val="nil"/>
              <w:right w:val="nil"/>
            </w:tcBorders>
          </w:tcPr>
          <w:p w14:paraId="0585822B"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 xml:space="preserve">The concept of “decision-points” used in the TE2100 resembles the “transfer station” of a standard APs map. </w:t>
            </w:r>
          </w:p>
          <w:p w14:paraId="6DDF6D7B"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 xml:space="preserve">A decision-point is a point at which a given action (pertaining to an HLO) must be chosen and approved; its estimation considers the “lead-time” required for designing and constructing such action. It is expressed as a value in an indicator that is monitored (e.g. SLR), and it is related with the threshold set for such indicator. The decision-points help to ensure that measures are timely taken and cost-effective. A </w:t>
            </w:r>
            <w:r w:rsidRPr="00ED6053">
              <w:rPr>
                <w:rFonts w:ascii="Times New Roman" w:hAnsi="Times New Roman" w:cs="Times New Roman"/>
                <w:bCs w:val="0"/>
                <w:iCs w:val="0"/>
                <w:sz w:val="14"/>
                <w:szCs w:val="14"/>
              </w:rPr>
              <w:t>decision-point</w:t>
            </w:r>
            <w:r w:rsidRPr="00ED6053">
              <w:rPr>
                <w:rFonts w:ascii="Times New Roman" w:hAnsi="Times New Roman" w:cs="Times New Roman"/>
                <w:bCs w:val="0"/>
                <w:i/>
                <w:sz w:val="14"/>
                <w:szCs w:val="14"/>
              </w:rPr>
              <w:t xml:space="preserve"> </w:t>
            </w:r>
            <w:r w:rsidRPr="00ED6053">
              <w:rPr>
                <w:rFonts w:ascii="Times New Roman" w:hAnsi="Times New Roman" w:cs="Times New Roman"/>
                <w:bCs w:val="0"/>
                <w:sz w:val="14"/>
                <w:szCs w:val="14"/>
              </w:rPr>
              <w:t>is a point at which a decision on a given measure must be made, which triggers its planning and construction.</w:t>
            </w:r>
          </w:p>
          <w:p w14:paraId="2F77FAED"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TE2100 Plan explains how to estimate a decision-point</w:t>
            </w:r>
            <w:r w:rsidRPr="00ED6053">
              <w:rPr>
                <w:rFonts w:ascii="Times New Roman" w:hAnsi="Times New Roman" w:cs="Times New Roman"/>
                <w:bCs w:val="0"/>
                <w:i/>
                <w:iCs w:val="0"/>
                <w:sz w:val="14"/>
                <w:szCs w:val="14"/>
              </w:rPr>
              <w:t xml:space="preserve"> </w:t>
            </w:r>
            <w:r w:rsidRPr="00ED6053">
              <w:rPr>
                <w:rFonts w:ascii="Times New Roman" w:hAnsi="Times New Roman" w:cs="Times New Roman"/>
                <w:bCs w:val="0"/>
                <w:sz w:val="14"/>
                <w:szCs w:val="14"/>
              </w:rPr>
              <w:t xml:space="preserve">for a given measure; it is necessary to: identify the threshold-value in an indicator (e.g. the water level) at which the measure will be needed; </w:t>
            </w:r>
            <w:proofErr w:type="spellStart"/>
            <w:r w:rsidRPr="00ED6053">
              <w:rPr>
                <w:rFonts w:ascii="Times New Roman" w:hAnsi="Times New Roman" w:cs="Times New Roman"/>
                <w:bCs w:val="0"/>
                <w:sz w:val="14"/>
                <w:szCs w:val="14"/>
              </w:rPr>
              <w:t>analyze</w:t>
            </w:r>
            <w:proofErr w:type="spellEnd"/>
            <w:r w:rsidRPr="00ED6053">
              <w:rPr>
                <w:rFonts w:ascii="Times New Roman" w:hAnsi="Times New Roman" w:cs="Times New Roman"/>
                <w:bCs w:val="0"/>
                <w:sz w:val="14"/>
                <w:szCs w:val="14"/>
              </w:rPr>
              <w:t xml:space="preserve"> when such threshold will occur in a given scenario; then, add the lead-time required to design and construct such measure and also an uncertainty band (e.g. about SLR rate), and also consider the observed/ recorded values in the indicator. In this way, decision-point can be expressed as a value in an indicator. Hence, the decision-point is conditioned by the monitoring and observation of actual changes in indicators (e.g. recorded values of SLR), thus, the timing of this decision-point (and of the implementation-point) may change depending on the monitoring results. A decision-point can also be derived under different scenarios, including under updated projections that might arise, which may require updating the lead-times, implementation-points, or decision points. Certain values in the indicators will act as triggers of changes, e.g. a rapid change in an indicator may trigger an earlier decision.</w:t>
            </w:r>
          </w:p>
        </w:tc>
        <w:tc>
          <w:tcPr>
            <w:tcW w:w="4535" w:type="dxa"/>
            <w:tcBorders>
              <w:left w:val="nil"/>
            </w:tcBorders>
          </w:tcPr>
          <w:p w14:paraId="28E217A9"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 xml:space="preserve">A similar concept to “Transfer stations” is used in some maps of adaptation paths (for the Preferential Strategies): the concept of “branching-point”, where one of the following measures can be taken or two can be combined. </w:t>
            </w:r>
          </w:p>
          <w:p w14:paraId="04B285C4"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Triggers refer to certain values in indicators at which it is necessary to activate actions or reassess PS.</w:t>
            </w:r>
          </w:p>
          <w:p w14:paraId="4FC25BBC"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DP adopted the definition provided by ADM (and based on DAPP): critical values of the signpost variables, beyond which additional / new actions should be taken, or decisions should be reconsidered.</w:t>
            </w:r>
          </w:p>
          <w:p w14:paraId="6E462997"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Triggers serve to indicate when a new action planned in the PS should be activated; most often refer to critical values at which it is necessary to activate actions, which act as warning signals for the implementation of actions or reassessment of the PS or DD.</w:t>
            </w:r>
          </w:p>
          <w:p w14:paraId="14B66E15"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 xml:space="preserve">Triggers’ (critical values beyond which it is necessary to </w:t>
            </w:r>
            <w:proofErr w:type="gramStart"/>
            <w:r w:rsidRPr="00ED6053">
              <w:rPr>
                <w:rFonts w:ascii="Times New Roman" w:hAnsi="Times New Roman" w:cs="Times New Roman"/>
                <w:bCs w:val="0"/>
                <w:sz w:val="14"/>
                <w:szCs w:val="14"/>
              </w:rPr>
              <w:t>make adjustments</w:t>
            </w:r>
            <w:proofErr w:type="gramEnd"/>
            <w:r w:rsidRPr="00ED6053">
              <w:rPr>
                <w:rFonts w:ascii="Times New Roman" w:hAnsi="Times New Roman" w:cs="Times New Roman"/>
                <w:bCs w:val="0"/>
                <w:sz w:val="14"/>
                <w:szCs w:val="14"/>
              </w:rPr>
              <w:t xml:space="preserve"> or change of measure, and which must be monitored.</w:t>
            </w:r>
          </w:p>
        </w:tc>
      </w:tr>
      <w:tr w:rsidR="00ED6053" w:rsidRPr="00ED6053" w14:paraId="12550E81" w14:textId="77777777" w:rsidTr="00FF4124">
        <w:trPr>
          <w:trHeight w:val="413"/>
        </w:trPr>
        <w:tc>
          <w:tcPr>
            <w:tcW w:w="794" w:type="dxa"/>
            <w:tcBorders>
              <w:left w:val="nil"/>
              <w:right w:val="nil"/>
            </w:tcBorders>
          </w:tcPr>
          <w:p w14:paraId="524C6482" w14:textId="77777777" w:rsidR="00ED6053" w:rsidRPr="00ED6053" w:rsidRDefault="00ED6053" w:rsidP="00336A37">
            <w:pPr>
              <w:pStyle w:val="tablecontenttext"/>
              <w:spacing w:line="240" w:lineRule="auto"/>
              <w:rPr>
                <w:rFonts w:ascii="Times New Roman" w:hAnsi="Times New Roman" w:cs="Times New Roman"/>
                <w:b/>
                <w:sz w:val="14"/>
                <w:szCs w:val="14"/>
              </w:rPr>
            </w:pPr>
            <w:r w:rsidRPr="00ED6053">
              <w:rPr>
                <w:rFonts w:ascii="Times New Roman" w:hAnsi="Times New Roman" w:cs="Times New Roman"/>
                <w:b/>
                <w:sz w:val="14"/>
                <w:szCs w:val="14"/>
              </w:rPr>
              <w:t xml:space="preserve">Monitoring, </w:t>
            </w:r>
            <w:proofErr w:type="spellStart"/>
            <w:r w:rsidRPr="00ED6053">
              <w:rPr>
                <w:rFonts w:ascii="Times New Roman" w:hAnsi="Times New Roman" w:cs="Times New Roman"/>
                <w:b/>
                <w:sz w:val="14"/>
                <w:szCs w:val="14"/>
              </w:rPr>
              <w:t>revalution</w:t>
            </w:r>
            <w:proofErr w:type="spellEnd"/>
            <w:r w:rsidRPr="00ED6053">
              <w:rPr>
                <w:rFonts w:ascii="Times New Roman" w:hAnsi="Times New Roman" w:cs="Times New Roman"/>
                <w:b/>
                <w:sz w:val="14"/>
                <w:szCs w:val="14"/>
              </w:rPr>
              <w:t xml:space="preserve"> and review system</w:t>
            </w:r>
          </w:p>
        </w:tc>
        <w:tc>
          <w:tcPr>
            <w:tcW w:w="4535" w:type="dxa"/>
            <w:tcBorders>
              <w:left w:val="nil"/>
              <w:right w:val="nil"/>
            </w:tcBorders>
          </w:tcPr>
          <w:p w14:paraId="57B8BAE6"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Monitoring and Review System. It sets out 10 indicators of changes that must be monitored throughout the Plan’s life, as well as a 10-year review of the Plan, and a 5-year mid-term monitoring review. It allows for timely adapting the Plan, its pathways, their measures or their timing, as new knowledge becomes available, and as changes are observed. The first 10-year review has led to adjustment to the End of the Century Options considered, demonstrating the adaptive character of the Plan and its pathways. Some decision-points have also been modified.</w:t>
            </w:r>
          </w:p>
          <w:p w14:paraId="64E6E411" w14:textId="77777777" w:rsidR="00ED6053" w:rsidRPr="00ED6053" w:rsidRDefault="00ED6053" w:rsidP="00336A37">
            <w:pPr>
              <w:rPr>
                <w:rFonts w:ascii="Times New Roman" w:hAnsi="Times New Roman"/>
                <w:sz w:val="14"/>
                <w:szCs w:val="14"/>
              </w:rPr>
            </w:pPr>
            <w:r w:rsidRPr="00ED6053">
              <w:rPr>
                <w:rFonts w:ascii="Times New Roman" w:hAnsi="Times New Roman"/>
                <w:sz w:val="14"/>
                <w:szCs w:val="14"/>
              </w:rPr>
              <w:t xml:space="preserve">The timing for new measures, and the measures themselves, can be modified (changed) over time, in this way, </w:t>
            </w:r>
            <w:r w:rsidRPr="00ED6053">
              <w:rPr>
                <w:rFonts w:ascii="Times New Roman" w:hAnsi="Times New Roman"/>
                <w:i/>
                <w:sz w:val="14"/>
                <w:szCs w:val="14"/>
              </w:rPr>
              <w:t>flexibility</w:t>
            </w:r>
            <w:r w:rsidRPr="00ED6053">
              <w:rPr>
                <w:rFonts w:ascii="Times New Roman" w:hAnsi="Times New Roman"/>
                <w:sz w:val="14"/>
                <w:szCs w:val="14"/>
              </w:rPr>
              <w:t xml:space="preserve"> is built-in into the long-term strategy itself (</w:t>
            </w:r>
            <w:r w:rsidRPr="00ED6053">
              <w:rPr>
                <w:rFonts w:ascii="Times New Roman" w:hAnsi="Times New Roman"/>
                <w:color w:val="7F7F7F" w:themeColor="text1" w:themeTint="80"/>
                <w:sz w:val="14"/>
                <w:szCs w:val="14"/>
              </w:rPr>
              <w:t>Ranger et al. 2013, p.249</w:t>
            </w:r>
            <w:r w:rsidRPr="00ED6053">
              <w:rPr>
                <w:rFonts w:ascii="Times New Roman" w:hAnsi="Times New Roman"/>
                <w:sz w:val="14"/>
                <w:szCs w:val="14"/>
              </w:rPr>
              <w:t>).</w:t>
            </w:r>
          </w:p>
          <w:p w14:paraId="08C84A34" w14:textId="77777777" w:rsidR="00ED6053" w:rsidRPr="00ED6053" w:rsidRDefault="00ED6053" w:rsidP="00336A37">
            <w:pPr>
              <w:pStyle w:val="CORPOTEXTO"/>
              <w:rPr>
                <w:sz w:val="14"/>
                <w:szCs w:val="10"/>
              </w:rPr>
            </w:pPr>
            <w:r w:rsidRPr="00ED6053">
              <w:rPr>
                <w:sz w:val="14"/>
                <w:szCs w:val="12"/>
              </w:rPr>
              <w:t xml:space="preserve">The TE and flood risk will change over time, but </w:t>
            </w:r>
            <w:r w:rsidRPr="00ED6053">
              <w:rPr>
                <w:iCs/>
                <w:sz w:val="14"/>
                <w:szCs w:val="12"/>
              </w:rPr>
              <w:t xml:space="preserve">the Plan </w:t>
            </w:r>
            <w:r w:rsidRPr="00ED6053">
              <w:rPr>
                <w:i/>
                <w:sz w:val="14"/>
                <w:szCs w:val="12"/>
              </w:rPr>
              <w:t>“can accommodate future change and can be adjusted when the rate of change is either faster or slower than originally predicted</w:t>
            </w:r>
            <w:r w:rsidRPr="00ED6053">
              <w:rPr>
                <w:sz w:val="14"/>
                <w:szCs w:val="12"/>
              </w:rPr>
              <w:t xml:space="preserve">. </w:t>
            </w:r>
            <w:r w:rsidRPr="00ED6053">
              <w:rPr>
                <w:i/>
                <w:sz w:val="14"/>
                <w:szCs w:val="12"/>
              </w:rPr>
              <w:t xml:space="preserve">This flexibility was included to ensure that the actions in the Plan remain appropriate and are implemented at the right time” </w:t>
            </w:r>
            <w:r w:rsidRPr="00ED6053">
              <w:rPr>
                <w:iCs/>
                <w:sz w:val="14"/>
                <w:szCs w:val="12"/>
              </w:rPr>
              <w:t>(</w:t>
            </w:r>
            <w:r w:rsidRPr="00ED6053">
              <w:rPr>
                <w:iCs/>
                <w:color w:val="7F7F7F" w:themeColor="text1" w:themeTint="80"/>
                <w:sz w:val="14"/>
                <w:szCs w:val="12"/>
              </w:rPr>
              <w:t>EA 2016, p.</w:t>
            </w:r>
            <w:r w:rsidRPr="00ED6053">
              <w:rPr>
                <w:color w:val="7F7F7F" w:themeColor="text1" w:themeTint="80"/>
                <w:sz w:val="14"/>
                <w:szCs w:val="12"/>
              </w:rPr>
              <w:t>15</w:t>
            </w:r>
            <w:r w:rsidRPr="00ED6053">
              <w:rPr>
                <w:sz w:val="14"/>
                <w:szCs w:val="12"/>
              </w:rPr>
              <w:t>).</w:t>
            </w:r>
          </w:p>
          <w:p w14:paraId="06D36132" w14:textId="77777777" w:rsidR="00ED6053" w:rsidRPr="00ED6053" w:rsidRDefault="00ED6053" w:rsidP="00336A37">
            <w:pPr>
              <w:rPr>
                <w:rFonts w:ascii="Times New Roman" w:hAnsi="Times New Roman"/>
                <w:sz w:val="14"/>
                <w:szCs w:val="14"/>
              </w:rPr>
            </w:pPr>
          </w:p>
        </w:tc>
        <w:tc>
          <w:tcPr>
            <w:tcW w:w="4535" w:type="dxa"/>
            <w:tcBorders>
              <w:left w:val="nil"/>
            </w:tcBorders>
          </w:tcPr>
          <w:p w14:paraId="76446665" w14:textId="77777777" w:rsidR="00ED6053" w:rsidRPr="00ED6053" w:rsidRDefault="00ED6053" w:rsidP="00336A37">
            <w:pPr>
              <w:pStyle w:val="tablecontenttext"/>
              <w:spacing w:line="240" w:lineRule="auto"/>
              <w:rPr>
                <w:rFonts w:ascii="Times New Roman" w:hAnsi="Times New Roman" w:cs="Times New Roman"/>
                <w:bCs w:val="0"/>
                <w:sz w:val="14"/>
                <w:szCs w:val="14"/>
              </w:rPr>
            </w:pPr>
            <w:r w:rsidRPr="00ED6053">
              <w:rPr>
                <w:rFonts w:ascii="Times New Roman" w:hAnsi="Times New Roman" w:cs="Times New Roman"/>
                <w:bCs w:val="0"/>
                <w:sz w:val="14"/>
                <w:szCs w:val="14"/>
              </w:rPr>
              <w:t xml:space="preserve">Monitoring, Analysing and Action system (MAA).  Since 2017, the MAA has been used to monitor developments that may affect the pace or direction (course) of the PS, and to evaluate if the DP is ‘on track’ or if it is necessary to adjust the course or pace, or reconsider targets or measures (e.g. if developments demand a switch of strategy or measures, or a modification in their timing). Moreover, the DP will carry a review every 6 years to check, based on monitoring results, if it is necessary to maintain or adjust the course or the pace (i.e. the measures or their timing). Based on new knowledge and monitoring, the strategies and / or their measures may be anticipated or </w:t>
            </w:r>
            <w:proofErr w:type="gramStart"/>
            <w:r w:rsidRPr="00ED6053">
              <w:rPr>
                <w:rFonts w:ascii="Times New Roman" w:hAnsi="Times New Roman" w:cs="Times New Roman"/>
                <w:bCs w:val="0"/>
                <w:sz w:val="14"/>
                <w:szCs w:val="14"/>
              </w:rPr>
              <w:t>postponed, or</w:t>
            </w:r>
            <w:proofErr w:type="gramEnd"/>
            <w:r w:rsidRPr="00ED6053">
              <w:rPr>
                <w:rFonts w:ascii="Times New Roman" w:hAnsi="Times New Roman" w:cs="Times New Roman"/>
                <w:bCs w:val="0"/>
                <w:sz w:val="14"/>
                <w:szCs w:val="14"/>
              </w:rPr>
              <w:t xml:space="preserve"> adjusted in terms of scope and design.</w:t>
            </w:r>
          </w:p>
          <w:p w14:paraId="3919297A" w14:textId="77777777" w:rsidR="00ED6053" w:rsidRPr="00ED6053" w:rsidRDefault="00ED6053" w:rsidP="00336A37">
            <w:pPr>
              <w:pStyle w:val="tablecontenttext"/>
              <w:spacing w:line="240" w:lineRule="auto"/>
              <w:rPr>
                <w:sz w:val="14"/>
                <w:szCs w:val="14"/>
              </w:rPr>
            </w:pPr>
            <w:r w:rsidRPr="00ED6053">
              <w:rPr>
                <w:rFonts w:ascii="Times New Roman" w:hAnsi="Times New Roman" w:cs="Times New Roman"/>
                <w:sz w:val="14"/>
                <w:szCs w:val="14"/>
              </w:rPr>
              <w:t xml:space="preserve">ADM requires ongoing monitoring of drivers of change, and the regular reassessment of strategies and measures. The monitoring system keeps track of changes and detect ATPs in a useful timescale. The DP’s </w:t>
            </w:r>
            <w:r w:rsidRPr="00ED6053">
              <w:rPr>
                <w:rFonts w:ascii="Times New Roman" w:hAnsi="Times New Roman" w:cs="Times New Roman"/>
                <w:i/>
                <w:sz w:val="14"/>
                <w:szCs w:val="14"/>
              </w:rPr>
              <w:t>monitoring</w:t>
            </w:r>
            <w:r w:rsidRPr="00ED6053">
              <w:rPr>
                <w:rFonts w:ascii="Times New Roman" w:hAnsi="Times New Roman" w:cs="Times New Roman"/>
                <w:sz w:val="14"/>
                <w:szCs w:val="14"/>
              </w:rPr>
              <w:t xml:space="preserve"> </w:t>
            </w:r>
            <w:r w:rsidRPr="00ED6053">
              <w:rPr>
                <w:rFonts w:ascii="Times New Roman" w:hAnsi="Times New Roman" w:cs="Times New Roman"/>
                <w:i/>
                <w:iCs w:val="0"/>
                <w:sz w:val="14"/>
                <w:szCs w:val="14"/>
              </w:rPr>
              <w:t>and revaluation</w:t>
            </w:r>
            <w:r w:rsidRPr="00ED6053">
              <w:rPr>
                <w:rFonts w:ascii="Times New Roman" w:hAnsi="Times New Roman" w:cs="Times New Roman"/>
                <w:sz w:val="14"/>
                <w:szCs w:val="14"/>
              </w:rPr>
              <w:t xml:space="preserve"> system specifies the variables to be monitored to allow a timely adaptation of the strategies (their measures, or timing). Adaptiveness is patent in this system and in the yearly updated DP reports (</w:t>
            </w:r>
            <w:r w:rsidRPr="00ED6053">
              <w:rPr>
                <w:rFonts w:ascii="Times New Roman" w:hAnsi="Times New Roman" w:cs="Times New Roman"/>
                <w:color w:val="7F7F7F" w:themeColor="text1" w:themeTint="80"/>
                <w:sz w:val="14"/>
                <w:szCs w:val="14"/>
              </w:rPr>
              <w:t>Zandvoort et al. 2018, p.191-192</w:t>
            </w:r>
            <w:r w:rsidRPr="00ED6053">
              <w:rPr>
                <w:rFonts w:ascii="Times New Roman" w:hAnsi="Times New Roman" w:cs="Times New Roman"/>
                <w:sz w:val="14"/>
                <w:szCs w:val="14"/>
              </w:rPr>
              <w:t xml:space="preserve">). The DP’s approach is </w:t>
            </w:r>
            <w:r w:rsidRPr="00ED6053">
              <w:rPr>
                <w:rFonts w:ascii="Times New Roman" w:hAnsi="Times New Roman" w:cs="Times New Roman"/>
                <w:bCs w:val="0"/>
                <w:sz w:val="14"/>
                <w:szCs w:val="14"/>
              </w:rPr>
              <w:t>‘flexible’</w:t>
            </w:r>
            <w:r w:rsidRPr="00ED6053">
              <w:rPr>
                <w:rFonts w:ascii="Times New Roman" w:hAnsi="Times New Roman" w:cs="Times New Roman"/>
                <w:sz w:val="14"/>
                <w:szCs w:val="14"/>
              </w:rPr>
              <w:t xml:space="preserve"> since it allows the adjustment (adaptation) of a strategy to changing conditions or new insights that may arise (e.g. climate change) (</w:t>
            </w:r>
            <w:proofErr w:type="spellStart"/>
            <w:r w:rsidRPr="00ED6053">
              <w:rPr>
                <w:rFonts w:ascii="Times New Roman" w:hAnsi="Times New Roman" w:cs="Times New Roman"/>
                <w:color w:val="7F7F7F" w:themeColor="text1" w:themeTint="80"/>
                <w:sz w:val="14"/>
                <w:szCs w:val="14"/>
              </w:rPr>
              <w:t>Jeuken</w:t>
            </w:r>
            <w:proofErr w:type="spellEnd"/>
            <w:r w:rsidRPr="00ED6053">
              <w:rPr>
                <w:rFonts w:ascii="Times New Roman" w:hAnsi="Times New Roman" w:cs="Times New Roman"/>
                <w:color w:val="7F7F7F" w:themeColor="text1" w:themeTint="80"/>
                <w:sz w:val="14"/>
                <w:szCs w:val="14"/>
              </w:rPr>
              <w:t xml:space="preserve"> and Reeder 2011</w:t>
            </w:r>
            <w:r w:rsidRPr="00ED6053">
              <w:rPr>
                <w:rFonts w:ascii="Times New Roman" w:hAnsi="Times New Roman" w:cs="Times New Roman"/>
                <w:sz w:val="14"/>
                <w:szCs w:val="14"/>
              </w:rPr>
              <w:t>).</w:t>
            </w:r>
            <w:r w:rsidRPr="00ED6053">
              <w:rPr>
                <w:sz w:val="14"/>
                <w:szCs w:val="14"/>
              </w:rPr>
              <w:t xml:space="preserve">  </w:t>
            </w:r>
          </w:p>
          <w:p w14:paraId="1558FFAB" w14:textId="77777777" w:rsidR="00ED6053" w:rsidRPr="00ED6053" w:rsidRDefault="00ED6053" w:rsidP="00336A37">
            <w:pPr>
              <w:pStyle w:val="tablecontenttext"/>
              <w:spacing w:line="240" w:lineRule="auto"/>
              <w:jc w:val="both"/>
              <w:rPr>
                <w:rFonts w:ascii="Times New Roman" w:hAnsi="Times New Roman"/>
                <w:sz w:val="14"/>
                <w:szCs w:val="14"/>
              </w:rPr>
            </w:pPr>
            <w:r w:rsidRPr="00ED6053">
              <w:rPr>
                <w:rFonts w:ascii="Times New Roman" w:hAnsi="Times New Roman"/>
                <w:sz w:val="14"/>
                <w:szCs w:val="14"/>
              </w:rPr>
              <w:t xml:space="preserve">ADM requires the monitoring of changes or developments and effects of measures, and the reassessment/review of the Plan (its strategies, or </w:t>
            </w:r>
            <w:r w:rsidRPr="00ED6053">
              <w:rPr>
                <w:rFonts w:ascii="Times New Roman" w:hAnsi="Times New Roman" w:cs="Times New Roman"/>
                <w:bCs w:val="0"/>
                <w:sz w:val="14"/>
                <w:szCs w:val="14"/>
              </w:rPr>
              <w:t>measures, planned or implemented), and their adjustment if changes prompt so (</w:t>
            </w:r>
            <w:r w:rsidRPr="00ED6053">
              <w:rPr>
                <w:rFonts w:ascii="Times New Roman" w:hAnsi="Times New Roman" w:cs="Times New Roman"/>
                <w:bCs w:val="0"/>
                <w:color w:val="7F7F7F" w:themeColor="text1" w:themeTint="80"/>
                <w:sz w:val="14"/>
                <w:szCs w:val="14"/>
              </w:rPr>
              <w:t>DP 2016, p.59</w:t>
            </w:r>
            <w:r w:rsidRPr="00ED6053">
              <w:rPr>
                <w:rFonts w:ascii="Times New Roman" w:hAnsi="Times New Roman" w:cs="Times New Roman"/>
                <w:bCs w:val="0"/>
                <w:sz w:val="14"/>
                <w:szCs w:val="14"/>
              </w:rPr>
              <w:t>).</w:t>
            </w:r>
          </w:p>
        </w:tc>
      </w:tr>
      <w:tr w:rsidR="00ED6053" w:rsidRPr="00ED6053" w14:paraId="4751AA4F" w14:textId="77777777" w:rsidTr="00FF4124">
        <w:trPr>
          <w:trHeight w:val="413"/>
        </w:trPr>
        <w:tc>
          <w:tcPr>
            <w:tcW w:w="794" w:type="dxa"/>
            <w:tcBorders>
              <w:left w:val="nil"/>
              <w:right w:val="nil"/>
            </w:tcBorders>
          </w:tcPr>
          <w:p w14:paraId="641A13FF" w14:textId="77777777" w:rsidR="00ED6053" w:rsidRPr="00ED6053" w:rsidRDefault="00ED6053" w:rsidP="00336A37">
            <w:pPr>
              <w:pStyle w:val="tablecontenttext"/>
              <w:spacing w:line="240" w:lineRule="auto"/>
              <w:rPr>
                <w:rFonts w:ascii="Times New Roman" w:hAnsi="Times New Roman" w:cs="Times New Roman"/>
                <w:b/>
                <w:sz w:val="14"/>
                <w:szCs w:val="14"/>
              </w:rPr>
            </w:pPr>
            <w:r w:rsidRPr="00ED6053">
              <w:rPr>
                <w:rFonts w:ascii="Times New Roman" w:hAnsi="Times New Roman" w:cs="Times New Roman"/>
                <w:b/>
                <w:sz w:val="14"/>
                <w:szCs w:val="14"/>
              </w:rPr>
              <w:t xml:space="preserve">Robust plan </w:t>
            </w:r>
            <w:r w:rsidRPr="00ED6053">
              <w:rPr>
                <w:rFonts w:ascii="Times New Roman" w:hAnsi="Times New Roman" w:cs="Times New Roman"/>
                <w:bCs w:val="0"/>
                <w:sz w:val="14"/>
                <w:szCs w:val="14"/>
              </w:rPr>
              <w:t>(requisite for the plan)</w:t>
            </w:r>
          </w:p>
        </w:tc>
        <w:tc>
          <w:tcPr>
            <w:tcW w:w="4535" w:type="dxa"/>
            <w:tcBorders>
              <w:left w:val="nil"/>
              <w:right w:val="nil"/>
            </w:tcBorders>
          </w:tcPr>
          <w:p w14:paraId="577E1320" w14:textId="77777777" w:rsidR="00ED6053" w:rsidRPr="00ED6053" w:rsidRDefault="00ED6053" w:rsidP="00336A37">
            <w:pPr>
              <w:pStyle w:val="tablecontenttext"/>
              <w:spacing w:line="240" w:lineRule="auto"/>
              <w:jc w:val="both"/>
              <w:rPr>
                <w:rFonts w:ascii="Times New Roman" w:hAnsi="Times New Roman" w:cs="Times New Roman"/>
                <w:bCs w:val="0"/>
                <w:sz w:val="14"/>
                <w:szCs w:val="14"/>
              </w:rPr>
            </w:pPr>
            <w:r w:rsidRPr="00ED6053">
              <w:rPr>
                <w:rFonts w:ascii="Times New Roman" w:hAnsi="Times New Roman" w:cs="Times New Roman"/>
                <w:bCs w:val="0"/>
                <w:sz w:val="14"/>
                <w:szCs w:val="14"/>
              </w:rPr>
              <w:t xml:space="preserve">A plan that performs well against several decision criteria under a wide range of possible futures. </w:t>
            </w:r>
          </w:p>
          <w:p w14:paraId="1AB08546" w14:textId="77777777" w:rsidR="00ED6053" w:rsidRPr="00ED6053" w:rsidRDefault="00ED6053" w:rsidP="00336A37">
            <w:pPr>
              <w:pStyle w:val="CORPOTEXTO"/>
              <w:rPr>
                <w:sz w:val="14"/>
                <w:szCs w:val="14"/>
              </w:rPr>
            </w:pPr>
            <w:r w:rsidRPr="00ED6053">
              <w:rPr>
                <w:sz w:val="14"/>
                <w:szCs w:val="14"/>
              </w:rPr>
              <w:t>To deal with uncertain change and future conditions, the TE2100 Project decided to develop a ‘</w:t>
            </w:r>
            <w:r w:rsidRPr="00ED6053">
              <w:rPr>
                <w:i/>
                <w:iCs/>
                <w:sz w:val="14"/>
                <w:szCs w:val="14"/>
              </w:rPr>
              <w:t>dynamic adaptive plan</w:t>
            </w:r>
            <w:r w:rsidRPr="00ED6053">
              <w:rPr>
                <w:sz w:val="14"/>
                <w:szCs w:val="14"/>
              </w:rPr>
              <w:t xml:space="preserve">’ that was </w:t>
            </w:r>
            <w:r w:rsidRPr="00ED6053">
              <w:rPr>
                <w:i/>
                <w:iCs/>
                <w:sz w:val="14"/>
                <w:szCs w:val="14"/>
              </w:rPr>
              <w:t>robust</w:t>
            </w:r>
            <w:r w:rsidRPr="00ED6053">
              <w:rPr>
                <w:sz w:val="14"/>
                <w:szCs w:val="14"/>
              </w:rPr>
              <w:t xml:space="preserve"> and </w:t>
            </w:r>
            <w:r w:rsidRPr="00ED6053">
              <w:rPr>
                <w:i/>
                <w:iCs/>
                <w:sz w:val="14"/>
                <w:szCs w:val="14"/>
              </w:rPr>
              <w:t>adaptive</w:t>
            </w:r>
            <w:r w:rsidRPr="00ED6053">
              <w:rPr>
                <w:sz w:val="14"/>
                <w:szCs w:val="14"/>
              </w:rPr>
              <w:t xml:space="preserve">, and, to construct such plan, it devised the ‘Route-map / APs approach’. The Team sought to </w:t>
            </w:r>
            <w:r w:rsidRPr="00ED6053">
              <w:rPr>
                <w:i/>
                <w:iCs/>
                <w:sz w:val="14"/>
                <w:szCs w:val="14"/>
              </w:rPr>
              <w:t>build-in</w:t>
            </w:r>
            <w:r w:rsidRPr="00ED6053">
              <w:rPr>
                <w:sz w:val="14"/>
                <w:szCs w:val="14"/>
              </w:rPr>
              <w:t xml:space="preserve"> ‘</w:t>
            </w:r>
            <w:r w:rsidRPr="00ED6053">
              <w:rPr>
                <w:i/>
                <w:iCs/>
                <w:sz w:val="14"/>
                <w:szCs w:val="14"/>
              </w:rPr>
              <w:t xml:space="preserve">dynamic robustness’ </w:t>
            </w:r>
            <w:r w:rsidRPr="00ED6053">
              <w:rPr>
                <w:sz w:val="14"/>
                <w:szCs w:val="14"/>
              </w:rPr>
              <w:t>(</w:t>
            </w:r>
            <w:r w:rsidRPr="00ED6053">
              <w:rPr>
                <w:i/>
                <w:iCs/>
                <w:sz w:val="14"/>
                <w:szCs w:val="14"/>
              </w:rPr>
              <w:t>flexibility</w:t>
            </w:r>
            <w:r w:rsidRPr="00ED6053">
              <w:rPr>
                <w:sz w:val="14"/>
                <w:szCs w:val="14"/>
              </w:rPr>
              <w:t>) into the Plan and its measures, and the ‘APs approach’ was essential to achieve this. Such ‘</w:t>
            </w:r>
            <w:r w:rsidRPr="00ED6053">
              <w:rPr>
                <w:i/>
                <w:iCs/>
                <w:sz w:val="14"/>
                <w:szCs w:val="14"/>
              </w:rPr>
              <w:t>dynamic adaptive plan’</w:t>
            </w:r>
            <w:r w:rsidRPr="00ED6053">
              <w:rPr>
                <w:sz w:val="14"/>
                <w:szCs w:val="14"/>
              </w:rPr>
              <w:t xml:space="preserve"> should include a ‘</w:t>
            </w:r>
            <w:r w:rsidRPr="00ED6053">
              <w:rPr>
                <w:i/>
                <w:iCs/>
                <w:sz w:val="14"/>
                <w:szCs w:val="14"/>
              </w:rPr>
              <w:t>robust and flexible</w:t>
            </w:r>
            <w:r w:rsidRPr="00ED6053">
              <w:rPr>
                <w:sz w:val="14"/>
                <w:szCs w:val="14"/>
              </w:rPr>
              <w:t>’ set of measures.</w:t>
            </w:r>
          </w:p>
          <w:p w14:paraId="00F58F52" w14:textId="77777777" w:rsidR="00ED6053" w:rsidRPr="00ED6053" w:rsidRDefault="00ED6053" w:rsidP="00336A37">
            <w:pPr>
              <w:pStyle w:val="tablecontenttext"/>
              <w:spacing w:line="240" w:lineRule="auto"/>
              <w:jc w:val="both"/>
              <w:rPr>
                <w:rFonts w:ascii="Times New Roman" w:hAnsi="Times New Roman" w:cs="Times New Roman"/>
                <w:bCs w:val="0"/>
                <w:sz w:val="14"/>
                <w:szCs w:val="14"/>
              </w:rPr>
            </w:pPr>
            <w:r w:rsidRPr="00ED6053">
              <w:rPr>
                <w:rFonts w:ascii="Times New Roman" w:hAnsi="Times New Roman" w:cs="Times New Roman"/>
                <w:sz w:val="14"/>
                <w:szCs w:val="14"/>
              </w:rPr>
              <w:t>The production of ‘</w:t>
            </w:r>
            <w:r w:rsidRPr="00ED6053">
              <w:rPr>
                <w:rFonts w:ascii="Times New Roman" w:hAnsi="Times New Roman" w:cs="Times New Roman"/>
                <w:i/>
                <w:sz w:val="14"/>
                <w:szCs w:val="14"/>
              </w:rPr>
              <w:t>flexible adaptable Options</w:t>
            </w:r>
            <w:r w:rsidRPr="00ED6053">
              <w:rPr>
                <w:rFonts w:ascii="Times New Roman" w:hAnsi="Times New Roman" w:cs="Times New Roman"/>
                <w:sz w:val="14"/>
                <w:szCs w:val="14"/>
              </w:rPr>
              <w:t>’, i.e. pathways, and the analysis of thresholds that it implied, were essential to develop a plan (manage flood risk until 2100) that was ‘</w:t>
            </w:r>
            <w:r w:rsidRPr="00ED6053">
              <w:rPr>
                <w:rFonts w:ascii="Times New Roman" w:hAnsi="Times New Roman" w:cs="Times New Roman"/>
                <w:i/>
                <w:sz w:val="14"/>
                <w:szCs w:val="14"/>
              </w:rPr>
              <w:t>adaptable</w:t>
            </w:r>
            <w:r w:rsidRPr="00ED6053">
              <w:rPr>
                <w:rFonts w:ascii="Times New Roman" w:hAnsi="Times New Roman" w:cs="Times New Roman"/>
                <w:sz w:val="14"/>
                <w:szCs w:val="14"/>
              </w:rPr>
              <w:t xml:space="preserve"> / </w:t>
            </w:r>
            <w:r w:rsidRPr="00ED6053">
              <w:rPr>
                <w:rFonts w:ascii="Times New Roman" w:hAnsi="Times New Roman" w:cs="Times New Roman"/>
                <w:i/>
                <w:sz w:val="14"/>
                <w:szCs w:val="14"/>
              </w:rPr>
              <w:t>adaptive</w:t>
            </w:r>
            <w:r w:rsidRPr="00ED6053">
              <w:rPr>
                <w:rFonts w:ascii="Times New Roman" w:hAnsi="Times New Roman" w:cs="Times New Roman"/>
                <w:sz w:val="14"/>
                <w:szCs w:val="14"/>
              </w:rPr>
              <w:t>’ and ‘</w:t>
            </w:r>
            <w:r w:rsidRPr="00ED6053">
              <w:rPr>
                <w:rFonts w:ascii="Times New Roman" w:hAnsi="Times New Roman" w:cs="Times New Roman"/>
                <w:i/>
                <w:sz w:val="14"/>
                <w:szCs w:val="14"/>
              </w:rPr>
              <w:t>dynamic robust</w:t>
            </w:r>
            <w:r w:rsidRPr="00ED6053">
              <w:rPr>
                <w:rFonts w:ascii="Times New Roman" w:hAnsi="Times New Roman" w:cs="Times New Roman"/>
                <w:sz w:val="14"/>
                <w:szCs w:val="14"/>
              </w:rPr>
              <w:t>’ in</w:t>
            </w:r>
            <w:r w:rsidRPr="00ED6053">
              <w:rPr>
                <w:rFonts w:ascii="Times New Roman" w:hAnsi="Times New Roman" w:cs="Times New Roman"/>
                <w:i/>
                <w:sz w:val="14"/>
                <w:szCs w:val="14"/>
              </w:rPr>
              <w:t xml:space="preserve"> </w:t>
            </w:r>
            <w:r w:rsidRPr="00ED6053">
              <w:rPr>
                <w:rFonts w:ascii="Times New Roman" w:hAnsi="Times New Roman" w:cs="Times New Roman"/>
                <w:sz w:val="14"/>
                <w:szCs w:val="14"/>
              </w:rPr>
              <w:t xml:space="preserve">the face of change and uncertain future conditions. </w:t>
            </w:r>
            <w:r w:rsidRPr="00ED6053">
              <w:rPr>
                <w:rFonts w:ascii="Times New Roman" w:hAnsi="Times New Roman" w:cs="Times New Roman"/>
                <w:i/>
                <w:sz w:val="14"/>
                <w:szCs w:val="14"/>
              </w:rPr>
              <w:t xml:space="preserve">Dynamic robustness </w:t>
            </w:r>
            <w:r w:rsidRPr="00ED6053">
              <w:rPr>
                <w:rFonts w:ascii="Times New Roman" w:hAnsi="Times New Roman" w:cs="Times New Roman"/>
                <w:sz w:val="14"/>
                <w:szCs w:val="14"/>
              </w:rPr>
              <w:t>(</w:t>
            </w:r>
            <w:r w:rsidRPr="00ED6053">
              <w:rPr>
                <w:rFonts w:ascii="Times New Roman" w:hAnsi="Times New Roman" w:cs="Times New Roman"/>
                <w:i/>
                <w:sz w:val="14"/>
                <w:szCs w:val="14"/>
              </w:rPr>
              <w:t>flexibility</w:t>
            </w:r>
            <w:r w:rsidRPr="00ED6053">
              <w:rPr>
                <w:rFonts w:ascii="Times New Roman" w:hAnsi="Times New Roman" w:cs="Times New Roman"/>
                <w:sz w:val="14"/>
                <w:szCs w:val="14"/>
              </w:rPr>
              <w:t xml:space="preserve">) and </w:t>
            </w:r>
            <w:r w:rsidRPr="00ED6053">
              <w:rPr>
                <w:rFonts w:ascii="Times New Roman" w:hAnsi="Times New Roman" w:cs="Times New Roman"/>
                <w:i/>
                <w:sz w:val="14"/>
                <w:szCs w:val="14"/>
              </w:rPr>
              <w:t xml:space="preserve">adaptability </w:t>
            </w:r>
            <w:r w:rsidRPr="00ED6053">
              <w:rPr>
                <w:rFonts w:ascii="Times New Roman" w:hAnsi="Times New Roman" w:cs="Times New Roman"/>
                <w:sz w:val="14"/>
                <w:szCs w:val="14"/>
              </w:rPr>
              <w:t>are basic properties of the Plan (TE2100 Appendix L 2009, p.2-4, 10, 199).</w:t>
            </w:r>
          </w:p>
        </w:tc>
        <w:tc>
          <w:tcPr>
            <w:tcW w:w="4535" w:type="dxa"/>
            <w:tcBorders>
              <w:left w:val="nil"/>
            </w:tcBorders>
          </w:tcPr>
          <w:p w14:paraId="6787FBCD" w14:textId="77777777" w:rsidR="00ED6053" w:rsidRPr="00ED6053" w:rsidRDefault="00ED6053" w:rsidP="00336A37">
            <w:pPr>
              <w:pStyle w:val="tablecontenttext"/>
              <w:spacing w:line="240" w:lineRule="auto"/>
              <w:rPr>
                <w:rFonts w:ascii="Times New Roman" w:hAnsi="Times New Roman" w:cs="Times New Roman"/>
                <w:i/>
                <w:sz w:val="14"/>
                <w:szCs w:val="14"/>
              </w:rPr>
            </w:pPr>
            <w:r w:rsidRPr="00ED6053">
              <w:rPr>
                <w:rFonts w:ascii="Times New Roman" w:hAnsi="Times New Roman" w:cs="Times New Roman"/>
                <w:sz w:val="14"/>
                <w:szCs w:val="14"/>
              </w:rPr>
              <w:t xml:space="preserve">A strategy that performs satisfactorily under a wide variety of futures. It is </w:t>
            </w:r>
            <w:r w:rsidRPr="00ED6053">
              <w:rPr>
                <w:rFonts w:ascii="Times New Roman" w:eastAsia="RijksoverheidSerif-Regular" w:hAnsi="Times New Roman" w:cs="Times New Roman"/>
                <w:sz w:val="14"/>
                <w:szCs w:val="14"/>
                <w:lang w:eastAsia="en-US"/>
              </w:rPr>
              <w:t xml:space="preserve">future-proof and provides a solution for tasks in all </w:t>
            </w:r>
            <w:r w:rsidRPr="00ED6053">
              <w:rPr>
                <w:rFonts w:ascii="Times New Roman" w:hAnsi="Times New Roman" w:cs="Times New Roman"/>
                <w:i/>
                <w:sz w:val="14"/>
                <w:szCs w:val="14"/>
              </w:rPr>
              <w:t>Delta Scenarios.</w:t>
            </w:r>
          </w:p>
          <w:p w14:paraId="66D3DE75" w14:textId="77777777" w:rsidR="00ED6053" w:rsidRPr="00ED6053" w:rsidRDefault="00ED6053" w:rsidP="00336A37">
            <w:pPr>
              <w:pStyle w:val="tablecontenttext"/>
              <w:spacing w:line="240" w:lineRule="auto"/>
              <w:rPr>
                <w:rFonts w:ascii="Times New Roman" w:hAnsi="Times New Roman" w:cs="Times New Roman"/>
                <w:i/>
                <w:sz w:val="14"/>
                <w:szCs w:val="14"/>
              </w:rPr>
            </w:pPr>
            <w:r w:rsidRPr="00ED6053">
              <w:rPr>
                <w:rFonts w:ascii="Times New Roman" w:hAnsi="Times New Roman" w:cs="Times New Roman"/>
                <w:sz w:val="14"/>
                <w:szCs w:val="14"/>
              </w:rPr>
              <w:t>In 2010, the DP Commissioner underlined that one of the main challenges of DP was “</w:t>
            </w:r>
            <w:r w:rsidRPr="00ED6053">
              <w:rPr>
                <w:rFonts w:ascii="Times New Roman" w:hAnsi="Times New Roman" w:cs="Times New Roman"/>
                <w:i/>
                <w:sz w:val="14"/>
                <w:szCs w:val="14"/>
              </w:rPr>
              <w:t>dealing with uncertainties in the future climate, but also in population, economy and society. This requires a new way of planning, which we call adaptive delta planning’</w:t>
            </w:r>
            <w:r w:rsidRPr="00ED6053">
              <w:rPr>
                <w:rFonts w:ascii="Times New Roman" w:hAnsi="Times New Roman" w:cs="Times New Roman"/>
                <w:sz w:val="14"/>
                <w:szCs w:val="14"/>
              </w:rPr>
              <w:t xml:space="preserve"> as a ‘</w:t>
            </w:r>
            <w:r w:rsidRPr="00ED6053">
              <w:rPr>
                <w:rFonts w:ascii="Times New Roman" w:hAnsi="Times New Roman" w:cs="Times New Roman"/>
                <w:i/>
                <w:sz w:val="14"/>
                <w:szCs w:val="14"/>
              </w:rPr>
              <w:t>new way of planning</w:t>
            </w:r>
            <w:r w:rsidRPr="00ED6053">
              <w:rPr>
                <w:rFonts w:ascii="Times New Roman" w:hAnsi="Times New Roman" w:cs="Times New Roman"/>
                <w:sz w:val="14"/>
                <w:szCs w:val="14"/>
              </w:rPr>
              <w:t xml:space="preserve"> </w:t>
            </w:r>
            <w:r w:rsidRPr="00ED6053">
              <w:rPr>
                <w:rFonts w:ascii="Times New Roman" w:hAnsi="Times New Roman" w:cs="Times New Roman"/>
                <w:i/>
                <w:sz w:val="14"/>
                <w:szCs w:val="14"/>
              </w:rPr>
              <w:t>that seeks to maximize flexibility; keeping options open and avoiding ‘lock-in’”</w:t>
            </w:r>
            <w:r w:rsidRPr="00ED6053">
              <w:rPr>
                <w:rFonts w:ascii="Times New Roman" w:hAnsi="Times New Roman" w:cs="Times New Roman"/>
                <w:sz w:val="14"/>
                <w:szCs w:val="14"/>
              </w:rPr>
              <w:t xml:space="preserve"> (</w:t>
            </w:r>
            <w:proofErr w:type="spellStart"/>
            <w:r w:rsidRPr="00ED6053">
              <w:rPr>
                <w:rFonts w:ascii="Times New Roman" w:hAnsi="Times New Roman" w:cs="Times New Roman"/>
                <w:sz w:val="14"/>
                <w:szCs w:val="14"/>
              </w:rPr>
              <w:t>Kuijken</w:t>
            </w:r>
            <w:proofErr w:type="spellEnd"/>
            <w:r w:rsidRPr="00ED6053">
              <w:rPr>
                <w:rFonts w:ascii="Times New Roman" w:hAnsi="Times New Roman" w:cs="Times New Roman"/>
                <w:sz w:val="14"/>
                <w:szCs w:val="14"/>
              </w:rPr>
              <w:t xml:space="preserve"> 2010 </w:t>
            </w:r>
            <w:r w:rsidRPr="00ED6053">
              <w:rPr>
                <w:rFonts w:ascii="Times New Roman" w:hAnsi="Times New Roman" w:cs="Times New Roman"/>
                <w:i/>
                <w:sz w:val="14"/>
                <w:szCs w:val="14"/>
              </w:rPr>
              <w:t>in</w:t>
            </w:r>
            <w:r w:rsidRPr="00ED6053">
              <w:rPr>
                <w:rFonts w:ascii="Times New Roman" w:hAnsi="Times New Roman" w:cs="Times New Roman"/>
                <w:sz w:val="14"/>
                <w:szCs w:val="14"/>
              </w:rPr>
              <w:t xml:space="preserve"> </w:t>
            </w:r>
            <w:proofErr w:type="spellStart"/>
            <w:r w:rsidRPr="00ED6053">
              <w:rPr>
                <w:rFonts w:ascii="Times New Roman" w:hAnsi="Times New Roman" w:cs="Times New Roman"/>
                <w:sz w:val="14"/>
                <w:szCs w:val="14"/>
              </w:rPr>
              <w:t>Haasnoot</w:t>
            </w:r>
            <w:proofErr w:type="spellEnd"/>
            <w:r w:rsidRPr="00ED6053">
              <w:rPr>
                <w:rFonts w:ascii="Times New Roman" w:hAnsi="Times New Roman" w:cs="Times New Roman"/>
                <w:sz w:val="14"/>
                <w:szCs w:val="14"/>
              </w:rPr>
              <w:t xml:space="preserve"> et al.2013 p. 490; Werners et al. 2016). The Commissioner called for an</w:t>
            </w:r>
            <w:r w:rsidRPr="00ED6053">
              <w:rPr>
                <w:rFonts w:ascii="Times New Roman" w:hAnsi="Times New Roman" w:cs="Times New Roman"/>
                <w:i/>
                <w:sz w:val="14"/>
                <w:szCs w:val="14"/>
              </w:rPr>
              <w:t xml:space="preserve"> Adaptive Delta Planning</w:t>
            </w:r>
            <w:r w:rsidRPr="00ED6053">
              <w:rPr>
                <w:rFonts w:ascii="Times New Roman" w:hAnsi="Times New Roman" w:cs="Times New Roman"/>
                <w:sz w:val="14"/>
                <w:szCs w:val="14"/>
              </w:rPr>
              <w:t xml:space="preserve"> that fosters flexibility by </w:t>
            </w:r>
            <w:r w:rsidRPr="00ED6053">
              <w:rPr>
                <w:rFonts w:ascii="Times New Roman" w:hAnsi="Times New Roman" w:cs="Times New Roman"/>
                <w:i/>
                <w:sz w:val="14"/>
                <w:szCs w:val="14"/>
              </w:rPr>
              <w:t xml:space="preserve">keeping options open and avoiding lock-in </w:t>
            </w:r>
            <w:r w:rsidRPr="00ED6053">
              <w:rPr>
                <w:rFonts w:ascii="Times New Roman" w:hAnsi="Times New Roman" w:cs="Times New Roman"/>
                <w:sz w:val="14"/>
                <w:szCs w:val="14"/>
              </w:rPr>
              <w:t>(</w:t>
            </w:r>
            <w:proofErr w:type="spellStart"/>
            <w:r w:rsidRPr="00ED6053">
              <w:rPr>
                <w:rFonts w:ascii="Times New Roman" w:hAnsi="Times New Roman" w:cs="Times New Roman"/>
                <w:sz w:val="14"/>
                <w:szCs w:val="14"/>
              </w:rPr>
              <w:t>Kuijken</w:t>
            </w:r>
            <w:proofErr w:type="spellEnd"/>
            <w:r w:rsidRPr="00ED6053">
              <w:rPr>
                <w:rFonts w:ascii="Times New Roman" w:hAnsi="Times New Roman" w:cs="Times New Roman"/>
                <w:sz w:val="14"/>
                <w:szCs w:val="14"/>
              </w:rPr>
              <w:t xml:space="preserve"> 2010).</w:t>
            </w:r>
          </w:p>
          <w:p w14:paraId="690A24E3" w14:textId="77777777" w:rsidR="00ED6053" w:rsidRPr="00ED6053" w:rsidRDefault="00ED6053" w:rsidP="00336A37">
            <w:pPr>
              <w:pStyle w:val="tablecontenttext"/>
              <w:spacing w:line="240" w:lineRule="auto"/>
              <w:rPr>
                <w:rFonts w:ascii="Times New Roman" w:hAnsi="Times New Roman" w:cs="Times New Roman"/>
                <w:sz w:val="14"/>
                <w:szCs w:val="14"/>
              </w:rPr>
            </w:pPr>
            <w:r w:rsidRPr="00ED6053">
              <w:rPr>
                <w:rFonts w:ascii="Times New Roman" w:hAnsi="Times New Roman" w:cs="Times New Roman"/>
                <w:sz w:val="14"/>
                <w:szCs w:val="14"/>
              </w:rPr>
              <w:t xml:space="preserve">To ensure a </w:t>
            </w:r>
            <w:r w:rsidRPr="00ED6053">
              <w:rPr>
                <w:rFonts w:ascii="Times New Roman" w:hAnsi="Times New Roman" w:cs="Times New Roman"/>
                <w:i/>
                <w:sz w:val="14"/>
                <w:szCs w:val="14"/>
              </w:rPr>
              <w:t>‘sustainable and robust FRM and FS’</w:t>
            </w:r>
            <w:r w:rsidRPr="00ED6053">
              <w:rPr>
                <w:rFonts w:ascii="Times New Roman" w:hAnsi="Times New Roman" w:cs="Times New Roman"/>
                <w:sz w:val="14"/>
                <w:szCs w:val="14"/>
              </w:rPr>
              <w:t xml:space="preserve"> and cope with climatic extremes, the country should be ‘</w:t>
            </w:r>
            <w:r w:rsidRPr="00ED6053">
              <w:rPr>
                <w:rFonts w:ascii="Times New Roman" w:hAnsi="Times New Roman" w:cs="Times New Roman"/>
                <w:i/>
                <w:sz w:val="14"/>
                <w:szCs w:val="14"/>
              </w:rPr>
              <w:t>prepared for various scenarios</w:t>
            </w:r>
            <w:r w:rsidRPr="00ED6053">
              <w:rPr>
                <w:rFonts w:ascii="Times New Roman" w:hAnsi="Times New Roman" w:cs="Times New Roman"/>
                <w:sz w:val="14"/>
                <w:szCs w:val="14"/>
              </w:rPr>
              <w:t xml:space="preserve">’, and measures and strategies should provide </w:t>
            </w:r>
            <w:r w:rsidRPr="00ED6053">
              <w:rPr>
                <w:rFonts w:ascii="Times New Roman" w:hAnsi="Times New Roman" w:cs="Times New Roman"/>
                <w:i/>
                <w:sz w:val="14"/>
                <w:szCs w:val="14"/>
              </w:rPr>
              <w:t>flexibility</w:t>
            </w:r>
            <w:r w:rsidRPr="00ED6053">
              <w:rPr>
                <w:rFonts w:ascii="Times New Roman" w:hAnsi="Times New Roman" w:cs="Times New Roman"/>
                <w:sz w:val="14"/>
                <w:szCs w:val="14"/>
              </w:rPr>
              <w:t xml:space="preserve"> to respond to new insights and changing conditions, either by ‘</w:t>
            </w:r>
            <w:r w:rsidRPr="00ED6053">
              <w:rPr>
                <w:rFonts w:ascii="Times New Roman" w:hAnsi="Times New Roman" w:cs="Times New Roman"/>
                <w:i/>
                <w:sz w:val="14"/>
                <w:szCs w:val="14"/>
              </w:rPr>
              <w:t>stepping up measure</w:t>
            </w:r>
            <w:r w:rsidRPr="00ED6053">
              <w:rPr>
                <w:rFonts w:ascii="Times New Roman" w:hAnsi="Times New Roman" w:cs="Times New Roman"/>
                <w:sz w:val="14"/>
                <w:szCs w:val="14"/>
              </w:rPr>
              <w:t>s’ or ‘</w:t>
            </w:r>
            <w:r w:rsidRPr="00ED6053">
              <w:rPr>
                <w:rFonts w:ascii="Times New Roman" w:hAnsi="Times New Roman" w:cs="Times New Roman"/>
                <w:i/>
                <w:sz w:val="14"/>
                <w:szCs w:val="14"/>
              </w:rPr>
              <w:t>changing of strategy</w:t>
            </w:r>
            <w:r w:rsidRPr="00ED6053">
              <w:rPr>
                <w:rFonts w:ascii="Times New Roman" w:hAnsi="Times New Roman" w:cs="Times New Roman"/>
                <w:sz w:val="14"/>
                <w:szCs w:val="14"/>
              </w:rPr>
              <w:t>’ if necessary (DP 2014, p.6).</w:t>
            </w:r>
          </w:p>
          <w:p w14:paraId="4536185E" w14:textId="77777777" w:rsidR="00ED6053" w:rsidRPr="00ED6053" w:rsidRDefault="00ED6053" w:rsidP="00336A37">
            <w:pPr>
              <w:pStyle w:val="tablecontenttext"/>
              <w:spacing w:line="240" w:lineRule="auto"/>
              <w:rPr>
                <w:rFonts w:ascii="Times New Roman" w:hAnsi="Times New Roman" w:cs="Times New Roman"/>
                <w:i/>
                <w:sz w:val="14"/>
                <w:szCs w:val="14"/>
              </w:rPr>
            </w:pPr>
            <w:r w:rsidRPr="00ED6053">
              <w:rPr>
                <w:rFonts w:ascii="Times New Roman" w:hAnsi="Times New Roman" w:cs="Times New Roman"/>
                <w:sz w:val="14"/>
                <w:szCs w:val="14"/>
              </w:rPr>
              <w:t>The 2</w:t>
            </w:r>
            <w:r w:rsidRPr="00ED6053">
              <w:rPr>
                <w:rFonts w:ascii="Times New Roman" w:hAnsi="Times New Roman" w:cs="Times New Roman"/>
                <w:sz w:val="14"/>
                <w:szCs w:val="14"/>
                <w:vertAlign w:val="superscript"/>
              </w:rPr>
              <w:t>nd</w:t>
            </w:r>
            <w:r w:rsidRPr="00ED6053">
              <w:rPr>
                <w:rFonts w:ascii="Times New Roman" w:hAnsi="Times New Roman" w:cs="Times New Roman"/>
                <w:sz w:val="14"/>
                <w:szCs w:val="14"/>
              </w:rPr>
              <w:t xml:space="preserve"> and 3</w:t>
            </w:r>
            <w:r w:rsidRPr="00ED6053">
              <w:rPr>
                <w:rFonts w:ascii="Times New Roman" w:hAnsi="Times New Roman" w:cs="Times New Roman"/>
                <w:sz w:val="14"/>
                <w:szCs w:val="14"/>
                <w:vertAlign w:val="superscript"/>
              </w:rPr>
              <w:t>rd</w:t>
            </w:r>
            <w:r w:rsidRPr="00ED6053">
              <w:rPr>
                <w:rFonts w:ascii="Times New Roman" w:hAnsi="Times New Roman" w:cs="Times New Roman"/>
                <w:sz w:val="14"/>
                <w:szCs w:val="14"/>
              </w:rPr>
              <w:t xml:space="preserve"> principle of ADM are related to </w:t>
            </w:r>
            <w:r w:rsidRPr="00ED6053">
              <w:rPr>
                <w:rFonts w:ascii="Times New Roman" w:hAnsi="Times New Roman" w:cs="Times New Roman"/>
                <w:i/>
                <w:sz w:val="14"/>
                <w:szCs w:val="14"/>
              </w:rPr>
              <w:t xml:space="preserve">robustness and flexibility </w:t>
            </w:r>
            <w:r w:rsidRPr="00ED6053">
              <w:rPr>
                <w:rFonts w:ascii="Times New Roman" w:hAnsi="Times New Roman" w:cs="Times New Roman"/>
                <w:sz w:val="14"/>
                <w:szCs w:val="14"/>
              </w:rPr>
              <w:t xml:space="preserve">(DP 2013, p.103). ADM aims at developing strategies that are </w:t>
            </w:r>
            <w:r w:rsidRPr="00ED6053">
              <w:rPr>
                <w:rFonts w:ascii="Times New Roman" w:hAnsi="Times New Roman" w:cs="Times New Roman"/>
                <w:i/>
                <w:sz w:val="14"/>
                <w:szCs w:val="14"/>
              </w:rPr>
              <w:t xml:space="preserve">robust </w:t>
            </w:r>
            <w:r w:rsidRPr="00ED6053">
              <w:rPr>
                <w:rFonts w:ascii="Times New Roman" w:hAnsi="Times New Roman" w:cs="Times New Roman"/>
                <w:sz w:val="14"/>
                <w:szCs w:val="14"/>
              </w:rPr>
              <w:t xml:space="preserve">(i.e. that can deal with multiple futures), and </w:t>
            </w:r>
            <w:r w:rsidRPr="00ED6053">
              <w:rPr>
                <w:rFonts w:ascii="Times New Roman" w:hAnsi="Times New Roman" w:cs="Times New Roman"/>
                <w:i/>
                <w:sz w:val="14"/>
                <w:szCs w:val="14"/>
              </w:rPr>
              <w:t>flexible</w:t>
            </w:r>
            <w:r w:rsidRPr="00ED6053">
              <w:rPr>
                <w:rFonts w:ascii="Times New Roman" w:hAnsi="Times New Roman" w:cs="Times New Roman"/>
                <w:sz w:val="14"/>
                <w:szCs w:val="14"/>
              </w:rPr>
              <w:t xml:space="preserve"> or </w:t>
            </w:r>
            <w:r w:rsidRPr="00ED6053">
              <w:rPr>
                <w:rFonts w:ascii="Times New Roman" w:hAnsi="Times New Roman" w:cs="Times New Roman"/>
                <w:i/>
                <w:sz w:val="14"/>
                <w:szCs w:val="14"/>
              </w:rPr>
              <w:t>adaptable</w:t>
            </w:r>
            <w:r w:rsidRPr="00ED6053">
              <w:rPr>
                <w:rFonts w:ascii="Times New Roman" w:hAnsi="Times New Roman" w:cs="Times New Roman"/>
                <w:sz w:val="14"/>
                <w:szCs w:val="14"/>
              </w:rPr>
              <w:t xml:space="preserve"> (Marchand and Ludwig 2014).</w:t>
            </w:r>
            <w:r w:rsidRPr="00ED6053">
              <w:rPr>
                <w:rFonts w:ascii="Times New Roman" w:hAnsi="Times New Roman" w:cs="Times New Roman"/>
                <w:b/>
                <w:sz w:val="14"/>
                <w:szCs w:val="14"/>
              </w:rPr>
              <w:t xml:space="preserve"> Robustness involves “</w:t>
            </w:r>
            <w:r w:rsidRPr="00ED6053">
              <w:rPr>
                <w:rFonts w:ascii="Times New Roman" w:hAnsi="Times New Roman" w:cs="Times New Roman"/>
                <w:b/>
                <w:i/>
                <w:sz w:val="14"/>
                <w:szCs w:val="14"/>
              </w:rPr>
              <w:t>performing satisfactorily under a wide variety of futures</w:t>
            </w:r>
            <w:r w:rsidRPr="00ED6053">
              <w:rPr>
                <w:rFonts w:ascii="Times New Roman" w:hAnsi="Times New Roman" w:cs="Times New Roman"/>
                <w:b/>
                <w:sz w:val="14"/>
                <w:szCs w:val="14"/>
              </w:rPr>
              <w:t>’, and flexibility is related with the capacity of being “</w:t>
            </w:r>
            <w:r w:rsidRPr="00ED6053">
              <w:rPr>
                <w:rFonts w:ascii="Times New Roman" w:hAnsi="Times New Roman" w:cs="Times New Roman"/>
                <w:b/>
                <w:i/>
                <w:sz w:val="14"/>
                <w:szCs w:val="14"/>
              </w:rPr>
              <w:t>easily adapted to changing or unforeseen future conditions</w:t>
            </w:r>
            <w:r w:rsidRPr="00ED6053">
              <w:rPr>
                <w:rFonts w:ascii="Times New Roman" w:hAnsi="Times New Roman" w:cs="Times New Roman"/>
                <w:b/>
                <w:sz w:val="14"/>
                <w:szCs w:val="14"/>
              </w:rPr>
              <w:t>” (</w:t>
            </w:r>
            <w:proofErr w:type="spellStart"/>
            <w:r w:rsidRPr="00ED6053">
              <w:rPr>
                <w:rFonts w:ascii="Times New Roman" w:hAnsi="Times New Roman" w:cs="Times New Roman"/>
                <w:b/>
                <w:sz w:val="14"/>
                <w:szCs w:val="14"/>
              </w:rPr>
              <w:t>Haasnoot</w:t>
            </w:r>
            <w:proofErr w:type="spellEnd"/>
            <w:r w:rsidRPr="00ED6053">
              <w:rPr>
                <w:rFonts w:ascii="Times New Roman" w:hAnsi="Times New Roman" w:cs="Times New Roman"/>
                <w:b/>
                <w:sz w:val="14"/>
                <w:szCs w:val="14"/>
              </w:rPr>
              <w:t xml:space="preserve"> 2013, </w:t>
            </w:r>
            <w:r w:rsidRPr="00ED6053">
              <w:rPr>
                <w:rFonts w:ascii="Times New Roman" w:hAnsi="Times New Roman" w:cs="Times New Roman"/>
                <w:b/>
                <w:i/>
                <w:sz w:val="14"/>
                <w:szCs w:val="14"/>
              </w:rPr>
              <w:t>in</w:t>
            </w:r>
            <w:r w:rsidRPr="00ED6053">
              <w:rPr>
                <w:rFonts w:ascii="Times New Roman" w:hAnsi="Times New Roman" w:cs="Times New Roman"/>
                <w:b/>
                <w:sz w:val="14"/>
                <w:szCs w:val="14"/>
              </w:rPr>
              <w:t xml:space="preserve"> Marchand and Ludwig 2014, p.8). </w:t>
            </w:r>
            <w:r w:rsidRPr="00ED6053">
              <w:rPr>
                <w:rFonts w:ascii="Times New Roman" w:hAnsi="Times New Roman" w:cs="Times New Roman"/>
                <w:sz w:val="14"/>
                <w:szCs w:val="14"/>
              </w:rPr>
              <w:t xml:space="preserve">The </w:t>
            </w:r>
            <w:r w:rsidRPr="00ED6053">
              <w:rPr>
                <w:rFonts w:ascii="Times New Roman" w:hAnsi="Times New Roman" w:cs="Times New Roman"/>
                <w:i/>
                <w:sz w:val="14"/>
                <w:szCs w:val="14"/>
              </w:rPr>
              <w:t>ADM Implementation Guide</w:t>
            </w:r>
            <w:r w:rsidRPr="00ED6053">
              <w:rPr>
                <w:rFonts w:ascii="Times New Roman" w:hAnsi="Times New Roman" w:cs="Times New Roman"/>
                <w:sz w:val="14"/>
                <w:szCs w:val="14"/>
              </w:rPr>
              <w:t xml:space="preserve"> claims that strategies should be both </w:t>
            </w:r>
            <w:r w:rsidRPr="00ED6053">
              <w:rPr>
                <w:rFonts w:ascii="Times New Roman" w:hAnsi="Times New Roman" w:cs="Times New Roman"/>
                <w:i/>
                <w:sz w:val="14"/>
                <w:szCs w:val="14"/>
              </w:rPr>
              <w:t>robust</w:t>
            </w:r>
            <w:r w:rsidRPr="00ED6053">
              <w:rPr>
                <w:rFonts w:ascii="Times New Roman" w:hAnsi="Times New Roman" w:cs="Times New Roman"/>
                <w:sz w:val="14"/>
                <w:szCs w:val="14"/>
              </w:rPr>
              <w:t xml:space="preserve"> and </w:t>
            </w:r>
            <w:r w:rsidRPr="00ED6053">
              <w:rPr>
                <w:rFonts w:ascii="Times New Roman" w:hAnsi="Times New Roman" w:cs="Times New Roman"/>
                <w:i/>
                <w:sz w:val="14"/>
                <w:szCs w:val="14"/>
              </w:rPr>
              <w:t>flexible</w:t>
            </w:r>
            <w:r w:rsidRPr="00ED6053">
              <w:rPr>
                <w:rFonts w:ascii="Times New Roman" w:hAnsi="Times New Roman" w:cs="Times New Roman"/>
                <w:sz w:val="14"/>
                <w:szCs w:val="14"/>
              </w:rPr>
              <w:t>: a robust strategy is one that “</w:t>
            </w:r>
            <w:r w:rsidRPr="00ED6053">
              <w:rPr>
                <w:rFonts w:ascii="Times New Roman" w:hAnsi="Times New Roman" w:cs="Times New Roman"/>
                <w:i/>
                <w:sz w:val="14"/>
                <w:szCs w:val="14"/>
              </w:rPr>
              <w:t>works in all plausible futures</w:t>
            </w:r>
            <w:r w:rsidRPr="00ED6053">
              <w:rPr>
                <w:rFonts w:ascii="Times New Roman" w:hAnsi="Times New Roman" w:cs="Times New Roman"/>
                <w:sz w:val="14"/>
                <w:szCs w:val="14"/>
              </w:rPr>
              <w:t>”, while flexibility means that</w:t>
            </w:r>
            <w:r w:rsidRPr="00ED6053">
              <w:rPr>
                <w:rFonts w:ascii="Times New Roman" w:hAnsi="Times New Roman" w:cs="Times New Roman"/>
                <w:i/>
                <w:sz w:val="14"/>
                <w:szCs w:val="14"/>
              </w:rPr>
              <w:t xml:space="preserve"> </w:t>
            </w:r>
            <w:r w:rsidRPr="00ED6053">
              <w:rPr>
                <w:rFonts w:ascii="Times New Roman" w:hAnsi="Times New Roman" w:cs="Times New Roman"/>
                <w:sz w:val="14"/>
                <w:szCs w:val="14"/>
              </w:rPr>
              <w:t>“</w:t>
            </w:r>
            <w:r w:rsidRPr="00ED6053">
              <w:rPr>
                <w:rFonts w:ascii="Times New Roman" w:hAnsi="Times New Roman" w:cs="Times New Roman"/>
                <w:i/>
                <w:sz w:val="14"/>
                <w:szCs w:val="14"/>
              </w:rPr>
              <w:t>depending on the contextual circumstances - you can cut one strategy off and</w:t>
            </w:r>
            <w:r w:rsidRPr="00ED6053">
              <w:rPr>
                <w:rFonts w:ascii="Times New Roman" w:hAnsi="Times New Roman" w:cs="Times New Roman"/>
                <w:sz w:val="14"/>
                <w:szCs w:val="14"/>
              </w:rPr>
              <w:t xml:space="preserve"> </w:t>
            </w:r>
            <w:r w:rsidRPr="00ED6053">
              <w:rPr>
                <w:rFonts w:ascii="Times New Roman" w:hAnsi="Times New Roman" w:cs="Times New Roman"/>
                <w:i/>
                <w:sz w:val="14"/>
                <w:szCs w:val="14"/>
              </w:rPr>
              <w:t>switch to another one</w:t>
            </w:r>
            <w:r w:rsidRPr="00ED6053">
              <w:rPr>
                <w:rFonts w:ascii="Times New Roman" w:hAnsi="Times New Roman" w:cs="Times New Roman"/>
                <w:sz w:val="14"/>
                <w:szCs w:val="14"/>
              </w:rPr>
              <w:t>”</w:t>
            </w:r>
            <w:r w:rsidRPr="00ED6053">
              <w:rPr>
                <w:rFonts w:ascii="Times New Roman" w:hAnsi="Times New Roman" w:cs="Times New Roman"/>
                <w:i/>
                <w:sz w:val="14"/>
                <w:szCs w:val="14"/>
              </w:rPr>
              <w:t xml:space="preserve"> </w:t>
            </w:r>
            <w:r w:rsidRPr="00ED6053">
              <w:rPr>
                <w:rFonts w:ascii="Times New Roman" w:hAnsi="Times New Roman" w:cs="Times New Roman"/>
                <w:sz w:val="14"/>
                <w:szCs w:val="14"/>
              </w:rPr>
              <w:t xml:space="preserve">(DP Staff member, </w:t>
            </w:r>
            <w:r w:rsidRPr="00ED6053">
              <w:rPr>
                <w:rFonts w:ascii="Times New Roman" w:hAnsi="Times New Roman" w:cs="Times New Roman"/>
                <w:i/>
                <w:sz w:val="14"/>
                <w:szCs w:val="14"/>
              </w:rPr>
              <w:t>in</w:t>
            </w:r>
            <w:r w:rsidRPr="00ED6053">
              <w:rPr>
                <w:rFonts w:ascii="Times New Roman" w:hAnsi="Times New Roman" w:cs="Times New Roman"/>
                <w:sz w:val="14"/>
                <w:szCs w:val="14"/>
              </w:rPr>
              <w:t xml:space="preserve"> </w:t>
            </w:r>
            <w:proofErr w:type="spellStart"/>
            <w:r w:rsidRPr="00ED6053">
              <w:rPr>
                <w:rFonts w:ascii="Times New Roman" w:hAnsi="Times New Roman" w:cs="Times New Roman"/>
                <w:sz w:val="14"/>
                <w:szCs w:val="14"/>
              </w:rPr>
              <w:t>Restemeyer</w:t>
            </w:r>
            <w:proofErr w:type="spellEnd"/>
            <w:r w:rsidRPr="00ED6053">
              <w:rPr>
                <w:rFonts w:ascii="Times New Roman" w:hAnsi="Times New Roman" w:cs="Times New Roman"/>
                <w:sz w:val="14"/>
                <w:szCs w:val="14"/>
              </w:rPr>
              <w:t xml:space="preserve"> et al. 2017, p.930). </w:t>
            </w:r>
            <w:r w:rsidRPr="00ED6053">
              <w:rPr>
                <w:rFonts w:ascii="Times New Roman" w:hAnsi="Times New Roman" w:cs="Times New Roman"/>
                <w:sz w:val="14"/>
                <w:szCs w:val="14"/>
              </w:rPr>
              <w:lastRenderedPageBreak/>
              <w:t xml:space="preserve">According to the Guide, to find or develop </w:t>
            </w:r>
            <w:r w:rsidRPr="00ED6053">
              <w:rPr>
                <w:rFonts w:ascii="Times New Roman" w:hAnsi="Times New Roman" w:cs="Times New Roman"/>
                <w:i/>
                <w:sz w:val="14"/>
                <w:szCs w:val="14"/>
              </w:rPr>
              <w:t>robust</w:t>
            </w:r>
            <w:r w:rsidRPr="00ED6053">
              <w:rPr>
                <w:rFonts w:ascii="Times New Roman" w:hAnsi="Times New Roman" w:cs="Times New Roman"/>
                <w:sz w:val="14"/>
                <w:szCs w:val="14"/>
              </w:rPr>
              <w:t xml:space="preserve"> </w:t>
            </w:r>
            <w:r w:rsidRPr="00ED6053">
              <w:rPr>
                <w:rFonts w:ascii="Times New Roman" w:hAnsi="Times New Roman" w:cs="Times New Roman"/>
                <w:i/>
                <w:sz w:val="14"/>
                <w:szCs w:val="14"/>
              </w:rPr>
              <w:t>flexible strategies</w:t>
            </w:r>
            <w:r w:rsidRPr="00ED6053">
              <w:rPr>
                <w:rFonts w:ascii="Times New Roman" w:hAnsi="Times New Roman" w:cs="Times New Roman"/>
                <w:sz w:val="14"/>
                <w:szCs w:val="14"/>
              </w:rPr>
              <w:t>, it is necessary to identify tipping-points and design adaptation pathways (</w:t>
            </w:r>
            <w:proofErr w:type="spellStart"/>
            <w:r w:rsidRPr="00ED6053">
              <w:rPr>
                <w:rFonts w:ascii="Times New Roman" w:hAnsi="Times New Roman" w:cs="Times New Roman"/>
                <w:sz w:val="14"/>
                <w:szCs w:val="14"/>
              </w:rPr>
              <w:t>Restemeyer</w:t>
            </w:r>
            <w:proofErr w:type="spellEnd"/>
            <w:r w:rsidRPr="00ED6053">
              <w:rPr>
                <w:rFonts w:ascii="Times New Roman" w:hAnsi="Times New Roman" w:cs="Times New Roman"/>
                <w:sz w:val="14"/>
                <w:szCs w:val="14"/>
              </w:rPr>
              <w:t xml:space="preserve"> et al. 2017). The design of </w:t>
            </w:r>
            <w:r w:rsidRPr="00ED6053">
              <w:rPr>
                <w:rFonts w:ascii="Times New Roman" w:hAnsi="Times New Roman" w:cs="Times New Roman"/>
                <w:i/>
                <w:sz w:val="14"/>
                <w:szCs w:val="14"/>
              </w:rPr>
              <w:t>robust flexible</w:t>
            </w:r>
            <w:r w:rsidRPr="00ED6053">
              <w:rPr>
                <w:rFonts w:ascii="Times New Roman" w:hAnsi="Times New Roman" w:cs="Times New Roman"/>
                <w:sz w:val="14"/>
                <w:szCs w:val="14"/>
              </w:rPr>
              <w:t xml:space="preserve"> </w:t>
            </w:r>
            <w:r w:rsidRPr="00ED6053">
              <w:rPr>
                <w:rFonts w:ascii="Times New Roman" w:hAnsi="Times New Roman" w:cs="Times New Roman"/>
                <w:i/>
                <w:sz w:val="14"/>
                <w:szCs w:val="14"/>
              </w:rPr>
              <w:t>strategies</w:t>
            </w:r>
            <w:r w:rsidRPr="00ED6053">
              <w:rPr>
                <w:rFonts w:ascii="Times New Roman" w:hAnsi="Times New Roman" w:cs="Times New Roman"/>
                <w:sz w:val="14"/>
                <w:szCs w:val="14"/>
              </w:rPr>
              <w:t xml:space="preserve"> requires exploring various possible measures under a range of plausible futures and searching for those that are </w:t>
            </w:r>
            <w:r w:rsidRPr="00ED6053">
              <w:rPr>
                <w:rFonts w:ascii="Times New Roman" w:hAnsi="Times New Roman" w:cs="Times New Roman"/>
                <w:i/>
                <w:sz w:val="14"/>
                <w:szCs w:val="14"/>
              </w:rPr>
              <w:t>robust</w:t>
            </w:r>
            <w:r w:rsidRPr="00ED6053">
              <w:rPr>
                <w:rFonts w:ascii="Times New Roman" w:hAnsi="Times New Roman" w:cs="Times New Roman"/>
                <w:sz w:val="14"/>
                <w:szCs w:val="14"/>
              </w:rPr>
              <w:t xml:space="preserve"> and </w:t>
            </w:r>
            <w:r w:rsidRPr="00ED6053">
              <w:rPr>
                <w:rFonts w:ascii="Times New Roman" w:hAnsi="Times New Roman" w:cs="Times New Roman"/>
                <w:i/>
                <w:sz w:val="14"/>
                <w:szCs w:val="14"/>
              </w:rPr>
              <w:t xml:space="preserve">flexible </w:t>
            </w:r>
            <w:r w:rsidRPr="00ED6053">
              <w:rPr>
                <w:rFonts w:ascii="Times New Roman" w:hAnsi="Times New Roman" w:cs="Times New Roman"/>
                <w:sz w:val="14"/>
                <w:szCs w:val="14"/>
              </w:rPr>
              <w:t>(Marchand and Ludwig 2014).</w:t>
            </w:r>
          </w:p>
        </w:tc>
      </w:tr>
      <w:tr w:rsidR="00ED6053" w:rsidRPr="00ED6053" w14:paraId="3F4D7B2A" w14:textId="77777777" w:rsidTr="00FF4124">
        <w:trPr>
          <w:trHeight w:val="413"/>
        </w:trPr>
        <w:tc>
          <w:tcPr>
            <w:tcW w:w="794" w:type="dxa"/>
            <w:tcBorders>
              <w:left w:val="nil"/>
              <w:right w:val="nil"/>
            </w:tcBorders>
          </w:tcPr>
          <w:p w14:paraId="22FF8293" w14:textId="77777777" w:rsidR="00ED6053" w:rsidRPr="00ED6053" w:rsidRDefault="00ED6053" w:rsidP="00336A37">
            <w:pPr>
              <w:pStyle w:val="tablecontenttext"/>
              <w:spacing w:line="240" w:lineRule="auto"/>
              <w:rPr>
                <w:rFonts w:ascii="Times New Roman" w:hAnsi="Times New Roman" w:cs="Times New Roman"/>
                <w:b/>
                <w:sz w:val="14"/>
                <w:szCs w:val="14"/>
              </w:rPr>
            </w:pPr>
            <w:r w:rsidRPr="00ED6053">
              <w:rPr>
                <w:rFonts w:ascii="Times New Roman" w:hAnsi="Times New Roman" w:cs="Times New Roman"/>
                <w:b/>
                <w:sz w:val="14"/>
                <w:szCs w:val="14"/>
              </w:rPr>
              <w:t>Flexible adaptive / adaptable plan</w:t>
            </w:r>
          </w:p>
          <w:p w14:paraId="3F410E21" w14:textId="77777777" w:rsidR="00ED6053" w:rsidRPr="00ED6053" w:rsidRDefault="00ED6053" w:rsidP="00336A37">
            <w:pPr>
              <w:pStyle w:val="tablecontenttext"/>
              <w:spacing w:line="240" w:lineRule="auto"/>
              <w:rPr>
                <w:rFonts w:ascii="Times New Roman" w:hAnsi="Times New Roman" w:cs="Times New Roman"/>
                <w:b/>
                <w:sz w:val="14"/>
                <w:szCs w:val="14"/>
              </w:rPr>
            </w:pPr>
          </w:p>
          <w:p w14:paraId="3DC7E1D4" w14:textId="77777777" w:rsidR="00ED6053" w:rsidRPr="00ED6053" w:rsidRDefault="00ED6053" w:rsidP="00336A37">
            <w:pPr>
              <w:pStyle w:val="tablecontenttext"/>
              <w:spacing w:line="240" w:lineRule="auto"/>
              <w:rPr>
                <w:rFonts w:ascii="Times New Roman" w:hAnsi="Times New Roman" w:cs="Times New Roman"/>
                <w:b/>
                <w:sz w:val="14"/>
                <w:szCs w:val="14"/>
              </w:rPr>
            </w:pPr>
            <w:r w:rsidRPr="00ED6053">
              <w:rPr>
                <w:rFonts w:ascii="Times New Roman" w:hAnsi="Times New Roman" w:cs="Times New Roman"/>
                <w:bCs w:val="0"/>
                <w:sz w:val="14"/>
                <w:szCs w:val="14"/>
              </w:rPr>
              <w:t>(requisite for the plan)</w:t>
            </w:r>
          </w:p>
        </w:tc>
        <w:tc>
          <w:tcPr>
            <w:tcW w:w="4535" w:type="dxa"/>
            <w:tcBorders>
              <w:left w:val="nil"/>
              <w:right w:val="nil"/>
            </w:tcBorders>
          </w:tcPr>
          <w:p w14:paraId="382F53B0" w14:textId="77777777" w:rsidR="00ED6053" w:rsidRPr="00ED6053" w:rsidRDefault="00ED6053" w:rsidP="00336A37">
            <w:pPr>
              <w:pStyle w:val="tablecontenttext"/>
              <w:spacing w:line="240" w:lineRule="auto"/>
              <w:rPr>
                <w:rFonts w:ascii="Times New Roman" w:hAnsi="Times New Roman" w:cs="Times New Roman"/>
                <w:sz w:val="14"/>
                <w:szCs w:val="14"/>
              </w:rPr>
            </w:pPr>
            <w:r w:rsidRPr="00ED6053">
              <w:rPr>
                <w:rFonts w:ascii="Times New Roman" w:hAnsi="Times New Roman" w:cs="Times New Roman"/>
                <w:iCs w:val="0"/>
                <w:sz w:val="14"/>
                <w:szCs w:val="14"/>
              </w:rPr>
              <w:t>A plan that can be changed over time as new insights and knowledge are gained or as conditions change, and thus, is adaptable / adaptive</w:t>
            </w:r>
            <w:r w:rsidRPr="00ED6053">
              <w:rPr>
                <w:rFonts w:ascii="Times New Roman" w:hAnsi="Times New Roman" w:cs="Times New Roman"/>
                <w:sz w:val="14"/>
                <w:szCs w:val="14"/>
              </w:rPr>
              <w:t>.</w:t>
            </w:r>
          </w:p>
          <w:p w14:paraId="0AAA6055" w14:textId="77777777" w:rsidR="00ED6053" w:rsidRPr="00ED6053" w:rsidRDefault="00ED6053" w:rsidP="00336A37">
            <w:pPr>
              <w:pStyle w:val="tablecontenttext"/>
              <w:spacing w:line="240" w:lineRule="auto"/>
              <w:rPr>
                <w:rFonts w:ascii="Times New Roman" w:hAnsi="Times New Roman" w:cs="Times New Roman"/>
                <w:sz w:val="14"/>
                <w:szCs w:val="14"/>
              </w:rPr>
            </w:pPr>
          </w:p>
          <w:p w14:paraId="453E44BE" w14:textId="77777777" w:rsidR="00ED6053" w:rsidRPr="00ED6053" w:rsidRDefault="00ED6053" w:rsidP="00336A37">
            <w:pPr>
              <w:pStyle w:val="CORPOTEXTO"/>
              <w:jc w:val="left"/>
              <w:rPr>
                <w:color w:val="C00000"/>
                <w:sz w:val="14"/>
                <w:szCs w:val="14"/>
              </w:rPr>
            </w:pPr>
            <w:r w:rsidRPr="00ED6053">
              <w:rPr>
                <w:sz w:val="14"/>
                <w:szCs w:val="14"/>
              </w:rPr>
              <w:t xml:space="preserve">As noted in the </w:t>
            </w:r>
            <w:r w:rsidRPr="00ED6053">
              <w:rPr>
                <w:color w:val="7F7F7F" w:themeColor="text1" w:themeTint="80"/>
                <w:sz w:val="14"/>
                <w:szCs w:val="14"/>
              </w:rPr>
              <w:t>Technical Report</w:t>
            </w:r>
            <w:r w:rsidRPr="00ED6053">
              <w:rPr>
                <w:sz w:val="14"/>
                <w:szCs w:val="14"/>
              </w:rPr>
              <w:t>, ‘</w:t>
            </w:r>
            <w:r w:rsidRPr="00ED6053">
              <w:rPr>
                <w:i/>
                <w:sz w:val="14"/>
                <w:szCs w:val="14"/>
              </w:rPr>
              <w:t xml:space="preserve">to continue to manage flood risk from the tidal Thames will require substantial investment over the next 50 years and it will be essential that adaptability and flexibility are key parts of the plan </w:t>
            </w:r>
            <w:r w:rsidRPr="00ED6053">
              <w:rPr>
                <w:sz w:val="14"/>
                <w:szCs w:val="14"/>
              </w:rPr>
              <w:t>(</w:t>
            </w:r>
            <w:r w:rsidRPr="00ED6053">
              <w:rPr>
                <w:color w:val="7F7F7F" w:themeColor="text1" w:themeTint="80"/>
                <w:sz w:val="14"/>
                <w:szCs w:val="14"/>
              </w:rPr>
              <w:t>TE2100 Appendix L 2009, p.2</w:t>
            </w:r>
            <w:r w:rsidRPr="00ED6053">
              <w:rPr>
                <w:sz w:val="14"/>
                <w:szCs w:val="14"/>
              </w:rPr>
              <w:t xml:space="preserve">). </w:t>
            </w:r>
            <w:r w:rsidRPr="00ED6053">
              <w:rPr>
                <w:rFonts w:eastAsiaTheme="minorHAnsi"/>
                <w:sz w:val="14"/>
                <w:szCs w:val="14"/>
                <w:lang w:eastAsia="en-US"/>
              </w:rPr>
              <w:t xml:space="preserve">The </w:t>
            </w:r>
            <w:r w:rsidRPr="00ED6053">
              <w:rPr>
                <w:sz w:val="14"/>
                <w:szCs w:val="14"/>
              </w:rPr>
              <w:t xml:space="preserve">TE2100 devised and applied a new method for designing a Plan that is </w:t>
            </w:r>
            <w:r w:rsidRPr="00ED6053">
              <w:rPr>
                <w:i/>
                <w:iCs/>
                <w:sz w:val="14"/>
                <w:szCs w:val="14"/>
              </w:rPr>
              <w:t>flexible</w:t>
            </w:r>
            <w:r w:rsidRPr="00ED6053">
              <w:rPr>
                <w:sz w:val="14"/>
                <w:szCs w:val="14"/>
              </w:rPr>
              <w:t xml:space="preserve"> and </w:t>
            </w:r>
            <w:r w:rsidRPr="00ED6053">
              <w:rPr>
                <w:i/>
                <w:iCs/>
                <w:sz w:val="14"/>
                <w:szCs w:val="14"/>
              </w:rPr>
              <w:t>adaptable</w:t>
            </w:r>
            <w:r w:rsidRPr="00ED6053">
              <w:rPr>
                <w:sz w:val="14"/>
                <w:szCs w:val="14"/>
              </w:rPr>
              <w:t xml:space="preserve"> to an uncertain future and change</w:t>
            </w:r>
            <w:r w:rsidRPr="00ED6053">
              <w:rPr>
                <w:i/>
                <w:sz w:val="14"/>
                <w:szCs w:val="14"/>
              </w:rPr>
              <w:t xml:space="preserve"> </w:t>
            </w:r>
            <w:r w:rsidRPr="00ED6053">
              <w:rPr>
                <w:sz w:val="14"/>
                <w:szCs w:val="14"/>
              </w:rPr>
              <w:t>(</w:t>
            </w:r>
            <w:r w:rsidRPr="00ED6053">
              <w:rPr>
                <w:color w:val="7F7F7F" w:themeColor="text1" w:themeTint="80"/>
                <w:sz w:val="14"/>
                <w:szCs w:val="14"/>
              </w:rPr>
              <w:t>TE2100 Appendix L 2009, p.4</w:t>
            </w:r>
            <w:r w:rsidRPr="00ED6053">
              <w:rPr>
                <w:sz w:val="14"/>
                <w:szCs w:val="14"/>
              </w:rPr>
              <w:t>) – i.e. an ‘adaptive plan’ for FRM (</w:t>
            </w:r>
            <w:r w:rsidRPr="00ED6053">
              <w:rPr>
                <w:color w:val="7F7F7F" w:themeColor="text1" w:themeTint="80"/>
                <w:sz w:val="14"/>
                <w:szCs w:val="14"/>
              </w:rPr>
              <w:t>Ramsbottom and Sheppard 2017, p.19</w:t>
            </w:r>
            <w:r w:rsidRPr="00ED6053">
              <w:rPr>
                <w:sz w:val="14"/>
                <w:szCs w:val="14"/>
              </w:rPr>
              <w:t xml:space="preserve">). </w:t>
            </w:r>
          </w:p>
          <w:p w14:paraId="00DFF8C8" w14:textId="77777777" w:rsidR="00ED6053" w:rsidRPr="00ED6053" w:rsidRDefault="00ED6053" w:rsidP="00336A37">
            <w:pPr>
              <w:pStyle w:val="tablecontenttext"/>
              <w:spacing w:line="240" w:lineRule="auto"/>
              <w:rPr>
                <w:rFonts w:ascii="Times New Roman" w:hAnsi="Times New Roman" w:cs="Times New Roman"/>
                <w:sz w:val="14"/>
                <w:szCs w:val="14"/>
              </w:rPr>
            </w:pPr>
          </w:p>
          <w:p w14:paraId="2B57B646" w14:textId="77777777" w:rsidR="00ED6053" w:rsidRPr="00ED6053" w:rsidRDefault="00ED6053" w:rsidP="00336A37">
            <w:pPr>
              <w:pStyle w:val="tablecontenttext"/>
              <w:spacing w:line="240" w:lineRule="auto"/>
              <w:rPr>
                <w:rFonts w:ascii="Times New Roman" w:hAnsi="Times New Roman" w:cs="Times New Roman"/>
                <w:sz w:val="14"/>
                <w:szCs w:val="14"/>
              </w:rPr>
            </w:pPr>
            <w:r w:rsidRPr="00ED6053">
              <w:rPr>
                <w:rFonts w:ascii="Times New Roman" w:hAnsi="Times New Roman" w:cs="Times New Roman"/>
                <w:sz w:val="14"/>
                <w:szCs w:val="14"/>
              </w:rPr>
              <w:t>The TE2100 Project sought to guarantee ‘dynamic robustness’ (</w:t>
            </w:r>
            <w:r w:rsidRPr="00ED6053">
              <w:rPr>
                <w:rFonts w:ascii="Times New Roman" w:hAnsi="Times New Roman" w:cs="Times New Roman"/>
                <w:sz w:val="14"/>
                <w:szCs w:val="14"/>
                <w:u w:val="single"/>
              </w:rPr>
              <w:t>recommended by the UK Government</w:t>
            </w:r>
            <w:r w:rsidRPr="00ED6053">
              <w:rPr>
                <w:rFonts w:ascii="Times New Roman" w:hAnsi="Times New Roman" w:cs="Times New Roman"/>
                <w:sz w:val="14"/>
                <w:szCs w:val="14"/>
              </w:rPr>
              <w:t xml:space="preserve">) </w:t>
            </w:r>
            <w:proofErr w:type="gramStart"/>
            <w:r w:rsidRPr="00ED6053">
              <w:rPr>
                <w:rFonts w:ascii="Times New Roman" w:hAnsi="Times New Roman" w:cs="Times New Roman"/>
                <w:sz w:val="14"/>
                <w:szCs w:val="14"/>
              </w:rPr>
              <w:t>through:</w:t>
            </w:r>
            <w:proofErr w:type="gramEnd"/>
            <w:r w:rsidRPr="00ED6053">
              <w:rPr>
                <w:rFonts w:ascii="Times New Roman" w:hAnsi="Times New Roman" w:cs="Times New Roman"/>
                <w:sz w:val="14"/>
                <w:szCs w:val="14"/>
              </w:rPr>
              <w:t xml:space="preserve"> pathways’ flexibility (the plan should be managed iteratively, and its Options (pathways), their measures and their timing could be changed); the use of low-regrets measures (i.e. cost-efficient and beneficial under multiple scenarios), structural flexibility (i.e. adjustable engineering solutions). </w:t>
            </w:r>
          </w:p>
          <w:p w14:paraId="5EF855F3" w14:textId="77777777" w:rsidR="00ED6053" w:rsidRPr="00ED6053" w:rsidRDefault="00ED6053" w:rsidP="00336A37">
            <w:pPr>
              <w:jc w:val="left"/>
              <w:rPr>
                <w:rFonts w:ascii="Times New Roman" w:hAnsi="Times New Roman"/>
                <w:sz w:val="14"/>
                <w:szCs w:val="14"/>
              </w:rPr>
            </w:pPr>
          </w:p>
          <w:p w14:paraId="78062B4B" w14:textId="77777777" w:rsidR="00ED6053" w:rsidRPr="00ED6053" w:rsidRDefault="00ED6053" w:rsidP="00336A37">
            <w:pPr>
              <w:jc w:val="left"/>
              <w:rPr>
                <w:rFonts w:ascii="Times New Roman" w:hAnsi="Times New Roman"/>
                <w:sz w:val="14"/>
                <w:szCs w:val="14"/>
              </w:rPr>
            </w:pPr>
            <w:r w:rsidRPr="00ED6053">
              <w:rPr>
                <w:rFonts w:ascii="Times New Roman" w:hAnsi="Times New Roman"/>
                <w:sz w:val="14"/>
                <w:szCs w:val="14"/>
              </w:rPr>
              <w:t xml:space="preserve">In the TE2100’s </w:t>
            </w:r>
            <w:r w:rsidRPr="00ED6053">
              <w:rPr>
                <w:rFonts w:ascii="Times New Roman" w:hAnsi="Times New Roman"/>
                <w:i/>
                <w:iCs/>
                <w:sz w:val="14"/>
                <w:szCs w:val="14"/>
              </w:rPr>
              <w:t>Dynamic Adaptive Planning approach</w:t>
            </w:r>
            <w:r w:rsidRPr="00ED6053">
              <w:rPr>
                <w:rFonts w:ascii="Times New Roman" w:hAnsi="Times New Roman"/>
                <w:sz w:val="14"/>
                <w:szCs w:val="14"/>
              </w:rPr>
              <w:t>, a plan (and its strategies) is ‘</w:t>
            </w:r>
            <w:r w:rsidRPr="00ED6053">
              <w:rPr>
                <w:rFonts w:ascii="Times New Roman" w:hAnsi="Times New Roman"/>
                <w:i/>
                <w:iCs/>
                <w:sz w:val="14"/>
                <w:szCs w:val="14"/>
              </w:rPr>
              <w:t>implemented iteratively</w:t>
            </w:r>
            <w:r w:rsidRPr="00ED6053">
              <w:rPr>
                <w:rFonts w:ascii="Times New Roman" w:hAnsi="Times New Roman"/>
                <w:sz w:val="14"/>
                <w:szCs w:val="14"/>
              </w:rPr>
              <w:t>’ and is ‘</w:t>
            </w:r>
            <w:r w:rsidRPr="00ED6053">
              <w:rPr>
                <w:rFonts w:ascii="Times New Roman" w:hAnsi="Times New Roman"/>
                <w:i/>
                <w:iCs/>
                <w:sz w:val="14"/>
                <w:szCs w:val="14"/>
              </w:rPr>
              <w:t>designed to be adjusted over time as more is learnt about the future</w:t>
            </w:r>
            <w:r w:rsidRPr="00ED6053">
              <w:rPr>
                <w:rFonts w:ascii="Times New Roman" w:hAnsi="Times New Roman"/>
                <w:sz w:val="14"/>
                <w:szCs w:val="14"/>
              </w:rPr>
              <w:t>’ or as changes occur (</w:t>
            </w:r>
            <w:r w:rsidRPr="00ED6053">
              <w:rPr>
                <w:rFonts w:ascii="Times New Roman" w:hAnsi="Times New Roman"/>
                <w:color w:val="7F7F7F" w:themeColor="text1" w:themeTint="80"/>
                <w:sz w:val="14"/>
                <w:szCs w:val="14"/>
              </w:rPr>
              <w:t>Ranger et al. 2013, p.249</w:t>
            </w:r>
            <w:r w:rsidRPr="00ED6053">
              <w:rPr>
                <w:rFonts w:ascii="Times New Roman" w:hAnsi="Times New Roman"/>
                <w:sz w:val="14"/>
                <w:szCs w:val="14"/>
              </w:rPr>
              <w:t>). In this approach, the timing of new measures (</w:t>
            </w:r>
            <w:r w:rsidRPr="00ED6053">
              <w:rPr>
                <w:rFonts w:ascii="Times New Roman" w:hAnsi="Times New Roman"/>
                <w:i/>
                <w:iCs/>
                <w:sz w:val="14"/>
                <w:szCs w:val="14"/>
              </w:rPr>
              <w:t>interventions</w:t>
            </w:r>
            <w:r w:rsidRPr="00ED6053">
              <w:rPr>
                <w:rFonts w:ascii="Times New Roman" w:hAnsi="Times New Roman"/>
                <w:sz w:val="14"/>
                <w:szCs w:val="14"/>
              </w:rPr>
              <w:t>), and the measures themselves, can be changed over time – in this way, flexibility is built-in into the long-term strategy itself (</w:t>
            </w:r>
            <w:r w:rsidRPr="00ED6053">
              <w:rPr>
                <w:rFonts w:ascii="Times New Roman" w:hAnsi="Times New Roman"/>
                <w:color w:val="7F7F7F" w:themeColor="text1" w:themeTint="80"/>
                <w:sz w:val="14"/>
                <w:szCs w:val="14"/>
              </w:rPr>
              <w:t>Ranger et al. 2013, p.249</w:t>
            </w:r>
            <w:r w:rsidRPr="00ED6053">
              <w:rPr>
                <w:rFonts w:ascii="Times New Roman" w:hAnsi="Times New Roman"/>
                <w:sz w:val="14"/>
                <w:szCs w:val="14"/>
              </w:rPr>
              <w:t>).</w:t>
            </w:r>
          </w:p>
        </w:tc>
        <w:tc>
          <w:tcPr>
            <w:tcW w:w="4535" w:type="dxa"/>
            <w:tcBorders>
              <w:left w:val="nil"/>
            </w:tcBorders>
          </w:tcPr>
          <w:p w14:paraId="1FB7E6DE" w14:textId="77777777" w:rsidR="00ED6053" w:rsidRPr="00ED6053" w:rsidRDefault="00ED6053" w:rsidP="00336A37">
            <w:pPr>
              <w:pStyle w:val="tablecontenttext"/>
              <w:spacing w:line="240" w:lineRule="auto"/>
              <w:rPr>
                <w:rFonts w:ascii="Times New Roman" w:hAnsi="Times New Roman" w:cs="Times New Roman"/>
                <w:sz w:val="14"/>
                <w:szCs w:val="14"/>
              </w:rPr>
            </w:pPr>
            <w:r w:rsidRPr="00ED6053">
              <w:rPr>
                <w:rFonts w:ascii="Times New Roman" w:hAnsi="Times New Roman" w:cs="Times New Roman"/>
                <w:sz w:val="14"/>
                <w:szCs w:val="14"/>
              </w:rPr>
              <w:t>A strategy that can be easily adapted to changing and unforeseen future conditions. O</w:t>
            </w:r>
            <w:r w:rsidRPr="00ED6053">
              <w:rPr>
                <w:rFonts w:ascii="Times New Roman" w:eastAsia="RijksoverheidSerif-Regular" w:hAnsi="Times New Roman" w:cs="Times New Roman"/>
                <w:sz w:val="14"/>
                <w:szCs w:val="14"/>
                <w:lang w:eastAsia="en-US"/>
              </w:rPr>
              <w:t xml:space="preserve">ne that can be speeded up / slowed down and allows shifting to another measure or </w:t>
            </w:r>
            <w:r w:rsidRPr="00ED6053">
              <w:rPr>
                <w:rFonts w:ascii="Times New Roman" w:eastAsia="RijksoverheidSerif-Regular" w:hAnsi="Times New Roman" w:cs="Times New Roman"/>
                <w:i/>
                <w:sz w:val="14"/>
                <w:szCs w:val="14"/>
                <w:lang w:eastAsia="en-US"/>
              </w:rPr>
              <w:t>path</w:t>
            </w:r>
            <w:r w:rsidRPr="00ED6053">
              <w:rPr>
                <w:rFonts w:ascii="Times New Roman" w:eastAsia="RijksoverheidSerif-Regular" w:hAnsi="Times New Roman" w:cs="Times New Roman"/>
                <w:sz w:val="14"/>
                <w:szCs w:val="14"/>
                <w:lang w:eastAsia="en-US"/>
              </w:rPr>
              <w:t xml:space="preserve">, </w:t>
            </w:r>
            <w:r w:rsidRPr="00ED6053">
              <w:rPr>
                <w:rFonts w:ascii="Times New Roman" w:hAnsi="Times New Roman" w:cs="Times New Roman"/>
                <w:sz w:val="14"/>
                <w:szCs w:val="14"/>
              </w:rPr>
              <w:t>if necessary.</w:t>
            </w:r>
          </w:p>
          <w:p w14:paraId="6D20879F" w14:textId="77777777" w:rsidR="00ED6053" w:rsidRPr="00ED6053" w:rsidRDefault="00ED6053" w:rsidP="00336A37">
            <w:pPr>
              <w:pStyle w:val="tablecontenttext"/>
              <w:spacing w:line="240" w:lineRule="auto"/>
              <w:rPr>
                <w:rFonts w:ascii="Times New Roman" w:hAnsi="Times New Roman" w:cs="Times New Roman"/>
                <w:sz w:val="14"/>
                <w:szCs w:val="14"/>
              </w:rPr>
            </w:pPr>
            <w:r w:rsidRPr="00ED6053">
              <w:rPr>
                <w:rFonts w:ascii="Times New Roman" w:hAnsi="Times New Roman" w:cs="Times New Roman"/>
                <w:sz w:val="14"/>
                <w:szCs w:val="14"/>
              </w:rPr>
              <w:t xml:space="preserve">The </w:t>
            </w:r>
            <w:r w:rsidRPr="00ED6053">
              <w:rPr>
                <w:rFonts w:ascii="Times New Roman" w:hAnsi="Times New Roman" w:cs="Times New Roman"/>
                <w:i/>
                <w:sz w:val="14"/>
                <w:szCs w:val="14"/>
              </w:rPr>
              <w:t>ADM Implementation Guide</w:t>
            </w:r>
            <w:r w:rsidRPr="00ED6053">
              <w:rPr>
                <w:rFonts w:ascii="Times New Roman" w:hAnsi="Times New Roman" w:cs="Times New Roman"/>
                <w:sz w:val="14"/>
                <w:szCs w:val="14"/>
              </w:rPr>
              <w:t xml:space="preserve"> claimed that strategies should be both </w:t>
            </w:r>
            <w:r w:rsidRPr="00ED6053">
              <w:rPr>
                <w:rFonts w:ascii="Times New Roman" w:hAnsi="Times New Roman" w:cs="Times New Roman"/>
                <w:i/>
                <w:sz w:val="14"/>
                <w:szCs w:val="14"/>
              </w:rPr>
              <w:t>robust</w:t>
            </w:r>
            <w:r w:rsidRPr="00ED6053">
              <w:rPr>
                <w:rFonts w:ascii="Times New Roman" w:hAnsi="Times New Roman" w:cs="Times New Roman"/>
                <w:sz w:val="14"/>
                <w:szCs w:val="14"/>
              </w:rPr>
              <w:t xml:space="preserve"> and </w:t>
            </w:r>
            <w:r w:rsidRPr="00ED6053">
              <w:rPr>
                <w:rFonts w:ascii="Times New Roman" w:hAnsi="Times New Roman" w:cs="Times New Roman"/>
                <w:i/>
                <w:sz w:val="14"/>
                <w:szCs w:val="14"/>
              </w:rPr>
              <w:t>flexible</w:t>
            </w:r>
            <w:r w:rsidRPr="00ED6053">
              <w:rPr>
                <w:rFonts w:ascii="Times New Roman" w:hAnsi="Times New Roman" w:cs="Times New Roman"/>
                <w:sz w:val="14"/>
                <w:szCs w:val="14"/>
              </w:rPr>
              <w:t>: a robust strategy is one that ‘</w:t>
            </w:r>
            <w:r w:rsidRPr="00ED6053">
              <w:rPr>
                <w:rFonts w:ascii="Times New Roman" w:hAnsi="Times New Roman" w:cs="Times New Roman"/>
                <w:i/>
                <w:sz w:val="14"/>
                <w:szCs w:val="14"/>
              </w:rPr>
              <w:t>works in all plausible futures</w:t>
            </w:r>
            <w:r w:rsidRPr="00ED6053">
              <w:rPr>
                <w:rFonts w:ascii="Times New Roman" w:hAnsi="Times New Roman" w:cs="Times New Roman"/>
                <w:sz w:val="14"/>
                <w:szCs w:val="14"/>
              </w:rPr>
              <w:t>’, while flexibility means that</w:t>
            </w:r>
            <w:r w:rsidRPr="00ED6053">
              <w:rPr>
                <w:rFonts w:ascii="Times New Roman" w:hAnsi="Times New Roman" w:cs="Times New Roman"/>
                <w:i/>
                <w:sz w:val="14"/>
                <w:szCs w:val="14"/>
              </w:rPr>
              <w:t xml:space="preserve"> </w:t>
            </w:r>
            <w:r w:rsidRPr="00ED6053">
              <w:rPr>
                <w:rFonts w:ascii="Times New Roman" w:hAnsi="Times New Roman" w:cs="Times New Roman"/>
                <w:sz w:val="14"/>
                <w:szCs w:val="14"/>
              </w:rPr>
              <w:t>‘</w:t>
            </w:r>
            <w:r w:rsidRPr="00ED6053">
              <w:rPr>
                <w:rFonts w:ascii="Times New Roman" w:hAnsi="Times New Roman" w:cs="Times New Roman"/>
                <w:i/>
                <w:sz w:val="14"/>
                <w:szCs w:val="14"/>
              </w:rPr>
              <w:t>depending on the contextual circumstances - you can cut one strategy off and</w:t>
            </w:r>
            <w:r w:rsidRPr="00ED6053">
              <w:rPr>
                <w:rFonts w:ascii="Times New Roman" w:hAnsi="Times New Roman" w:cs="Times New Roman"/>
                <w:sz w:val="14"/>
                <w:szCs w:val="14"/>
              </w:rPr>
              <w:t xml:space="preserve"> </w:t>
            </w:r>
            <w:r w:rsidRPr="00ED6053">
              <w:rPr>
                <w:rFonts w:ascii="Times New Roman" w:hAnsi="Times New Roman" w:cs="Times New Roman"/>
                <w:i/>
                <w:sz w:val="14"/>
                <w:szCs w:val="14"/>
              </w:rPr>
              <w:t>switch to another one</w:t>
            </w:r>
            <w:r w:rsidRPr="00ED6053">
              <w:rPr>
                <w:rFonts w:ascii="Times New Roman" w:hAnsi="Times New Roman" w:cs="Times New Roman"/>
                <w:sz w:val="14"/>
                <w:szCs w:val="14"/>
              </w:rPr>
              <w:t>’</w:t>
            </w:r>
            <w:r w:rsidRPr="00ED6053">
              <w:rPr>
                <w:rFonts w:ascii="Times New Roman" w:hAnsi="Times New Roman" w:cs="Times New Roman"/>
                <w:i/>
                <w:sz w:val="14"/>
                <w:szCs w:val="14"/>
              </w:rPr>
              <w:t xml:space="preserve"> </w:t>
            </w:r>
            <w:r w:rsidRPr="00ED6053">
              <w:rPr>
                <w:rFonts w:ascii="Times New Roman" w:hAnsi="Times New Roman" w:cs="Times New Roman"/>
                <w:sz w:val="14"/>
                <w:szCs w:val="14"/>
              </w:rPr>
              <w:t>(</w:t>
            </w:r>
            <w:r w:rsidRPr="00ED6053">
              <w:rPr>
                <w:rFonts w:ascii="Times New Roman" w:hAnsi="Times New Roman" w:cs="Times New Roman"/>
                <w:color w:val="7F7F7F" w:themeColor="text1" w:themeTint="80"/>
                <w:sz w:val="14"/>
                <w:szCs w:val="14"/>
              </w:rPr>
              <w:t xml:space="preserve">DP Staff member, </w:t>
            </w:r>
            <w:r w:rsidRPr="00ED6053">
              <w:rPr>
                <w:rFonts w:ascii="Times New Roman" w:hAnsi="Times New Roman" w:cs="Times New Roman"/>
                <w:i/>
                <w:color w:val="7F7F7F" w:themeColor="text1" w:themeTint="80"/>
                <w:sz w:val="14"/>
                <w:szCs w:val="14"/>
              </w:rPr>
              <w:t>in</w:t>
            </w:r>
            <w:r w:rsidRPr="00ED6053">
              <w:rPr>
                <w:rFonts w:ascii="Times New Roman" w:hAnsi="Times New Roman" w:cs="Times New Roman"/>
                <w:color w:val="7F7F7F" w:themeColor="text1" w:themeTint="80"/>
                <w:sz w:val="14"/>
                <w:szCs w:val="14"/>
              </w:rPr>
              <w:t xml:space="preserve"> </w:t>
            </w:r>
            <w:proofErr w:type="spellStart"/>
            <w:r w:rsidRPr="00ED6053">
              <w:rPr>
                <w:rFonts w:ascii="Times New Roman" w:hAnsi="Times New Roman" w:cs="Times New Roman"/>
                <w:color w:val="7F7F7F" w:themeColor="text1" w:themeTint="80"/>
                <w:sz w:val="14"/>
                <w:szCs w:val="14"/>
              </w:rPr>
              <w:t>Restemeyer</w:t>
            </w:r>
            <w:proofErr w:type="spellEnd"/>
            <w:r w:rsidRPr="00ED6053">
              <w:rPr>
                <w:rFonts w:ascii="Times New Roman" w:hAnsi="Times New Roman" w:cs="Times New Roman"/>
                <w:color w:val="7F7F7F" w:themeColor="text1" w:themeTint="80"/>
                <w:sz w:val="14"/>
                <w:szCs w:val="14"/>
              </w:rPr>
              <w:t xml:space="preserve"> et al. 2017, p.930</w:t>
            </w:r>
            <w:r w:rsidRPr="00ED6053">
              <w:rPr>
                <w:rFonts w:ascii="Times New Roman" w:hAnsi="Times New Roman" w:cs="Times New Roman"/>
                <w:sz w:val="14"/>
                <w:szCs w:val="14"/>
              </w:rPr>
              <w:t>).</w:t>
            </w:r>
            <w:r w:rsidRPr="00ED6053">
              <w:rPr>
                <w:rFonts w:ascii="Times New Roman" w:hAnsi="Times New Roman" w:cs="Times New Roman"/>
                <w:color w:val="C00000"/>
                <w:sz w:val="14"/>
                <w:szCs w:val="14"/>
              </w:rPr>
              <w:t xml:space="preserve"> </w:t>
            </w:r>
            <w:r w:rsidRPr="00ED6053">
              <w:rPr>
                <w:rFonts w:ascii="Times New Roman" w:hAnsi="Times New Roman" w:cs="Times New Roman"/>
                <w:sz w:val="14"/>
                <w:szCs w:val="14"/>
              </w:rPr>
              <w:t xml:space="preserve">According to the Guide, to find or develop </w:t>
            </w:r>
            <w:r w:rsidRPr="00ED6053">
              <w:rPr>
                <w:rFonts w:ascii="Times New Roman" w:hAnsi="Times New Roman" w:cs="Times New Roman"/>
                <w:i/>
                <w:sz w:val="14"/>
                <w:szCs w:val="14"/>
              </w:rPr>
              <w:t>robust</w:t>
            </w:r>
            <w:r w:rsidRPr="00ED6053">
              <w:rPr>
                <w:rFonts w:ascii="Times New Roman" w:hAnsi="Times New Roman" w:cs="Times New Roman"/>
                <w:sz w:val="14"/>
                <w:szCs w:val="14"/>
              </w:rPr>
              <w:t xml:space="preserve"> </w:t>
            </w:r>
            <w:r w:rsidRPr="00ED6053">
              <w:rPr>
                <w:rFonts w:ascii="Times New Roman" w:hAnsi="Times New Roman" w:cs="Times New Roman"/>
                <w:i/>
                <w:sz w:val="14"/>
                <w:szCs w:val="14"/>
              </w:rPr>
              <w:t>flexible strategies</w:t>
            </w:r>
            <w:r w:rsidRPr="00ED6053">
              <w:rPr>
                <w:rFonts w:ascii="Times New Roman" w:hAnsi="Times New Roman" w:cs="Times New Roman"/>
                <w:sz w:val="14"/>
                <w:szCs w:val="14"/>
              </w:rPr>
              <w:t>, it is necessary to identify tipping-points and design adaptation pathways (</w:t>
            </w:r>
            <w:proofErr w:type="spellStart"/>
            <w:r w:rsidRPr="00ED6053">
              <w:rPr>
                <w:rFonts w:ascii="Times New Roman" w:hAnsi="Times New Roman" w:cs="Times New Roman"/>
                <w:color w:val="7F7F7F" w:themeColor="text1" w:themeTint="80"/>
                <w:sz w:val="14"/>
                <w:szCs w:val="14"/>
              </w:rPr>
              <w:t>Restemeyer</w:t>
            </w:r>
            <w:proofErr w:type="spellEnd"/>
            <w:r w:rsidRPr="00ED6053">
              <w:rPr>
                <w:rFonts w:ascii="Times New Roman" w:hAnsi="Times New Roman" w:cs="Times New Roman"/>
                <w:color w:val="7F7F7F" w:themeColor="text1" w:themeTint="80"/>
                <w:sz w:val="14"/>
                <w:szCs w:val="14"/>
              </w:rPr>
              <w:t xml:space="preserve"> et al. 2017</w:t>
            </w:r>
            <w:r w:rsidRPr="00ED6053">
              <w:rPr>
                <w:rFonts w:ascii="Times New Roman" w:hAnsi="Times New Roman" w:cs="Times New Roman"/>
                <w:sz w:val="14"/>
                <w:szCs w:val="14"/>
              </w:rPr>
              <w:t xml:space="preserve">). </w:t>
            </w:r>
          </w:p>
          <w:p w14:paraId="13FFC8B7" w14:textId="77777777" w:rsidR="00ED6053" w:rsidRPr="00ED6053" w:rsidRDefault="00ED6053" w:rsidP="00336A37">
            <w:pPr>
              <w:pStyle w:val="TEXTBODY"/>
              <w:jc w:val="left"/>
              <w:rPr>
                <w:sz w:val="14"/>
                <w:szCs w:val="14"/>
              </w:rPr>
            </w:pPr>
            <w:r w:rsidRPr="00ED6053">
              <w:rPr>
                <w:sz w:val="14"/>
                <w:szCs w:val="14"/>
              </w:rPr>
              <w:t xml:space="preserve">Consequently, the DP has assumed that the strategies developed should be </w:t>
            </w:r>
            <w:r w:rsidRPr="00ED6053">
              <w:rPr>
                <w:i/>
                <w:iCs/>
                <w:sz w:val="14"/>
                <w:szCs w:val="14"/>
              </w:rPr>
              <w:t>robust</w:t>
            </w:r>
            <w:r w:rsidRPr="00ED6053">
              <w:rPr>
                <w:sz w:val="14"/>
                <w:szCs w:val="14"/>
              </w:rPr>
              <w:t xml:space="preserve"> </w:t>
            </w:r>
            <w:r w:rsidRPr="00ED6053">
              <w:rPr>
                <w:i/>
                <w:iCs/>
                <w:sz w:val="14"/>
                <w:szCs w:val="14"/>
              </w:rPr>
              <w:t>and flexible</w:t>
            </w:r>
            <w:r w:rsidRPr="00ED6053">
              <w:rPr>
                <w:sz w:val="14"/>
                <w:szCs w:val="14"/>
              </w:rPr>
              <w:t xml:space="preserve"> (</w:t>
            </w:r>
            <w:r w:rsidRPr="00ED6053">
              <w:rPr>
                <w:color w:val="7F7F7F" w:themeColor="text1" w:themeTint="80"/>
                <w:sz w:val="14"/>
                <w:szCs w:val="14"/>
              </w:rPr>
              <w:t>DP 2013, p.103</w:t>
            </w:r>
            <w:r w:rsidRPr="00ED6053">
              <w:rPr>
                <w:sz w:val="14"/>
                <w:szCs w:val="14"/>
              </w:rPr>
              <w:t>). The DP defines a</w:t>
            </w:r>
            <w:r w:rsidRPr="00ED6053">
              <w:rPr>
                <w:rFonts w:eastAsia="RijksoverheidSerif-Regular"/>
                <w:sz w:val="14"/>
                <w:szCs w:val="14"/>
                <w:lang w:eastAsia="en-US"/>
              </w:rPr>
              <w:t xml:space="preserve"> </w:t>
            </w:r>
            <w:r w:rsidRPr="00ED6053">
              <w:rPr>
                <w:rFonts w:eastAsia="RijksoverheidSerif-Regular"/>
                <w:i/>
                <w:iCs/>
                <w:sz w:val="14"/>
                <w:szCs w:val="14"/>
                <w:lang w:eastAsia="en-US"/>
              </w:rPr>
              <w:t>robust strategy</w:t>
            </w:r>
            <w:r w:rsidRPr="00ED6053">
              <w:rPr>
                <w:rFonts w:eastAsia="RijksoverheidSerif-Regular"/>
                <w:sz w:val="14"/>
                <w:szCs w:val="14"/>
                <w:lang w:eastAsia="en-US"/>
              </w:rPr>
              <w:t xml:space="preserve"> as one that is </w:t>
            </w:r>
            <w:r w:rsidRPr="00ED6053">
              <w:rPr>
                <w:rFonts w:eastAsia="RijksoverheidSerif-Regular"/>
                <w:i/>
                <w:iCs/>
                <w:sz w:val="14"/>
                <w:szCs w:val="14"/>
                <w:lang w:eastAsia="en-US"/>
              </w:rPr>
              <w:t>future-proof</w:t>
            </w:r>
            <w:r w:rsidRPr="00ED6053">
              <w:rPr>
                <w:rFonts w:eastAsia="RijksoverheidSerif-Regular"/>
                <w:sz w:val="14"/>
                <w:szCs w:val="14"/>
                <w:lang w:eastAsia="en-US"/>
              </w:rPr>
              <w:t xml:space="preserve"> and provides a solution for the</w:t>
            </w:r>
            <w:r w:rsidRPr="00ED6053">
              <w:rPr>
                <w:rFonts w:eastAsia="RijksoverheidSerif-Regular"/>
                <w:i/>
                <w:iCs/>
                <w:sz w:val="14"/>
                <w:szCs w:val="14"/>
                <w:lang w:eastAsia="en-US"/>
              </w:rPr>
              <w:t xml:space="preserve"> </w:t>
            </w:r>
            <w:r w:rsidRPr="00ED6053">
              <w:rPr>
                <w:rFonts w:eastAsia="RijksoverheidSerif-Regular"/>
                <w:sz w:val="14"/>
                <w:szCs w:val="14"/>
                <w:lang w:eastAsia="en-US"/>
              </w:rPr>
              <w:t xml:space="preserve">tasks arising in all the scenarios considered, while a </w:t>
            </w:r>
            <w:r w:rsidRPr="00ED6053">
              <w:rPr>
                <w:rFonts w:eastAsia="RijksoverheidSerif-Regular"/>
                <w:i/>
                <w:iCs/>
                <w:sz w:val="14"/>
                <w:szCs w:val="14"/>
                <w:lang w:eastAsia="en-US"/>
              </w:rPr>
              <w:t>flexible strategy</w:t>
            </w:r>
            <w:r w:rsidRPr="00ED6053">
              <w:rPr>
                <w:rFonts w:eastAsia="RijksoverheidSerif-Regular"/>
                <w:sz w:val="14"/>
                <w:szCs w:val="14"/>
                <w:lang w:eastAsia="en-US"/>
              </w:rPr>
              <w:t xml:space="preserve"> is one that can be relatively easy accelerated or delayed, or that allows a switch to other strategy (a shift from a measure to another) (</w:t>
            </w:r>
            <w:r w:rsidRPr="00ED6053">
              <w:rPr>
                <w:rFonts w:eastAsia="RijksoverheidSerif-Regular"/>
                <w:color w:val="7F7F7F" w:themeColor="text1" w:themeTint="80"/>
                <w:sz w:val="14"/>
                <w:szCs w:val="14"/>
                <w:lang w:eastAsia="en-US"/>
              </w:rPr>
              <w:t>DP 2013, p.103</w:t>
            </w:r>
            <w:r w:rsidRPr="00ED6053">
              <w:rPr>
                <w:rFonts w:eastAsia="RijksoverheidSerif-Regular"/>
                <w:sz w:val="14"/>
                <w:szCs w:val="14"/>
                <w:lang w:eastAsia="en-US"/>
              </w:rPr>
              <w:t>)</w:t>
            </w:r>
            <w:r w:rsidRPr="00ED6053">
              <w:rPr>
                <w:sz w:val="14"/>
                <w:szCs w:val="14"/>
              </w:rPr>
              <w:t xml:space="preserve">. The </w:t>
            </w:r>
            <w:proofErr w:type="gramStart"/>
            <w:r w:rsidRPr="00ED6053">
              <w:rPr>
                <w:sz w:val="14"/>
                <w:szCs w:val="14"/>
              </w:rPr>
              <w:t>ultimate goal</w:t>
            </w:r>
            <w:proofErr w:type="gramEnd"/>
            <w:r w:rsidRPr="00ED6053">
              <w:rPr>
                <w:sz w:val="14"/>
                <w:szCs w:val="14"/>
              </w:rPr>
              <w:t xml:space="preserve"> is that the FRM system meets the requirements ‘</w:t>
            </w:r>
            <w:r w:rsidRPr="00ED6053">
              <w:rPr>
                <w:i/>
                <w:iCs/>
                <w:sz w:val="14"/>
                <w:szCs w:val="14"/>
              </w:rPr>
              <w:t>at all times</w:t>
            </w:r>
            <w:r w:rsidRPr="00ED6053">
              <w:rPr>
                <w:sz w:val="14"/>
                <w:szCs w:val="14"/>
              </w:rPr>
              <w:t>’ (all scenarios), which requires solution ‘</w:t>
            </w:r>
            <w:r w:rsidRPr="00ED6053">
              <w:rPr>
                <w:i/>
                <w:iCs/>
                <w:sz w:val="14"/>
                <w:szCs w:val="14"/>
              </w:rPr>
              <w:t>able to adapt to new insights and circumstances</w:t>
            </w:r>
            <w:r w:rsidRPr="00ED6053">
              <w:rPr>
                <w:sz w:val="14"/>
                <w:szCs w:val="14"/>
              </w:rPr>
              <w:t>’ and ‘</w:t>
            </w:r>
            <w:r w:rsidRPr="00ED6053">
              <w:rPr>
                <w:i/>
                <w:iCs/>
                <w:sz w:val="14"/>
                <w:szCs w:val="14"/>
              </w:rPr>
              <w:t>sufficient options to remain open in the future to take the required measures</w:t>
            </w:r>
            <w:r w:rsidRPr="00ED6053">
              <w:rPr>
                <w:sz w:val="14"/>
                <w:szCs w:val="14"/>
              </w:rPr>
              <w:t xml:space="preserve">’ </w:t>
            </w:r>
            <w:r w:rsidRPr="00ED6053">
              <w:rPr>
                <w:bCs/>
                <w:sz w:val="14"/>
                <w:szCs w:val="14"/>
              </w:rPr>
              <w:t>(</w:t>
            </w:r>
            <w:r w:rsidRPr="00ED6053">
              <w:rPr>
                <w:bCs/>
                <w:color w:val="7F7F7F" w:themeColor="text1" w:themeTint="80"/>
                <w:sz w:val="14"/>
                <w:szCs w:val="14"/>
              </w:rPr>
              <w:t>DP 2013, p.102</w:t>
            </w:r>
            <w:r w:rsidRPr="00ED6053">
              <w:rPr>
                <w:bCs/>
                <w:sz w:val="14"/>
                <w:szCs w:val="14"/>
              </w:rPr>
              <w:t xml:space="preserve">). </w:t>
            </w:r>
            <w:r w:rsidRPr="00ED6053">
              <w:rPr>
                <w:sz w:val="14"/>
                <w:szCs w:val="14"/>
              </w:rPr>
              <w:t xml:space="preserve">The DP searched for short-term measures that are adequate in the long-term and enhance the system’s robustness and flexibility, making it suited for diverse scenarios </w:t>
            </w:r>
            <w:r w:rsidRPr="00ED6053">
              <w:rPr>
                <w:rFonts w:eastAsia="RijksoverheidSansText-Regular"/>
                <w:color w:val="000000"/>
                <w:sz w:val="14"/>
                <w:szCs w:val="14"/>
              </w:rPr>
              <w:t>(</w:t>
            </w:r>
            <w:r w:rsidRPr="00ED6053">
              <w:rPr>
                <w:rFonts w:eastAsia="RijksoverheidSansText-Regular"/>
                <w:color w:val="7F7F7F" w:themeColor="text1" w:themeTint="80"/>
                <w:sz w:val="14"/>
                <w:szCs w:val="14"/>
              </w:rPr>
              <w:t>DP 2010, p.69</w:t>
            </w:r>
            <w:r w:rsidRPr="00ED6053">
              <w:rPr>
                <w:rFonts w:eastAsia="RijksoverheidSansText-Regular"/>
                <w:color w:val="000000"/>
                <w:sz w:val="14"/>
                <w:szCs w:val="14"/>
              </w:rPr>
              <w:t>).</w:t>
            </w:r>
            <w:r w:rsidRPr="00ED6053">
              <w:rPr>
                <w:rFonts w:eastAsia="RijksoverheidSerif-Regular"/>
                <w:sz w:val="14"/>
                <w:szCs w:val="14"/>
                <w:lang w:eastAsia="en-US"/>
              </w:rPr>
              <w:t xml:space="preserve"> </w:t>
            </w:r>
          </w:p>
          <w:p w14:paraId="56C3C1F6" w14:textId="77777777" w:rsidR="00ED6053" w:rsidRPr="00ED6053" w:rsidRDefault="00ED6053" w:rsidP="00336A37">
            <w:pPr>
              <w:pStyle w:val="TEXTBODY"/>
              <w:spacing w:after="120"/>
              <w:jc w:val="left"/>
              <w:rPr>
                <w:sz w:val="14"/>
                <w:szCs w:val="14"/>
              </w:rPr>
            </w:pPr>
            <w:r w:rsidRPr="00ED6053">
              <w:rPr>
                <w:rFonts w:eastAsia="RijksoverheidSerif-Regular"/>
                <w:sz w:val="14"/>
                <w:szCs w:val="14"/>
                <w:lang w:eastAsia="en-US"/>
              </w:rPr>
              <w:t>The DP has used ADM to devise</w:t>
            </w:r>
            <w:r w:rsidRPr="00ED6053">
              <w:rPr>
                <w:rFonts w:eastAsia="RijksoverheidSerif-Regular"/>
                <w:i/>
                <w:iCs/>
                <w:sz w:val="14"/>
                <w:szCs w:val="14"/>
                <w:lang w:eastAsia="en-US"/>
              </w:rPr>
              <w:t xml:space="preserve"> robust</w:t>
            </w:r>
            <w:r w:rsidRPr="00ED6053">
              <w:rPr>
                <w:rFonts w:eastAsia="RijksoverheidSerif-Regular"/>
                <w:sz w:val="14"/>
                <w:szCs w:val="14"/>
                <w:lang w:eastAsia="en-US"/>
              </w:rPr>
              <w:t xml:space="preserve"> </w:t>
            </w:r>
            <w:r w:rsidRPr="00ED6053">
              <w:rPr>
                <w:rFonts w:eastAsia="RijksoverheidSerif-Regular"/>
                <w:i/>
                <w:iCs/>
                <w:sz w:val="14"/>
                <w:szCs w:val="14"/>
                <w:lang w:eastAsia="en-US"/>
              </w:rPr>
              <w:t>flexible strategies</w:t>
            </w:r>
            <w:r w:rsidRPr="00ED6053">
              <w:rPr>
                <w:rFonts w:eastAsia="RijksoverheidSerif-Regular"/>
                <w:sz w:val="14"/>
                <w:szCs w:val="14"/>
                <w:lang w:eastAsia="en-US"/>
              </w:rPr>
              <w:t xml:space="preserve">. Flexibility is delivered in several ways, e.g.: by designing each strategy as an </w:t>
            </w:r>
            <w:r w:rsidRPr="00ED6053">
              <w:rPr>
                <w:rFonts w:eastAsia="RijksoverheidSerif-Regular"/>
                <w:i/>
                <w:iCs/>
                <w:sz w:val="14"/>
                <w:szCs w:val="14"/>
                <w:lang w:eastAsia="en-US"/>
              </w:rPr>
              <w:t>adaptation path</w:t>
            </w:r>
            <w:r w:rsidRPr="00ED6053">
              <w:rPr>
                <w:rFonts w:eastAsia="RijksoverheidSerif-Regular"/>
                <w:sz w:val="14"/>
                <w:szCs w:val="14"/>
                <w:lang w:eastAsia="en-US"/>
              </w:rPr>
              <w:t xml:space="preserve"> (pathway), by using solutions that are ‘flexible’ </w:t>
            </w:r>
            <w:r w:rsidRPr="00ED6053">
              <w:rPr>
                <w:rFonts w:eastAsia="RijksoverheidSerif-Regular"/>
                <w:i/>
                <w:iCs/>
                <w:sz w:val="14"/>
                <w:szCs w:val="14"/>
                <w:lang w:eastAsia="en-US"/>
              </w:rPr>
              <w:t>per se</w:t>
            </w:r>
            <w:r w:rsidRPr="00ED6053">
              <w:rPr>
                <w:rFonts w:eastAsia="RijksoverheidSerif-Regular"/>
                <w:sz w:val="14"/>
                <w:szCs w:val="14"/>
                <w:lang w:eastAsia="en-US"/>
              </w:rPr>
              <w:t>, by using various pathways, by linking agendas, etc. Th</w:t>
            </w:r>
            <w:r w:rsidRPr="00ED6053">
              <w:rPr>
                <w:sz w:val="14"/>
                <w:szCs w:val="14"/>
              </w:rPr>
              <w:t>ese types of flexibility create added value in terms of cost reduction, feasibility, and benefits (</w:t>
            </w:r>
            <w:r w:rsidRPr="00ED6053">
              <w:rPr>
                <w:color w:val="7F7F7F" w:themeColor="text1" w:themeTint="80"/>
                <w:sz w:val="14"/>
                <w:szCs w:val="14"/>
              </w:rPr>
              <w:t>DP 2014, p.90, 139</w:t>
            </w:r>
            <w:r w:rsidRPr="00ED6053">
              <w:rPr>
                <w:sz w:val="14"/>
                <w:szCs w:val="14"/>
              </w:rPr>
              <w:t xml:space="preserve">). </w:t>
            </w:r>
          </w:p>
          <w:p w14:paraId="2EF4DE06" w14:textId="77777777" w:rsidR="00ED6053" w:rsidRPr="00ED6053" w:rsidRDefault="00ED6053" w:rsidP="00336A37">
            <w:pPr>
              <w:pStyle w:val="TEXTBODY"/>
              <w:spacing w:after="120"/>
              <w:jc w:val="left"/>
              <w:rPr>
                <w:sz w:val="14"/>
                <w:szCs w:val="14"/>
              </w:rPr>
            </w:pPr>
            <w:r w:rsidRPr="00ED6053">
              <w:rPr>
                <w:sz w:val="14"/>
                <w:szCs w:val="14"/>
              </w:rPr>
              <w:t xml:space="preserve">The DP’s </w:t>
            </w:r>
            <w:r w:rsidRPr="00ED6053">
              <w:rPr>
                <w:i/>
                <w:iCs/>
                <w:sz w:val="14"/>
                <w:szCs w:val="14"/>
              </w:rPr>
              <w:t>flexible adaptive approach</w:t>
            </w:r>
            <w:r w:rsidRPr="00ED6053">
              <w:rPr>
                <w:sz w:val="14"/>
                <w:szCs w:val="14"/>
              </w:rPr>
              <w:t xml:space="preserve"> values flexibility mainly in terms of possible strategies and possible timing of implementation (</w:t>
            </w:r>
            <w:r w:rsidRPr="00ED6053">
              <w:rPr>
                <w:color w:val="7F7F7F" w:themeColor="text1" w:themeTint="80"/>
                <w:sz w:val="14"/>
                <w:szCs w:val="14"/>
              </w:rPr>
              <w:t xml:space="preserve">Haegen and </w:t>
            </w:r>
            <w:proofErr w:type="spellStart"/>
            <w:r w:rsidRPr="00ED6053">
              <w:rPr>
                <w:color w:val="7F7F7F" w:themeColor="text1" w:themeTint="80"/>
                <w:sz w:val="14"/>
                <w:szCs w:val="14"/>
              </w:rPr>
              <w:t>Wieriks</w:t>
            </w:r>
            <w:proofErr w:type="spellEnd"/>
            <w:r w:rsidRPr="00ED6053">
              <w:rPr>
                <w:color w:val="7F7F7F" w:themeColor="text1" w:themeTint="80"/>
                <w:sz w:val="14"/>
                <w:szCs w:val="14"/>
              </w:rPr>
              <w:t xml:space="preserve"> 2015; Zevenbergen et al. 2018</w:t>
            </w:r>
            <w:r w:rsidRPr="00ED6053">
              <w:rPr>
                <w:sz w:val="14"/>
                <w:szCs w:val="14"/>
              </w:rPr>
              <w:t>), i.e. possibility of switching to other measures (or modifying a measure) and anticipating / delaying measures</w:t>
            </w:r>
            <w:r w:rsidRPr="00ED6053">
              <w:rPr>
                <w:iCs/>
                <w:sz w:val="14"/>
                <w:szCs w:val="14"/>
              </w:rPr>
              <w:t xml:space="preserve"> </w:t>
            </w:r>
            <w:r w:rsidRPr="00ED6053">
              <w:rPr>
                <w:sz w:val="14"/>
                <w:szCs w:val="14"/>
              </w:rPr>
              <w:t>(</w:t>
            </w:r>
            <w:r w:rsidRPr="00ED6053">
              <w:rPr>
                <w:color w:val="7F7F7F" w:themeColor="text1" w:themeTint="80"/>
                <w:sz w:val="14"/>
                <w:szCs w:val="14"/>
              </w:rPr>
              <w:t>Vink et al. 2013, p.92</w:t>
            </w:r>
            <w:r w:rsidRPr="00ED6053">
              <w:rPr>
                <w:sz w:val="14"/>
                <w:szCs w:val="14"/>
              </w:rPr>
              <w:t>).</w:t>
            </w:r>
          </w:p>
          <w:p w14:paraId="02F655FD" w14:textId="77777777" w:rsidR="00ED6053" w:rsidRPr="00ED6053" w:rsidRDefault="00ED6053" w:rsidP="00336A37">
            <w:pPr>
              <w:pStyle w:val="TEXTBODY"/>
              <w:spacing w:after="120"/>
              <w:jc w:val="left"/>
              <w:rPr>
                <w:sz w:val="14"/>
                <w:szCs w:val="14"/>
              </w:rPr>
            </w:pPr>
            <w:r w:rsidRPr="00ED6053">
              <w:rPr>
                <w:b/>
                <w:bCs/>
                <w:sz w:val="14"/>
                <w:szCs w:val="14"/>
              </w:rPr>
              <w:t xml:space="preserve">One of the goals of the DP is to make the country ‘robust’ to withstand </w:t>
            </w:r>
            <w:r w:rsidRPr="00ED6053">
              <w:rPr>
                <w:b/>
                <w:bCs/>
                <w:i/>
                <w:iCs/>
                <w:sz w:val="14"/>
                <w:szCs w:val="14"/>
              </w:rPr>
              <w:t xml:space="preserve">greater climatic extremes </w:t>
            </w:r>
            <w:r w:rsidRPr="00ED6053">
              <w:rPr>
                <w:b/>
                <w:bCs/>
                <w:sz w:val="14"/>
                <w:szCs w:val="14"/>
              </w:rPr>
              <w:t>and, thus, ‘</w:t>
            </w:r>
            <w:r w:rsidRPr="00ED6053">
              <w:rPr>
                <w:b/>
                <w:bCs/>
                <w:i/>
                <w:iCs/>
                <w:sz w:val="14"/>
                <w:szCs w:val="14"/>
              </w:rPr>
              <w:t>prepared for various scenarios’</w:t>
            </w:r>
            <w:r w:rsidRPr="00ED6053">
              <w:rPr>
                <w:b/>
                <w:bCs/>
                <w:sz w:val="14"/>
                <w:szCs w:val="14"/>
              </w:rPr>
              <w:t>; and strategies should provide flexibility to respond to change, by ‘</w:t>
            </w:r>
            <w:r w:rsidRPr="00ED6053">
              <w:rPr>
                <w:b/>
                <w:bCs/>
                <w:i/>
                <w:iCs/>
                <w:sz w:val="14"/>
                <w:szCs w:val="14"/>
              </w:rPr>
              <w:t>stepping up measures</w:t>
            </w:r>
            <w:r w:rsidRPr="00ED6053">
              <w:rPr>
                <w:b/>
                <w:bCs/>
                <w:sz w:val="14"/>
                <w:szCs w:val="14"/>
              </w:rPr>
              <w:t>’ or ‘</w:t>
            </w:r>
            <w:r w:rsidRPr="00ED6053">
              <w:rPr>
                <w:b/>
                <w:bCs/>
                <w:i/>
                <w:iCs/>
                <w:sz w:val="14"/>
                <w:szCs w:val="14"/>
              </w:rPr>
              <w:t>changing strategy</w:t>
            </w:r>
            <w:r w:rsidRPr="00ED6053">
              <w:rPr>
                <w:b/>
                <w:bCs/>
                <w:sz w:val="14"/>
                <w:szCs w:val="14"/>
              </w:rPr>
              <w:t xml:space="preserve">’ if necessary </w:t>
            </w:r>
            <w:r w:rsidRPr="00ED6053">
              <w:rPr>
                <w:rFonts w:cs="Arial"/>
                <w:b/>
                <w:bCs/>
                <w:sz w:val="14"/>
              </w:rPr>
              <w:t>(</w:t>
            </w:r>
            <w:r w:rsidRPr="00ED6053">
              <w:rPr>
                <w:rFonts w:cs="Arial"/>
                <w:b/>
                <w:bCs/>
                <w:color w:val="7F7F7F" w:themeColor="text1" w:themeTint="80"/>
                <w:sz w:val="14"/>
              </w:rPr>
              <w:t>DP 2014, p.6</w:t>
            </w:r>
            <w:r w:rsidRPr="00ED6053">
              <w:rPr>
                <w:rFonts w:cs="Arial"/>
                <w:b/>
                <w:bCs/>
                <w:sz w:val="14"/>
              </w:rPr>
              <w:t xml:space="preserve">). The </w:t>
            </w:r>
            <w:r w:rsidRPr="00ED6053">
              <w:rPr>
                <w:rFonts w:cs="Arial"/>
                <w:b/>
                <w:bCs/>
                <w:color w:val="7F7F7F" w:themeColor="text1" w:themeTint="80"/>
                <w:sz w:val="14"/>
              </w:rPr>
              <w:t xml:space="preserve">DP 2010 </w:t>
            </w:r>
            <w:r w:rsidRPr="00ED6053">
              <w:rPr>
                <w:rFonts w:cs="Arial"/>
                <w:b/>
                <w:bCs/>
                <w:sz w:val="14"/>
              </w:rPr>
              <w:t xml:space="preserve">defines a </w:t>
            </w:r>
            <w:r w:rsidRPr="00ED6053">
              <w:rPr>
                <w:rFonts w:cs="Arial"/>
                <w:b/>
                <w:bCs/>
                <w:i/>
                <w:iCs/>
                <w:sz w:val="14"/>
              </w:rPr>
              <w:t>robust system</w:t>
            </w:r>
            <w:r w:rsidRPr="00ED6053">
              <w:rPr>
                <w:rFonts w:cs="Arial"/>
                <w:b/>
                <w:bCs/>
                <w:sz w:val="14"/>
              </w:rPr>
              <w:t xml:space="preserve"> as ‘</w:t>
            </w:r>
            <w:r w:rsidRPr="00ED6053">
              <w:rPr>
                <w:rFonts w:cs="Arial"/>
                <w:b/>
                <w:bCs/>
                <w:i/>
                <w:iCs/>
                <w:sz w:val="14"/>
              </w:rPr>
              <w:t>one that can withstand extreme events and accommodates different future developments</w:t>
            </w:r>
            <w:r w:rsidRPr="00ED6053">
              <w:rPr>
                <w:rFonts w:cs="Arial"/>
                <w:b/>
                <w:bCs/>
                <w:sz w:val="14"/>
              </w:rPr>
              <w:t xml:space="preserve">’, and a </w:t>
            </w:r>
            <w:r w:rsidRPr="00ED6053">
              <w:rPr>
                <w:rFonts w:cs="Arial"/>
                <w:b/>
                <w:bCs/>
                <w:i/>
                <w:iCs/>
                <w:sz w:val="14"/>
              </w:rPr>
              <w:t>flexible system</w:t>
            </w:r>
            <w:r w:rsidRPr="00ED6053">
              <w:rPr>
                <w:rFonts w:cs="Arial"/>
                <w:b/>
                <w:bCs/>
                <w:sz w:val="14"/>
              </w:rPr>
              <w:t xml:space="preserve"> as ‘</w:t>
            </w:r>
            <w:r w:rsidRPr="00ED6053">
              <w:rPr>
                <w:rFonts w:cs="Arial"/>
                <w:b/>
                <w:bCs/>
                <w:i/>
                <w:iCs/>
                <w:sz w:val="14"/>
              </w:rPr>
              <w:t>one that can easily adapt or be adapted to changing circumstances</w:t>
            </w:r>
            <w:r w:rsidRPr="00ED6053">
              <w:rPr>
                <w:rFonts w:cs="Arial"/>
                <w:b/>
                <w:bCs/>
                <w:sz w:val="14"/>
              </w:rPr>
              <w:t xml:space="preserve">’, e.g. ‘giving room to rivers’ is a measure that increases robustness, while sand replenishment is a measure that maintains flexibility </w:t>
            </w:r>
            <w:r w:rsidRPr="00ED6053">
              <w:rPr>
                <w:rFonts w:eastAsia="RijksoverheidSansText-Regular" w:cs="Arial"/>
                <w:b/>
                <w:bCs/>
                <w:color w:val="000000"/>
                <w:sz w:val="14"/>
              </w:rPr>
              <w:t>(</w:t>
            </w:r>
            <w:r w:rsidRPr="00ED6053">
              <w:rPr>
                <w:rFonts w:eastAsia="RijksoverheidSansText-Regular" w:cs="Arial"/>
                <w:b/>
                <w:bCs/>
                <w:color w:val="7F7F7F" w:themeColor="text1" w:themeTint="80"/>
                <w:sz w:val="14"/>
              </w:rPr>
              <w:t>DP 2010, p.69</w:t>
            </w:r>
            <w:r w:rsidRPr="00ED6053">
              <w:rPr>
                <w:rFonts w:eastAsia="RijksoverheidSansText-Regular" w:cs="Arial"/>
                <w:b/>
                <w:bCs/>
                <w:color w:val="000000"/>
                <w:sz w:val="14"/>
              </w:rPr>
              <w:t>).</w:t>
            </w:r>
            <w:r w:rsidRPr="00ED6053">
              <w:rPr>
                <w:rFonts w:eastAsia="RijksoverheidSansText-Regular"/>
                <w:b/>
                <w:bCs/>
                <w:sz w:val="14"/>
                <w:szCs w:val="14"/>
              </w:rPr>
              <w:t xml:space="preserve"> Strategies should ensure ‘</w:t>
            </w:r>
            <w:r w:rsidRPr="00ED6053">
              <w:rPr>
                <w:rFonts w:eastAsia="RijksoverheidSansText-Regular"/>
                <w:b/>
                <w:bCs/>
                <w:i/>
                <w:iCs/>
                <w:sz w:val="14"/>
                <w:szCs w:val="14"/>
              </w:rPr>
              <w:t xml:space="preserve">flexibility’ </w:t>
            </w:r>
            <w:r w:rsidRPr="00ED6053">
              <w:rPr>
                <w:rFonts w:eastAsia="RijksoverheidSansText-Regular"/>
                <w:b/>
                <w:bCs/>
                <w:sz w:val="14"/>
                <w:szCs w:val="14"/>
              </w:rPr>
              <w:t>(also called</w:t>
            </w:r>
            <w:r w:rsidRPr="00ED6053">
              <w:rPr>
                <w:rFonts w:eastAsia="RijksoverheidSansText-Regular"/>
                <w:b/>
                <w:bCs/>
                <w:i/>
                <w:iCs/>
                <w:sz w:val="14"/>
                <w:szCs w:val="14"/>
              </w:rPr>
              <w:t xml:space="preserve"> ‘adaptability’</w:t>
            </w:r>
            <w:r w:rsidRPr="00ED6053">
              <w:rPr>
                <w:rFonts w:eastAsia="RijksoverheidSansText-Regular"/>
                <w:b/>
                <w:bCs/>
                <w:sz w:val="14"/>
                <w:szCs w:val="14"/>
              </w:rPr>
              <w:t>) and ‘</w:t>
            </w:r>
            <w:r w:rsidRPr="00ED6053">
              <w:rPr>
                <w:rFonts w:eastAsia="RijksoverheidSansText-Regular"/>
                <w:b/>
                <w:bCs/>
                <w:i/>
                <w:iCs/>
                <w:sz w:val="14"/>
                <w:szCs w:val="14"/>
              </w:rPr>
              <w:t>robustness</w:t>
            </w:r>
            <w:r w:rsidRPr="00ED6053">
              <w:rPr>
                <w:rFonts w:eastAsia="RijksoverheidSansText-Regular"/>
                <w:b/>
                <w:bCs/>
                <w:sz w:val="14"/>
                <w:szCs w:val="14"/>
              </w:rPr>
              <w:t xml:space="preserve">’ (also called </w:t>
            </w:r>
            <w:r w:rsidRPr="00ED6053">
              <w:rPr>
                <w:rFonts w:eastAsia="RijksoverheidSansText-Regular"/>
                <w:b/>
                <w:bCs/>
                <w:i/>
                <w:iCs/>
                <w:sz w:val="14"/>
                <w:szCs w:val="14"/>
              </w:rPr>
              <w:t>resistance to extreme events</w:t>
            </w:r>
            <w:r w:rsidRPr="00ED6053">
              <w:rPr>
                <w:rFonts w:eastAsia="RijksoverheidSansText-Regular"/>
                <w:b/>
                <w:bCs/>
                <w:sz w:val="14"/>
                <w:szCs w:val="14"/>
              </w:rPr>
              <w:t>) (</w:t>
            </w:r>
            <w:r w:rsidRPr="00ED6053">
              <w:rPr>
                <w:rFonts w:eastAsia="RijksoverheidSansText-Regular"/>
                <w:b/>
                <w:bCs/>
                <w:color w:val="7F7F7F" w:themeColor="text1" w:themeTint="80"/>
                <w:sz w:val="14"/>
                <w:szCs w:val="14"/>
              </w:rPr>
              <w:t>DP 2010, p.4</w:t>
            </w:r>
            <w:r w:rsidRPr="00ED6053">
              <w:rPr>
                <w:rFonts w:eastAsia="RijksoverheidSansText-Regular"/>
                <w:b/>
                <w:bCs/>
                <w:sz w:val="14"/>
                <w:szCs w:val="14"/>
              </w:rPr>
              <w:t xml:space="preserve">). </w:t>
            </w:r>
          </w:p>
        </w:tc>
      </w:tr>
      <w:tr w:rsidR="00ED6053" w:rsidRPr="00ED6053" w14:paraId="11DF7012" w14:textId="77777777" w:rsidTr="00FF4124">
        <w:trPr>
          <w:trHeight w:val="413"/>
        </w:trPr>
        <w:tc>
          <w:tcPr>
            <w:tcW w:w="794" w:type="dxa"/>
            <w:tcBorders>
              <w:left w:val="nil"/>
              <w:right w:val="nil"/>
            </w:tcBorders>
          </w:tcPr>
          <w:p w14:paraId="1A7AD334" w14:textId="77777777" w:rsidR="00ED6053" w:rsidRPr="00ED6053" w:rsidRDefault="00ED6053" w:rsidP="00336A37">
            <w:pPr>
              <w:pStyle w:val="tablecontenttext"/>
              <w:spacing w:line="240" w:lineRule="auto"/>
              <w:rPr>
                <w:rFonts w:ascii="Times New Roman" w:hAnsi="Times New Roman" w:cs="Times New Roman"/>
                <w:b/>
                <w:sz w:val="14"/>
                <w:szCs w:val="14"/>
              </w:rPr>
            </w:pPr>
            <w:r w:rsidRPr="00ED6053">
              <w:rPr>
                <w:rFonts w:ascii="Times New Roman" w:hAnsi="Times New Roman" w:cs="Times New Roman"/>
                <w:b/>
                <w:sz w:val="14"/>
                <w:szCs w:val="14"/>
              </w:rPr>
              <w:t xml:space="preserve">Ways of delivering </w:t>
            </w:r>
            <w:proofErr w:type="gramStart"/>
            <w:r w:rsidRPr="00ED6053">
              <w:rPr>
                <w:rFonts w:ascii="Times New Roman" w:hAnsi="Times New Roman" w:cs="Times New Roman"/>
                <w:b/>
                <w:sz w:val="14"/>
                <w:szCs w:val="14"/>
              </w:rPr>
              <w:t>Flexibility;</w:t>
            </w:r>
            <w:proofErr w:type="gramEnd"/>
            <w:r w:rsidRPr="00ED6053">
              <w:rPr>
                <w:rFonts w:ascii="Times New Roman" w:hAnsi="Times New Roman" w:cs="Times New Roman"/>
                <w:b/>
                <w:sz w:val="14"/>
                <w:szCs w:val="14"/>
              </w:rPr>
              <w:t xml:space="preserve"> </w:t>
            </w:r>
          </w:p>
          <w:p w14:paraId="75052D4E" w14:textId="77777777" w:rsidR="00ED6053" w:rsidRPr="00ED6053" w:rsidRDefault="00ED6053" w:rsidP="00336A37">
            <w:pPr>
              <w:pStyle w:val="tablecontenttext"/>
              <w:spacing w:line="240" w:lineRule="auto"/>
              <w:rPr>
                <w:rFonts w:ascii="Times New Roman" w:hAnsi="Times New Roman" w:cs="Times New Roman"/>
                <w:b/>
                <w:sz w:val="14"/>
                <w:szCs w:val="14"/>
              </w:rPr>
            </w:pPr>
            <w:r w:rsidRPr="00ED6053">
              <w:rPr>
                <w:rFonts w:ascii="Times New Roman" w:hAnsi="Times New Roman" w:cs="Times New Roman"/>
                <w:b/>
                <w:sz w:val="14"/>
                <w:szCs w:val="14"/>
              </w:rPr>
              <w:t xml:space="preserve">Dynamic </w:t>
            </w:r>
            <w:proofErr w:type="gramStart"/>
            <w:r w:rsidRPr="00ED6053">
              <w:rPr>
                <w:rFonts w:ascii="Times New Roman" w:hAnsi="Times New Roman" w:cs="Times New Roman"/>
                <w:b/>
                <w:sz w:val="14"/>
                <w:szCs w:val="14"/>
              </w:rPr>
              <w:t>robustness ,</w:t>
            </w:r>
            <w:proofErr w:type="gramEnd"/>
          </w:p>
          <w:p w14:paraId="62A80B1C" w14:textId="77777777" w:rsidR="00ED6053" w:rsidRPr="00ED6053" w:rsidRDefault="00ED6053" w:rsidP="00336A37">
            <w:pPr>
              <w:pStyle w:val="tablecontenttext"/>
              <w:spacing w:line="240" w:lineRule="auto"/>
              <w:rPr>
                <w:rFonts w:ascii="Times New Roman" w:hAnsi="Times New Roman" w:cs="Times New Roman"/>
                <w:b/>
                <w:sz w:val="14"/>
                <w:szCs w:val="14"/>
                <w:lang w:val="es-ES"/>
              </w:rPr>
            </w:pPr>
            <w:proofErr w:type="spellStart"/>
            <w:r w:rsidRPr="00ED6053">
              <w:rPr>
                <w:rFonts w:ascii="Times New Roman" w:hAnsi="Times New Roman" w:cs="Times New Roman"/>
                <w:b/>
                <w:sz w:val="14"/>
                <w:szCs w:val="14"/>
                <w:lang w:val="es-ES"/>
              </w:rPr>
              <w:t>Adaptability</w:t>
            </w:r>
            <w:proofErr w:type="spellEnd"/>
          </w:p>
        </w:tc>
        <w:tc>
          <w:tcPr>
            <w:tcW w:w="4535" w:type="dxa"/>
            <w:tcBorders>
              <w:left w:val="nil"/>
              <w:right w:val="nil"/>
            </w:tcBorders>
          </w:tcPr>
          <w:p w14:paraId="63BF2216" w14:textId="77777777" w:rsidR="00ED6053" w:rsidRPr="00ED6053" w:rsidRDefault="00ED6053" w:rsidP="00336A37">
            <w:pPr>
              <w:pStyle w:val="TEXTBODY"/>
              <w:jc w:val="left"/>
              <w:rPr>
                <w:sz w:val="14"/>
                <w:szCs w:val="14"/>
              </w:rPr>
            </w:pPr>
            <w:r w:rsidRPr="00ED6053">
              <w:rPr>
                <w:sz w:val="14"/>
                <w:szCs w:val="14"/>
              </w:rPr>
              <w:t xml:space="preserve">The TE2100 Project sought to guarantee ‘dynamic robustness’ (recommended by the UK Government) </w:t>
            </w:r>
            <w:r w:rsidRPr="00ED6053">
              <w:rPr>
                <w:color w:val="C00000"/>
                <w:sz w:val="14"/>
                <w:szCs w:val="14"/>
              </w:rPr>
              <w:t xml:space="preserve">and adaptability </w:t>
            </w:r>
            <w:r w:rsidRPr="00ED6053">
              <w:rPr>
                <w:sz w:val="14"/>
                <w:szCs w:val="14"/>
              </w:rPr>
              <w:t>mainly through: ensuring the ability to change between Options (i.e. pathways’ flexibility, the plan allows for switching of measure or pathway if necessary, the plan must be managed iteratively, and its measures or their timing can be changed); changing the timing of new measures (bringing forward / delaying measures according to the rate of change observed); using low-regrets measures (i.e. cost-efficient and beneficial under multiple scenarios), structural flexibility (i.e. adjustable  engineering solutions, structures designed so that they can be adapted to changing conditions, embedding / mainstreaming adaptation into new infrastructure projects), safeguarding land for future FRM measures (to ensure that future options remain possible) (</w:t>
            </w:r>
            <w:r w:rsidRPr="00ED6053">
              <w:rPr>
                <w:color w:val="7F7F7F" w:themeColor="text1" w:themeTint="80"/>
                <w:sz w:val="14"/>
                <w:szCs w:val="14"/>
              </w:rPr>
              <w:t>Ranger et al. 2013; Environment Agency 2012</w:t>
            </w:r>
            <w:r w:rsidRPr="00ED6053">
              <w:rPr>
                <w:sz w:val="14"/>
                <w:szCs w:val="14"/>
              </w:rPr>
              <w:t>).</w:t>
            </w:r>
          </w:p>
          <w:p w14:paraId="368B9BEE" w14:textId="77777777" w:rsidR="00ED6053" w:rsidRPr="00ED6053" w:rsidRDefault="00ED6053" w:rsidP="00336A37">
            <w:pPr>
              <w:pStyle w:val="TEXTBODY"/>
              <w:jc w:val="left"/>
              <w:rPr>
                <w:sz w:val="14"/>
                <w:szCs w:val="14"/>
              </w:rPr>
            </w:pPr>
          </w:p>
          <w:p w14:paraId="24E9CF8E" w14:textId="77777777" w:rsidR="00ED6053" w:rsidRPr="00ED6053" w:rsidRDefault="00ED6053" w:rsidP="00336A37">
            <w:pPr>
              <w:pStyle w:val="CORPOTEXTO"/>
              <w:jc w:val="left"/>
              <w:rPr>
                <w:sz w:val="14"/>
                <w:szCs w:val="14"/>
              </w:rPr>
            </w:pPr>
            <w:r w:rsidRPr="00ED6053">
              <w:rPr>
                <w:sz w:val="14"/>
                <w:szCs w:val="14"/>
              </w:rPr>
              <w:t xml:space="preserve">The </w:t>
            </w:r>
            <w:r w:rsidRPr="00ED6053">
              <w:rPr>
                <w:i/>
                <w:iCs/>
                <w:sz w:val="14"/>
                <w:szCs w:val="14"/>
              </w:rPr>
              <w:t>Dynamic Adaptive Planning approach</w:t>
            </w:r>
            <w:r w:rsidRPr="00ED6053">
              <w:rPr>
                <w:sz w:val="14"/>
                <w:szCs w:val="14"/>
              </w:rPr>
              <w:t>, also called ‘</w:t>
            </w:r>
            <w:r w:rsidRPr="00ED6053">
              <w:rPr>
                <w:i/>
                <w:iCs/>
                <w:sz w:val="14"/>
                <w:szCs w:val="14"/>
              </w:rPr>
              <w:t>managed adaptive approach</w:t>
            </w:r>
            <w:r w:rsidRPr="00ED6053">
              <w:rPr>
                <w:sz w:val="14"/>
                <w:szCs w:val="14"/>
              </w:rPr>
              <w:t>’, is reflected in the way of managing flood risk (</w:t>
            </w:r>
            <w:r w:rsidRPr="00ED6053">
              <w:rPr>
                <w:color w:val="7F7F7F" w:themeColor="text1" w:themeTint="80"/>
                <w:sz w:val="14"/>
                <w:szCs w:val="14"/>
              </w:rPr>
              <w:t>EA 2012, p.34; HM Treasury 2009, p.22</w:t>
            </w:r>
            <w:r w:rsidRPr="00ED6053">
              <w:rPr>
                <w:sz w:val="14"/>
                <w:szCs w:val="14"/>
              </w:rPr>
              <w:t xml:space="preserve">). The </w:t>
            </w:r>
            <w:r w:rsidRPr="00ED6053">
              <w:rPr>
                <w:i/>
                <w:iCs/>
                <w:sz w:val="14"/>
                <w:szCs w:val="14"/>
              </w:rPr>
              <w:t>Dynamic Adaptive Planning approach</w:t>
            </w:r>
            <w:r w:rsidRPr="00ED6053">
              <w:rPr>
                <w:sz w:val="14"/>
                <w:szCs w:val="14"/>
              </w:rPr>
              <w:t xml:space="preserve"> (</w:t>
            </w:r>
            <w:r w:rsidRPr="00ED6053">
              <w:rPr>
                <w:i/>
                <w:iCs/>
                <w:sz w:val="14"/>
                <w:szCs w:val="14"/>
              </w:rPr>
              <w:t>managed adaptive approach</w:t>
            </w:r>
            <w:r w:rsidRPr="00ED6053">
              <w:rPr>
                <w:sz w:val="14"/>
                <w:szCs w:val="14"/>
              </w:rPr>
              <w:t>) seeks to manage (reduce) risk iteratively over time: it defines short-term measures and, at the same time</w:t>
            </w:r>
            <w:r w:rsidRPr="00ED6053">
              <w:rPr>
                <w:color w:val="C00000"/>
                <w:sz w:val="14"/>
                <w:szCs w:val="14"/>
              </w:rPr>
              <w:t xml:space="preserve">, </w:t>
            </w:r>
            <w:r w:rsidRPr="00ED6053">
              <w:rPr>
                <w:sz w:val="14"/>
                <w:szCs w:val="14"/>
              </w:rPr>
              <w:t>lays out possible future measures, which fosters flexibility (</w:t>
            </w:r>
            <w:r w:rsidRPr="00ED6053">
              <w:rPr>
                <w:color w:val="7F7F7F" w:themeColor="text1" w:themeTint="80"/>
                <w:sz w:val="14"/>
                <w:szCs w:val="14"/>
              </w:rPr>
              <w:t>Ranger et al. 2013, p.248</w:t>
            </w:r>
            <w:r w:rsidRPr="00ED6053">
              <w:rPr>
                <w:sz w:val="14"/>
                <w:szCs w:val="14"/>
              </w:rPr>
              <w:t>). Under uncertain future changes and conditions, flood risk management required an adaptive approach where</w:t>
            </w:r>
            <w:r w:rsidRPr="00ED6053">
              <w:rPr>
                <w:b/>
                <w:bCs/>
                <w:i/>
                <w:sz w:val="14"/>
                <w:szCs w:val="14"/>
              </w:rPr>
              <w:t xml:space="preserve"> </w:t>
            </w:r>
            <w:r w:rsidRPr="00ED6053">
              <w:rPr>
                <w:i/>
                <w:sz w:val="14"/>
                <w:szCs w:val="14"/>
              </w:rPr>
              <w:t xml:space="preserve">‘measures are introduced at different times to limit the increase in flood risk </w:t>
            </w:r>
            <w:r w:rsidRPr="00ED6053">
              <w:rPr>
                <w:iCs/>
                <w:sz w:val="14"/>
                <w:szCs w:val="14"/>
              </w:rPr>
              <w:t>(</w:t>
            </w:r>
            <w:r w:rsidRPr="00ED6053">
              <w:rPr>
                <w:i/>
                <w:sz w:val="14"/>
                <w:szCs w:val="14"/>
              </w:rPr>
              <w:t>due to climate change</w:t>
            </w:r>
            <w:r w:rsidRPr="00ED6053">
              <w:rPr>
                <w:iCs/>
                <w:sz w:val="14"/>
                <w:szCs w:val="14"/>
              </w:rPr>
              <w:t>)</w:t>
            </w:r>
            <w:r w:rsidRPr="00ED6053">
              <w:rPr>
                <w:i/>
                <w:sz w:val="14"/>
                <w:szCs w:val="14"/>
              </w:rPr>
              <w:t xml:space="preserve"> to acceptable values</w:t>
            </w:r>
            <w:r w:rsidRPr="00ED6053">
              <w:rPr>
                <w:sz w:val="14"/>
                <w:szCs w:val="14"/>
              </w:rPr>
              <w:t>’</w:t>
            </w:r>
            <w:r w:rsidRPr="00ED6053">
              <w:rPr>
                <w:color w:val="C00000"/>
                <w:sz w:val="14"/>
                <w:szCs w:val="14"/>
              </w:rPr>
              <w:t xml:space="preserve"> </w:t>
            </w:r>
            <w:r w:rsidRPr="00ED6053">
              <w:rPr>
                <w:sz w:val="14"/>
                <w:szCs w:val="14"/>
              </w:rPr>
              <w:t>(</w:t>
            </w:r>
            <w:r w:rsidRPr="00ED6053">
              <w:rPr>
                <w:color w:val="7F7F7F" w:themeColor="text1" w:themeTint="80"/>
                <w:sz w:val="14"/>
                <w:szCs w:val="14"/>
              </w:rPr>
              <w:t>Ramsbottom and Sheppard 2017, p.1, 3</w:t>
            </w:r>
            <w:r w:rsidRPr="00ED6053">
              <w:rPr>
                <w:sz w:val="14"/>
                <w:szCs w:val="14"/>
              </w:rPr>
              <w:t xml:space="preserve">). </w:t>
            </w:r>
          </w:p>
          <w:p w14:paraId="38CC491D" w14:textId="77777777" w:rsidR="00ED6053" w:rsidRPr="00ED6053" w:rsidRDefault="00ED6053" w:rsidP="00336A37">
            <w:pPr>
              <w:pStyle w:val="CORPOTEXTO"/>
              <w:jc w:val="left"/>
              <w:rPr>
                <w:sz w:val="14"/>
                <w:szCs w:val="14"/>
              </w:rPr>
            </w:pPr>
            <w:r w:rsidRPr="00ED6053">
              <w:rPr>
                <w:sz w:val="14"/>
                <w:szCs w:val="14"/>
              </w:rPr>
              <w:t>The ‘</w:t>
            </w:r>
            <w:r w:rsidRPr="00ED6053">
              <w:rPr>
                <w:i/>
                <w:iCs/>
                <w:sz w:val="14"/>
                <w:szCs w:val="14"/>
              </w:rPr>
              <w:t>managed adaptive approach</w:t>
            </w:r>
            <w:r w:rsidRPr="00ED6053">
              <w:rPr>
                <w:sz w:val="14"/>
                <w:szCs w:val="14"/>
              </w:rPr>
              <w:t xml:space="preserve">’ involves planning several measures to manage (reduce) flood risk over time (EA 2012, p.34). (…) </w:t>
            </w:r>
            <w:r w:rsidRPr="00ED6053">
              <w:rPr>
                <w:color w:val="C00000"/>
                <w:sz w:val="14"/>
                <w:szCs w:val="14"/>
              </w:rPr>
              <w:t xml:space="preserve"> </w:t>
            </w:r>
            <w:r w:rsidRPr="00ED6053">
              <w:rPr>
                <w:sz w:val="14"/>
                <w:szCs w:val="14"/>
              </w:rPr>
              <w:t xml:space="preserve">An </w:t>
            </w:r>
            <w:r w:rsidRPr="00ED6053">
              <w:rPr>
                <w:i/>
                <w:iCs/>
                <w:sz w:val="14"/>
                <w:szCs w:val="14"/>
              </w:rPr>
              <w:t>Option</w:t>
            </w:r>
            <w:r w:rsidRPr="00ED6053">
              <w:rPr>
                <w:sz w:val="14"/>
                <w:szCs w:val="14"/>
              </w:rPr>
              <w:t xml:space="preserve"> (pathway) is a package of measures (actions) implemented over time to achieve the policy recommended throughout the century. The </w:t>
            </w:r>
            <w:r w:rsidRPr="00ED6053">
              <w:rPr>
                <w:i/>
                <w:iCs/>
                <w:sz w:val="14"/>
                <w:szCs w:val="14"/>
              </w:rPr>
              <w:t>managed adaptive approach</w:t>
            </w:r>
            <w:r w:rsidRPr="00ED6053">
              <w:rPr>
                <w:sz w:val="14"/>
                <w:szCs w:val="14"/>
              </w:rPr>
              <w:t xml:space="preserve"> is realized by sequencing several measures over time. It </w:t>
            </w:r>
            <w:r w:rsidRPr="00ED6053">
              <w:rPr>
                <w:sz w:val="14"/>
                <w:szCs w:val="14"/>
              </w:rPr>
              <w:lastRenderedPageBreak/>
              <w:t>was also necessary to determine critical conditions under which each measure will be needed (</w:t>
            </w:r>
            <w:r w:rsidRPr="00ED6053">
              <w:rPr>
                <w:color w:val="7F7F7F" w:themeColor="text1" w:themeTint="80"/>
                <w:sz w:val="14"/>
                <w:szCs w:val="14"/>
              </w:rPr>
              <w:t>EA 2012, p.34</w:t>
            </w:r>
            <w:r w:rsidRPr="00ED6053">
              <w:rPr>
                <w:sz w:val="14"/>
                <w:szCs w:val="14"/>
              </w:rPr>
              <w:t>).</w:t>
            </w:r>
          </w:p>
          <w:p w14:paraId="101D9ECD" w14:textId="77777777" w:rsidR="00ED6053" w:rsidRPr="00ED6053" w:rsidRDefault="00ED6053" w:rsidP="00336A37">
            <w:pPr>
              <w:pStyle w:val="CORPOTEXTO"/>
              <w:jc w:val="left"/>
              <w:rPr>
                <w:sz w:val="14"/>
                <w:szCs w:val="14"/>
              </w:rPr>
            </w:pPr>
          </w:p>
          <w:p w14:paraId="5B61D9F7" w14:textId="77777777" w:rsidR="00ED6053" w:rsidRPr="00ED6053" w:rsidRDefault="00ED6053" w:rsidP="00336A37">
            <w:pPr>
              <w:jc w:val="left"/>
              <w:rPr>
                <w:rFonts w:ascii="Times New Roman" w:hAnsi="Times New Roman"/>
                <w:sz w:val="14"/>
                <w:szCs w:val="14"/>
              </w:rPr>
            </w:pPr>
            <w:r w:rsidRPr="00ED6053">
              <w:rPr>
                <w:rFonts w:ascii="Times New Roman" w:hAnsi="Times New Roman"/>
                <w:iCs/>
                <w:sz w:val="14"/>
                <w:szCs w:val="14"/>
              </w:rPr>
              <w:t>In the ‘Route-map approach’, measures are implemented iteratively over time</w:t>
            </w:r>
            <w:r w:rsidRPr="00ED6053">
              <w:rPr>
                <w:rFonts w:ascii="Times New Roman" w:hAnsi="Times New Roman"/>
                <w:i/>
                <w:sz w:val="14"/>
                <w:szCs w:val="14"/>
              </w:rPr>
              <w:t xml:space="preserve"> </w:t>
            </w:r>
            <w:r w:rsidRPr="00ED6053">
              <w:rPr>
                <w:rFonts w:ascii="Times New Roman" w:hAnsi="Times New Roman"/>
                <w:iCs/>
                <w:sz w:val="14"/>
                <w:szCs w:val="14"/>
              </w:rPr>
              <w:t>to keep risk below acceptable levels cost-effectively,</w:t>
            </w:r>
            <w:r w:rsidRPr="00ED6053">
              <w:rPr>
                <w:rFonts w:ascii="Times New Roman" w:hAnsi="Times New Roman"/>
                <w:i/>
                <w:sz w:val="14"/>
                <w:szCs w:val="14"/>
              </w:rPr>
              <w:t xml:space="preserve"> </w:t>
            </w:r>
            <w:r w:rsidRPr="00ED6053">
              <w:rPr>
                <w:rFonts w:ascii="Times New Roman" w:hAnsi="Times New Roman"/>
                <w:iCs/>
                <w:sz w:val="14"/>
                <w:szCs w:val="14"/>
              </w:rPr>
              <w:t xml:space="preserve">while keeping open options (alternative measures) to manage future risk, thus, maintaining </w:t>
            </w:r>
            <w:r w:rsidRPr="00ED6053">
              <w:rPr>
                <w:rFonts w:ascii="Times New Roman" w:hAnsi="Times New Roman"/>
                <w:i/>
                <w:sz w:val="14"/>
                <w:szCs w:val="14"/>
              </w:rPr>
              <w:t>flexibility</w:t>
            </w:r>
            <w:r w:rsidRPr="00ED6053">
              <w:rPr>
                <w:rFonts w:ascii="Times New Roman" w:hAnsi="Times New Roman"/>
                <w:iCs/>
                <w:sz w:val="14"/>
                <w:szCs w:val="14"/>
              </w:rPr>
              <w:t xml:space="preserve"> (</w:t>
            </w:r>
            <w:r w:rsidRPr="00ED6053">
              <w:rPr>
                <w:rFonts w:ascii="Times New Roman" w:hAnsi="Times New Roman"/>
                <w:color w:val="7F7F7F" w:themeColor="text1" w:themeTint="80"/>
                <w:sz w:val="14"/>
                <w:szCs w:val="14"/>
              </w:rPr>
              <w:t>Ranger et al. 2013, p.249, 239</w:t>
            </w:r>
            <w:r w:rsidRPr="00ED6053">
              <w:rPr>
                <w:rFonts w:ascii="Times New Roman" w:hAnsi="Times New Roman"/>
                <w:sz w:val="14"/>
                <w:szCs w:val="14"/>
              </w:rPr>
              <w:t>).</w:t>
            </w:r>
          </w:p>
          <w:p w14:paraId="53F3BB1C" w14:textId="77777777" w:rsidR="00ED6053" w:rsidRPr="00ED6053" w:rsidRDefault="00ED6053" w:rsidP="00336A37">
            <w:pPr>
              <w:jc w:val="left"/>
              <w:rPr>
                <w:rFonts w:ascii="Times New Roman" w:hAnsi="Times New Roman"/>
                <w:sz w:val="14"/>
                <w:szCs w:val="14"/>
              </w:rPr>
            </w:pPr>
          </w:p>
          <w:p w14:paraId="485E0DF8" w14:textId="77777777" w:rsidR="00ED6053" w:rsidRPr="00ED6053" w:rsidRDefault="00ED6053" w:rsidP="00336A37">
            <w:pPr>
              <w:jc w:val="left"/>
              <w:rPr>
                <w:rFonts w:ascii="Times New Roman" w:hAnsi="Times New Roman"/>
                <w:sz w:val="14"/>
                <w:szCs w:val="14"/>
              </w:rPr>
            </w:pPr>
            <w:r w:rsidRPr="00ED6053">
              <w:rPr>
                <w:rFonts w:ascii="Times New Roman" w:hAnsi="Times New Roman"/>
                <w:sz w:val="14"/>
                <w:szCs w:val="14"/>
              </w:rPr>
              <w:t xml:space="preserve">The Route-map / APs approach resulted in an </w:t>
            </w:r>
            <w:r w:rsidRPr="00ED6053">
              <w:rPr>
                <w:rFonts w:ascii="Times New Roman" w:hAnsi="Times New Roman"/>
                <w:i/>
                <w:iCs/>
                <w:sz w:val="14"/>
                <w:szCs w:val="14"/>
              </w:rPr>
              <w:t>adaptive plan</w:t>
            </w:r>
            <w:r w:rsidRPr="00ED6053">
              <w:rPr>
                <w:rFonts w:ascii="Times New Roman" w:hAnsi="Times New Roman"/>
                <w:sz w:val="14"/>
                <w:szCs w:val="14"/>
              </w:rPr>
              <w:t xml:space="preserve"> that provides a suite of pathways (sequences of measures to manage risk) that maintain</w:t>
            </w:r>
            <w:r w:rsidRPr="00ED6053">
              <w:rPr>
                <w:rFonts w:ascii="Times New Roman" w:hAnsi="Times New Roman"/>
                <w:i/>
                <w:iCs/>
                <w:sz w:val="14"/>
                <w:szCs w:val="14"/>
              </w:rPr>
              <w:t xml:space="preserve"> the flexibility to cope with the range of possible future sea level rise</w:t>
            </w:r>
            <w:r w:rsidRPr="00ED6053">
              <w:rPr>
                <w:rFonts w:ascii="Times New Roman" w:hAnsi="Times New Roman"/>
                <w:sz w:val="14"/>
                <w:szCs w:val="14"/>
              </w:rPr>
              <w:t xml:space="preserve"> (</w:t>
            </w:r>
            <w:r w:rsidRPr="00ED6053">
              <w:rPr>
                <w:rFonts w:ascii="Times New Roman" w:hAnsi="Times New Roman"/>
                <w:color w:val="7F7F7F" w:themeColor="text1" w:themeTint="80"/>
                <w:sz w:val="14"/>
                <w:szCs w:val="14"/>
              </w:rPr>
              <w:t>Reeder and Ranger 2011, p.13, 8</w:t>
            </w:r>
            <w:r w:rsidRPr="00ED6053">
              <w:rPr>
                <w:rFonts w:ascii="Times New Roman" w:hAnsi="Times New Roman"/>
                <w:sz w:val="14"/>
                <w:szCs w:val="14"/>
              </w:rPr>
              <w:t>).</w:t>
            </w:r>
          </w:p>
          <w:p w14:paraId="5B4AB30A" w14:textId="77777777" w:rsidR="00ED6053" w:rsidRPr="00ED6053" w:rsidRDefault="00ED6053" w:rsidP="00336A37">
            <w:pPr>
              <w:jc w:val="left"/>
              <w:rPr>
                <w:rFonts w:ascii="Times New Roman" w:hAnsi="Times New Roman"/>
                <w:sz w:val="14"/>
                <w:szCs w:val="14"/>
              </w:rPr>
            </w:pPr>
          </w:p>
          <w:p w14:paraId="5BC37F91" w14:textId="77777777" w:rsidR="00ED6053" w:rsidRPr="00ED6053" w:rsidRDefault="00ED6053" w:rsidP="00336A37">
            <w:pPr>
              <w:pStyle w:val="CORPOTEXTO"/>
              <w:jc w:val="left"/>
              <w:rPr>
                <w:sz w:val="14"/>
                <w:szCs w:val="14"/>
              </w:rPr>
            </w:pPr>
            <w:r w:rsidRPr="00ED6053">
              <w:rPr>
                <w:iCs/>
                <w:sz w:val="14"/>
                <w:szCs w:val="14"/>
              </w:rPr>
              <w:t xml:space="preserve">In the Route-map / APs approach, the timing of new measures, and measures themselves, can be changed (adjusted, adapted) over time – in this way, </w:t>
            </w:r>
            <w:r w:rsidRPr="00ED6053">
              <w:rPr>
                <w:i/>
                <w:iCs/>
                <w:sz w:val="14"/>
                <w:szCs w:val="14"/>
              </w:rPr>
              <w:t xml:space="preserve">flexibility </w:t>
            </w:r>
            <w:r w:rsidRPr="00ED6053">
              <w:rPr>
                <w:sz w:val="14"/>
                <w:szCs w:val="14"/>
              </w:rPr>
              <w:t>is built-in in</w:t>
            </w:r>
            <w:r w:rsidRPr="00ED6053">
              <w:rPr>
                <w:i/>
                <w:iCs/>
                <w:sz w:val="14"/>
                <w:szCs w:val="14"/>
              </w:rPr>
              <w:t xml:space="preserve"> </w:t>
            </w:r>
            <w:r w:rsidRPr="00ED6053">
              <w:rPr>
                <w:sz w:val="14"/>
                <w:szCs w:val="14"/>
              </w:rPr>
              <w:t>the long-term strategy (pathway) (</w:t>
            </w:r>
            <w:r w:rsidRPr="00ED6053">
              <w:rPr>
                <w:color w:val="7F7F7F" w:themeColor="text1" w:themeTint="80"/>
                <w:sz w:val="14"/>
                <w:szCs w:val="14"/>
              </w:rPr>
              <w:t>Ranger et al. 2013, p.249; Reeder and Ranger 2011, p.9</w:t>
            </w:r>
            <w:r w:rsidRPr="00ED6053">
              <w:rPr>
                <w:sz w:val="14"/>
                <w:szCs w:val="14"/>
              </w:rPr>
              <w:t>). Not only are the HLOs (pathways) flexible (for example, it is possible to move from a given measure to a new one), but it is also possible to move from one pathway (HLO) to another depending on the actual rate of change that occurs (</w:t>
            </w:r>
            <w:r w:rsidRPr="00ED6053">
              <w:rPr>
                <w:color w:val="7F7F7F" w:themeColor="text1" w:themeTint="80"/>
                <w:sz w:val="14"/>
                <w:szCs w:val="14"/>
              </w:rPr>
              <w:t>TE2100 Appendix L 2009, p.3; Lowe et al. 2009, p.89; Reeder and Ranger 2011, p.9</w:t>
            </w:r>
            <w:r w:rsidRPr="00ED6053">
              <w:rPr>
                <w:sz w:val="14"/>
                <w:szCs w:val="14"/>
              </w:rPr>
              <w:t xml:space="preserve">). </w:t>
            </w:r>
          </w:p>
          <w:p w14:paraId="7601BDF5" w14:textId="77777777" w:rsidR="00ED6053" w:rsidRPr="00ED6053" w:rsidRDefault="00ED6053" w:rsidP="00336A37">
            <w:pPr>
              <w:pStyle w:val="CORPOTEXTO"/>
              <w:jc w:val="left"/>
              <w:rPr>
                <w:sz w:val="14"/>
                <w:szCs w:val="14"/>
              </w:rPr>
            </w:pPr>
          </w:p>
          <w:p w14:paraId="3BE14981" w14:textId="77777777" w:rsidR="00ED6053" w:rsidRPr="00ED6053" w:rsidRDefault="00ED6053" w:rsidP="00336A37">
            <w:pPr>
              <w:pStyle w:val="CORPOTEXTO"/>
              <w:jc w:val="left"/>
              <w:rPr>
                <w:sz w:val="14"/>
                <w:szCs w:val="14"/>
              </w:rPr>
            </w:pPr>
          </w:p>
          <w:p w14:paraId="4CCDAA1C" w14:textId="77777777" w:rsidR="00ED6053" w:rsidRPr="00ED6053" w:rsidRDefault="00ED6053" w:rsidP="00336A37">
            <w:pPr>
              <w:pStyle w:val="CORPOTEXTO"/>
              <w:jc w:val="left"/>
              <w:rPr>
                <w:color w:val="C00000"/>
                <w:sz w:val="14"/>
                <w:szCs w:val="14"/>
              </w:rPr>
            </w:pPr>
            <w:r w:rsidRPr="00ED6053">
              <w:rPr>
                <w:sz w:val="14"/>
                <w:szCs w:val="14"/>
              </w:rPr>
              <w:t xml:space="preserve">In the ‘APs approach’, </w:t>
            </w:r>
            <w:r w:rsidRPr="00ED6053">
              <w:rPr>
                <w:i/>
                <w:iCs/>
                <w:sz w:val="14"/>
                <w:szCs w:val="14"/>
              </w:rPr>
              <w:t>dynamic robustness</w:t>
            </w:r>
            <w:r w:rsidRPr="00ED6053">
              <w:rPr>
                <w:sz w:val="14"/>
                <w:szCs w:val="14"/>
              </w:rPr>
              <w:t xml:space="preserve"> /</w:t>
            </w:r>
            <w:r w:rsidRPr="00ED6053">
              <w:rPr>
                <w:color w:val="C00000"/>
                <w:sz w:val="14"/>
                <w:szCs w:val="14"/>
              </w:rPr>
              <w:t xml:space="preserve"> </w:t>
            </w:r>
            <w:r w:rsidRPr="00ED6053">
              <w:rPr>
                <w:i/>
                <w:iCs/>
                <w:sz w:val="14"/>
                <w:szCs w:val="14"/>
              </w:rPr>
              <w:t>flexibility</w:t>
            </w:r>
            <w:r w:rsidRPr="00ED6053">
              <w:rPr>
                <w:sz w:val="14"/>
                <w:szCs w:val="14"/>
              </w:rPr>
              <w:t xml:space="preserve"> is </w:t>
            </w:r>
            <w:r w:rsidRPr="00ED6053">
              <w:rPr>
                <w:i/>
                <w:iCs/>
                <w:sz w:val="14"/>
                <w:szCs w:val="14"/>
              </w:rPr>
              <w:t>built-in</w:t>
            </w:r>
            <w:r w:rsidRPr="00ED6053">
              <w:rPr>
                <w:sz w:val="14"/>
                <w:szCs w:val="14"/>
              </w:rPr>
              <w:t xml:space="preserve"> and ensured in the following ways: </w:t>
            </w:r>
          </w:p>
          <w:p w14:paraId="0903E29F" w14:textId="77777777" w:rsidR="00ED6053" w:rsidRPr="00ED6053" w:rsidRDefault="00ED6053" w:rsidP="00336A37">
            <w:pPr>
              <w:pStyle w:val="CORPOTEXTO"/>
              <w:numPr>
                <w:ilvl w:val="0"/>
                <w:numId w:val="11"/>
              </w:numPr>
              <w:ind w:left="284" w:hanging="284"/>
              <w:jc w:val="left"/>
              <w:rPr>
                <w:sz w:val="14"/>
                <w:szCs w:val="14"/>
              </w:rPr>
            </w:pPr>
            <w:r w:rsidRPr="00ED6053">
              <w:rPr>
                <w:b/>
                <w:bCs/>
                <w:color w:val="000000"/>
                <w:sz w:val="14"/>
                <w:szCs w:val="14"/>
              </w:rPr>
              <w:t>Through pathways’ flexibility</w:t>
            </w:r>
            <w:r w:rsidRPr="00ED6053">
              <w:rPr>
                <w:sz w:val="14"/>
                <w:szCs w:val="14"/>
              </w:rPr>
              <w:t xml:space="preserve"> (</w:t>
            </w:r>
            <w:r w:rsidRPr="00ED6053">
              <w:rPr>
                <w:color w:val="7F7F7F" w:themeColor="text1" w:themeTint="80"/>
                <w:sz w:val="14"/>
                <w:szCs w:val="14"/>
              </w:rPr>
              <w:t>Ranger et al. 2013</w:t>
            </w:r>
            <w:r w:rsidRPr="00ED6053">
              <w:rPr>
                <w:sz w:val="14"/>
                <w:szCs w:val="14"/>
              </w:rPr>
              <w:t xml:space="preserve">). In the ‘APs approach’, </w:t>
            </w:r>
            <w:r w:rsidRPr="00ED6053">
              <w:rPr>
                <w:color w:val="000000"/>
                <w:sz w:val="14"/>
                <w:szCs w:val="14"/>
              </w:rPr>
              <w:t xml:space="preserve">the Plan’s </w:t>
            </w:r>
            <w:r w:rsidRPr="00ED6053">
              <w:rPr>
                <w:sz w:val="14"/>
                <w:szCs w:val="14"/>
              </w:rPr>
              <w:t>strategies are designed to be adjusted as changes occur or more is learnt about the future (</w:t>
            </w:r>
            <w:r w:rsidRPr="00ED6053">
              <w:rPr>
                <w:color w:val="7F7F7F" w:themeColor="text1" w:themeTint="80"/>
                <w:sz w:val="14"/>
                <w:szCs w:val="14"/>
              </w:rPr>
              <w:t>Ranger et al. 2013</w:t>
            </w:r>
            <w:r w:rsidRPr="00ED6053">
              <w:rPr>
                <w:sz w:val="14"/>
                <w:szCs w:val="14"/>
              </w:rPr>
              <w:t xml:space="preserve">). In specific, the timing of new measures, and the measures themselves, can be changed (adjusted, adapted) over time, in this way, </w:t>
            </w:r>
            <w:r w:rsidRPr="00ED6053">
              <w:rPr>
                <w:i/>
                <w:iCs/>
                <w:sz w:val="14"/>
                <w:szCs w:val="14"/>
              </w:rPr>
              <w:t>flexibility</w:t>
            </w:r>
            <w:r w:rsidRPr="00ED6053">
              <w:rPr>
                <w:sz w:val="14"/>
                <w:szCs w:val="14"/>
              </w:rPr>
              <w:t xml:space="preserve"> is built-in into the long-term strategy (</w:t>
            </w:r>
            <w:r w:rsidRPr="00ED6053">
              <w:rPr>
                <w:color w:val="7F7F7F" w:themeColor="text1" w:themeTint="80"/>
                <w:sz w:val="14"/>
                <w:szCs w:val="14"/>
              </w:rPr>
              <w:t>Ranger et al. 2013</w:t>
            </w:r>
            <w:r w:rsidRPr="00ED6053">
              <w:rPr>
                <w:sz w:val="14"/>
                <w:szCs w:val="14"/>
              </w:rPr>
              <w:t xml:space="preserve">). </w:t>
            </w:r>
          </w:p>
          <w:p w14:paraId="75199732" w14:textId="77777777" w:rsidR="00ED6053" w:rsidRPr="00ED6053" w:rsidRDefault="00ED6053" w:rsidP="00336A37">
            <w:pPr>
              <w:pStyle w:val="CORPOTEXTO"/>
              <w:numPr>
                <w:ilvl w:val="0"/>
                <w:numId w:val="10"/>
              </w:numPr>
              <w:ind w:left="284" w:hanging="284"/>
              <w:jc w:val="left"/>
              <w:rPr>
                <w:bCs/>
                <w:sz w:val="14"/>
                <w:szCs w:val="14"/>
              </w:rPr>
            </w:pPr>
            <w:r w:rsidRPr="00ED6053">
              <w:rPr>
                <w:sz w:val="14"/>
                <w:szCs w:val="14"/>
              </w:rPr>
              <w:t xml:space="preserve">The APs approach involves a </w:t>
            </w:r>
            <w:r w:rsidRPr="00ED6053">
              <w:rPr>
                <w:b/>
                <w:bCs/>
                <w:sz w:val="14"/>
                <w:szCs w:val="14"/>
              </w:rPr>
              <w:t>stepwise implementation of measures</w:t>
            </w:r>
            <w:r w:rsidRPr="00ED6053">
              <w:rPr>
                <w:sz w:val="14"/>
                <w:szCs w:val="14"/>
              </w:rPr>
              <w:t xml:space="preserve"> and </w:t>
            </w:r>
            <w:r w:rsidRPr="00ED6053">
              <w:rPr>
                <w:b/>
                <w:bCs/>
                <w:sz w:val="14"/>
                <w:szCs w:val="14"/>
              </w:rPr>
              <w:t>keeping open the possibility to switch to other (alternative) measures</w:t>
            </w:r>
            <w:r w:rsidRPr="00ED6053">
              <w:rPr>
                <w:sz w:val="14"/>
                <w:szCs w:val="14"/>
              </w:rPr>
              <w:t xml:space="preserve"> (</w:t>
            </w:r>
            <w:proofErr w:type="spellStart"/>
            <w:r w:rsidRPr="00ED6053">
              <w:rPr>
                <w:color w:val="7F7F7F" w:themeColor="text1" w:themeTint="80"/>
                <w:sz w:val="14"/>
                <w:szCs w:val="14"/>
              </w:rPr>
              <w:t>Jeuken</w:t>
            </w:r>
            <w:proofErr w:type="spellEnd"/>
            <w:r w:rsidRPr="00ED6053">
              <w:rPr>
                <w:color w:val="7F7F7F" w:themeColor="text1" w:themeTint="80"/>
                <w:sz w:val="14"/>
                <w:szCs w:val="14"/>
              </w:rPr>
              <w:t xml:space="preserve"> et al. 2014</w:t>
            </w:r>
            <w:r w:rsidRPr="00ED6053">
              <w:rPr>
                <w:sz w:val="14"/>
                <w:szCs w:val="14"/>
              </w:rPr>
              <w:t>).</w:t>
            </w:r>
            <w:r w:rsidRPr="00ED6053">
              <w:rPr>
                <w:rFonts w:eastAsiaTheme="minorHAnsi"/>
                <w:color w:val="C00000"/>
                <w:sz w:val="14"/>
                <w:szCs w:val="14"/>
                <w:lang w:eastAsia="en-US"/>
              </w:rPr>
              <w:t xml:space="preserve"> </w:t>
            </w:r>
            <w:r w:rsidRPr="00ED6053">
              <w:rPr>
                <w:sz w:val="14"/>
                <w:szCs w:val="14"/>
              </w:rPr>
              <w:t>In this approach, flood risk is managed (reduced) iteratively: the approach displays short-term measures and possible future measures (alternatives), which fosters flexibility (</w:t>
            </w:r>
            <w:r w:rsidRPr="00ED6053">
              <w:rPr>
                <w:color w:val="7F7F7F" w:themeColor="text1" w:themeTint="80"/>
                <w:sz w:val="14"/>
                <w:szCs w:val="14"/>
              </w:rPr>
              <w:t>Ranger et al. 2013</w:t>
            </w:r>
            <w:r w:rsidRPr="00ED6053">
              <w:rPr>
                <w:sz w:val="14"/>
                <w:szCs w:val="14"/>
              </w:rPr>
              <w:t xml:space="preserve">). In the APs, measures are implemented stepwise over time. </w:t>
            </w:r>
            <w:r w:rsidRPr="00ED6053">
              <w:rPr>
                <w:rFonts w:eastAsiaTheme="minorHAnsi"/>
                <w:sz w:val="14"/>
                <w:szCs w:val="14"/>
                <w:lang w:eastAsia="en-US"/>
              </w:rPr>
              <w:t>Instead of taking a decision</w:t>
            </w:r>
            <w:r w:rsidRPr="00ED6053">
              <w:rPr>
                <w:sz w:val="14"/>
                <w:szCs w:val="14"/>
              </w:rPr>
              <w:t xml:space="preserve"> now on the ‘best’ measure for given future scenario (which could result in maladaptation if this scenario did not occur), the ‘APs approach’ encourages planners to reflect on </w:t>
            </w:r>
            <w:r w:rsidRPr="00ED6053">
              <w:rPr>
                <w:i/>
                <w:iCs/>
                <w:sz w:val="14"/>
                <w:szCs w:val="14"/>
              </w:rPr>
              <w:t>what if</w:t>
            </w:r>
            <w:r w:rsidRPr="00ED6053">
              <w:rPr>
                <w:sz w:val="14"/>
                <w:szCs w:val="14"/>
              </w:rPr>
              <w:t xml:space="preserve"> scenarios and adopt </w:t>
            </w:r>
            <w:r w:rsidRPr="00ED6053">
              <w:rPr>
                <w:iCs/>
                <w:sz w:val="14"/>
                <w:szCs w:val="14"/>
              </w:rPr>
              <w:t>a ‘more flexible approach’ where decisions and measures are taken over time</w:t>
            </w:r>
            <w:r w:rsidRPr="00ED6053">
              <w:rPr>
                <w:i/>
                <w:iCs/>
                <w:sz w:val="14"/>
                <w:szCs w:val="14"/>
              </w:rPr>
              <w:t xml:space="preserve"> </w:t>
            </w:r>
            <w:r w:rsidRPr="00ED6053">
              <w:rPr>
                <w:sz w:val="14"/>
                <w:szCs w:val="14"/>
              </w:rPr>
              <w:t>to continuously adapt</w:t>
            </w:r>
            <w:r w:rsidRPr="00ED6053">
              <w:rPr>
                <w:i/>
                <w:iCs/>
                <w:sz w:val="14"/>
                <w:szCs w:val="14"/>
              </w:rPr>
              <w:t xml:space="preserve"> </w:t>
            </w:r>
            <w:r w:rsidRPr="00ED6053">
              <w:rPr>
                <w:sz w:val="14"/>
                <w:szCs w:val="14"/>
              </w:rPr>
              <w:t>while maintaining as much flexibility as possible about future measures (options) (</w:t>
            </w:r>
            <w:proofErr w:type="spellStart"/>
            <w:r w:rsidRPr="00ED6053">
              <w:rPr>
                <w:color w:val="7F7F7F" w:themeColor="text1" w:themeTint="80"/>
                <w:sz w:val="14"/>
                <w:szCs w:val="14"/>
              </w:rPr>
              <w:t>Jeuken</w:t>
            </w:r>
            <w:proofErr w:type="spellEnd"/>
            <w:r w:rsidRPr="00ED6053">
              <w:rPr>
                <w:color w:val="7F7F7F" w:themeColor="text1" w:themeTint="80"/>
                <w:sz w:val="14"/>
                <w:szCs w:val="14"/>
              </w:rPr>
              <w:t xml:space="preserve"> and Reeder 2011; </w:t>
            </w:r>
            <w:proofErr w:type="spellStart"/>
            <w:r w:rsidRPr="00ED6053">
              <w:rPr>
                <w:color w:val="7F7F7F" w:themeColor="text1" w:themeTint="80"/>
                <w:sz w:val="14"/>
                <w:szCs w:val="14"/>
              </w:rPr>
              <w:t>Isoard</w:t>
            </w:r>
            <w:proofErr w:type="spellEnd"/>
            <w:r w:rsidRPr="00ED6053">
              <w:rPr>
                <w:color w:val="7F7F7F" w:themeColor="text1" w:themeTint="80"/>
                <w:sz w:val="14"/>
                <w:szCs w:val="14"/>
              </w:rPr>
              <w:t xml:space="preserve"> and Winograd 2013; Ranger et al. 2013</w:t>
            </w:r>
            <w:r w:rsidRPr="00ED6053">
              <w:rPr>
                <w:bCs/>
                <w:sz w:val="14"/>
                <w:szCs w:val="14"/>
              </w:rPr>
              <w:t>).</w:t>
            </w:r>
            <w:r w:rsidRPr="00ED6053">
              <w:rPr>
                <w:rStyle w:val="Refdenotaderodap"/>
                <w:rFonts w:eastAsiaTheme="majorEastAsia"/>
                <w:sz w:val="14"/>
                <w:szCs w:val="14"/>
              </w:rPr>
              <w:footnoteReference w:id="150"/>
            </w:r>
            <w:r w:rsidRPr="00ED6053">
              <w:rPr>
                <w:sz w:val="14"/>
                <w:szCs w:val="14"/>
              </w:rPr>
              <w:t xml:space="preserve"> One way of building-in</w:t>
            </w:r>
            <w:r w:rsidRPr="00ED6053">
              <w:rPr>
                <w:i/>
                <w:iCs/>
                <w:sz w:val="14"/>
                <w:szCs w:val="14"/>
              </w:rPr>
              <w:t xml:space="preserve"> ‘flexibility</w:t>
            </w:r>
            <w:r w:rsidRPr="00ED6053">
              <w:rPr>
                <w:sz w:val="14"/>
                <w:szCs w:val="14"/>
              </w:rPr>
              <w:t>’ is keeping open options (alternatives available) to manage future risk (</w:t>
            </w:r>
            <w:r w:rsidRPr="00ED6053">
              <w:rPr>
                <w:color w:val="7F7F7F" w:themeColor="text1" w:themeTint="80"/>
                <w:sz w:val="14"/>
                <w:szCs w:val="14"/>
              </w:rPr>
              <w:t>Ranger et al. 2013</w:t>
            </w:r>
            <w:r w:rsidRPr="00ED6053">
              <w:rPr>
                <w:sz w:val="14"/>
                <w:szCs w:val="14"/>
              </w:rPr>
              <w:t>), not foreclosing or constraining possible future measures unnecessarily (</w:t>
            </w:r>
            <w:proofErr w:type="spellStart"/>
            <w:r w:rsidRPr="00ED6053">
              <w:rPr>
                <w:color w:val="7F7F7F" w:themeColor="text1" w:themeTint="80"/>
                <w:sz w:val="14"/>
                <w:szCs w:val="14"/>
              </w:rPr>
              <w:t>Jeuken</w:t>
            </w:r>
            <w:proofErr w:type="spellEnd"/>
            <w:r w:rsidRPr="00ED6053">
              <w:rPr>
                <w:color w:val="7F7F7F" w:themeColor="text1" w:themeTint="80"/>
                <w:sz w:val="14"/>
                <w:szCs w:val="14"/>
              </w:rPr>
              <w:t xml:space="preserve"> et al. 2014; Sayers et al. 2012</w:t>
            </w:r>
            <w:r w:rsidRPr="00ED6053">
              <w:rPr>
                <w:sz w:val="14"/>
                <w:szCs w:val="14"/>
              </w:rPr>
              <w:t>). This implies finding measures that do not block further measures that might be needed in the future and avoiding irreversible investments as much as possible (</w:t>
            </w:r>
            <w:proofErr w:type="spellStart"/>
            <w:r w:rsidRPr="00ED6053">
              <w:rPr>
                <w:color w:val="7F7F7F" w:themeColor="text1" w:themeTint="80"/>
                <w:sz w:val="14"/>
                <w:szCs w:val="14"/>
              </w:rPr>
              <w:t>Jeuken</w:t>
            </w:r>
            <w:proofErr w:type="spellEnd"/>
            <w:r w:rsidRPr="00ED6053">
              <w:rPr>
                <w:color w:val="7F7F7F" w:themeColor="text1" w:themeTint="80"/>
                <w:sz w:val="14"/>
                <w:szCs w:val="14"/>
              </w:rPr>
              <w:t xml:space="preserve"> and Reeder 2011; Ramsbottom and Sheppard 2017</w:t>
            </w:r>
            <w:r w:rsidRPr="00ED6053">
              <w:rPr>
                <w:sz w:val="14"/>
                <w:szCs w:val="14"/>
              </w:rPr>
              <w:t>). The possibility of implementing certain measures or pathways should not be prematurely closed-off, e.g. by actions of third parties (</w:t>
            </w:r>
            <w:r w:rsidRPr="00ED6053">
              <w:rPr>
                <w:color w:val="7F7F7F" w:themeColor="text1" w:themeTint="80"/>
                <w:sz w:val="14"/>
                <w:szCs w:val="14"/>
              </w:rPr>
              <w:t>HM Treasury 2009</w:t>
            </w:r>
            <w:r w:rsidRPr="00ED6053">
              <w:rPr>
                <w:sz w:val="14"/>
                <w:szCs w:val="14"/>
              </w:rPr>
              <w:t xml:space="preserve">). </w:t>
            </w:r>
          </w:p>
          <w:p w14:paraId="71CA4429" w14:textId="77777777" w:rsidR="00ED6053" w:rsidRPr="00ED6053" w:rsidRDefault="00ED6053" w:rsidP="00336A37">
            <w:pPr>
              <w:pStyle w:val="CORPOTEXTO"/>
              <w:numPr>
                <w:ilvl w:val="0"/>
                <w:numId w:val="10"/>
              </w:numPr>
              <w:ind w:left="284" w:hanging="284"/>
              <w:jc w:val="left"/>
              <w:rPr>
                <w:sz w:val="14"/>
                <w:szCs w:val="14"/>
              </w:rPr>
            </w:pPr>
            <w:r w:rsidRPr="00ED6053">
              <w:rPr>
                <w:sz w:val="14"/>
                <w:szCs w:val="14"/>
              </w:rPr>
              <w:t>By using</w:t>
            </w:r>
            <w:r w:rsidRPr="00ED6053">
              <w:rPr>
                <w:b/>
                <w:bCs/>
                <w:sz w:val="14"/>
                <w:szCs w:val="14"/>
              </w:rPr>
              <w:t xml:space="preserve"> ‘no-/low-regret’ measures</w:t>
            </w:r>
            <w:r w:rsidRPr="00ED6053">
              <w:rPr>
                <w:bCs/>
                <w:color w:val="000000"/>
                <w:sz w:val="14"/>
                <w:szCs w:val="14"/>
                <w:vertAlign w:val="superscript"/>
              </w:rPr>
              <w:footnoteReference w:id="151"/>
            </w:r>
            <w:r w:rsidRPr="00ED6053">
              <w:rPr>
                <w:b/>
                <w:sz w:val="14"/>
                <w:szCs w:val="14"/>
              </w:rPr>
              <w:t xml:space="preserve"> </w:t>
            </w:r>
            <w:r w:rsidRPr="00ED6053">
              <w:rPr>
                <w:bCs/>
                <w:sz w:val="14"/>
                <w:szCs w:val="14"/>
              </w:rPr>
              <w:t xml:space="preserve">in the route-map, </w:t>
            </w:r>
            <w:r w:rsidRPr="00ED6053">
              <w:rPr>
                <w:sz w:val="14"/>
                <w:szCs w:val="14"/>
              </w:rPr>
              <w:t>in the near-term (</w:t>
            </w:r>
            <w:r w:rsidRPr="00ED6053">
              <w:rPr>
                <w:color w:val="7F7F7F" w:themeColor="text1" w:themeTint="80"/>
                <w:sz w:val="14"/>
                <w:szCs w:val="14"/>
              </w:rPr>
              <w:t>Ranger et al. 2013; Reeder and Ranger 2011; Ramsbottom and Sheppard 2017</w:t>
            </w:r>
            <w:r w:rsidRPr="00ED6053">
              <w:rPr>
                <w:sz w:val="14"/>
                <w:szCs w:val="14"/>
              </w:rPr>
              <w:t xml:space="preserve">). In the TE2100, some pathways contain </w:t>
            </w:r>
            <w:r w:rsidRPr="00ED6053">
              <w:rPr>
                <w:i/>
                <w:iCs/>
                <w:sz w:val="14"/>
                <w:szCs w:val="14"/>
              </w:rPr>
              <w:t>low-regrets</w:t>
            </w:r>
            <w:r w:rsidRPr="00ED6053">
              <w:rPr>
                <w:sz w:val="14"/>
                <w:szCs w:val="14"/>
              </w:rPr>
              <w:t xml:space="preserve"> early measures, e.g. improving / upgrading existing defences</w:t>
            </w:r>
            <w:r w:rsidRPr="00ED6053">
              <w:rPr>
                <w:rStyle w:val="Refdenotaderodap"/>
                <w:rFonts w:eastAsiaTheme="majorEastAsia"/>
                <w:sz w:val="14"/>
                <w:szCs w:val="14"/>
              </w:rPr>
              <w:footnoteReference w:id="152"/>
            </w:r>
            <w:r w:rsidRPr="00ED6053">
              <w:rPr>
                <w:sz w:val="14"/>
                <w:szCs w:val="14"/>
              </w:rPr>
              <w:t xml:space="preserve"> (</w:t>
            </w:r>
            <w:r w:rsidRPr="00ED6053">
              <w:rPr>
                <w:color w:val="7F7F7F" w:themeColor="text1" w:themeTint="80"/>
                <w:sz w:val="14"/>
                <w:szCs w:val="14"/>
              </w:rPr>
              <w:t>ibid</w:t>
            </w:r>
            <w:r w:rsidRPr="00ED6053">
              <w:rPr>
                <w:sz w:val="14"/>
                <w:szCs w:val="14"/>
              </w:rPr>
              <w:t xml:space="preserve">). This measure will cost-effectively reduce risks and, at the same time, </w:t>
            </w:r>
            <w:r w:rsidRPr="00ED6053">
              <w:rPr>
                <w:iCs/>
                <w:sz w:val="14"/>
                <w:szCs w:val="14"/>
              </w:rPr>
              <w:t>leave ‘</w:t>
            </w:r>
            <w:r w:rsidRPr="00ED6053">
              <w:rPr>
                <w:i/>
                <w:sz w:val="14"/>
                <w:szCs w:val="14"/>
              </w:rPr>
              <w:t>open the possibility to scale up action in the future</w:t>
            </w:r>
            <w:r w:rsidRPr="00ED6053">
              <w:rPr>
                <w:sz w:val="14"/>
                <w:szCs w:val="14"/>
              </w:rPr>
              <w:t>’ and ‘buy time’ to monitor and learn before making a major investment (</w:t>
            </w:r>
            <w:r w:rsidRPr="00ED6053">
              <w:rPr>
                <w:color w:val="7F7F7F" w:themeColor="text1" w:themeTint="80"/>
                <w:sz w:val="14"/>
                <w:szCs w:val="14"/>
              </w:rPr>
              <w:t>Ranger et al. 2013</w:t>
            </w:r>
            <w:r w:rsidRPr="00ED6053">
              <w:rPr>
                <w:sz w:val="14"/>
                <w:szCs w:val="14"/>
              </w:rPr>
              <w:t xml:space="preserve">). The Team strategically placed ‘low-regret measures’ early in the route-map </w:t>
            </w:r>
            <w:r w:rsidRPr="00ED6053">
              <w:rPr>
                <w:rFonts w:cs="Arial"/>
                <w:sz w:val="14"/>
                <w:szCs w:val="14"/>
              </w:rPr>
              <w:t>(</w:t>
            </w:r>
            <w:r w:rsidRPr="00ED6053">
              <w:rPr>
                <w:rFonts w:cs="Arial"/>
                <w:color w:val="7F7F7F" w:themeColor="text1" w:themeTint="80"/>
                <w:sz w:val="14"/>
                <w:szCs w:val="14"/>
              </w:rPr>
              <w:t>Reeder and Ranger 2011</w:t>
            </w:r>
            <w:r w:rsidRPr="00ED6053">
              <w:rPr>
                <w:rFonts w:cs="Arial"/>
                <w:sz w:val="14"/>
                <w:szCs w:val="14"/>
              </w:rPr>
              <w:t>). For example,</w:t>
            </w:r>
            <w:r w:rsidRPr="00ED6053">
              <w:rPr>
                <w:sz w:val="14"/>
                <w:szCs w:val="14"/>
              </w:rPr>
              <w:t xml:space="preserve"> the measure ‘</w:t>
            </w:r>
            <w:r w:rsidRPr="00ED6053">
              <w:rPr>
                <w:i/>
                <w:iCs/>
                <w:sz w:val="14"/>
                <w:szCs w:val="14"/>
              </w:rPr>
              <w:t>raising other defences in the TE</w:t>
            </w:r>
            <w:r w:rsidRPr="00ED6053">
              <w:rPr>
                <w:sz w:val="14"/>
                <w:szCs w:val="14"/>
              </w:rPr>
              <w:t xml:space="preserve">’ (present in several HLOs) is a low-regret measure that helps to extend the lifetime of the existing defence system and ‘buy time’ before it is necessary to take a more irreversible decision on the long-term measure (instead of taking an more ‘inflexible’ decision now) </w:t>
            </w:r>
            <w:r w:rsidRPr="00ED6053">
              <w:rPr>
                <w:rFonts w:cs="Arial"/>
                <w:sz w:val="14"/>
                <w:szCs w:val="14"/>
              </w:rPr>
              <w:t>(</w:t>
            </w:r>
            <w:r w:rsidRPr="00ED6053">
              <w:rPr>
                <w:rFonts w:cs="Arial"/>
                <w:color w:val="7F7F7F" w:themeColor="text1" w:themeTint="80"/>
                <w:sz w:val="14"/>
                <w:szCs w:val="14"/>
              </w:rPr>
              <w:t xml:space="preserve">Reeder and Ranger 2011; </w:t>
            </w:r>
            <w:r w:rsidRPr="00ED6053">
              <w:rPr>
                <w:color w:val="7F7F7F" w:themeColor="text1" w:themeTint="80"/>
                <w:sz w:val="14"/>
                <w:szCs w:val="14"/>
              </w:rPr>
              <w:t>Ranger et al. 2013</w:t>
            </w:r>
            <w:r w:rsidRPr="00ED6053">
              <w:rPr>
                <w:rFonts w:cs="Arial"/>
                <w:sz w:val="14"/>
                <w:szCs w:val="14"/>
              </w:rPr>
              <w:t>).</w:t>
            </w:r>
            <w:r w:rsidRPr="00ED6053">
              <w:rPr>
                <w:sz w:val="14"/>
                <w:szCs w:val="14"/>
              </w:rPr>
              <w:t xml:space="preserve"> All the </w:t>
            </w:r>
            <w:r w:rsidRPr="00ED6053">
              <w:rPr>
                <w:i/>
                <w:iCs/>
                <w:sz w:val="14"/>
                <w:szCs w:val="14"/>
              </w:rPr>
              <w:t xml:space="preserve">Options </w:t>
            </w:r>
            <w:r w:rsidRPr="00ED6053">
              <w:rPr>
                <w:sz w:val="14"/>
                <w:szCs w:val="14"/>
              </w:rPr>
              <w:t xml:space="preserve">(pathways) designed include small incremental measures in the near-term (e.g. upgrades to existing defences) and leave irreversible measures as far as possible into the long-term future, to </w:t>
            </w:r>
            <w:r w:rsidRPr="00ED6053">
              <w:rPr>
                <w:sz w:val="14"/>
                <w:szCs w:val="14"/>
              </w:rPr>
              <w:lastRenderedPageBreak/>
              <w:t>make the best use of information that will arise (</w:t>
            </w:r>
            <w:r w:rsidRPr="00ED6053">
              <w:rPr>
                <w:color w:val="7F7F7F" w:themeColor="text1" w:themeTint="80"/>
                <w:sz w:val="14"/>
                <w:szCs w:val="14"/>
              </w:rPr>
              <w:t>HM Treasury 2009,</w:t>
            </w:r>
            <w:r w:rsidRPr="00ED6053">
              <w:rPr>
                <w:sz w:val="14"/>
                <w:szCs w:val="14"/>
              </w:rPr>
              <w:t xml:space="preserve">). </w:t>
            </w:r>
            <w:r w:rsidRPr="00ED6053">
              <w:rPr>
                <w:i/>
                <w:iCs/>
                <w:sz w:val="14"/>
                <w:szCs w:val="14"/>
              </w:rPr>
              <w:t>Flexibility</w:t>
            </w:r>
            <w:r w:rsidRPr="00ED6053">
              <w:rPr>
                <w:sz w:val="14"/>
                <w:szCs w:val="14"/>
              </w:rPr>
              <w:t xml:space="preserve"> was available, in part, because the TB was designed to provide a high standard of protection up to 2030 (adaptation is not urgent) and cost-effective </w:t>
            </w:r>
            <w:r w:rsidRPr="00ED6053">
              <w:rPr>
                <w:i/>
                <w:iCs/>
                <w:sz w:val="14"/>
                <w:szCs w:val="14"/>
              </w:rPr>
              <w:t>low-regret</w:t>
            </w:r>
            <w:r w:rsidRPr="00ED6053">
              <w:rPr>
                <w:sz w:val="14"/>
                <w:szCs w:val="14"/>
              </w:rPr>
              <w:t xml:space="preserve"> measures were available (</w:t>
            </w:r>
            <w:r w:rsidRPr="00ED6053">
              <w:rPr>
                <w:color w:val="7F7F7F" w:themeColor="text1" w:themeTint="80"/>
                <w:sz w:val="14"/>
                <w:szCs w:val="14"/>
              </w:rPr>
              <w:t>Ranger et al. 2013,</w:t>
            </w:r>
            <w:r w:rsidRPr="00ED6053">
              <w:rPr>
                <w:sz w:val="14"/>
                <w:szCs w:val="14"/>
              </w:rPr>
              <w:t xml:space="preserve">). </w:t>
            </w:r>
            <w:r w:rsidRPr="00ED6053">
              <w:rPr>
                <w:rFonts w:cs="Arial"/>
                <w:sz w:val="14"/>
                <w:szCs w:val="14"/>
              </w:rPr>
              <w:t>D</w:t>
            </w:r>
            <w:r w:rsidRPr="00ED6053">
              <w:rPr>
                <w:sz w:val="14"/>
                <w:szCs w:val="14"/>
              </w:rPr>
              <w:t>elaying a major investment is justified when its benefits are highly uncertain now (</w:t>
            </w:r>
            <w:r w:rsidRPr="00ED6053">
              <w:rPr>
                <w:color w:val="7F7F7F" w:themeColor="text1" w:themeTint="80"/>
                <w:sz w:val="14"/>
                <w:szCs w:val="14"/>
              </w:rPr>
              <w:t>Ranger et al. 2013</w:t>
            </w:r>
            <w:r w:rsidRPr="00ED6053">
              <w:rPr>
                <w:sz w:val="14"/>
                <w:szCs w:val="14"/>
              </w:rPr>
              <w:t>). Hence, using low-regrets measures, and avoiding irreversible investments as much as possible, are important sub-elements of this key element of Adaptive Planning (</w:t>
            </w:r>
            <w:r w:rsidRPr="00ED6053">
              <w:rPr>
                <w:color w:val="7F7F7F" w:themeColor="text1" w:themeTint="80"/>
                <w:sz w:val="14"/>
                <w:szCs w:val="14"/>
              </w:rPr>
              <w:t>Ramsbottom and Sheppard 2017</w:t>
            </w:r>
            <w:r w:rsidRPr="00ED6053">
              <w:rPr>
                <w:sz w:val="14"/>
                <w:szCs w:val="14"/>
              </w:rPr>
              <w:t>).</w:t>
            </w:r>
          </w:p>
          <w:p w14:paraId="77A5C16B" w14:textId="77777777" w:rsidR="00ED6053" w:rsidRPr="00ED6053" w:rsidRDefault="00ED6053" w:rsidP="00336A37">
            <w:pPr>
              <w:pStyle w:val="CORPOTEXTO"/>
              <w:numPr>
                <w:ilvl w:val="0"/>
                <w:numId w:val="10"/>
              </w:numPr>
              <w:ind w:left="284" w:hanging="284"/>
              <w:jc w:val="left"/>
              <w:rPr>
                <w:sz w:val="14"/>
                <w:szCs w:val="14"/>
              </w:rPr>
            </w:pPr>
            <w:r w:rsidRPr="00ED6053">
              <w:rPr>
                <w:color w:val="000000"/>
                <w:sz w:val="14"/>
                <w:szCs w:val="14"/>
              </w:rPr>
              <w:t xml:space="preserve">Through </w:t>
            </w:r>
            <w:r w:rsidRPr="00ED6053">
              <w:rPr>
                <w:b/>
                <w:bCs/>
                <w:color w:val="000000"/>
                <w:sz w:val="14"/>
                <w:szCs w:val="14"/>
              </w:rPr>
              <w:t>‘structural / engineered flexibility’</w:t>
            </w:r>
            <w:r w:rsidRPr="00ED6053">
              <w:rPr>
                <w:color w:val="000000"/>
                <w:sz w:val="14"/>
                <w:szCs w:val="14"/>
              </w:rPr>
              <w:t xml:space="preserve">. This type of flexibility was incorporated in several measures. Structural flexibility can be delivered, e.g. by over-rotating the TB in case of greater SLR than predicted, by using ‘safety margins’ (over-engineering infrastructures to cope with greater change than predicted), by purchasing land to </w:t>
            </w:r>
            <w:r w:rsidRPr="00ED6053">
              <w:rPr>
                <w:sz w:val="14"/>
                <w:szCs w:val="14"/>
              </w:rPr>
              <w:t xml:space="preserve">construct FRM measures in </w:t>
            </w:r>
            <w:r w:rsidRPr="00ED6053">
              <w:rPr>
                <w:color w:val="000000"/>
                <w:sz w:val="14"/>
                <w:szCs w:val="14"/>
              </w:rPr>
              <w:t>the future, etc</w:t>
            </w:r>
            <w:r w:rsidRPr="00ED6053">
              <w:rPr>
                <w:sz w:val="14"/>
                <w:szCs w:val="14"/>
              </w:rPr>
              <w:t>.</w:t>
            </w:r>
            <w:r w:rsidRPr="00ED6053">
              <w:rPr>
                <w:color w:val="000000"/>
                <w:sz w:val="14"/>
                <w:szCs w:val="14"/>
              </w:rPr>
              <w:t xml:space="preserve"> If structural / engineered flexibility is considered, flood defence structures can be adjusted or improved in the future at limited additional costs. Including structural flexibility is effective where the additional cost is low (</w:t>
            </w:r>
            <w:r w:rsidRPr="00ED6053">
              <w:rPr>
                <w:color w:val="7F7F7F" w:themeColor="text1" w:themeTint="80"/>
                <w:sz w:val="14"/>
                <w:szCs w:val="14"/>
              </w:rPr>
              <w:t>Ranger et al. 2013</w:t>
            </w:r>
            <w:r w:rsidRPr="00ED6053">
              <w:rPr>
                <w:color w:val="000000"/>
                <w:sz w:val="14"/>
                <w:szCs w:val="14"/>
              </w:rPr>
              <w:t xml:space="preserve">). </w:t>
            </w:r>
          </w:p>
          <w:p w14:paraId="2CFA0EB3" w14:textId="77777777" w:rsidR="00ED6053" w:rsidRPr="00ED6053" w:rsidRDefault="00ED6053" w:rsidP="00336A37">
            <w:pPr>
              <w:pStyle w:val="CORPOTEXTO"/>
              <w:numPr>
                <w:ilvl w:val="0"/>
                <w:numId w:val="10"/>
              </w:numPr>
              <w:ind w:left="284" w:hanging="284"/>
              <w:jc w:val="left"/>
              <w:rPr>
                <w:sz w:val="14"/>
                <w:szCs w:val="14"/>
              </w:rPr>
            </w:pPr>
            <w:r w:rsidRPr="00ED6053">
              <w:rPr>
                <w:b/>
                <w:bCs/>
                <w:sz w:val="14"/>
                <w:szCs w:val="14"/>
              </w:rPr>
              <w:t>By seizing of opportunities to integrate</w:t>
            </w:r>
            <w:r w:rsidRPr="00ED6053">
              <w:rPr>
                <w:sz w:val="14"/>
                <w:szCs w:val="14"/>
              </w:rPr>
              <w:t xml:space="preserve"> the proposed measures with other agendas or multi-objective investments (</w:t>
            </w:r>
            <w:proofErr w:type="spellStart"/>
            <w:r w:rsidRPr="00ED6053">
              <w:rPr>
                <w:color w:val="7F7F7F" w:themeColor="text1" w:themeTint="80"/>
                <w:sz w:val="14"/>
                <w:szCs w:val="14"/>
              </w:rPr>
              <w:t>Jeuken</w:t>
            </w:r>
            <w:proofErr w:type="spellEnd"/>
            <w:r w:rsidRPr="00ED6053">
              <w:rPr>
                <w:color w:val="7F7F7F" w:themeColor="text1" w:themeTint="80"/>
                <w:sz w:val="14"/>
                <w:szCs w:val="14"/>
              </w:rPr>
              <w:t xml:space="preserve"> et al. 201</w:t>
            </w:r>
            <w:r w:rsidRPr="00ED6053">
              <w:rPr>
                <w:sz w:val="14"/>
                <w:szCs w:val="14"/>
              </w:rPr>
              <w:t>), and mainstreaming climate adaptation into works for maintaining or improving defences (</w:t>
            </w:r>
            <w:r w:rsidRPr="00ED6053">
              <w:rPr>
                <w:color w:val="7F7F7F" w:themeColor="text1" w:themeTint="80"/>
                <w:sz w:val="14"/>
                <w:szCs w:val="14"/>
              </w:rPr>
              <w:t>Ramsbottom and Sheppard 2017</w:t>
            </w:r>
            <w:r w:rsidRPr="00ED6053">
              <w:rPr>
                <w:sz w:val="14"/>
                <w:szCs w:val="14"/>
              </w:rPr>
              <w:t>).</w:t>
            </w:r>
          </w:p>
          <w:p w14:paraId="1012A101" w14:textId="77777777" w:rsidR="00ED6053" w:rsidRPr="00ED6053" w:rsidRDefault="00ED6053" w:rsidP="00336A37">
            <w:pPr>
              <w:pStyle w:val="CORPOTEXTO"/>
              <w:numPr>
                <w:ilvl w:val="0"/>
                <w:numId w:val="10"/>
              </w:numPr>
              <w:ind w:left="284" w:hanging="284"/>
              <w:jc w:val="left"/>
              <w:rPr>
                <w:sz w:val="14"/>
                <w:szCs w:val="14"/>
              </w:rPr>
            </w:pPr>
            <w:r w:rsidRPr="00ED6053">
              <w:rPr>
                <w:b/>
                <w:bCs/>
                <w:sz w:val="14"/>
                <w:szCs w:val="14"/>
              </w:rPr>
              <w:t>By having the possibility to alter the timing for implementing measures</w:t>
            </w:r>
            <w:r w:rsidRPr="00ED6053">
              <w:rPr>
                <w:sz w:val="14"/>
                <w:szCs w:val="14"/>
              </w:rPr>
              <w:t xml:space="preserve">. In the APs approach, a measure can be postponed or advanced in time, according to changes and new information that arises. </w:t>
            </w:r>
          </w:p>
          <w:p w14:paraId="35B74AC7" w14:textId="77777777" w:rsidR="00ED6053" w:rsidRPr="00ED6053" w:rsidRDefault="00ED6053" w:rsidP="00336A37">
            <w:pPr>
              <w:pStyle w:val="CORPOTEXTO"/>
              <w:jc w:val="left"/>
              <w:rPr>
                <w:sz w:val="14"/>
                <w:szCs w:val="14"/>
              </w:rPr>
            </w:pPr>
            <w:r w:rsidRPr="00ED6053">
              <w:rPr>
                <w:sz w:val="14"/>
                <w:szCs w:val="14"/>
              </w:rPr>
              <w:t>These were the main ways of incorporating and enhancing the robustness and flexibility into the general Plan, its pathways and measures</w:t>
            </w:r>
            <w:r w:rsidRPr="00ED6053">
              <w:rPr>
                <w:color w:val="C00000"/>
                <w:sz w:val="14"/>
                <w:szCs w:val="14"/>
              </w:rPr>
              <w:t>.</w:t>
            </w:r>
            <w:r w:rsidRPr="00ED6053">
              <w:rPr>
                <w:sz w:val="14"/>
                <w:szCs w:val="14"/>
              </w:rPr>
              <w:t xml:space="preserve"> However, in a FRM plan, </w:t>
            </w:r>
            <w:r w:rsidRPr="00ED6053">
              <w:rPr>
                <w:i/>
                <w:iCs/>
                <w:sz w:val="14"/>
                <w:szCs w:val="14"/>
              </w:rPr>
              <w:t>flexibility</w:t>
            </w:r>
            <w:r w:rsidRPr="00ED6053">
              <w:rPr>
                <w:sz w:val="14"/>
                <w:szCs w:val="14"/>
              </w:rPr>
              <w:t xml:space="preserve"> tends to be limited by the </w:t>
            </w:r>
            <w:r w:rsidRPr="00ED6053">
              <w:rPr>
                <w:i/>
                <w:iCs/>
                <w:sz w:val="14"/>
                <w:szCs w:val="14"/>
              </w:rPr>
              <w:t>nature</w:t>
            </w:r>
            <w:r w:rsidRPr="00ED6053">
              <w:rPr>
                <w:sz w:val="14"/>
                <w:szCs w:val="14"/>
              </w:rPr>
              <w:t xml:space="preserve"> and </w:t>
            </w:r>
            <w:r w:rsidRPr="00ED6053">
              <w:rPr>
                <w:i/>
                <w:iCs/>
                <w:sz w:val="14"/>
                <w:szCs w:val="14"/>
              </w:rPr>
              <w:t>lifespan</w:t>
            </w:r>
            <w:r w:rsidRPr="00ED6053">
              <w:rPr>
                <w:sz w:val="14"/>
                <w:szCs w:val="14"/>
              </w:rPr>
              <w:t xml:space="preserve"> of measures already applied, namely flood protection structures (e.g. barriers) which are implemented for many decades. The pathways of the TE2100 are apparently flexible into the future, in part, because new large-scale structural measures could be postponed. Other types of measures (e.g. soft protection, flood-proofing buildings), which can be applied in small steps, only contributed partially to the Plan, it contains mostly measures to improve the existing defence system (</w:t>
            </w:r>
            <w:proofErr w:type="spellStart"/>
            <w:r w:rsidRPr="00ED6053">
              <w:rPr>
                <w:color w:val="7F7F7F" w:themeColor="text1" w:themeTint="80"/>
                <w:sz w:val="14"/>
                <w:szCs w:val="14"/>
              </w:rPr>
              <w:t>Jeuken</w:t>
            </w:r>
            <w:proofErr w:type="spellEnd"/>
            <w:r w:rsidRPr="00ED6053">
              <w:rPr>
                <w:color w:val="7F7F7F" w:themeColor="text1" w:themeTint="80"/>
                <w:sz w:val="14"/>
                <w:szCs w:val="14"/>
              </w:rPr>
              <w:t xml:space="preserve"> et al. 2014</w:t>
            </w:r>
            <w:r w:rsidRPr="00ED6053">
              <w:rPr>
                <w:sz w:val="14"/>
                <w:szCs w:val="14"/>
              </w:rPr>
              <w:t>).</w:t>
            </w:r>
          </w:p>
          <w:p w14:paraId="53BC7C99" w14:textId="77777777" w:rsidR="00ED6053" w:rsidRPr="00ED6053" w:rsidRDefault="00ED6053" w:rsidP="00336A37">
            <w:pPr>
              <w:pStyle w:val="TEXTBODY"/>
              <w:jc w:val="left"/>
              <w:rPr>
                <w:sz w:val="14"/>
                <w:szCs w:val="14"/>
              </w:rPr>
            </w:pPr>
          </w:p>
        </w:tc>
        <w:tc>
          <w:tcPr>
            <w:tcW w:w="4535" w:type="dxa"/>
            <w:tcBorders>
              <w:left w:val="nil"/>
            </w:tcBorders>
          </w:tcPr>
          <w:p w14:paraId="0104DE4A" w14:textId="77777777" w:rsidR="00ED6053" w:rsidRPr="00ED6053" w:rsidRDefault="00ED6053" w:rsidP="00336A37">
            <w:pPr>
              <w:jc w:val="left"/>
              <w:rPr>
                <w:rFonts w:ascii="Times New Roman" w:hAnsi="Times New Roman"/>
                <w:sz w:val="14"/>
                <w:szCs w:val="14"/>
              </w:rPr>
            </w:pPr>
            <w:r w:rsidRPr="00ED6053">
              <w:rPr>
                <w:rFonts w:ascii="Times New Roman" w:hAnsi="Times New Roman"/>
                <w:sz w:val="14"/>
                <w:szCs w:val="14"/>
              </w:rPr>
              <w:lastRenderedPageBreak/>
              <w:t xml:space="preserve">The central idea of ADM is developing diverse trajectories that the dynamic system may follow as time unfolds – i.e. pathways. </w:t>
            </w:r>
            <w:r w:rsidRPr="00ED6053">
              <w:rPr>
                <w:rFonts w:ascii="Times New Roman" w:hAnsi="Times New Roman"/>
                <w:b/>
                <w:bCs/>
                <w:i/>
                <w:sz w:val="14"/>
                <w:szCs w:val="14"/>
              </w:rPr>
              <w:t>Flexibility</w:t>
            </w:r>
            <w:r w:rsidRPr="00ED6053">
              <w:rPr>
                <w:rFonts w:ascii="Times New Roman" w:hAnsi="Times New Roman"/>
                <w:sz w:val="14"/>
                <w:szCs w:val="14"/>
              </w:rPr>
              <w:t xml:space="preserve"> is ensured through adaptation pathways that are planned in anticipation to deal with future changes (</w:t>
            </w:r>
            <w:r w:rsidRPr="00ED6053">
              <w:rPr>
                <w:rFonts w:ascii="Times New Roman" w:hAnsi="Times New Roman"/>
                <w:color w:val="7F7F7F" w:themeColor="text1" w:themeTint="80"/>
                <w:sz w:val="14"/>
                <w:szCs w:val="14"/>
              </w:rPr>
              <w:t>Zandvoort et al. 2018, p.190, 189</w:t>
            </w:r>
            <w:r w:rsidRPr="00ED6053">
              <w:rPr>
                <w:rFonts w:ascii="Times New Roman" w:hAnsi="Times New Roman"/>
                <w:sz w:val="14"/>
                <w:szCs w:val="14"/>
              </w:rPr>
              <w:t>). ADM ‘</w:t>
            </w:r>
            <w:r w:rsidRPr="00ED6053">
              <w:rPr>
                <w:rFonts w:ascii="Times New Roman" w:hAnsi="Times New Roman"/>
                <w:i/>
                <w:sz w:val="14"/>
                <w:szCs w:val="14"/>
              </w:rPr>
              <w:t>leads to a composite strategy, or a set of alternative strategies with intermediate possibilities for revisions</w:t>
            </w:r>
            <w:r w:rsidRPr="00ED6053">
              <w:rPr>
                <w:rFonts w:ascii="Times New Roman" w:hAnsi="Times New Roman"/>
                <w:sz w:val="14"/>
                <w:szCs w:val="14"/>
              </w:rPr>
              <w:t>’ (</w:t>
            </w:r>
            <w:r w:rsidRPr="00ED6053">
              <w:rPr>
                <w:rFonts w:ascii="Times New Roman" w:hAnsi="Times New Roman"/>
                <w:color w:val="7F7F7F" w:themeColor="text1" w:themeTint="80"/>
                <w:sz w:val="14"/>
                <w:szCs w:val="14"/>
              </w:rPr>
              <w:t>Rhee 2012, p.14</w:t>
            </w:r>
            <w:r w:rsidRPr="00ED6053">
              <w:rPr>
                <w:rFonts w:ascii="Times New Roman" w:hAnsi="Times New Roman"/>
                <w:i/>
                <w:color w:val="7F7F7F" w:themeColor="text1" w:themeTint="80"/>
                <w:sz w:val="14"/>
                <w:szCs w:val="14"/>
              </w:rPr>
              <w:t xml:space="preserve"> in</w:t>
            </w:r>
            <w:r w:rsidRPr="00ED6053">
              <w:rPr>
                <w:rFonts w:ascii="Times New Roman" w:hAnsi="Times New Roman"/>
                <w:color w:val="7F7F7F" w:themeColor="text1" w:themeTint="80"/>
                <w:sz w:val="14"/>
                <w:szCs w:val="14"/>
              </w:rPr>
              <w:t xml:space="preserve"> Zandvoort et al.2018</w:t>
            </w:r>
            <w:r w:rsidRPr="00ED6053">
              <w:rPr>
                <w:rFonts w:ascii="Times New Roman" w:hAnsi="Times New Roman"/>
                <w:sz w:val="14"/>
                <w:szCs w:val="14"/>
              </w:rPr>
              <w:t xml:space="preserve">); its main outcome is a pathway or a set of pathways that identifies the measures available and schedules them (according to uncertain drivers of change). </w:t>
            </w:r>
          </w:p>
          <w:p w14:paraId="32D07528" w14:textId="77777777" w:rsidR="00ED6053" w:rsidRPr="00ED6053" w:rsidRDefault="00ED6053" w:rsidP="00336A37">
            <w:pPr>
              <w:jc w:val="left"/>
              <w:rPr>
                <w:rFonts w:ascii="Times New Roman" w:hAnsi="Times New Roman"/>
                <w:sz w:val="14"/>
                <w:szCs w:val="14"/>
              </w:rPr>
            </w:pPr>
          </w:p>
          <w:p w14:paraId="022B42D2" w14:textId="77777777" w:rsidR="00ED6053" w:rsidRPr="00ED6053" w:rsidRDefault="00ED6053" w:rsidP="00336A37">
            <w:pPr>
              <w:jc w:val="left"/>
              <w:rPr>
                <w:rFonts w:ascii="Times New Roman" w:hAnsi="Times New Roman"/>
                <w:sz w:val="14"/>
                <w:szCs w:val="14"/>
              </w:rPr>
            </w:pPr>
            <w:r w:rsidRPr="00ED6053">
              <w:rPr>
                <w:rFonts w:ascii="Times New Roman" w:hAnsi="Times New Roman"/>
                <w:sz w:val="14"/>
                <w:szCs w:val="14"/>
              </w:rPr>
              <w:t xml:space="preserve">In ADM, adaptiveness is related </w:t>
            </w:r>
            <w:proofErr w:type="gramStart"/>
            <w:r w:rsidRPr="00ED6053">
              <w:rPr>
                <w:rFonts w:ascii="Times New Roman" w:hAnsi="Times New Roman"/>
                <w:sz w:val="14"/>
                <w:szCs w:val="14"/>
              </w:rPr>
              <w:t>with:</w:t>
            </w:r>
            <w:proofErr w:type="gramEnd"/>
            <w:r w:rsidRPr="00ED6053">
              <w:rPr>
                <w:rFonts w:ascii="Times New Roman" w:hAnsi="Times New Roman"/>
                <w:sz w:val="14"/>
                <w:szCs w:val="14"/>
              </w:rPr>
              <w:t xml:space="preserve"> having (the availability of) different trajectories that can be applied to achieve long-term goals, in different plausible scenarios, depending on developments over time (</w:t>
            </w:r>
            <w:r w:rsidRPr="00ED6053">
              <w:rPr>
                <w:rFonts w:ascii="Times New Roman" w:hAnsi="Times New Roman"/>
                <w:color w:val="7F7F7F" w:themeColor="text1" w:themeTint="80"/>
                <w:sz w:val="14"/>
                <w:szCs w:val="14"/>
              </w:rPr>
              <w:t>Zandvoort et al. 2018, p.191</w:t>
            </w:r>
            <w:r w:rsidRPr="00ED6053">
              <w:rPr>
                <w:rFonts w:ascii="Times New Roman" w:hAnsi="Times New Roman"/>
                <w:sz w:val="14"/>
                <w:szCs w:val="14"/>
              </w:rPr>
              <w:t>).</w:t>
            </w:r>
          </w:p>
          <w:p w14:paraId="50AF359D" w14:textId="77777777" w:rsidR="00ED6053" w:rsidRPr="00ED6053" w:rsidRDefault="00ED6053" w:rsidP="00336A37">
            <w:pPr>
              <w:pStyle w:val="tablecontenttext"/>
              <w:spacing w:line="240" w:lineRule="auto"/>
              <w:rPr>
                <w:rFonts w:ascii="Times New Roman" w:hAnsi="Times New Roman" w:cs="Times New Roman"/>
                <w:sz w:val="14"/>
                <w:szCs w:val="14"/>
              </w:rPr>
            </w:pPr>
          </w:p>
          <w:p w14:paraId="6CA89686" w14:textId="77777777" w:rsidR="00ED6053" w:rsidRPr="00ED6053" w:rsidRDefault="00ED6053" w:rsidP="00336A37">
            <w:pPr>
              <w:pStyle w:val="tablecontenttext"/>
              <w:spacing w:line="240" w:lineRule="auto"/>
              <w:rPr>
                <w:rFonts w:ascii="Times New Roman" w:hAnsi="Times New Roman" w:cs="Times New Roman"/>
                <w:b/>
                <w:bCs w:val="0"/>
                <w:sz w:val="14"/>
                <w:szCs w:val="14"/>
              </w:rPr>
            </w:pPr>
            <w:r w:rsidRPr="00ED6053">
              <w:rPr>
                <w:rFonts w:ascii="Times New Roman" w:hAnsi="Times New Roman" w:cs="Times New Roman"/>
                <w:sz w:val="14"/>
                <w:szCs w:val="14"/>
              </w:rPr>
              <w:t>Flexibility is valued in terms of: (1) allowing the switching between measures (or pathways), through Adaptation Pathways (i.e. the possibility to switch to other measures or pathways when needed, in face of uncertain future changes) (2) the possibility of altering the timing for implementing measures (</w:t>
            </w:r>
            <w:r w:rsidRPr="00ED6053">
              <w:rPr>
                <w:rFonts w:ascii="Times New Roman" w:hAnsi="Times New Roman" w:cs="Times New Roman"/>
                <w:color w:val="7F7F7F" w:themeColor="text1" w:themeTint="80"/>
                <w:sz w:val="14"/>
                <w:szCs w:val="14"/>
              </w:rPr>
              <w:t xml:space="preserve">Alphen 2013 </w:t>
            </w:r>
            <w:r w:rsidRPr="00ED6053">
              <w:rPr>
                <w:rFonts w:ascii="Times New Roman" w:hAnsi="Times New Roman" w:cs="Times New Roman"/>
                <w:i/>
                <w:iCs w:val="0"/>
                <w:color w:val="7F7F7F" w:themeColor="text1" w:themeTint="80"/>
                <w:sz w:val="14"/>
                <w:szCs w:val="14"/>
              </w:rPr>
              <w:t>in</w:t>
            </w:r>
            <w:r w:rsidRPr="00ED6053">
              <w:rPr>
                <w:rFonts w:ascii="Times New Roman" w:hAnsi="Times New Roman" w:cs="Times New Roman"/>
                <w:color w:val="7F7F7F" w:themeColor="text1" w:themeTint="80"/>
                <w:sz w:val="14"/>
                <w:szCs w:val="14"/>
              </w:rPr>
              <w:t xml:space="preserve"> Zevenbergen et al. 2018; Zandvoort et al. 2018, p. 191; Haegen and </w:t>
            </w:r>
            <w:proofErr w:type="spellStart"/>
            <w:r w:rsidRPr="00ED6053">
              <w:rPr>
                <w:rFonts w:ascii="Times New Roman" w:hAnsi="Times New Roman" w:cs="Times New Roman"/>
                <w:color w:val="7F7F7F" w:themeColor="text1" w:themeTint="80"/>
                <w:sz w:val="14"/>
                <w:szCs w:val="14"/>
              </w:rPr>
              <w:t>Wieriks</w:t>
            </w:r>
            <w:proofErr w:type="spellEnd"/>
            <w:r w:rsidRPr="00ED6053">
              <w:rPr>
                <w:rFonts w:ascii="Times New Roman" w:hAnsi="Times New Roman" w:cs="Times New Roman"/>
                <w:color w:val="7F7F7F" w:themeColor="text1" w:themeTint="80"/>
                <w:sz w:val="14"/>
                <w:szCs w:val="14"/>
              </w:rPr>
              <w:t xml:space="preserve"> 2015</w:t>
            </w:r>
            <w:r w:rsidRPr="00ED6053">
              <w:rPr>
                <w:rFonts w:ascii="Times New Roman" w:hAnsi="Times New Roman" w:cs="Times New Roman"/>
                <w:sz w:val="14"/>
                <w:szCs w:val="14"/>
              </w:rPr>
              <w:t xml:space="preserve">). </w:t>
            </w:r>
            <w:r w:rsidRPr="00ED6053">
              <w:rPr>
                <w:rFonts w:ascii="Times New Roman" w:hAnsi="Times New Roman" w:cs="Times New Roman"/>
                <w:b/>
                <w:bCs w:val="0"/>
                <w:sz w:val="14"/>
                <w:szCs w:val="14"/>
              </w:rPr>
              <w:t>The DP sought to ensure that the chosen strategies and measures provide flexibility to respond to new insights and changes, in terms of “stepping up measures” and / or “changing strategy” if necessary (</w:t>
            </w:r>
            <w:r w:rsidRPr="00ED6053">
              <w:rPr>
                <w:rFonts w:ascii="Times New Roman" w:hAnsi="Times New Roman" w:cs="Times New Roman"/>
                <w:b/>
                <w:bCs w:val="0"/>
                <w:color w:val="7F7F7F" w:themeColor="text1" w:themeTint="80"/>
                <w:sz w:val="14"/>
                <w:szCs w:val="14"/>
              </w:rPr>
              <w:t>DP 2014, p.6</w:t>
            </w:r>
            <w:r w:rsidRPr="00ED6053">
              <w:rPr>
                <w:rFonts w:ascii="Times New Roman" w:hAnsi="Times New Roman" w:cs="Times New Roman"/>
                <w:b/>
                <w:bCs w:val="0"/>
                <w:sz w:val="14"/>
                <w:szCs w:val="14"/>
              </w:rPr>
              <w:t xml:space="preserve">). </w:t>
            </w:r>
          </w:p>
          <w:p w14:paraId="1AA37A9C" w14:textId="77777777" w:rsidR="00ED6053" w:rsidRPr="00ED6053" w:rsidRDefault="00ED6053" w:rsidP="00336A37">
            <w:pPr>
              <w:pStyle w:val="tablecontenttext"/>
              <w:spacing w:line="240" w:lineRule="auto"/>
              <w:rPr>
                <w:rFonts w:ascii="Times New Roman" w:hAnsi="Times New Roman" w:cs="Times New Roman"/>
                <w:sz w:val="14"/>
                <w:szCs w:val="14"/>
              </w:rPr>
            </w:pPr>
            <w:r w:rsidRPr="00ED6053">
              <w:rPr>
                <w:rFonts w:ascii="Times New Roman" w:hAnsi="Times New Roman" w:cs="Times New Roman"/>
                <w:sz w:val="14"/>
                <w:szCs w:val="14"/>
              </w:rPr>
              <w:t xml:space="preserve">In ADM, a Strategy must be flexible in terms </w:t>
            </w:r>
            <w:proofErr w:type="gramStart"/>
            <w:r w:rsidRPr="00ED6053">
              <w:rPr>
                <w:rFonts w:ascii="Times New Roman" w:hAnsi="Times New Roman" w:cs="Times New Roman"/>
                <w:sz w:val="14"/>
                <w:szCs w:val="14"/>
              </w:rPr>
              <w:t>of:</w:t>
            </w:r>
            <w:proofErr w:type="gramEnd"/>
            <w:r w:rsidRPr="00ED6053">
              <w:rPr>
                <w:rFonts w:ascii="Times New Roman" w:hAnsi="Times New Roman" w:cs="Times New Roman"/>
                <w:sz w:val="14"/>
                <w:szCs w:val="14"/>
              </w:rPr>
              <w:t xml:space="preserve"> the possibility of alternating of measure or pathway (trajectory). Flexibility also refers to the possibility to alter the course if an ATP of the current measure (or a given measure) comes </w:t>
            </w:r>
            <w:r w:rsidRPr="00ED6053">
              <w:rPr>
                <w:rFonts w:ascii="Times New Roman" w:hAnsi="Times New Roman" w:cs="Times New Roman"/>
                <w:color w:val="000000"/>
                <w:sz w:val="14"/>
                <w:szCs w:val="14"/>
              </w:rPr>
              <w:t xml:space="preserve">earlier than expected </w:t>
            </w:r>
            <w:r w:rsidRPr="00ED6053">
              <w:rPr>
                <w:rFonts w:ascii="Times New Roman" w:hAnsi="Times New Roman" w:cs="Times New Roman"/>
                <w:sz w:val="14"/>
                <w:szCs w:val="14"/>
              </w:rPr>
              <w:t>(</w:t>
            </w:r>
            <w:r w:rsidRPr="00ED6053">
              <w:rPr>
                <w:rFonts w:ascii="Times New Roman" w:hAnsi="Times New Roman" w:cs="Times New Roman"/>
                <w:color w:val="7F7F7F" w:themeColor="text1" w:themeTint="80"/>
                <w:sz w:val="14"/>
                <w:szCs w:val="14"/>
              </w:rPr>
              <w:t>Zandvoort et al. 2018, p.191</w:t>
            </w:r>
            <w:r w:rsidRPr="00ED6053">
              <w:rPr>
                <w:rFonts w:ascii="Times New Roman" w:hAnsi="Times New Roman" w:cs="Times New Roman"/>
                <w:sz w:val="14"/>
                <w:szCs w:val="14"/>
              </w:rPr>
              <w:t>), i.e. the flexibility to deliberately choose a different measure or pathway. A flexible approach allows the switching between strategies through APs (</w:t>
            </w:r>
            <w:r w:rsidRPr="00ED6053">
              <w:rPr>
                <w:rFonts w:ascii="Times New Roman" w:hAnsi="Times New Roman" w:cs="Times New Roman"/>
                <w:color w:val="7F7F7F" w:themeColor="text1" w:themeTint="80"/>
                <w:sz w:val="14"/>
                <w:szCs w:val="14"/>
              </w:rPr>
              <w:t xml:space="preserve">Zevenbergen et al. </w:t>
            </w:r>
            <w:r w:rsidRPr="00ED6053">
              <w:rPr>
                <w:rFonts w:ascii="Times New Roman" w:hAnsi="Times New Roman" w:cs="Times New Roman"/>
                <w:color w:val="7F7F7F" w:themeColor="text1" w:themeTint="80"/>
                <w:sz w:val="14"/>
                <w:szCs w:val="14"/>
              </w:rPr>
              <w:t>2018</w:t>
            </w:r>
            <w:r w:rsidRPr="00ED6053">
              <w:rPr>
                <w:rFonts w:ascii="Times New Roman" w:hAnsi="Times New Roman" w:cs="Times New Roman"/>
                <w:sz w:val="14"/>
                <w:szCs w:val="14"/>
              </w:rPr>
              <w:t>). This implies having the possibility (</w:t>
            </w:r>
            <w:r w:rsidRPr="00ED6053">
              <w:rPr>
                <w:rFonts w:ascii="Times New Roman" w:hAnsi="Times New Roman" w:cs="Times New Roman"/>
                <w:i/>
                <w:iCs w:val="0"/>
                <w:sz w:val="14"/>
                <w:szCs w:val="14"/>
              </w:rPr>
              <w:t>options</w:t>
            </w:r>
            <w:r w:rsidRPr="00ED6053">
              <w:rPr>
                <w:rFonts w:ascii="Times New Roman" w:hAnsi="Times New Roman" w:cs="Times New Roman"/>
                <w:sz w:val="14"/>
                <w:szCs w:val="14"/>
              </w:rPr>
              <w:t>) for switching between strategies (</w:t>
            </w:r>
            <w:r w:rsidRPr="00ED6053">
              <w:rPr>
                <w:rFonts w:ascii="Times New Roman" w:hAnsi="Times New Roman" w:cs="Times New Roman"/>
                <w:color w:val="7F7F7F" w:themeColor="text1" w:themeTint="80"/>
                <w:sz w:val="14"/>
                <w:szCs w:val="14"/>
              </w:rPr>
              <w:t>DP 2013, p.77</w:t>
            </w:r>
            <w:r w:rsidRPr="00ED6053">
              <w:rPr>
                <w:rFonts w:ascii="Times New Roman" w:hAnsi="Times New Roman" w:cs="Times New Roman"/>
                <w:sz w:val="14"/>
                <w:szCs w:val="14"/>
              </w:rPr>
              <w:t>).</w:t>
            </w:r>
          </w:p>
          <w:p w14:paraId="0CA363C1" w14:textId="77777777" w:rsidR="00ED6053" w:rsidRPr="00ED6053" w:rsidRDefault="00ED6053" w:rsidP="00336A37">
            <w:pPr>
              <w:jc w:val="left"/>
              <w:rPr>
                <w:rFonts w:ascii="Times New Roman" w:hAnsi="Times New Roman"/>
                <w:sz w:val="14"/>
                <w:szCs w:val="14"/>
              </w:rPr>
            </w:pPr>
            <w:r w:rsidRPr="00ED6053">
              <w:rPr>
                <w:rFonts w:ascii="Times New Roman" w:hAnsi="Times New Roman"/>
                <w:sz w:val="14"/>
                <w:szCs w:val="14"/>
              </w:rPr>
              <w:t>ADM aims to ensure flexibility. The ‘APs method’ delivers flexibility in terms of having alternative measures and the possibility to switch from a measure, or path, to another, if developments and changes prompt so.</w:t>
            </w:r>
          </w:p>
          <w:p w14:paraId="7336959D" w14:textId="77777777" w:rsidR="00ED6053" w:rsidRPr="00ED6053" w:rsidRDefault="00ED6053" w:rsidP="00336A37">
            <w:pPr>
              <w:jc w:val="left"/>
              <w:rPr>
                <w:rFonts w:ascii="Times New Roman" w:hAnsi="Times New Roman"/>
                <w:sz w:val="14"/>
                <w:szCs w:val="14"/>
              </w:rPr>
            </w:pPr>
          </w:p>
          <w:p w14:paraId="10169236" w14:textId="77777777" w:rsidR="00ED6053" w:rsidRPr="00ED6053" w:rsidRDefault="00ED6053" w:rsidP="00336A37">
            <w:pPr>
              <w:pStyle w:val="CORPOTEXTO"/>
              <w:jc w:val="left"/>
              <w:rPr>
                <w:sz w:val="14"/>
                <w:szCs w:val="14"/>
              </w:rPr>
            </w:pPr>
            <w:r w:rsidRPr="00ED6053">
              <w:rPr>
                <w:i/>
                <w:sz w:val="14"/>
                <w:szCs w:val="14"/>
              </w:rPr>
              <w:t>Flexibility</w:t>
            </w:r>
            <w:r w:rsidRPr="00ED6053">
              <w:rPr>
                <w:sz w:val="14"/>
                <w:szCs w:val="14"/>
              </w:rPr>
              <w:t xml:space="preserve"> is ensured through adaptation paths that are planned now (in anticipation) to deal with future changes (</w:t>
            </w:r>
            <w:r w:rsidRPr="00ED6053">
              <w:rPr>
                <w:color w:val="7F7F7F" w:themeColor="text1" w:themeTint="80"/>
                <w:sz w:val="14"/>
                <w:szCs w:val="14"/>
              </w:rPr>
              <w:t>Zandvoort et al. 2018, p.190, 189</w:t>
            </w:r>
            <w:r w:rsidRPr="00ED6053">
              <w:rPr>
                <w:sz w:val="14"/>
                <w:szCs w:val="14"/>
              </w:rPr>
              <w:t>).</w:t>
            </w:r>
          </w:p>
          <w:p w14:paraId="4CF3E3EE" w14:textId="77777777" w:rsidR="00ED6053" w:rsidRPr="00ED6053" w:rsidRDefault="00ED6053" w:rsidP="00336A37">
            <w:pPr>
              <w:jc w:val="left"/>
              <w:rPr>
                <w:sz w:val="14"/>
                <w:szCs w:val="14"/>
              </w:rPr>
            </w:pPr>
          </w:p>
          <w:p w14:paraId="437BF1C9" w14:textId="77777777" w:rsidR="00ED6053" w:rsidRPr="00ED6053" w:rsidRDefault="00ED6053" w:rsidP="00336A37">
            <w:pPr>
              <w:jc w:val="left"/>
              <w:rPr>
                <w:rFonts w:ascii="Times New Roman" w:hAnsi="Times New Roman"/>
                <w:b/>
                <w:bCs/>
                <w:sz w:val="14"/>
                <w:szCs w:val="14"/>
              </w:rPr>
            </w:pPr>
            <w:r w:rsidRPr="00ED6053">
              <w:rPr>
                <w:rFonts w:ascii="Times New Roman" w:hAnsi="Times New Roman"/>
                <w:b/>
                <w:bCs/>
                <w:sz w:val="14"/>
                <w:szCs w:val="14"/>
              </w:rPr>
              <w:t xml:space="preserve">The development of </w:t>
            </w:r>
            <w:r w:rsidRPr="00ED6053">
              <w:rPr>
                <w:rFonts w:ascii="Times New Roman" w:hAnsi="Times New Roman"/>
                <w:b/>
                <w:bCs/>
                <w:i/>
                <w:iCs/>
                <w:sz w:val="14"/>
                <w:szCs w:val="14"/>
              </w:rPr>
              <w:t>adaptation paths</w:t>
            </w:r>
            <w:r w:rsidRPr="00ED6053">
              <w:rPr>
                <w:rFonts w:ascii="Times New Roman" w:hAnsi="Times New Roman"/>
                <w:b/>
                <w:bCs/>
                <w:sz w:val="14"/>
                <w:szCs w:val="14"/>
              </w:rPr>
              <w:t xml:space="preserve"> contributed to ensure flexibility: the pathways can be accelerated / slowed down or adjusted (e.g. by shifting from a measure to another), and options are kept open for the future (</w:t>
            </w:r>
            <w:proofErr w:type="spellStart"/>
            <w:r w:rsidRPr="00ED6053">
              <w:rPr>
                <w:rFonts w:ascii="Times New Roman" w:hAnsi="Times New Roman"/>
                <w:b/>
                <w:bCs/>
                <w:color w:val="7F7F7F" w:themeColor="text1" w:themeTint="80"/>
                <w:sz w:val="14"/>
                <w:szCs w:val="14"/>
              </w:rPr>
              <w:t>Gersonius</w:t>
            </w:r>
            <w:proofErr w:type="spellEnd"/>
            <w:r w:rsidRPr="00ED6053">
              <w:rPr>
                <w:rFonts w:ascii="Times New Roman" w:hAnsi="Times New Roman"/>
                <w:b/>
                <w:bCs/>
                <w:color w:val="7F7F7F" w:themeColor="text1" w:themeTint="80"/>
                <w:sz w:val="14"/>
                <w:szCs w:val="14"/>
              </w:rPr>
              <w:t xml:space="preserve"> et al. 2016 p.12</w:t>
            </w:r>
            <w:r w:rsidRPr="00ED6053">
              <w:rPr>
                <w:rFonts w:ascii="Times New Roman" w:hAnsi="Times New Roman"/>
                <w:b/>
                <w:bCs/>
                <w:sz w:val="14"/>
                <w:szCs w:val="14"/>
              </w:rPr>
              <w:t>).</w:t>
            </w:r>
          </w:p>
          <w:p w14:paraId="04F77B13" w14:textId="77777777" w:rsidR="00ED6053" w:rsidRPr="00ED6053" w:rsidRDefault="00ED6053" w:rsidP="00336A37">
            <w:pPr>
              <w:jc w:val="left"/>
              <w:rPr>
                <w:rFonts w:ascii="Times New Roman" w:hAnsi="Times New Roman"/>
                <w:sz w:val="14"/>
                <w:szCs w:val="14"/>
              </w:rPr>
            </w:pPr>
          </w:p>
          <w:p w14:paraId="25392D38" w14:textId="77777777" w:rsidR="00ED6053" w:rsidRPr="00ED6053" w:rsidRDefault="00ED6053" w:rsidP="00336A37">
            <w:pPr>
              <w:jc w:val="left"/>
              <w:rPr>
                <w:rFonts w:ascii="Times New Roman" w:hAnsi="Times New Roman"/>
                <w:sz w:val="14"/>
                <w:szCs w:val="14"/>
              </w:rPr>
            </w:pPr>
            <w:r w:rsidRPr="00ED6053">
              <w:rPr>
                <w:rFonts w:ascii="Times New Roman" w:hAnsi="Times New Roman"/>
                <w:sz w:val="14"/>
                <w:szCs w:val="14"/>
              </w:rPr>
              <w:t>In ADM, a strategy</w:t>
            </w:r>
            <w:r w:rsidRPr="00ED6053">
              <w:rPr>
                <w:rFonts w:ascii="Times New Roman" w:hAnsi="Times New Roman"/>
                <w:b/>
                <w:sz w:val="14"/>
                <w:szCs w:val="14"/>
              </w:rPr>
              <w:t xml:space="preserve"> </w:t>
            </w:r>
            <w:r w:rsidRPr="00ED6053">
              <w:rPr>
                <w:rFonts w:ascii="Times New Roman" w:hAnsi="Times New Roman"/>
                <w:sz w:val="14"/>
                <w:szCs w:val="14"/>
              </w:rPr>
              <w:t>should also be flexible in terms of timing, i.e. allow the possibility to postpone or advance a measure in time (</w:t>
            </w:r>
            <w:r w:rsidRPr="00ED6053">
              <w:rPr>
                <w:rFonts w:ascii="Times New Roman" w:hAnsi="Times New Roman"/>
                <w:color w:val="7F7F7F" w:themeColor="text1" w:themeTint="80"/>
                <w:sz w:val="14"/>
                <w:szCs w:val="14"/>
              </w:rPr>
              <w:t>Zandvoort et al. 2018, p.191</w:t>
            </w:r>
            <w:r w:rsidRPr="00ED6053">
              <w:rPr>
                <w:rFonts w:ascii="Times New Roman" w:hAnsi="Times New Roman"/>
                <w:sz w:val="14"/>
                <w:szCs w:val="14"/>
              </w:rPr>
              <w:t>). This means flexibility to alter the timing for implementing a measure (</w:t>
            </w:r>
            <w:r w:rsidRPr="00ED6053">
              <w:rPr>
                <w:rFonts w:ascii="Times New Roman" w:hAnsi="Times New Roman"/>
                <w:color w:val="7F7F7F" w:themeColor="text1" w:themeTint="80"/>
                <w:sz w:val="14"/>
                <w:szCs w:val="14"/>
              </w:rPr>
              <w:t xml:space="preserve">Alphen 2013, </w:t>
            </w:r>
            <w:r w:rsidRPr="00ED6053">
              <w:rPr>
                <w:rFonts w:ascii="Times New Roman" w:hAnsi="Times New Roman"/>
                <w:i/>
                <w:color w:val="7F7F7F" w:themeColor="text1" w:themeTint="80"/>
                <w:sz w:val="14"/>
                <w:szCs w:val="14"/>
              </w:rPr>
              <w:t>in</w:t>
            </w:r>
            <w:r w:rsidRPr="00ED6053">
              <w:rPr>
                <w:rFonts w:ascii="Times New Roman" w:hAnsi="Times New Roman"/>
                <w:color w:val="7F7F7F" w:themeColor="text1" w:themeTint="80"/>
                <w:sz w:val="14"/>
                <w:szCs w:val="14"/>
              </w:rPr>
              <w:t xml:space="preserve"> Zevenbergen et al. 2018</w:t>
            </w:r>
            <w:r w:rsidRPr="00ED6053">
              <w:rPr>
                <w:rFonts w:ascii="Times New Roman" w:hAnsi="Times New Roman"/>
                <w:sz w:val="14"/>
                <w:szCs w:val="14"/>
              </w:rPr>
              <w:t>). ADM seeks to</w:t>
            </w:r>
            <w:r w:rsidRPr="00ED6053">
              <w:rPr>
                <w:rFonts w:ascii="Times New Roman" w:hAnsi="Times New Roman"/>
                <w:color w:val="C00000"/>
                <w:sz w:val="14"/>
                <w:szCs w:val="14"/>
              </w:rPr>
              <w:t xml:space="preserve"> </w:t>
            </w:r>
            <w:r w:rsidRPr="00ED6053">
              <w:rPr>
                <w:rFonts w:ascii="Times New Roman" w:hAnsi="Times New Roman"/>
                <w:i/>
                <w:sz w:val="14"/>
                <w:szCs w:val="14"/>
              </w:rPr>
              <w:t>take the right measures at the right moment</w:t>
            </w:r>
            <w:r w:rsidRPr="00ED6053">
              <w:rPr>
                <w:rFonts w:ascii="Times New Roman" w:hAnsi="Times New Roman"/>
                <w:sz w:val="14"/>
                <w:szCs w:val="14"/>
              </w:rPr>
              <w:t xml:space="preserve"> (when they are really needed to achieve the desired objectives). Adaptiveness and flexibility are related with the possibility to modify a decision about the timing for a measure (</w:t>
            </w:r>
            <w:r w:rsidRPr="00ED6053">
              <w:rPr>
                <w:rFonts w:ascii="Times New Roman" w:hAnsi="Times New Roman"/>
                <w:color w:val="7F7F7F" w:themeColor="text1" w:themeTint="80"/>
                <w:sz w:val="14"/>
                <w:szCs w:val="14"/>
              </w:rPr>
              <w:t>Zandvoort et al. 2018, p.191</w:t>
            </w:r>
            <w:r w:rsidRPr="00ED6053">
              <w:rPr>
                <w:rFonts w:ascii="Times New Roman" w:hAnsi="Times New Roman"/>
                <w:sz w:val="14"/>
                <w:szCs w:val="14"/>
              </w:rPr>
              <w:t>).</w:t>
            </w:r>
          </w:p>
          <w:p w14:paraId="1D88825B" w14:textId="77777777" w:rsidR="00ED6053" w:rsidRPr="00ED6053" w:rsidRDefault="00ED6053" w:rsidP="00336A37">
            <w:pPr>
              <w:pStyle w:val="Textodenotaderodap"/>
              <w:jc w:val="left"/>
              <w:rPr>
                <w:sz w:val="14"/>
                <w:szCs w:val="14"/>
              </w:rPr>
            </w:pPr>
            <w:bookmarkStart w:id="139" w:name="_Hlk41903251"/>
            <w:r w:rsidRPr="00ED6053">
              <w:rPr>
                <w:color w:val="7F7F7F" w:themeColor="text1" w:themeTint="80"/>
                <w:sz w:val="14"/>
                <w:szCs w:val="14"/>
              </w:rPr>
              <w:t xml:space="preserve">Zandvoort et al. (2018) </w:t>
            </w:r>
            <w:bookmarkEnd w:id="139"/>
            <w:r w:rsidRPr="00ED6053">
              <w:rPr>
                <w:sz w:val="14"/>
                <w:szCs w:val="14"/>
              </w:rPr>
              <w:t xml:space="preserve">ADM uses two types of adaptiveness: </w:t>
            </w:r>
            <w:r w:rsidRPr="00ED6053">
              <w:rPr>
                <w:i/>
                <w:iCs/>
                <w:sz w:val="14"/>
                <w:szCs w:val="14"/>
              </w:rPr>
              <w:t xml:space="preserve">adaptive planning </w:t>
            </w:r>
            <w:r w:rsidRPr="00ED6053">
              <w:rPr>
                <w:sz w:val="14"/>
                <w:szCs w:val="14"/>
              </w:rPr>
              <w:t xml:space="preserve">and </w:t>
            </w:r>
            <w:r w:rsidRPr="00ED6053">
              <w:rPr>
                <w:i/>
                <w:iCs/>
                <w:sz w:val="14"/>
                <w:szCs w:val="14"/>
              </w:rPr>
              <w:t>adaptive capacity</w:t>
            </w:r>
            <w:r w:rsidRPr="00ED6053">
              <w:rPr>
                <w:sz w:val="14"/>
                <w:szCs w:val="14"/>
              </w:rPr>
              <w:t>. A</w:t>
            </w:r>
            <w:r w:rsidRPr="00ED6053">
              <w:rPr>
                <w:sz w:val="14"/>
                <w:szCs w:val="14"/>
                <w:u w:val="dotted"/>
              </w:rPr>
              <w:t>daptive planning</w:t>
            </w:r>
            <w:r w:rsidRPr="00ED6053">
              <w:rPr>
                <w:sz w:val="14"/>
                <w:szCs w:val="14"/>
              </w:rPr>
              <w:t xml:space="preserve"> requires </w:t>
            </w:r>
            <w:r w:rsidRPr="00ED6053">
              <w:rPr>
                <w:sz w:val="14"/>
                <w:szCs w:val="14"/>
                <w:u w:val="dotted"/>
              </w:rPr>
              <w:t xml:space="preserve">preparing short-term measures considering long-term effects </w:t>
            </w:r>
            <w:r w:rsidRPr="00ED6053">
              <w:rPr>
                <w:sz w:val="14"/>
                <w:szCs w:val="14"/>
              </w:rPr>
              <w:t>and avoiding lock-ins/-</w:t>
            </w:r>
            <w:proofErr w:type="gramStart"/>
            <w:r w:rsidRPr="00ED6053">
              <w:rPr>
                <w:sz w:val="14"/>
                <w:szCs w:val="14"/>
              </w:rPr>
              <w:t>outs;</w:t>
            </w:r>
            <w:proofErr w:type="gramEnd"/>
            <w:r w:rsidRPr="00ED6053">
              <w:rPr>
                <w:sz w:val="14"/>
                <w:szCs w:val="14"/>
              </w:rPr>
              <w:t xml:space="preserve"> which implied assessing measures under different scenarios and identifying those with greater cost-benefit in the long-term. A</w:t>
            </w:r>
            <w:r w:rsidRPr="00ED6053">
              <w:rPr>
                <w:sz w:val="14"/>
                <w:szCs w:val="14"/>
                <w:u w:val="dotted"/>
              </w:rPr>
              <w:t>daptive capacity</w:t>
            </w:r>
            <w:r w:rsidRPr="00ED6053">
              <w:rPr>
                <w:sz w:val="14"/>
                <w:szCs w:val="14"/>
              </w:rPr>
              <w:t xml:space="preserve"> of the managed system can be enhanced by enlarging the decision space (which increases flexibility); this </w:t>
            </w:r>
            <w:r w:rsidRPr="00ED6053">
              <w:rPr>
                <w:color w:val="000000"/>
                <w:sz w:val="14"/>
                <w:szCs w:val="14"/>
              </w:rPr>
              <w:t xml:space="preserve">implies </w:t>
            </w:r>
            <w:r w:rsidRPr="00ED6053">
              <w:rPr>
                <w:i/>
                <w:color w:val="000000"/>
                <w:sz w:val="14"/>
                <w:szCs w:val="14"/>
              </w:rPr>
              <w:t>keeping options open</w:t>
            </w:r>
            <w:r w:rsidRPr="00ED6053">
              <w:rPr>
                <w:color w:val="000000"/>
                <w:sz w:val="14"/>
                <w:szCs w:val="14"/>
              </w:rPr>
              <w:t xml:space="preserve"> / possibilities of altering the course. </w:t>
            </w:r>
            <w:r w:rsidRPr="00ED6053">
              <w:rPr>
                <w:sz w:val="14"/>
                <w:szCs w:val="14"/>
              </w:rPr>
              <w:t>These types of adaptiveness are related: one enables the other (</w:t>
            </w:r>
            <w:r w:rsidRPr="00ED6053">
              <w:rPr>
                <w:color w:val="7F7F7F" w:themeColor="text1" w:themeTint="80"/>
                <w:sz w:val="14"/>
                <w:szCs w:val="14"/>
              </w:rPr>
              <w:t>Zandvoort et al. 2018</w:t>
            </w:r>
            <w:r w:rsidRPr="00ED6053">
              <w:rPr>
                <w:sz w:val="14"/>
                <w:szCs w:val="14"/>
              </w:rPr>
              <w:t>).</w:t>
            </w:r>
          </w:p>
          <w:p w14:paraId="18FD9BB4" w14:textId="77777777" w:rsidR="00ED6053" w:rsidRPr="00ED6053" w:rsidRDefault="00ED6053" w:rsidP="00336A37">
            <w:pPr>
              <w:jc w:val="left"/>
              <w:rPr>
                <w:rFonts w:ascii="Times New Roman" w:hAnsi="Times New Roman"/>
                <w:sz w:val="14"/>
                <w:szCs w:val="14"/>
              </w:rPr>
            </w:pPr>
            <w:r w:rsidRPr="00ED6053">
              <w:rPr>
                <w:rFonts w:ascii="Times New Roman" w:hAnsi="Times New Roman"/>
                <w:sz w:val="14"/>
                <w:szCs w:val="14"/>
              </w:rPr>
              <w:t>In ADM,</w:t>
            </w:r>
            <w:r w:rsidRPr="00ED6053">
              <w:rPr>
                <w:rFonts w:ascii="Times New Roman" w:hAnsi="Times New Roman"/>
                <w:b/>
                <w:bCs/>
                <w:sz w:val="14"/>
                <w:szCs w:val="14"/>
              </w:rPr>
              <w:t xml:space="preserve"> adaptiveness</w:t>
            </w:r>
            <w:r w:rsidRPr="00ED6053">
              <w:rPr>
                <w:rFonts w:ascii="Times New Roman" w:hAnsi="Times New Roman"/>
                <w:sz w:val="14"/>
                <w:szCs w:val="14"/>
              </w:rPr>
              <w:t xml:space="preserve"> is also related with </w:t>
            </w:r>
            <w:r w:rsidRPr="00ED6053">
              <w:rPr>
                <w:rFonts w:ascii="Times New Roman" w:hAnsi="Times New Roman"/>
                <w:i/>
                <w:sz w:val="14"/>
                <w:szCs w:val="14"/>
              </w:rPr>
              <w:t>keeping options open</w:t>
            </w:r>
            <w:r w:rsidRPr="00ED6053">
              <w:rPr>
                <w:rFonts w:ascii="Times New Roman" w:hAnsi="Times New Roman"/>
                <w:sz w:val="14"/>
                <w:szCs w:val="14"/>
              </w:rPr>
              <w:t>, i.e. enlarging the decision space, which enhances flexibility and creates adaptiveness to handle “</w:t>
            </w:r>
            <w:r w:rsidRPr="00ED6053">
              <w:rPr>
                <w:rFonts w:ascii="Times New Roman" w:hAnsi="Times New Roman"/>
                <w:i/>
                <w:sz w:val="14"/>
                <w:szCs w:val="14"/>
              </w:rPr>
              <w:t>currently unknown future changes</w:t>
            </w:r>
            <w:r w:rsidRPr="00ED6053">
              <w:rPr>
                <w:rFonts w:ascii="Times New Roman" w:hAnsi="Times New Roman"/>
                <w:iCs/>
                <w:sz w:val="14"/>
                <w:szCs w:val="14"/>
              </w:rPr>
              <w:t>” (</w:t>
            </w:r>
            <w:r w:rsidRPr="00ED6053">
              <w:rPr>
                <w:rFonts w:ascii="Times New Roman" w:hAnsi="Times New Roman"/>
                <w:color w:val="7F7F7F" w:themeColor="text1" w:themeTint="80"/>
                <w:sz w:val="14"/>
                <w:szCs w:val="14"/>
              </w:rPr>
              <w:t>Zandvoort et al.2018, p.191</w:t>
            </w:r>
            <w:r w:rsidRPr="00ED6053">
              <w:rPr>
                <w:rFonts w:ascii="Times New Roman" w:hAnsi="Times New Roman"/>
                <w:sz w:val="14"/>
                <w:szCs w:val="14"/>
              </w:rPr>
              <w:t xml:space="preserve">). </w:t>
            </w:r>
          </w:p>
          <w:p w14:paraId="544AF62C" w14:textId="77777777" w:rsidR="00ED6053" w:rsidRPr="00ED6053" w:rsidRDefault="00ED6053" w:rsidP="00336A37">
            <w:pPr>
              <w:pStyle w:val="CORPOTEXTO"/>
              <w:jc w:val="left"/>
              <w:rPr>
                <w:rFonts w:eastAsia="RijksoverheidSerif-Regular"/>
                <w:b/>
                <w:bCs/>
                <w:sz w:val="14"/>
                <w:szCs w:val="14"/>
                <w:lang w:eastAsia="en-US"/>
              </w:rPr>
            </w:pPr>
            <w:r w:rsidRPr="00ED6053">
              <w:rPr>
                <w:sz w:val="14"/>
                <w:szCs w:val="14"/>
              </w:rPr>
              <w:br/>
            </w:r>
            <w:r w:rsidRPr="00ED6053">
              <w:rPr>
                <w:rFonts w:eastAsia="RijksoverheidSerif-Regular"/>
                <w:sz w:val="14"/>
                <w:szCs w:val="14"/>
                <w:lang w:eastAsia="en-US"/>
              </w:rPr>
              <w:t>The DP has used ADM to devise</w:t>
            </w:r>
            <w:r w:rsidRPr="00ED6053">
              <w:rPr>
                <w:rFonts w:eastAsia="RijksoverheidSerif-Regular"/>
                <w:i/>
                <w:iCs/>
                <w:sz w:val="14"/>
                <w:szCs w:val="14"/>
                <w:lang w:eastAsia="en-US"/>
              </w:rPr>
              <w:t xml:space="preserve"> robust</w:t>
            </w:r>
            <w:r w:rsidRPr="00ED6053">
              <w:rPr>
                <w:rFonts w:eastAsia="RijksoverheidSerif-Regular"/>
                <w:sz w:val="14"/>
                <w:szCs w:val="14"/>
                <w:lang w:eastAsia="en-US"/>
              </w:rPr>
              <w:t xml:space="preserve"> </w:t>
            </w:r>
            <w:r w:rsidRPr="00ED6053">
              <w:rPr>
                <w:rFonts w:eastAsia="RijksoverheidSerif-Regular"/>
                <w:i/>
                <w:iCs/>
                <w:sz w:val="14"/>
                <w:szCs w:val="14"/>
                <w:lang w:eastAsia="en-US"/>
              </w:rPr>
              <w:t>flexible strategies</w:t>
            </w:r>
            <w:r w:rsidRPr="00ED6053">
              <w:rPr>
                <w:rFonts w:eastAsia="RijksoverheidSerif-Regular"/>
                <w:sz w:val="14"/>
                <w:szCs w:val="14"/>
                <w:lang w:eastAsia="en-US"/>
              </w:rPr>
              <w:t xml:space="preserve">. Flexibility is needed to deal with uncertain future conditions and change, </w:t>
            </w:r>
            <w:r w:rsidRPr="00ED6053">
              <w:rPr>
                <w:sz w:val="14"/>
                <w:szCs w:val="14"/>
              </w:rPr>
              <w:t>and, at the same time, make responsible investments</w:t>
            </w:r>
            <w:r w:rsidRPr="00ED6053">
              <w:rPr>
                <w:rFonts w:eastAsia="RijksoverheidSansText-Regular"/>
                <w:sz w:val="14"/>
                <w:szCs w:val="14"/>
              </w:rPr>
              <w:t xml:space="preserve">. </w:t>
            </w:r>
            <w:r w:rsidRPr="00ED6053">
              <w:rPr>
                <w:rFonts w:eastAsia="RijksoverheidSerif-Regular"/>
                <w:b/>
                <w:bCs/>
                <w:sz w:val="14"/>
                <w:szCs w:val="14"/>
                <w:lang w:eastAsia="en-US"/>
              </w:rPr>
              <w:t xml:space="preserve">Flexibility can be delivered in several ways, e.g.: by designing each strategy as an </w:t>
            </w:r>
            <w:r w:rsidRPr="00ED6053">
              <w:rPr>
                <w:rFonts w:eastAsia="RijksoverheidSerif-Regular"/>
                <w:b/>
                <w:bCs/>
                <w:i/>
                <w:iCs/>
                <w:sz w:val="14"/>
                <w:szCs w:val="14"/>
                <w:lang w:eastAsia="en-US"/>
              </w:rPr>
              <w:t>adaptation path</w:t>
            </w:r>
            <w:r w:rsidRPr="00ED6053">
              <w:rPr>
                <w:rFonts w:eastAsia="RijksoverheidSerif-Regular"/>
                <w:b/>
                <w:bCs/>
                <w:sz w:val="14"/>
                <w:szCs w:val="14"/>
                <w:lang w:eastAsia="en-US"/>
              </w:rPr>
              <w:t xml:space="preserve"> (pathway), by using solutions that are ‘flexible’ </w:t>
            </w:r>
            <w:r w:rsidRPr="00ED6053">
              <w:rPr>
                <w:rFonts w:eastAsia="RijksoverheidSerif-Regular"/>
                <w:b/>
                <w:bCs/>
                <w:i/>
                <w:iCs/>
                <w:sz w:val="14"/>
                <w:szCs w:val="14"/>
                <w:lang w:eastAsia="en-US"/>
              </w:rPr>
              <w:t>per se</w:t>
            </w:r>
            <w:r w:rsidRPr="00ED6053">
              <w:rPr>
                <w:rFonts w:eastAsia="RijksoverheidSerif-Regular"/>
                <w:b/>
                <w:bCs/>
                <w:sz w:val="14"/>
                <w:szCs w:val="14"/>
                <w:lang w:eastAsia="en-US"/>
              </w:rPr>
              <w:t>, by using various pathways, by linking agendas, etc. Th</w:t>
            </w:r>
            <w:r w:rsidRPr="00ED6053">
              <w:rPr>
                <w:b/>
                <w:bCs/>
                <w:sz w:val="14"/>
                <w:szCs w:val="14"/>
              </w:rPr>
              <w:t>ese types of flexibility create added value in terms of cost reduction, feasibility, and benefits (</w:t>
            </w:r>
            <w:r w:rsidRPr="00ED6053">
              <w:rPr>
                <w:b/>
                <w:bCs/>
                <w:color w:val="7F7F7F" w:themeColor="text1" w:themeTint="80"/>
                <w:sz w:val="14"/>
                <w:szCs w:val="14"/>
              </w:rPr>
              <w:t>DP 2014, p.90, 139</w:t>
            </w:r>
            <w:r w:rsidRPr="00ED6053">
              <w:rPr>
                <w:b/>
                <w:bCs/>
                <w:sz w:val="14"/>
                <w:szCs w:val="14"/>
              </w:rPr>
              <w:t>).</w:t>
            </w:r>
            <w:r w:rsidRPr="00ED6053">
              <w:rPr>
                <w:rFonts w:cs="Arial"/>
                <w:b/>
                <w:bCs/>
                <w:sz w:val="14"/>
                <w:szCs w:val="14"/>
              </w:rPr>
              <w:t xml:space="preserve"> </w:t>
            </w:r>
          </w:p>
          <w:p w14:paraId="5AD2CF26" w14:textId="77777777" w:rsidR="00ED6053" w:rsidRPr="00ED6053" w:rsidRDefault="00ED6053" w:rsidP="00336A37">
            <w:pPr>
              <w:pStyle w:val="tablecontenttext"/>
              <w:spacing w:line="240" w:lineRule="auto"/>
              <w:rPr>
                <w:rFonts w:ascii="Times New Roman" w:hAnsi="Times New Roman" w:cs="Times New Roman"/>
                <w:sz w:val="14"/>
                <w:szCs w:val="14"/>
              </w:rPr>
            </w:pPr>
          </w:p>
          <w:p w14:paraId="6461C47C" w14:textId="77777777" w:rsidR="00ED6053" w:rsidRPr="00ED6053" w:rsidRDefault="00ED6053" w:rsidP="00336A37">
            <w:pPr>
              <w:pStyle w:val="Textodenotaderodap"/>
              <w:jc w:val="left"/>
              <w:rPr>
                <w:b/>
                <w:bCs/>
                <w:sz w:val="14"/>
                <w:szCs w:val="14"/>
              </w:rPr>
            </w:pPr>
            <w:r w:rsidRPr="00ED6053">
              <w:rPr>
                <w:b/>
                <w:bCs/>
                <w:sz w:val="14"/>
                <w:szCs w:val="14"/>
              </w:rPr>
              <w:t>An adaptive plan / policy is considered robust if the desired objectives can be achieved under a variety of circumstances (i.e. scenarios), whereas flexibility is related with the easiness with which a plan can be adapted to changing conditions and the capacity to adapt to a multitude of possible future conditions and changes. The flexibility of a plan is enhanced if its measures can be adapted, implemented earlier or later than planned and meanwhile the plan’s goal will still be reached (</w:t>
            </w:r>
            <w:proofErr w:type="spellStart"/>
            <w:r w:rsidRPr="00ED6053">
              <w:rPr>
                <w:b/>
                <w:bCs/>
                <w:color w:val="7F7F7F" w:themeColor="text1" w:themeTint="80"/>
                <w:sz w:val="14"/>
                <w:szCs w:val="14"/>
              </w:rPr>
              <w:t>Deltares</w:t>
            </w:r>
            <w:proofErr w:type="spellEnd"/>
            <w:r w:rsidRPr="00ED6053">
              <w:rPr>
                <w:b/>
                <w:bCs/>
                <w:color w:val="7F7F7F" w:themeColor="text1" w:themeTint="80"/>
                <w:sz w:val="14"/>
                <w:szCs w:val="14"/>
              </w:rPr>
              <w:t>, p.2-3</w:t>
            </w:r>
            <w:r w:rsidRPr="00ED6053">
              <w:rPr>
                <w:b/>
                <w:bCs/>
                <w:sz w:val="14"/>
                <w:szCs w:val="14"/>
              </w:rPr>
              <w:t xml:space="preserve">), if it is possible to shift from one measure or pathway to another. </w:t>
            </w:r>
          </w:p>
          <w:p w14:paraId="15BBC787" w14:textId="77777777" w:rsidR="00ED6053" w:rsidRPr="00ED6053" w:rsidRDefault="00ED6053" w:rsidP="00336A37">
            <w:pPr>
              <w:pStyle w:val="Textodenotaderodap"/>
              <w:jc w:val="left"/>
              <w:rPr>
                <w:b/>
                <w:bCs/>
                <w:sz w:val="14"/>
                <w:szCs w:val="14"/>
              </w:rPr>
            </w:pPr>
          </w:p>
          <w:p w14:paraId="5FE250E5" w14:textId="77777777" w:rsidR="00ED6053" w:rsidRPr="00ED6053" w:rsidRDefault="00ED6053" w:rsidP="00336A37">
            <w:pPr>
              <w:pStyle w:val="CORPOTEXTO"/>
              <w:jc w:val="left"/>
              <w:rPr>
                <w:sz w:val="14"/>
                <w:szCs w:val="14"/>
              </w:rPr>
            </w:pPr>
            <w:r w:rsidRPr="00ED6053">
              <w:rPr>
                <w:sz w:val="14"/>
                <w:szCs w:val="14"/>
                <w:u w:val="single"/>
              </w:rPr>
              <w:t>Flexibility</w:t>
            </w:r>
            <w:r w:rsidRPr="00ED6053">
              <w:rPr>
                <w:sz w:val="14"/>
                <w:szCs w:val="14"/>
              </w:rPr>
              <w:t xml:space="preserve"> (capacity to be flexible) may be</w:t>
            </w:r>
            <w:r w:rsidRPr="00ED6053">
              <w:rPr>
                <w:i/>
                <w:iCs/>
                <w:sz w:val="14"/>
                <w:szCs w:val="14"/>
              </w:rPr>
              <w:t xml:space="preserve"> flexibility</w:t>
            </w:r>
            <w:r w:rsidRPr="00ED6053">
              <w:rPr>
                <w:sz w:val="14"/>
                <w:szCs w:val="14"/>
              </w:rPr>
              <w:t xml:space="preserve"> to switch to other strategies when needed, in the face of uncertain future changes, it has elements of experimentation and learning. </w:t>
            </w:r>
            <w:r w:rsidRPr="00ED6053">
              <w:rPr>
                <w:sz w:val="14"/>
                <w:szCs w:val="14"/>
                <w:u w:val="single"/>
              </w:rPr>
              <w:t>Adaptive capacity</w:t>
            </w:r>
            <w:r w:rsidRPr="00ED6053">
              <w:rPr>
                <w:sz w:val="14"/>
                <w:szCs w:val="14"/>
              </w:rPr>
              <w:t xml:space="preserve"> refers to capacities, attributes, and resources to undertake adaptation; it concerns the ability to anticipate, innovate and generate experience in dealing with change and learn from mistakes (</w:t>
            </w:r>
            <w:r w:rsidRPr="00ED6053">
              <w:rPr>
                <w:color w:val="7F7F7F" w:themeColor="text1" w:themeTint="80"/>
                <w:sz w:val="14"/>
                <w:szCs w:val="14"/>
              </w:rPr>
              <w:t xml:space="preserve">Haegen and </w:t>
            </w:r>
            <w:proofErr w:type="spellStart"/>
            <w:r w:rsidRPr="00ED6053">
              <w:rPr>
                <w:color w:val="7F7F7F" w:themeColor="text1" w:themeTint="80"/>
                <w:sz w:val="14"/>
                <w:szCs w:val="14"/>
              </w:rPr>
              <w:t>Wieriks</w:t>
            </w:r>
            <w:proofErr w:type="spellEnd"/>
            <w:r w:rsidRPr="00ED6053">
              <w:rPr>
                <w:color w:val="7F7F7F" w:themeColor="text1" w:themeTint="80"/>
                <w:sz w:val="14"/>
                <w:szCs w:val="14"/>
              </w:rPr>
              <w:t xml:space="preserve"> 2015</w:t>
            </w:r>
            <w:r w:rsidRPr="00ED6053">
              <w:rPr>
                <w:sz w:val="14"/>
                <w:szCs w:val="14"/>
              </w:rPr>
              <w:t>).</w:t>
            </w:r>
          </w:p>
          <w:p w14:paraId="08464CA4" w14:textId="77777777" w:rsidR="00ED6053" w:rsidRPr="00ED6053" w:rsidRDefault="00ED6053" w:rsidP="00336A37">
            <w:pPr>
              <w:pStyle w:val="CORPOTEXTO"/>
              <w:jc w:val="left"/>
              <w:rPr>
                <w:sz w:val="14"/>
                <w:szCs w:val="14"/>
              </w:rPr>
            </w:pPr>
          </w:p>
          <w:p w14:paraId="0BF6F531" w14:textId="77777777" w:rsidR="00ED6053" w:rsidRPr="00ED6053" w:rsidRDefault="00ED6053" w:rsidP="00336A37">
            <w:pPr>
              <w:pStyle w:val="CORPOTEXTO"/>
              <w:numPr>
                <w:ilvl w:val="0"/>
                <w:numId w:val="134"/>
              </w:numPr>
              <w:ind w:left="255" w:hanging="255"/>
              <w:jc w:val="left"/>
              <w:rPr>
                <w:sz w:val="14"/>
                <w:szCs w:val="14"/>
              </w:rPr>
            </w:pPr>
            <w:r w:rsidRPr="00ED6053">
              <w:rPr>
                <w:sz w:val="14"/>
                <w:szCs w:val="14"/>
              </w:rPr>
              <w:t>In ADM, a strategy</w:t>
            </w:r>
            <w:r w:rsidRPr="00ED6053">
              <w:rPr>
                <w:b/>
                <w:sz w:val="14"/>
                <w:szCs w:val="14"/>
              </w:rPr>
              <w:t xml:space="preserve"> </w:t>
            </w:r>
            <w:r w:rsidRPr="00ED6053">
              <w:rPr>
                <w:sz w:val="14"/>
                <w:szCs w:val="14"/>
              </w:rPr>
              <w:t>should also be flexible in terms of timing, i.e. allow the possibility to postpone or advance a measure in time (</w:t>
            </w:r>
            <w:r w:rsidRPr="00ED6053">
              <w:rPr>
                <w:color w:val="7F7F7F" w:themeColor="text1" w:themeTint="80"/>
                <w:sz w:val="14"/>
                <w:szCs w:val="14"/>
              </w:rPr>
              <w:t>Zandvoort et al. 2018, p.191</w:t>
            </w:r>
            <w:r w:rsidRPr="00ED6053">
              <w:rPr>
                <w:sz w:val="14"/>
                <w:szCs w:val="14"/>
              </w:rPr>
              <w:t>). This means flexibility to alter the timing for implementing a measure (</w:t>
            </w:r>
            <w:r w:rsidRPr="00ED6053">
              <w:rPr>
                <w:color w:val="7F7F7F" w:themeColor="text1" w:themeTint="80"/>
                <w:sz w:val="14"/>
                <w:szCs w:val="14"/>
              </w:rPr>
              <w:t xml:space="preserve">Alphen 2013, </w:t>
            </w:r>
            <w:r w:rsidRPr="00ED6053">
              <w:rPr>
                <w:i/>
                <w:color w:val="7F7F7F" w:themeColor="text1" w:themeTint="80"/>
                <w:sz w:val="14"/>
                <w:szCs w:val="14"/>
              </w:rPr>
              <w:t>in</w:t>
            </w:r>
            <w:r w:rsidRPr="00ED6053">
              <w:rPr>
                <w:color w:val="7F7F7F" w:themeColor="text1" w:themeTint="80"/>
                <w:sz w:val="14"/>
                <w:szCs w:val="14"/>
              </w:rPr>
              <w:t xml:space="preserve"> Zevenbergen et al. 2018</w:t>
            </w:r>
            <w:r w:rsidRPr="00ED6053">
              <w:rPr>
                <w:sz w:val="14"/>
                <w:szCs w:val="14"/>
              </w:rPr>
              <w:t>). ADM seeks to</w:t>
            </w:r>
            <w:r w:rsidRPr="00ED6053">
              <w:rPr>
                <w:color w:val="C00000"/>
                <w:sz w:val="14"/>
                <w:szCs w:val="14"/>
              </w:rPr>
              <w:t xml:space="preserve"> </w:t>
            </w:r>
            <w:r w:rsidRPr="00ED6053">
              <w:rPr>
                <w:i/>
                <w:sz w:val="14"/>
                <w:szCs w:val="14"/>
              </w:rPr>
              <w:t>take the right measures at the right moment</w:t>
            </w:r>
            <w:r w:rsidRPr="00ED6053">
              <w:rPr>
                <w:sz w:val="14"/>
                <w:szCs w:val="14"/>
              </w:rPr>
              <w:t xml:space="preserve"> (when they are really needed to achieve the desired objectives). Adaptiveness and flexibility are related with the possibility to modify a decision about the timing for a measure (</w:t>
            </w:r>
            <w:r w:rsidRPr="00ED6053">
              <w:rPr>
                <w:color w:val="7F7F7F" w:themeColor="text1" w:themeTint="80"/>
                <w:sz w:val="14"/>
                <w:szCs w:val="14"/>
              </w:rPr>
              <w:t>Zandvoort et al. 2018, p.191</w:t>
            </w:r>
            <w:r w:rsidRPr="00ED6053">
              <w:rPr>
                <w:sz w:val="14"/>
                <w:szCs w:val="14"/>
              </w:rPr>
              <w:t>).</w:t>
            </w:r>
          </w:p>
          <w:p w14:paraId="1C290277" w14:textId="77777777" w:rsidR="00ED6053" w:rsidRPr="00ED6053" w:rsidRDefault="00ED6053" w:rsidP="00336A37">
            <w:pPr>
              <w:pStyle w:val="CORPOTEXTO"/>
              <w:numPr>
                <w:ilvl w:val="0"/>
                <w:numId w:val="134"/>
              </w:numPr>
              <w:ind w:left="255" w:hanging="255"/>
              <w:jc w:val="left"/>
              <w:rPr>
                <w:sz w:val="14"/>
                <w:szCs w:val="14"/>
              </w:rPr>
            </w:pPr>
            <w:r w:rsidRPr="00ED6053">
              <w:rPr>
                <w:sz w:val="14"/>
                <w:szCs w:val="14"/>
              </w:rPr>
              <w:lastRenderedPageBreak/>
              <w:t xml:space="preserve">In ADM, adaptiveness is also related with </w:t>
            </w:r>
            <w:r w:rsidRPr="00ED6053">
              <w:rPr>
                <w:i/>
                <w:sz w:val="14"/>
                <w:szCs w:val="14"/>
              </w:rPr>
              <w:t>keeping options open</w:t>
            </w:r>
            <w:r w:rsidRPr="00ED6053">
              <w:rPr>
                <w:sz w:val="14"/>
                <w:szCs w:val="14"/>
              </w:rPr>
              <w:t xml:space="preserve">, i.e. enlarging the decision space, which enhances flexibility and creates adaptiveness to handle </w:t>
            </w:r>
            <w:r w:rsidRPr="00ED6053">
              <w:rPr>
                <w:i/>
                <w:sz w:val="14"/>
                <w:szCs w:val="14"/>
              </w:rPr>
              <w:t xml:space="preserve">currently unknown future changes </w:t>
            </w:r>
            <w:r w:rsidRPr="00ED6053">
              <w:rPr>
                <w:sz w:val="14"/>
                <w:szCs w:val="14"/>
              </w:rPr>
              <w:t>(</w:t>
            </w:r>
            <w:r w:rsidRPr="00ED6053">
              <w:rPr>
                <w:color w:val="7F7F7F" w:themeColor="text1" w:themeTint="80"/>
                <w:sz w:val="14"/>
                <w:szCs w:val="14"/>
              </w:rPr>
              <w:t>Zandvoort et al.2018, p.191</w:t>
            </w:r>
            <w:r w:rsidRPr="00ED6053">
              <w:rPr>
                <w:sz w:val="14"/>
                <w:szCs w:val="14"/>
              </w:rPr>
              <w:t>). ‘Keeping options open’ means having possibilities of altering the course. It implies keeping the possibility to switch to other measures, and a stepwise implementation of various measures – both contribute to increase flexibility (</w:t>
            </w:r>
            <w:r w:rsidRPr="00ED6053">
              <w:rPr>
                <w:i/>
                <w:sz w:val="14"/>
                <w:szCs w:val="14"/>
              </w:rPr>
              <w:t>dynamic robustness</w:t>
            </w:r>
            <w:r w:rsidRPr="00ED6053">
              <w:rPr>
                <w:sz w:val="14"/>
                <w:szCs w:val="14"/>
              </w:rPr>
              <w:t>) (</w:t>
            </w:r>
            <w:proofErr w:type="spellStart"/>
            <w:r w:rsidRPr="00ED6053">
              <w:rPr>
                <w:color w:val="7F7F7F" w:themeColor="text1" w:themeTint="80"/>
                <w:sz w:val="14"/>
                <w:szCs w:val="14"/>
              </w:rPr>
              <w:t>Jeuken</w:t>
            </w:r>
            <w:proofErr w:type="spellEnd"/>
            <w:r w:rsidRPr="00ED6053">
              <w:rPr>
                <w:color w:val="7F7F7F" w:themeColor="text1" w:themeTint="80"/>
                <w:sz w:val="14"/>
                <w:szCs w:val="14"/>
              </w:rPr>
              <w:t xml:space="preserve"> et al. 2014; Alphen 2015</w:t>
            </w:r>
            <w:r w:rsidRPr="00ED6053">
              <w:rPr>
                <w:sz w:val="14"/>
                <w:szCs w:val="14"/>
              </w:rPr>
              <w:t>). It implies finding measures that do not block further measures that may be necessary in the future (</w:t>
            </w:r>
            <w:proofErr w:type="spellStart"/>
            <w:r w:rsidRPr="00ED6053">
              <w:rPr>
                <w:color w:val="7F7F7F" w:themeColor="text1" w:themeTint="80"/>
                <w:sz w:val="14"/>
                <w:szCs w:val="14"/>
              </w:rPr>
              <w:t>Jeuken</w:t>
            </w:r>
            <w:proofErr w:type="spellEnd"/>
            <w:r w:rsidRPr="00ED6053">
              <w:rPr>
                <w:color w:val="7F7F7F" w:themeColor="text1" w:themeTint="80"/>
                <w:sz w:val="14"/>
                <w:szCs w:val="14"/>
              </w:rPr>
              <w:t xml:space="preserve"> and Reeder 2011, p.2</w:t>
            </w:r>
            <w:r w:rsidRPr="00ED6053">
              <w:rPr>
                <w:sz w:val="14"/>
                <w:szCs w:val="14"/>
              </w:rPr>
              <w:t>). The DP specified measures needed to keep options open for the future, e.g. ‘spatial reservations’ required to keep ‘river widening’ measures open for a long time (</w:t>
            </w:r>
            <w:proofErr w:type="spellStart"/>
            <w:r w:rsidRPr="00ED6053">
              <w:rPr>
                <w:color w:val="7F7F7F" w:themeColor="text1" w:themeTint="80"/>
                <w:sz w:val="14"/>
                <w:szCs w:val="14"/>
              </w:rPr>
              <w:t>Jeuken</w:t>
            </w:r>
            <w:proofErr w:type="spellEnd"/>
            <w:r w:rsidRPr="00ED6053">
              <w:rPr>
                <w:color w:val="7F7F7F" w:themeColor="text1" w:themeTint="80"/>
                <w:sz w:val="14"/>
                <w:szCs w:val="14"/>
              </w:rPr>
              <w:t xml:space="preserve"> et al. 2014, p.18</w:t>
            </w:r>
            <w:r w:rsidRPr="00ED6053">
              <w:rPr>
                <w:sz w:val="14"/>
                <w:szCs w:val="14"/>
              </w:rPr>
              <w:t>).</w:t>
            </w:r>
          </w:p>
          <w:p w14:paraId="6C504267" w14:textId="77777777" w:rsidR="00ED6053" w:rsidRPr="00ED6053" w:rsidRDefault="00ED6053" w:rsidP="00336A37">
            <w:pPr>
              <w:pStyle w:val="CORPOTEXTO"/>
              <w:numPr>
                <w:ilvl w:val="0"/>
                <w:numId w:val="134"/>
              </w:numPr>
              <w:ind w:left="255" w:hanging="255"/>
              <w:jc w:val="left"/>
              <w:rPr>
                <w:sz w:val="14"/>
                <w:szCs w:val="14"/>
              </w:rPr>
            </w:pPr>
            <w:r w:rsidRPr="00ED6053">
              <w:rPr>
                <w:sz w:val="14"/>
                <w:szCs w:val="14"/>
              </w:rPr>
              <w:t xml:space="preserve">Flexibility is also related with avoiding lock-ins and </w:t>
            </w:r>
            <w:proofErr w:type="gramStart"/>
            <w:r w:rsidRPr="00ED6053">
              <w:rPr>
                <w:sz w:val="14"/>
                <w:szCs w:val="14"/>
              </w:rPr>
              <w:t>lock-outs</w:t>
            </w:r>
            <w:proofErr w:type="gramEnd"/>
            <w:r w:rsidRPr="00ED6053">
              <w:rPr>
                <w:sz w:val="14"/>
                <w:szCs w:val="14"/>
              </w:rPr>
              <w:t xml:space="preserve"> (</w:t>
            </w:r>
            <w:r w:rsidRPr="00ED6053">
              <w:rPr>
                <w:color w:val="7F7F7F" w:themeColor="text1" w:themeTint="80"/>
                <w:sz w:val="14"/>
                <w:szCs w:val="14"/>
              </w:rPr>
              <w:t>Zandvoort et al. 2018; Alphen 2015, p.310</w:t>
            </w:r>
            <w:r w:rsidRPr="00ED6053">
              <w:rPr>
                <w:sz w:val="14"/>
                <w:szCs w:val="14"/>
              </w:rPr>
              <w:t>). ADM seeks to</w:t>
            </w:r>
            <w:r w:rsidRPr="00ED6053">
              <w:rPr>
                <w:color w:val="C00000"/>
                <w:sz w:val="14"/>
                <w:szCs w:val="14"/>
              </w:rPr>
              <w:t xml:space="preserve"> </w:t>
            </w:r>
            <w:r w:rsidRPr="00ED6053">
              <w:rPr>
                <w:sz w:val="14"/>
                <w:szCs w:val="14"/>
              </w:rPr>
              <w:t>avoid</w:t>
            </w:r>
            <w:r w:rsidRPr="00ED6053">
              <w:rPr>
                <w:color w:val="C00000"/>
                <w:sz w:val="14"/>
                <w:szCs w:val="14"/>
              </w:rPr>
              <w:t xml:space="preserve"> </w:t>
            </w:r>
            <w:r w:rsidRPr="00ED6053">
              <w:rPr>
                <w:sz w:val="14"/>
                <w:szCs w:val="14"/>
              </w:rPr>
              <w:t>lock-ins. In ADM, planners make short-term decisions and interventions taking into consideration their possible long-term effects on the system (</w:t>
            </w:r>
            <w:r w:rsidRPr="00ED6053">
              <w:rPr>
                <w:color w:val="7F7F7F" w:themeColor="text1" w:themeTint="80"/>
                <w:sz w:val="14"/>
                <w:szCs w:val="14"/>
              </w:rPr>
              <w:t>Zandvoort et al. 2018, p.191, 194, 183</w:t>
            </w:r>
            <w:r w:rsidRPr="00ED6053">
              <w:rPr>
                <w:sz w:val="14"/>
                <w:szCs w:val="14"/>
              </w:rPr>
              <w:t>). To avoid lock-ins, the DP identified spatial adaptation measures in addition to the traditional prevention measures (</w:t>
            </w:r>
            <w:proofErr w:type="spellStart"/>
            <w:r w:rsidRPr="00ED6053">
              <w:rPr>
                <w:color w:val="7F7F7F" w:themeColor="text1" w:themeTint="80"/>
                <w:sz w:val="14"/>
                <w:szCs w:val="14"/>
              </w:rPr>
              <w:t>Restemeyer</w:t>
            </w:r>
            <w:proofErr w:type="spellEnd"/>
            <w:r w:rsidRPr="00ED6053">
              <w:rPr>
                <w:color w:val="7F7F7F" w:themeColor="text1" w:themeTint="80"/>
                <w:sz w:val="14"/>
                <w:szCs w:val="14"/>
              </w:rPr>
              <w:t xml:space="preserve"> et al.2017</w:t>
            </w:r>
            <w:r w:rsidRPr="00ED6053">
              <w:rPr>
                <w:sz w:val="14"/>
                <w:szCs w:val="14"/>
              </w:rPr>
              <w:t>).</w:t>
            </w:r>
          </w:p>
          <w:p w14:paraId="5E106BF1" w14:textId="77777777" w:rsidR="00ED6053" w:rsidRPr="00ED6053" w:rsidRDefault="00ED6053" w:rsidP="00336A37">
            <w:pPr>
              <w:pStyle w:val="CORPOTEXTO"/>
              <w:numPr>
                <w:ilvl w:val="0"/>
                <w:numId w:val="134"/>
              </w:numPr>
              <w:ind w:left="255" w:hanging="255"/>
              <w:jc w:val="left"/>
              <w:rPr>
                <w:sz w:val="14"/>
                <w:szCs w:val="14"/>
              </w:rPr>
            </w:pPr>
            <w:r w:rsidRPr="00ED6053">
              <w:rPr>
                <w:sz w:val="14"/>
                <w:szCs w:val="14"/>
              </w:rPr>
              <w:t>A flexible approach (that allows the switching between strategies) requires ongoing monitoring and evaluation. ADM implies clear goals with corresponding indicators and thresholds to evaluate the performance of system’s components. Flexibility also depends on the ‘</w:t>
            </w:r>
            <w:r w:rsidRPr="00ED6053">
              <w:rPr>
                <w:i/>
                <w:sz w:val="14"/>
                <w:szCs w:val="14"/>
              </w:rPr>
              <w:t>capacity (…) to learn from the arrival of new information and (…) ability to revise investment decisions based upon that learning’</w:t>
            </w:r>
            <w:r w:rsidRPr="00ED6053">
              <w:rPr>
                <w:sz w:val="14"/>
                <w:szCs w:val="14"/>
              </w:rPr>
              <w:t xml:space="preserve"> (</w:t>
            </w:r>
            <w:r w:rsidRPr="00ED6053">
              <w:rPr>
                <w:color w:val="7F7F7F" w:themeColor="text1" w:themeTint="80"/>
                <w:sz w:val="14"/>
                <w:szCs w:val="14"/>
              </w:rPr>
              <w:t xml:space="preserve">Alphen 2013, </w:t>
            </w:r>
            <w:r w:rsidRPr="00ED6053">
              <w:rPr>
                <w:i/>
                <w:color w:val="7F7F7F" w:themeColor="text1" w:themeTint="80"/>
                <w:sz w:val="14"/>
                <w:szCs w:val="14"/>
              </w:rPr>
              <w:t>in</w:t>
            </w:r>
            <w:r w:rsidRPr="00ED6053">
              <w:rPr>
                <w:color w:val="7F7F7F" w:themeColor="text1" w:themeTint="80"/>
                <w:sz w:val="14"/>
                <w:szCs w:val="14"/>
              </w:rPr>
              <w:t xml:space="preserve"> Zevenbergen et al. 2018</w:t>
            </w:r>
            <w:r w:rsidRPr="00ED6053">
              <w:rPr>
                <w:sz w:val="14"/>
                <w:szCs w:val="14"/>
              </w:rPr>
              <w:t>).</w:t>
            </w:r>
          </w:p>
          <w:p w14:paraId="3709E693" w14:textId="77777777" w:rsidR="00ED6053" w:rsidRPr="00ED6053" w:rsidRDefault="00ED6053" w:rsidP="00336A37">
            <w:pPr>
              <w:pStyle w:val="CORPOTEXTO"/>
              <w:numPr>
                <w:ilvl w:val="0"/>
                <w:numId w:val="134"/>
              </w:numPr>
              <w:ind w:left="255" w:hanging="255"/>
              <w:jc w:val="left"/>
              <w:rPr>
                <w:sz w:val="14"/>
                <w:szCs w:val="14"/>
              </w:rPr>
            </w:pPr>
            <w:r w:rsidRPr="00ED6053">
              <w:rPr>
                <w:sz w:val="14"/>
                <w:szCs w:val="14"/>
              </w:rPr>
              <w:t>To operationalize ADM, the DP sought to interlink diverse investment agendas and seize opportunities to mainstream FRM measures into other investments (e.g. in urban development, nature restoration). ADM calls for</w:t>
            </w:r>
            <w:r w:rsidRPr="00ED6053">
              <w:rPr>
                <w:i/>
                <w:sz w:val="14"/>
                <w:szCs w:val="14"/>
              </w:rPr>
              <w:t xml:space="preserve"> adaptive integrated </w:t>
            </w:r>
            <w:r w:rsidRPr="00ED6053">
              <w:rPr>
                <w:sz w:val="14"/>
                <w:szCs w:val="14"/>
              </w:rPr>
              <w:t>strategies that logically combine investment decisions in areas marked by uncertainty and multi-scalar complexity</w:t>
            </w:r>
            <w:r w:rsidRPr="00ED6053">
              <w:rPr>
                <w:i/>
                <w:sz w:val="14"/>
                <w:szCs w:val="14"/>
              </w:rPr>
              <w:t xml:space="preserve">. </w:t>
            </w:r>
            <w:r w:rsidRPr="00ED6053">
              <w:rPr>
                <w:sz w:val="14"/>
                <w:szCs w:val="14"/>
              </w:rPr>
              <w:t>By merging various investment agendas and mainstreaming adaptation into planned investments, ADM generates added value (</w:t>
            </w:r>
            <w:r w:rsidRPr="00ED6053">
              <w:rPr>
                <w:color w:val="7F7F7F" w:themeColor="text1" w:themeTint="80"/>
                <w:sz w:val="14"/>
                <w:szCs w:val="14"/>
              </w:rPr>
              <w:t>Zevenbergen et al. 2018; Alphen 2013</w:t>
            </w:r>
            <w:r w:rsidRPr="00ED6053">
              <w:rPr>
                <w:sz w:val="14"/>
                <w:szCs w:val="14"/>
              </w:rPr>
              <w:t>).</w:t>
            </w:r>
            <w:bookmarkStart w:id="140" w:name="_Hlk41906577"/>
            <w:r w:rsidRPr="00ED6053">
              <w:rPr>
                <w:sz w:val="14"/>
                <w:szCs w:val="14"/>
              </w:rPr>
              <w:t xml:space="preserve"> The combination of proposed measures with other agendas and multi-objective investments increases flexibility and reduces costs (</w:t>
            </w:r>
            <w:proofErr w:type="spellStart"/>
            <w:r w:rsidRPr="00ED6053">
              <w:rPr>
                <w:color w:val="7F7F7F" w:themeColor="text1" w:themeTint="80"/>
                <w:sz w:val="14"/>
                <w:szCs w:val="14"/>
              </w:rPr>
              <w:t>Jeuken</w:t>
            </w:r>
            <w:proofErr w:type="spellEnd"/>
            <w:r w:rsidRPr="00ED6053">
              <w:rPr>
                <w:color w:val="7F7F7F" w:themeColor="text1" w:themeTint="80"/>
                <w:sz w:val="14"/>
                <w:szCs w:val="14"/>
              </w:rPr>
              <w:t xml:space="preserve"> et al. 2014, p.1, 19; DP 2011, p.48; </w:t>
            </w:r>
            <w:proofErr w:type="spellStart"/>
            <w:r w:rsidRPr="00ED6053">
              <w:rPr>
                <w:color w:val="7F7F7F" w:themeColor="text1" w:themeTint="80"/>
                <w:sz w:val="14"/>
                <w:szCs w:val="14"/>
              </w:rPr>
              <w:t>Jeuken</w:t>
            </w:r>
            <w:proofErr w:type="spellEnd"/>
            <w:r w:rsidRPr="00ED6053">
              <w:rPr>
                <w:color w:val="7F7F7F" w:themeColor="text1" w:themeTint="80"/>
                <w:sz w:val="14"/>
                <w:szCs w:val="14"/>
              </w:rPr>
              <w:t xml:space="preserve"> and Reeder 2011; Alphen 2015</w:t>
            </w:r>
            <w:r w:rsidRPr="00ED6053">
              <w:rPr>
                <w:sz w:val="14"/>
                <w:szCs w:val="14"/>
              </w:rPr>
              <w:t xml:space="preserve">). The DP sought to ensure an </w:t>
            </w:r>
            <w:r w:rsidRPr="00ED6053">
              <w:rPr>
                <w:i/>
                <w:sz w:val="14"/>
                <w:szCs w:val="14"/>
              </w:rPr>
              <w:t>integrated</w:t>
            </w:r>
            <w:r w:rsidRPr="00ED6053">
              <w:rPr>
                <w:sz w:val="14"/>
                <w:szCs w:val="14"/>
              </w:rPr>
              <w:t xml:space="preserve"> delivery of policies (to enhance legitimacy and feasibility)</w:t>
            </w:r>
            <w:bookmarkEnd w:id="140"/>
            <w:r w:rsidRPr="00ED6053">
              <w:rPr>
                <w:sz w:val="14"/>
                <w:szCs w:val="14"/>
              </w:rPr>
              <w:t xml:space="preserve"> (</w:t>
            </w:r>
            <w:r w:rsidRPr="00ED6053">
              <w:rPr>
                <w:color w:val="7F7F7F" w:themeColor="text1" w:themeTint="80"/>
                <w:sz w:val="14"/>
                <w:szCs w:val="14"/>
              </w:rPr>
              <w:t>Zevenbergen et al. 2018</w:t>
            </w:r>
            <w:r w:rsidRPr="00ED6053">
              <w:rPr>
                <w:sz w:val="14"/>
                <w:szCs w:val="14"/>
              </w:rPr>
              <w:t>). The DP indicates which and how measures can be connected to other investments and agendas in other fields (e.g. infrastructure, industry, etc.) (</w:t>
            </w:r>
            <w:r w:rsidRPr="00ED6053">
              <w:rPr>
                <w:color w:val="7F7F7F" w:themeColor="text1" w:themeTint="80"/>
                <w:sz w:val="14"/>
                <w:szCs w:val="14"/>
              </w:rPr>
              <w:t>DP 2017, p.22</w:t>
            </w:r>
            <w:r w:rsidRPr="00ED6053">
              <w:rPr>
                <w:sz w:val="14"/>
                <w:szCs w:val="14"/>
              </w:rPr>
              <w:t>). Flexibility implies seizing opportunities to couple or integrate the proposed FRM measures with other investments or agendas; ADM also explains how the Strategies should be embedded into existing institutional structures (</w:t>
            </w:r>
            <w:r w:rsidRPr="00ED6053">
              <w:rPr>
                <w:color w:val="7F7F7F" w:themeColor="text1" w:themeTint="80"/>
                <w:sz w:val="14"/>
                <w:szCs w:val="14"/>
              </w:rPr>
              <w:t>Zandvoort et al. 2018, p.191,189, 194</w:t>
            </w:r>
            <w:r w:rsidRPr="00ED6053">
              <w:rPr>
                <w:sz w:val="14"/>
                <w:szCs w:val="14"/>
              </w:rPr>
              <w:t>).</w:t>
            </w:r>
          </w:p>
        </w:tc>
      </w:tr>
      <w:tr w:rsidR="00ED6053" w:rsidRPr="00C45B6E" w14:paraId="3D295360" w14:textId="77777777" w:rsidTr="00FF4124">
        <w:trPr>
          <w:trHeight w:val="572"/>
        </w:trPr>
        <w:tc>
          <w:tcPr>
            <w:tcW w:w="794" w:type="dxa"/>
            <w:tcBorders>
              <w:left w:val="nil"/>
              <w:right w:val="nil"/>
            </w:tcBorders>
          </w:tcPr>
          <w:p w14:paraId="43DB0DC6" w14:textId="77777777" w:rsidR="00ED6053" w:rsidRPr="00ED6053" w:rsidRDefault="00ED6053" w:rsidP="00336A37">
            <w:pPr>
              <w:pStyle w:val="tablecontenttext"/>
              <w:spacing w:line="240" w:lineRule="auto"/>
              <w:rPr>
                <w:rFonts w:ascii="Times New Roman" w:hAnsi="Times New Roman" w:cs="Times New Roman"/>
                <w:b/>
                <w:sz w:val="14"/>
                <w:szCs w:val="14"/>
              </w:rPr>
            </w:pPr>
          </w:p>
        </w:tc>
        <w:tc>
          <w:tcPr>
            <w:tcW w:w="4535" w:type="dxa"/>
            <w:tcBorders>
              <w:left w:val="nil"/>
              <w:right w:val="nil"/>
            </w:tcBorders>
          </w:tcPr>
          <w:p w14:paraId="45AC375A" w14:textId="77777777" w:rsidR="00ED6053" w:rsidRPr="00ED6053" w:rsidRDefault="00ED6053" w:rsidP="00336A37">
            <w:pPr>
              <w:pStyle w:val="tablecontenttext"/>
              <w:spacing w:line="240" w:lineRule="auto"/>
              <w:rPr>
                <w:rFonts w:ascii="Times New Roman" w:hAnsi="Times New Roman" w:cs="Times New Roman"/>
                <w:iCs w:val="0"/>
                <w:sz w:val="14"/>
                <w:szCs w:val="14"/>
              </w:rPr>
            </w:pPr>
          </w:p>
        </w:tc>
        <w:tc>
          <w:tcPr>
            <w:tcW w:w="4535" w:type="dxa"/>
            <w:tcBorders>
              <w:left w:val="nil"/>
            </w:tcBorders>
          </w:tcPr>
          <w:p w14:paraId="7AD44A0A" w14:textId="77777777" w:rsidR="00ED6053" w:rsidRPr="00C45B6E" w:rsidRDefault="00ED6053" w:rsidP="00336A37">
            <w:pPr>
              <w:jc w:val="left"/>
              <w:rPr>
                <w:rFonts w:ascii="Times New Roman" w:hAnsi="Times New Roman"/>
                <w:sz w:val="14"/>
                <w:szCs w:val="14"/>
              </w:rPr>
            </w:pPr>
            <w:r w:rsidRPr="00ED6053">
              <w:rPr>
                <w:rFonts w:ascii="Times New Roman" w:hAnsi="Times New Roman"/>
                <w:sz w:val="14"/>
                <w:szCs w:val="14"/>
              </w:rPr>
              <w:t>The DP shows signs of an ‘</w:t>
            </w:r>
            <w:r w:rsidRPr="00ED6053">
              <w:rPr>
                <w:rFonts w:ascii="Times New Roman" w:hAnsi="Times New Roman"/>
                <w:i/>
                <w:iCs/>
                <w:sz w:val="14"/>
                <w:szCs w:val="14"/>
              </w:rPr>
              <w:t>integrated and</w:t>
            </w:r>
            <w:r w:rsidRPr="00ED6053">
              <w:rPr>
                <w:rFonts w:ascii="Times New Roman" w:hAnsi="Times New Roman"/>
                <w:sz w:val="14"/>
                <w:szCs w:val="14"/>
              </w:rPr>
              <w:t xml:space="preserve"> </w:t>
            </w:r>
            <w:r w:rsidRPr="00ED6053">
              <w:rPr>
                <w:rFonts w:ascii="Times New Roman" w:hAnsi="Times New Roman"/>
                <w:i/>
                <w:iCs/>
                <w:sz w:val="14"/>
                <w:szCs w:val="14"/>
              </w:rPr>
              <w:t xml:space="preserve">adaptive approach’ </w:t>
            </w:r>
            <w:r w:rsidRPr="00ED6053">
              <w:rPr>
                <w:rFonts w:ascii="Times New Roman" w:hAnsi="Times New Roman"/>
                <w:sz w:val="14"/>
                <w:szCs w:val="14"/>
              </w:rPr>
              <w:t>that seeks to deal with uncertain future change, and, on the other hand,</w:t>
            </w:r>
            <w:r w:rsidRPr="00ED6053">
              <w:rPr>
                <w:rFonts w:ascii="Times New Roman" w:hAnsi="Times New Roman"/>
                <w:i/>
                <w:iCs/>
                <w:sz w:val="14"/>
                <w:szCs w:val="14"/>
              </w:rPr>
              <w:t xml:space="preserve"> </w:t>
            </w:r>
            <w:r w:rsidRPr="00ED6053">
              <w:rPr>
                <w:rFonts w:ascii="Times New Roman" w:hAnsi="Times New Roman"/>
                <w:sz w:val="14"/>
                <w:szCs w:val="14"/>
              </w:rPr>
              <w:t>it still shows traces of a more ‘predict-and-control’ approach that subsists in the Dutch FRM culture resultant from centuries of ‘</w:t>
            </w:r>
            <w:r w:rsidRPr="00ED6053">
              <w:rPr>
                <w:rFonts w:ascii="Times New Roman" w:hAnsi="Times New Roman"/>
                <w:i/>
                <w:iCs/>
                <w:sz w:val="14"/>
                <w:szCs w:val="14"/>
              </w:rPr>
              <w:t>more</w:t>
            </w:r>
            <w:r w:rsidRPr="00ED6053">
              <w:rPr>
                <w:rFonts w:ascii="Times New Roman" w:hAnsi="Times New Roman"/>
                <w:sz w:val="14"/>
                <w:szCs w:val="14"/>
              </w:rPr>
              <w:t xml:space="preserve"> </w:t>
            </w:r>
            <w:r w:rsidRPr="00ED6053">
              <w:rPr>
                <w:rFonts w:ascii="Times New Roman" w:hAnsi="Times New Roman"/>
                <w:i/>
                <w:iCs/>
                <w:sz w:val="14"/>
                <w:szCs w:val="14"/>
              </w:rPr>
              <w:t>technocratic-inspired policies’</w:t>
            </w:r>
            <w:r w:rsidRPr="00ED6053">
              <w:rPr>
                <w:rFonts w:ascii="Times New Roman" w:hAnsi="Times New Roman"/>
                <w:sz w:val="14"/>
                <w:szCs w:val="14"/>
              </w:rPr>
              <w:t xml:space="preserve"> (</w:t>
            </w:r>
            <w:proofErr w:type="spellStart"/>
            <w:r w:rsidRPr="00ED6053">
              <w:rPr>
                <w:rFonts w:ascii="Times New Roman" w:hAnsi="Times New Roman"/>
                <w:color w:val="7F7F7F" w:themeColor="text1" w:themeTint="80"/>
                <w:sz w:val="14"/>
                <w:szCs w:val="14"/>
              </w:rPr>
              <w:t>Restemeyer</w:t>
            </w:r>
            <w:proofErr w:type="spellEnd"/>
            <w:r w:rsidRPr="00ED6053">
              <w:rPr>
                <w:rFonts w:ascii="Times New Roman" w:hAnsi="Times New Roman"/>
                <w:color w:val="7F7F7F" w:themeColor="text1" w:themeTint="80"/>
                <w:sz w:val="14"/>
                <w:szCs w:val="14"/>
              </w:rPr>
              <w:t xml:space="preserve"> et al. 2017, p.920, 935</w:t>
            </w:r>
            <w:r w:rsidRPr="00ED6053">
              <w:rPr>
                <w:rFonts w:ascii="Times New Roman" w:hAnsi="Times New Roman"/>
                <w:sz w:val="14"/>
                <w:szCs w:val="14"/>
              </w:rPr>
              <w:t xml:space="preserve">). ADM reflects the </w:t>
            </w:r>
            <w:proofErr w:type="gramStart"/>
            <w:r w:rsidRPr="00ED6053">
              <w:rPr>
                <w:rFonts w:ascii="Times New Roman" w:hAnsi="Times New Roman"/>
                <w:sz w:val="14"/>
                <w:szCs w:val="14"/>
              </w:rPr>
              <w:t>particular way</w:t>
            </w:r>
            <w:proofErr w:type="gramEnd"/>
            <w:r w:rsidRPr="00ED6053">
              <w:rPr>
                <w:rFonts w:ascii="Times New Roman" w:hAnsi="Times New Roman"/>
                <w:sz w:val="14"/>
                <w:szCs w:val="14"/>
              </w:rPr>
              <w:t xml:space="preserve"> in which the Dutch interpret ‘adaptability’: ‘</w:t>
            </w:r>
            <w:r w:rsidRPr="00ED6053">
              <w:rPr>
                <w:rFonts w:ascii="Times New Roman" w:hAnsi="Times New Roman"/>
                <w:i/>
                <w:sz w:val="14"/>
                <w:szCs w:val="14"/>
              </w:rPr>
              <w:t>with a strong reliance on governments, experts, techniques and tools’</w:t>
            </w:r>
            <w:r w:rsidRPr="00ED6053">
              <w:rPr>
                <w:rFonts w:ascii="Times New Roman" w:hAnsi="Times New Roman"/>
                <w:sz w:val="14"/>
                <w:szCs w:val="14"/>
              </w:rPr>
              <w:t>, and based on their past. Continuing with the traditional practice may be advantageous (continuing something that they are good at) or disadvantageous (being tied to old patterns or dismiss the need to increase adaptability on land) (</w:t>
            </w:r>
            <w:proofErr w:type="spellStart"/>
            <w:r w:rsidRPr="00ED6053">
              <w:rPr>
                <w:rFonts w:ascii="Times New Roman" w:hAnsi="Times New Roman"/>
                <w:color w:val="7F7F7F" w:themeColor="text1" w:themeTint="80"/>
                <w:sz w:val="14"/>
                <w:szCs w:val="14"/>
              </w:rPr>
              <w:t>Restemeyer</w:t>
            </w:r>
            <w:proofErr w:type="spellEnd"/>
            <w:r w:rsidRPr="00ED6053">
              <w:rPr>
                <w:rFonts w:ascii="Times New Roman" w:hAnsi="Times New Roman"/>
                <w:color w:val="7F7F7F" w:themeColor="text1" w:themeTint="80"/>
                <w:sz w:val="14"/>
                <w:szCs w:val="14"/>
              </w:rPr>
              <w:t xml:space="preserve"> et al. 2017</w:t>
            </w:r>
            <w:r w:rsidRPr="00ED6053">
              <w:rPr>
                <w:rFonts w:ascii="Times New Roman" w:hAnsi="Times New Roman"/>
                <w:sz w:val="14"/>
                <w:szCs w:val="14"/>
              </w:rPr>
              <w:t>).</w:t>
            </w:r>
          </w:p>
        </w:tc>
      </w:tr>
    </w:tbl>
    <w:p w14:paraId="75705985" w14:textId="2BC418CA" w:rsidR="00ED6053" w:rsidRDefault="00336A37" w:rsidP="00ED6053">
      <w:pPr>
        <w:pStyle w:val="TEXTBODY"/>
        <w:rPr>
          <w:rFonts w:ascii="Arial" w:hAnsi="Arial" w:cs="Arial"/>
          <w:b/>
          <w:szCs w:val="18"/>
        </w:rPr>
      </w:pPr>
      <w:r w:rsidRPr="00F82523">
        <w:rPr>
          <w:noProof/>
        </w:rPr>
        <mc:AlternateContent>
          <mc:Choice Requires="wps">
            <w:drawing>
              <wp:anchor distT="45720" distB="45720" distL="114300" distR="114300" simplePos="0" relativeHeight="252752384" behindDoc="1" locked="0" layoutInCell="1" allowOverlap="1" wp14:anchorId="0D9F7591" wp14:editId="0E996F32">
                <wp:simplePos x="0" y="0"/>
                <wp:positionH relativeFrom="margin">
                  <wp:posOffset>0</wp:posOffset>
                </wp:positionH>
                <wp:positionV relativeFrom="paragraph">
                  <wp:posOffset>71120</wp:posOffset>
                </wp:positionV>
                <wp:extent cx="6124575" cy="404037"/>
                <wp:effectExtent l="0" t="0" r="9525" b="0"/>
                <wp:wrapNone/>
                <wp:docPr id="420774573"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404037"/>
                        </a:xfrm>
                        <a:prstGeom prst="rect">
                          <a:avLst/>
                        </a:prstGeom>
                        <a:solidFill>
                          <a:srgbClr val="FFFFFF"/>
                        </a:solidFill>
                        <a:ln w="9525">
                          <a:noFill/>
                          <a:miter lim="800000"/>
                          <a:headEnd/>
                          <a:tailEnd/>
                        </a:ln>
                      </wps:spPr>
                      <wps:txbx>
                        <w:txbxContent>
                          <w:p w14:paraId="2DD32AD2" w14:textId="1B3BB87D" w:rsidR="00336A37" w:rsidRPr="00A1697D" w:rsidRDefault="00336A37" w:rsidP="00336A37">
                            <w:pPr>
                              <w:pStyle w:val="tablecontenttext"/>
                              <w:spacing w:after="0" w:line="240" w:lineRule="auto"/>
                              <w:jc w:val="center"/>
                              <w:rPr>
                                <w:color w:val="C00000"/>
                                <w:sz w:val="14"/>
                                <w:szCs w:val="14"/>
                                <w:lang w:val="en-US"/>
                              </w:rPr>
                            </w:pPr>
                            <w:r w:rsidRPr="00F272A1">
                              <w:rPr>
                                <w:b/>
                                <w:sz w:val="14"/>
                                <w:szCs w:val="14"/>
                              </w:rPr>
                              <w:t xml:space="preserve">Table </w:t>
                            </w:r>
                            <w:r>
                              <w:rPr>
                                <w:b/>
                                <w:sz w:val="14"/>
                                <w:szCs w:val="14"/>
                              </w:rPr>
                              <w:t>B</w:t>
                            </w:r>
                            <w:r w:rsidRPr="00F272A1">
                              <w:rPr>
                                <w:b/>
                                <w:sz w:val="14"/>
                                <w:szCs w:val="14"/>
                              </w:rPr>
                              <w:t>.</w:t>
                            </w:r>
                            <w:r w:rsidRPr="00F272A1">
                              <w:rPr>
                                <w:sz w:val="14"/>
                                <w:szCs w:val="14"/>
                              </w:rPr>
                              <w:t xml:space="preserve"> Important concepts of the Adaptive Planning and Management approaches, and their conceptualization and understanding in each of the selected cases. </w:t>
                            </w:r>
                            <w:r w:rsidRPr="001F213D">
                              <w:rPr>
                                <w:color w:val="7F7F7F" w:themeColor="text1" w:themeTint="80"/>
                                <w:sz w:val="14"/>
                                <w:szCs w:val="14"/>
                              </w:rPr>
                              <w:t xml:space="preserve">Source: Own elaboration based on several authors, Reeder and Ranger 2011; Ranger et al. 2013; </w:t>
                            </w:r>
                            <w:r w:rsidRPr="001F213D">
                              <w:rPr>
                                <w:color w:val="7F7F7F" w:themeColor="text1" w:themeTint="80"/>
                                <w:sz w:val="14"/>
                                <w:szCs w:val="14"/>
                                <w:lang w:val="en-US"/>
                              </w:rPr>
                              <w:t>HM Treasury 2009; Bloemen et al. 2018; Lowe et al. 2009; Ramsbottom and Sheppard 2017; E</w:t>
                            </w:r>
                            <w:r>
                              <w:rPr>
                                <w:color w:val="7F7F7F" w:themeColor="text1" w:themeTint="80"/>
                                <w:sz w:val="14"/>
                                <w:szCs w:val="14"/>
                                <w:lang w:val="en-US"/>
                              </w:rPr>
                              <w:t xml:space="preserve">nvironment </w:t>
                            </w:r>
                            <w:r w:rsidRPr="001F213D">
                              <w:rPr>
                                <w:color w:val="7F7F7F" w:themeColor="text1" w:themeTint="80"/>
                                <w:sz w:val="14"/>
                                <w:szCs w:val="14"/>
                                <w:lang w:val="en-US"/>
                              </w:rPr>
                              <w:t>A</w:t>
                            </w:r>
                            <w:r>
                              <w:rPr>
                                <w:color w:val="7F7F7F" w:themeColor="text1" w:themeTint="80"/>
                                <w:sz w:val="14"/>
                                <w:szCs w:val="14"/>
                                <w:lang w:val="en-US"/>
                              </w:rPr>
                              <w:t>gency</w:t>
                            </w:r>
                            <w:r w:rsidRPr="001F213D">
                              <w:rPr>
                                <w:color w:val="7F7F7F" w:themeColor="text1" w:themeTint="80"/>
                                <w:sz w:val="14"/>
                                <w:szCs w:val="14"/>
                                <w:lang w:val="en-US"/>
                              </w:rPr>
                              <w:t xml:space="preserve"> 2009a; DP 2014, 2013, 2012, 2011, 2010, 2016; 2017; K</w:t>
                            </w:r>
                            <w:proofErr w:type="spellStart"/>
                            <w:r w:rsidRPr="001F213D">
                              <w:rPr>
                                <w:color w:val="7F7F7F" w:themeColor="text1" w:themeTint="80"/>
                                <w:sz w:val="14"/>
                                <w:szCs w:val="14"/>
                              </w:rPr>
                              <w:t>lijn</w:t>
                            </w:r>
                            <w:proofErr w:type="spellEnd"/>
                            <w:r w:rsidRPr="001F213D">
                              <w:rPr>
                                <w:color w:val="7F7F7F" w:themeColor="text1" w:themeTint="80"/>
                                <w:sz w:val="14"/>
                                <w:szCs w:val="14"/>
                              </w:rPr>
                              <w:t xml:space="preserve"> et al. 2015; </w:t>
                            </w:r>
                            <w:proofErr w:type="spellStart"/>
                            <w:r w:rsidRPr="001F213D">
                              <w:rPr>
                                <w:color w:val="7F7F7F" w:themeColor="text1" w:themeTint="80"/>
                                <w:sz w:val="14"/>
                                <w:szCs w:val="14"/>
                              </w:rPr>
                              <w:t>Deltares</w:t>
                            </w:r>
                            <w:proofErr w:type="spellEnd"/>
                            <w:r w:rsidRPr="001F213D">
                              <w:rPr>
                                <w:color w:val="7F7F7F" w:themeColor="text1" w:themeTint="80"/>
                                <w:sz w:val="14"/>
                                <w:szCs w:val="14"/>
                              </w:rPr>
                              <w:t xml:space="preserve">; </w:t>
                            </w:r>
                            <w:proofErr w:type="spellStart"/>
                            <w:r w:rsidRPr="001F213D">
                              <w:rPr>
                                <w:color w:val="7F7F7F" w:themeColor="text1" w:themeTint="80"/>
                                <w:sz w:val="14"/>
                                <w:szCs w:val="14"/>
                                <w:lang w:val="en-US"/>
                              </w:rPr>
                              <w:t>Gersonius</w:t>
                            </w:r>
                            <w:proofErr w:type="spellEnd"/>
                            <w:r w:rsidRPr="001F213D">
                              <w:rPr>
                                <w:color w:val="7F7F7F" w:themeColor="text1" w:themeTint="80"/>
                                <w:sz w:val="14"/>
                                <w:szCs w:val="14"/>
                                <w:lang w:val="en-US"/>
                              </w:rPr>
                              <w:t xml:space="preserve"> et al. 2016; Zandvoort et al. 2018, etc.</w:t>
                            </w:r>
                            <w:r w:rsidRPr="001F213D">
                              <w:rPr>
                                <w:color w:val="7F7F7F" w:themeColor="text1" w:themeTint="80"/>
                                <w:sz w:val="14"/>
                                <w:szCs w:val="14"/>
                                <w:u w:val="single"/>
                                <w:lang w:val="en-US"/>
                              </w:rPr>
                              <w:t xml:space="preserve"> </w:t>
                            </w:r>
                          </w:p>
                          <w:p w14:paraId="191E7363" w14:textId="77777777" w:rsidR="00336A37" w:rsidRPr="00A1697D" w:rsidRDefault="00336A37" w:rsidP="00336A37">
                            <w:pPr>
                              <w:pStyle w:val="tablecontenttext"/>
                              <w:spacing w:after="0" w:line="240" w:lineRule="auto"/>
                              <w:jc w:val="center"/>
                              <w:rPr>
                                <w:color w:val="C00000"/>
                                <w:sz w:val="14"/>
                                <w:szCs w:val="14"/>
                                <w:lang w:val="en-US"/>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D9F7591" id="_x0000_s1039" type="#_x0000_t202" style="position:absolute;left:0;text-align:left;margin-left:0;margin-top:5.6pt;width:482.25pt;height:31.8pt;z-index:-2505640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" stroked="f">
                <v:textbox inset="0,0,0,0">
                  <w:txbxContent>
                    <w:p w14:paraId="2DD32AD2" w14:textId="1B3BB87D" w:rsidR="00336A37" w:rsidRPr="00A1697D" w:rsidRDefault="00336A37" w:rsidP="00336A37">
                      <w:pPr>
                        <w:pStyle w:val="tablecontenttext"/>
                        <w:spacing w:after="0" w:line="240" w:lineRule="auto"/>
                        <w:jc w:val="center"/>
                        <w:rPr>
                          <w:color w:val="C00000"/>
                          <w:sz w:val="14"/>
                          <w:szCs w:val="14"/>
                          <w:lang w:val="en-US"/>
                        </w:rPr>
                      </w:pPr>
                      <w:r w:rsidRPr="00F272A1">
                        <w:rPr>
                          <w:b/>
                          <w:sz w:val="14"/>
                          <w:szCs w:val="14"/>
                        </w:rPr>
                        <w:t xml:space="preserve">Table </w:t>
                      </w:r>
                      <w:r>
                        <w:rPr>
                          <w:b/>
                          <w:sz w:val="14"/>
                          <w:szCs w:val="14"/>
                        </w:rPr>
                        <w:t>B</w:t>
                      </w:r>
                      <w:r w:rsidRPr="00F272A1">
                        <w:rPr>
                          <w:b/>
                          <w:sz w:val="14"/>
                          <w:szCs w:val="14"/>
                        </w:rPr>
                        <w:t>.</w:t>
                      </w:r>
                      <w:r w:rsidRPr="00F272A1">
                        <w:rPr>
                          <w:sz w:val="14"/>
                          <w:szCs w:val="14"/>
                        </w:rPr>
                        <w:t xml:space="preserve"> Important concepts of the Adaptive Planning and Management approaches, and their conceptualization and understanding in each of the selected cases. </w:t>
                      </w:r>
                      <w:r w:rsidRPr="001F213D">
                        <w:rPr>
                          <w:color w:val="7F7F7F" w:themeColor="text1" w:themeTint="80"/>
                          <w:sz w:val="14"/>
                          <w:szCs w:val="14"/>
                        </w:rPr>
                        <w:t xml:space="preserve">Source: Own elaboration based on several authors, Reeder and Ranger 2011; Ranger et al. 2013; </w:t>
                      </w:r>
                      <w:r w:rsidRPr="001F213D">
                        <w:rPr>
                          <w:color w:val="7F7F7F" w:themeColor="text1" w:themeTint="80"/>
                          <w:sz w:val="14"/>
                          <w:szCs w:val="14"/>
                          <w:lang w:val="en-US"/>
                        </w:rPr>
                        <w:t>HM Treasury 2009; Bloemen et al. 2018; Lowe et al. 2009; Ramsbottom and Sheppard 2017; E</w:t>
                      </w:r>
                      <w:r>
                        <w:rPr>
                          <w:color w:val="7F7F7F" w:themeColor="text1" w:themeTint="80"/>
                          <w:sz w:val="14"/>
                          <w:szCs w:val="14"/>
                          <w:lang w:val="en-US"/>
                        </w:rPr>
                        <w:t xml:space="preserve">nvironment </w:t>
                      </w:r>
                      <w:r w:rsidRPr="001F213D">
                        <w:rPr>
                          <w:color w:val="7F7F7F" w:themeColor="text1" w:themeTint="80"/>
                          <w:sz w:val="14"/>
                          <w:szCs w:val="14"/>
                          <w:lang w:val="en-US"/>
                        </w:rPr>
                        <w:t>A</w:t>
                      </w:r>
                      <w:r>
                        <w:rPr>
                          <w:color w:val="7F7F7F" w:themeColor="text1" w:themeTint="80"/>
                          <w:sz w:val="14"/>
                          <w:szCs w:val="14"/>
                          <w:lang w:val="en-US"/>
                        </w:rPr>
                        <w:t>gency</w:t>
                      </w:r>
                      <w:r w:rsidRPr="001F213D">
                        <w:rPr>
                          <w:color w:val="7F7F7F" w:themeColor="text1" w:themeTint="80"/>
                          <w:sz w:val="14"/>
                          <w:szCs w:val="14"/>
                          <w:lang w:val="en-US"/>
                        </w:rPr>
                        <w:t xml:space="preserve"> 2009a; DP 2014, 2013, 2012, 2011, 2010, 2016; 2017; K</w:t>
                      </w:r>
                      <w:proofErr w:type="spellStart"/>
                      <w:r w:rsidRPr="001F213D">
                        <w:rPr>
                          <w:color w:val="7F7F7F" w:themeColor="text1" w:themeTint="80"/>
                          <w:sz w:val="14"/>
                          <w:szCs w:val="14"/>
                        </w:rPr>
                        <w:t>lijn</w:t>
                      </w:r>
                      <w:proofErr w:type="spellEnd"/>
                      <w:r w:rsidRPr="001F213D">
                        <w:rPr>
                          <w:color w:val="7F7F7F" w:themeColor="text1" w:themeTint="80"/>
                          <w:sz w:val="14"/>
                          <w:szCs w:val="14"/>
                        </w:rPr>
                        <w:t xml:space="preserve"> et al. 2015; </w:t>
                      </w:r>
                      <w:proofErr w:type="spellStart"/>
                      <w:r w:rsidRPr="001F213D">
                        <w:rPr>
                          <w:color w:val="7F7F7F" w:themeColor="text1" w:themeTint="80"/>
                          <w:sz w:val="14"/>
                          <w:szCs w:val="14"/>
                        </w:rPr>
                        <w:t>Deltares</w:t>
                      </w:r>
                      <w:proofErr w:type="spellEnd"/>
                      <w:r w:rsidRPr="001F213D">
                        <w:rPr>
                          <w:color w:val="7F7F7F" w:themeColor="text1" w:themeTint="80"/>
                          <w:sz w:val="14"/>
                          <w:szCs w:val="14"/>
                        </w:rPr>
                        <w:t xml:space="preserve">; </w:t>
                      </w:r>
                      <w:proofErr w:type="spellStart"/>
                      <w:r w:rsidRPr="001F213D">
                        <w:rPr>
                          <w:color w:val="7F7F7F" w:themeColor="text1" w:themeTint="80"/>
                          <w:sz w:val="14"/>
                          <w:szCs w:val="14"/>
                          <w:lang w:val="en-US"/>
                        </w:rPr>
                        <w:t>Gersonius</w:t>
                      </w:r>
                      <w:proofErr w:type="spellEnd"/>
                      <w:r w:rsidRPr="001F213D">
                        <w:rPr>
                          <w:color w:val="7F7F7F" w:themeColor="text1" w:themeTint="80"/>
                          <w:sz w:val="14"/>
                          <w:szCs w:val="14"/>
                          <w:lang w:val="en-US"/>
                        </w:rPr>
                        <w:t xml:space="preserve"> et al. 2016; Zandvoort et al. 2018, etc.</w:t>
                      </w:r>
                      <w:r w:rsidRPr="001F213D">
                        <w:rPr>
                          <w:color w:val="7F7F7F" w:themeColor="text1" w:themeTint="80"/>
                          <w:sz w:val="14"/>
                          <w:szCs w:val="14"/>
                          <w:u w:val="single"/>
                          <w:lang w:val="en-US"/>
                        </w:rPr>
                        <w:t xml:space="preserve"> </w:t>
                      </w:r>
                    </w:p>
                    <w:p w14:paraId="191E7363" w14:textId="77777777" w:rsidR="00336A37" w:rsidRPr="00A1697D" w:rsidRDefault="00336A37" w:rsidP="00336A37">
                      <w:pPr>
                        <w:pStyle w:val="tablecontenttext"/>
                        <w:spacing w:after="0" w:line="240" w:lineRule="auto"/>
                        <w:jc w:val="center"/>
                        <w:rPr>
                          <w:color w:val="C00000"/>
                          <w:sz w:val="14"/>
                          <w:szCs w:val="14"/>
                          <w:lang w:val="en-US"/>
                        </w:rPr>
                      </w:pPr>
                    </w:p>
                  </w:txbxContent>
                </v:textbox>
                <w10:wrap anchorx="margin"/>
              </v:shape>
            </w:pict>
          </mc:Fallback>
        </mc:AlternateContent>
      </w:r>
    </w:p>
    <w:p w14:paraId="0557375A" w14:textId="7BC0BA9D" w:rsidR="00ED6053" w:rsidRDefault="00ED6053" w:rsidP="00ED6053">
      <w:pPr>
        <w:pStyle w:val="TEXTBODY"/>
        <w:rPr>
          <w:rFonts w:ascii="Arial" w:hAnsi="Arial" w:cs="Arial"/>
          <w:b/>
          <w:szCs w:val="18"/>
        </w:rPr>
      </w:pPr>
    </w:p>
    <w:p w14:paraId="6515D12E" w14:textId="77777777" w:rsidR="00336A37" w:rsidRDefault="00336A37" w:rsidP="00ED6053">
      <w:pPr>
        <w:pStyle w:val="TEXTBODY"/>
        <w:rPr>
          <w:rFonts w:ascii="Arial" w:hAnsi="Arial" w:cs="Arial"/>
          <w:b/>
          <w:szCs w:val="18"/>
        </w:rPr>
      </w:pPr>
    </w:p>
    <w:p w14:paraId="4BC165EC" w14:textId="77777777" w:rsidR="00336A37" w:rsidRPr="00FE7202" w:rsidRDefault="00336A37" w:rsidP="00ED6053">
      <w:pPr>
        <w:pStyle w:val="TEXTBODY"/>
        <w:rPr>
          <w:rFonts w:ascii="Arial" w:hAnsi="Arial" w:cs="Arial"/>
          <w:b/>
          <w:szCs w:val="18"/>
        </w:rPr>
      </w:pPr>
    </w:p>
    <w:p w14:paraId="67D1B193" w14:textId="556FFA68" w:rsidR="00ED6053" w:rsidRDefault="00ED6053" w:rsidP="00336A37">
      <w:pPr>
        <w:pStyle w:val="Ttulo5"/>
      </w:pPr>
      <w:r>
        <w:t xml:space="preserve">C. </w:t>
      </w:r>
      <w:r w:rsidRPr="00066BF0">
        <w:t>Positive outcomes and advantages of using APs-based AP&amp;M approaches</w:t>
      </w:r>
      <w:r>
        <w:t xml:space="preserve"> in the studied cases</w:t>
      </w:r>
    </w:p>
    <w:tbl>
      <w:tblPr>
        <w:tblStyle w:val="TabelacomGrelha"/>
        <w:tblW w:w="5000" w:type="pct"/>
        <w:tblBorders>
          <w:left w:val="none" w:sz="0" w:space="0" w:color="auto"/>
          <w:right w:val="none" w:sz="0" w:space="0" w:color="auto"/>
        </w:tblBorders>
        <w:tblLayout w:type="fixed"/>
        <w:tblCellMar>
          <w:left w:w="85" w:type="dxa"/>
          <w:right w:w="85" w:type="dxa"/>
        </w:tblCellMar>
        <w:tblLook w:val="04A0" w:firstRow="1" w:lastRow="0" w:firstColumn="1" w:lastColumn="0" w:noHBand="0" w:noVBand="1"/>
      </w:tblPr>
      <w:tblGrid>
        <w:gridCol w:w="8364"/>
        <w:gridCol w:w="708"/>
        <w:gridCol w:w="792"/>
      </w:tblGrid>
      <w:tr w:rsidR="00ED6053" w:rsidRPr="00066BF0" w14:paraId="454931A1" w14:textId="77777777" w:rsidTr="00FF4124">
        <w:tc>
          <w:tcPr>
            <w:tcW w:w="8364" w:type="dxa"/>
            <w:tcBorders>
              <w:left w:val="nil"/>
              <w:right w:val="nil"/>
            </w:tcBorders>
          </w:tcPr>
          <w:p w14:paraId="5B902897" w14:textId="450570E9" w:rsidR="00ED6053" w:rsidRPr="00066BF0" w:rsidRDefault="000E7FEF" w:rsidP="00FF4124">
            <w:pPr>
              <w:pStyle w:val="tablecontenttext"/>
              <w:spacing w:line="240" w:lineRule="auto"/>
              <w:rPr>
                <w:rFonts w:ascii="Times New Roman" w:hAnsi="Times New Roman" w:cs="Times New Roman"/>
                <w:sz w:val="14"/>
                <w:szCs w:val="14"/>
              </w:rPr>
            </w:pPr>
            <w:r w:rsidRPr="00ED6053">
              <w:rPr>
                <w:rFonts w:ascii="Times New Roman" w:hAnsi="Times New Roman" w:cs="Times New Roman"/>
                <w:b/>
                <w:bCs w:val="0"/>
                <w:sz w:val="14"/>
                <w:szCs w:val="14"/>
              </w:rPr>
              <w:t>Table C. Positive</w:t>
            </w:r>
            <w:r w:rsidRPr="00066BF0">
              <w:rPr>
                <w:rFonts w:ascii="Times New Roman" w:hAnsi="Times New Roman" w:cs="Times New Roman"/>
                <w:b/>
                <w:bCs w:val="0"/>
                <w:sz w:val="14"/>
                <w:szCs w:val="14"/>
              </w:rPr>
              <w:t xml:space="preserve"> outcomes and advantages of using APs-based AP&amp;M approaches</w:t>
            </w:r>
            <w:r>
              <w:rPr>
                <w:rFonts w:ascii="Times New Roman" w:hAnsi="Times New Roman" w:cs="Times New Roman"/>
                <w:b/>
                <w:bCs w:val="0"/>
                <w:sz w:val="14"/>
                <w:szCs w:val="14"/>
              </w:rPr>
              <w:t xml:space="preserve"> in the studied cases</w:t>
            </w:r>
          </w:p>
        </w:tc>
        <w:tc>
          <w:tcPr>
            <w:tcW w:w="708" w:type="dxa"/>
            <w:tcBorders>
              <w:left w:val="nil"/>
              <w:right w:val="nil"/>
            </w:tcBorders>
          </w:tcPr>
          <w:p w14:paraId="44721ECB" w14:textId="77777777" w:rsidR="00ED6053" w:rsidRPr="00066BF0" w:rsidRDefault="00ED6053" w:rsidP="00FF4124">
            <w:pPr>
              <w:pStyle w:val="tablecontenttext"/>
              <w:spacing w:line="240" w:lineRule="auto"/>
              <w:rPr>
                <w:rFonts w:ascii="Times New Roman" w:hAnsi="Times New Roman" w:cs="Times New Roman"/>
                <w:b/>
                <w:bCs w:val="0"/>
                <w:sz w:val="14"/>
                <w:szCs w:val="14"/>
              </w:rPr>
            </w:pPr>
            <w:r w:rsidRPr="00066BF0">
              <w:rPr>
                <w:rFonts w:ascii="Times New Roman" w:hAnsi="Times New Roman" w:cs="Times New Roman"/>
                <w:b/>
                <w:bCs w:val="0"/>
                <w:sz w:val="14"/>
                <w:szCs w:val="14"/>
              </w:rPr>
              <w:t>Cases</w:t>
            </w:r>
          </w:p>
        </w:tc>
        <w:tc>
          <w:tcPr>
            <w:tcW w:w="792" w:type="dxa"/>
            <w:tcBorders>
              <w:left w:val="nil"/>
            </w:tcBorders>
          </w:tcPr>
          <w:p w14:paraId="691427D6" w14:textId="77777777" w:rsidR="00ED6053" w:rsidRPr="00066BF0" w:rsidRDefault="00ED6053" w:rsidP="00FF4124">
            <w:pPr>
              <w:pStyle w:val="tablecontenttext"/>
              <w:spacing w:line="240" w:lineRule="auto"/>
              <w:rPr>
                <w:rFonts w:ascii="Times New Roman" w:hAnsi="Times New Roman" w:cs="Times New Roman"/>
                <w:b/>
                <w:bCs w:val="0"/>
                <w:sz w:val="14"/>
                <w:szCs w:val="14"/>
              </w:rPr>
            </w:pPr>
            <w:r w:rsidRPr="00066BF0">
              <w:rPr>
                <w:rFonts w:ascii="Times New Roman" w:hAnsi="Times New Roman" w:cs="Times New Roman"/>
                <w:b/>
                <w:bCs w:val="0"/>
                <w:sz w:val="14"/>
                <w:szCs w:val="14"/>
              </w:rPr>
              <w:t>Relation w/ key-elements</w:t>
            </w:r>
          </w:p>
        </w:tc>
      </w:tr>
      <w:tr w:rsidR="00ED6053" w:rsidRPr="00066BF0" w14:paraId="1ACE2C26" w14:textId="77777777" w:rsidTr="00FF4124">
        <w:tc>
          <w:tcPr>
            <w:tcW w:w="8364" w:type="dxa"/>
            <w:tcBorders>
              <w:left w:val="nil"/>
              <w:right w:val="nil"/>
            </w:tcBorders>
          </w:tcPr>
          <w:p w14:paraId="2401D51E"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Improving the awareness and the management of uncertainties about future changes and about (new) dynamics of climate change, and inter-temporal complexities, at the local scale. By showing how long-term objectives and tasks can be related to short-term decisions and investments, the APs stimulates policymakers to ‘</w:t>
            </w:r>
            <w:r w:rsidRPr="00066BF0">
              <w:rPr>
                <w:rFonts w:ascii="Times New Roman" w:hAnsi="Times New Roman" w:cs="Times New Roman"/>
                <w:i/>
                <w:sz w:val="14"/>
                <w:szCs w:val="14"/>
              </w:rPr>
              <w:t>incorporate</w:t>
            </w:r>
            <w:r w:rsidRPr="00066BF0">
              <w:rPr>
                <w:rFonts w:ascii="Times New Roman" w:hAnsi="Times New Roman" w:cs="Times New Roman"/>
                <w:sz w:val="14"/>
                <w:szCs w:val="14"/>
              </w:rPr>
              <w:t>’ uncertainties about future changes in their plans (</w:t>
            </w:r>
            <w:r w:rsidRPr="00066BF0">
              <w:rPr>
                <w:rFonts w:ascii="Times New Roman" w:hAnsi="Times New Roman" w:cs="Times New Roman"/>
                <w:color w:val="7F7F7F" w:themeColor="text1" w:themeTint="80"/>
                <w:sz w:val="14"/>
                <w:szCs w:val="14"/>
              </w:rPr>
              <w:t>Bloemen et al. 2018</w:t>
            </w:r>
            <w:r w:rsidRPr="00066BF0">
              <w:rPr>
                <w:rFonts w:ascii="Times New Roman" w:hAnsi="Times New Roman" w:cs="Times New Roman"/>
                <w:sz w:val="14"/>
                <w:szCs w:val="14"/>
              </w:rPr>
              <w:t>).</w:t>
            </w:r>
          </w:p>
          <w:p w14:paraId="75599B63"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Provided a way to understand inter-temporal complexities and uncertainties related to the (new) dynamics of climate change (</w:t>
            </w:r>
            <w:r w:rsidRPr="00066BF0">
              <w:rPr>
                <w:rFonts w:ascii="Times New Roman" w:hAnsi="Times New Roman" w:cs="Times New Roman"/>
                <w:color w:val="7F7F7F" w:themeColor="text1" w:themeTint="80"/>
                <w:sz w:val="14"/>
                <w:szCs w:val="14"/>
              </w:rPr>
              <w:t>Bloemen et al. 2018, p.3</w:t>
            </w:r>
            <w:r w:rsidRPr="00066BF0">
              <w:rPr>
                <w:rFonts w:ascii="Times New Roman" w:hAnsi="Times New Roman" w:cs="Times New Roman"/>
                <w:sz w:val="14"/>
                <w:szCs w:val="14"/>
              </w:rPr>
              <w:t xml:space="preserve">). </w:t>
            </w:r>
          </w:p>
          <w:p w14:paraId="09AB2DB6" w14:textId="77777777" w:rsidR="00ED6053" w:rsidRPr="00066BF0" w:rsidRDefault="00ED6053" w:rsidP="00FF4124">
            <w:pPr>
              <w:jc w:val="left"/>
              <w:rPr>
                <w:rFonts w:ascii="Times New Roman" w:hAnsi="Times New Roman"/>
                <w:sz w:val="14"/>
                <w:szCs w:val="14"/>
              </w:rPr>
            </w:pPr>
            <w:r w:rsidRPr="00066BF0">
              <w:rPr>
                <w:rFonts w:ascii="Times New Roman" w:hAnsi="Times New Roman"/>
                <w:b/>
                <w:bCs/>
                <w:sz w:val="14"/>
                <w:szCs w:val="14"/>
              </w:rPr>
              <w:t>APs approach can significantly enhance the pace and quality of decision-making in situations marked by high uncertainty about future changes</w:t>
            </w:r>
            <w:r w:rsidRPr="00066BF0">
              <w:rPr>
                <w:rFonts w:ascii="Times New Roman" w:hAnsi="Times New Roman"/>
                <w:sz w:val="14"/>
                <w:szCs w:val="14"/>
              </w:rPr>
              <w:t xml:space="preserve"> (</w:t>
            </w:r>
            <w:r w:rsidRPr="00066BF0">
              <w:rPr>
                <w:rFonts w:ascii="Times New Roman" w:hAnsi="Times New Roman"/>
                <w:color w:val="7F7F7F" w:themeColor="text1" w:themeTint="80"/>
                <w:sz w:val="14"/>
                <w:szCs w:val="14"/>
              </w:rPr>
              <w:t>Bloemen et al. 2018, p.21</w:t>
            </w:r>
            <w:r w:rsidRPr="00066BF0">
              <w:rPr>
                <w:rFonts w:ascii="Times New Roman" w:hAnsi="Times New Roman"/>
                <w:sz w:val="14"/>
                <w:szCs w:val="14"/>
              </w:rPr>
              <w:t>).</w:t>
            </w:r>
          </w:p>
          <w:p w14:paraId="070565A1" w14:textId="77777777" w:rsidR="00ED6053" w:rsidRPr="00066BF0" w:rsidRDefault="00ED6053" w:rsidP="00FF4124">
            <w:pPr>
              <w:pStyle w:val="tablecontenttext"/>
              <w:spacing w:line="240" w:lineRule="auto"/>
              <w:rPr>
                <w:rFonts w:ascii="Times New Roman" w:hAnsi="Times New Roman" w:cs="Times New Roman"/>
                <w:sz w:val="14"/>
                <w:szCs w:val="14"/>
              </w:rPr>
            </w:pPr>
          </w:p>
        </w:tc>
        <w:tc>
          <w:tcPr>
            <w:tcW w:w="708" w:type="dxa"/>
            <w:tcBorders>
              <w:left w:val="nil"/>
              <w:right w:val="nil"/>
            </w:tcBorders>
          </w:tcPr>
          <w:p w14:paraId="7518820A" w14:textId="77777777" w:rsidR="00ED6053" w:rsidRPr="00066BF0" w:rsidRDefault="00ED6053" w:rsidP="00FF4124">
            <w:pPr>
              <w:pStyle w:val="tablecontenttext"/>
              <w:spacing w:line="240" w:lineRule="auto"/>
              <w:rPr>
                <w:rFonts w:ascii="Times New Roman" w:hAnsi="Times New Roman" w:cs="Times New Roman"/>
                <w:b/>
                <w:bCs w:val="0"/>
                <w:sz w:val="14"/>
                <w:szCs w:val="14"/>
              </w:rPr>
            </w:pPr>
            <w:r w:rsidRPr="00066BF0">
              <w:rPr>
                <w:rFonts w:ascii="Times New Roman" w:hAnsi="Times New Roman" w:cs="Times New Roman"/>
                <w:bCs w:val="0"/>
                <w:sz w:val="14"/>
                <w:szCs w:val="14"/>
              </w:rPr>
              <w:t>TE2100; DP2014</w:t>
            </w:r>
          </w:p>
        </w:tc>
        <w:tc>
          <w:tcPr>
            <w:tcW w:w="792" w:type="dxa"/>
            <w:tcBorders>
              <w:left w:val="nil"/>
            </w:tcBorders>
          </w:tcPr>
          <w:p w14:paraId="4841AE72"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K1</w:t>
            </w:r>
          </w:p>
        </w:tc>
      </w:tr>
      <w:tr w:rsidR="00ED6053" w:rsidRPr="00066BF0" w14:paraId="2DBFDA02" w14:textId="77777777" w:rsidTr="00FF4124">
        <w:tc>
          <w:tcPr>
            <w:tcW w:w="8364" w:type="dxa"/>
            <w:tcBorders>
              <w:left w:val="nil"/>
              <w:right w:val="nil"/>
            </w:tcBorders>
          </w:tcPr>
          <w:p w14:paraId="72807462" w14:textId="77777777" w:rsidR="00ED6053" w:rsidRPr="00066BF0" w:rsidRDefault="00ED6053" w:rsidP="00FF4124">
            <w:pPr>
              <w:jc w:val="left"/>
              <w:rPr>
                <w:rFonts w:ascii="Times New Roman" w:hAnsi="Times New Roman"/>
                <w:sz w:val="14"/>
                <w:szCs w:val="14"/>
              </w:rPr>
            </w:pPr>
            <w:r w:rsidRPr="00066BF0">
              <w:rPr>
                <w:rFonts w:ascii="Times New Roman" w:hAnsi="Times New Roman"/>
                <w:sz w:val="14"/>
                <w:szCs w:val="14"/>
              </w:rPr>
              <w:lastRenderedPageBreak/>
              <w:t xml:space="preserve">Experiences in the two cases demonstrated that the </w:t>
            </w:r>
            <w:r w:rsidRPr="00066BF0">
              <w:rPr>
                <w:rFonts w:ascii="Times New Roman" w:hAnsi="Times New Roman"/>
                <w:b/>
                <w:bCs/>
                <w:sz w:val="14"/>
                <w:szCs w:val="14"/>
              </w:rPr>
              <w:t>APs approach was valuable and successful</w:t>
            </w:r>
            <w:r w:rsidRPr="00066BF0">
              <w:rPr>
                <w:rFonts w:ascii="Times New Roman" w:hAnsi="Times New Roman"/>
                <w:sz w:val="14"/>
                <w:szCs w:val="14"/>
              </w:rPr>
              <w:t xml:space="preserve"> in moving adaptation decision-making process forward, leading to the approval of a long-term plan, </w:t>
            </w:r>
            <w:r w:rsidRPr="00066BF0">
              <w:rPr>
                <w:rFonts w:ascii="Times New Roman" w:hAnsi="Times New Roman"/>
                <w:color w:val="C00000"/>
                <w:sz w:val="14"/>
                <w:szCs w:val="14"/>
              </w:rPr>
              <w:t>and its follow-up</w:t>
            </w:r>
            <w:r w:rsidRPr="00066BF0">
              <w:rPr>
                <w:rFonts w:ascii="Times New Roman" w:hAnsi="Times New Roman"/>
                <w:sz w:val="14"/>
                <w:szCs w:val="14"/>
              </w:rPr>
              <w:t xml:space="preserve">. It also helped to raise awareness about uncertainties, to visualize multiple alternatives (i.e. alternative measures and pathways), garnered political support for maintaining long-term options open, and encouraged decision-makers to adjust their plans to better address future and evolving conditions. By clearly showing how short-term decisions and actions are connected to long-term objectives, it motivated and supported politicians, policymakers and other actors, to </w:t>
            </w:r>
            <w:r w:rsidRPr="00066BF0">
              <w:rPr>
                <w:rFonts w:ascii="Times New Roman" w:hAnsi="Times New Roman"/>
                <w:sz w:val="14"/>
                <w:szCs w:val="14"/>
                <w:u w:val="single"/>
              </w:rPr>
              <w:t>factor in uncertainties about future conditions and changes</w:t>
            </w:r>
            <w:r w:rsidRPr="00066BF0">
              <w:rPr>
                <w:rFonts w:ascii="Times New Roman" w:hAnsi="Times New Roman"/>
                <w:sz w:val="14"/>
                <w:szCs w:val="14"/>
              </w:rPr>
              <w:t xml:space="preserve"> into their decisions and plans (</w:t>
            </w:r>
            <w:r w:rsidRPr="00066BF0">
              <w:rPr>
                <w:rFonts w:ascii="Times New Roman" w:hAnsi="Times New Roman"/>
                <w:color w:val="7F7F7F" w:themeColor="text1" w:themeTint="80"/>
                <w:sz w:val="14"/>
                <w:szCs w:val="14"/>
              </w:rPr>
              <w:t>Bloemen et al. 2018, p.11</w:t>
            </w:r>
            <w:r w:rsidRPr="00066BF0">
              <w:rPr>
                <w:rFonts w:ascii="Times New Roman" w:hAnsi="Times New Roman"/>
                <w:sz w:val="14"/>
                <w:szCs w:val="14"/>
              </w:rPr>
              <w:t>).</w:t>
            </w:r>
          </w:p>
          <w:p w14:paraId="44FDD7DA" w14:textId="77777777" w:rsidR="00ED6053" w:rsidRPr="00066BF0" w:rsidRDefault="00ED6053" w:rsidP="00FF4124">
            <w:pPr>
              <w:jc w:val="left"/>
              <w:rPr>
                <w:rFonts w:ascii="Times New Roman" w:hAnsi="Times New Roman"/>
                <w:sz w:val="14"/>
                <w:szCs w:val="14"/>
              </w:rPr>
            </w:pPr>
            <w:r w:rsidRPr="00066BF0">
              <w:rPr>
                <w:rFonts w:ascii="Times New Roman" w:hAnsi="Times New Roman"/>
                <w:sz w:val="14"/>
                <w:szCs w:val="14"/>
              </w:rPr>
              <w:t>Adaptation pathways are effective in guiding and engaging decision-makers (</w:t>
            </w:r>
            <w:r w:rsidRPr="00066BF0">
              <w:rPr>
                <w:rFonts w:ascii="Times New Roman" w:hAnsi="Times New Roman"/>
                <w:color w:val="7F7F7F" w:themeColor="text1" w:themeTint="80"/>
                <w:sz w:val="14"/>
                <w:szCs w:val="14"/>
              </w:rPr>
              <w:t>Bloemen et al. 2018, p.21</w:t>
            </w:r>
            <w:r w:rsidRPr="00066BF0">
              <w:rPr>
                <w:rFonts w:ascii="Times New Roman" w:hAnsi="Times New Roman"/>
                <w:sz w:val="14"/>
                <w:szCs w:val="14"/>
              </w:rPr>
              <w:t>)</w:t>
            </w:r>
          </w:p>
          <w:p w14:paraId="594E9099" w14:textId="77777777" w:rsidR="00ED6053" w:rsidRPr="00066BF0" w:rsidRDefault="00ED6053" w:rsidP="00FF4124">
            <w:pPr>
              <w:jc w:val="left"/>
              <w:rPr>
                <w:rFonts w:ascii="Times New Roman" w:hAnsi="Times New Roman"/>
                <w:sz w:val="14"/>
                <w:szCs w:val="14"/>
              </w:rPr>
            </w:pPr>
          </w:p>
        </w:tc>
        <w:tc>
          <w:tcPr>
            <w:tcW w:w="708" w:type="dxa"/>
            <w:tcBorders>
              <w:left w:val="nil"/>
              <w:right w:val="nil"/>
            </w:tcBorders>
          </w:tcPr>
          <w:p w14:paraId="360E2595" w14:textId="77777777" w:rsidR="00ED6053" w:rsidRPr="00066BF0" w:rsidRDefault="00ED6053" w:rsidP="00FF4124">
            <w:pPr>
              <w:pStyle w:val="tablecontenttext"/>
              <w:spacing w:line="240" w:lineRule="auto"/>
              <w:rPr>
                <w:rFonts w:ascii="Times New Roman" w:hAnsi="Times New Roman" w:cs="Times New Roman"/>
                <w:bCs w:val="0"/>
                <w:sz w:val="14"/>
                <w:szCs w:val="14"/>
              </w:rPr>
            </w:pPr>
            <w:r w:rsidRPr="00066BF0">
              <w:rPr>
                <w:rFonts w:ascii="Times New Roman" w:hAnsi="Times New Roman" w:cs="Times New Roman"/>
                <w:bCs w:val="0"/>
                <w:sz w:val="14"/>
                <w:szCs w:val="14"/>
              </w:rPr>
              <w:t>TE2100; DP2014</w:t>
            </w:r>
          </w:p>
        </w:tc>
        <w:tc>
          <w:tcPr>
            <w:tcW w:w="792" w:type="dxa"/>
            <w:tcBorders>
              <w:left w:val="nil"/>
            </w:tcBorders>
          </w:tcPr>
          <w:p w14:paraId="57C4A376"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K5; AP&amp;M</w:t>
            </w:r>
          </w:p>
        </w:tc>
      </w:tr>
      <w:tr w:rsidR="00ED6053" w:rsidRPr="00066BF0" w14:paraId="7FA8EEFB" w14:textId="77777777" w:rsidTr="00FF4124">
        <w:tc>
          <w:tcPr>
            <w:tcW w:w="8364" w:type="dxa"/>
            <w:tcBorders>
              <w:left w:val="nil"/>
              <w:right w:val="nil"/>
            </w:tcBorders>
          </w:tcPr>
          <w:p w14:paraId="341B4709" w14:textId="77777777" w:rsidR="00ED6053" w:rsidRPr="00066BF0" w:rsidRDefault="00ED6053" w:rsidP="00FF4124">
            <w:pPr>
              <w:jc w:val="left"/>
              <w:rPr>
                <w:rFonts w:ascii="Times New Roman" w:hAnsi="Times New Roman"/>
                <w:sz w:val="14"/>
                <w:szCs w:val="14"/>
              </w:rPr>
            </w:pPr>
            <w:r w:rsidRPr="00066BF0">
              <w:rPr>
                <w:rFonts w:ascii="Times New Roman" w:hAnsi="Times New Roman"/>
                <w:sz w:val="14"/>
                <w:szCs w:val="14"/>
              </w:rPr>
              <w:t xml:space="preserve">Both cases demonstrate </w:t>
            </w:r>
            <w:r w:rsidRPr="00066BF0">
              <w:rPr>
                <w:rFonts w:ascii="Times New Roman" w:hAnsi="Times New Roman"/>
                <w:sz w:val="14"/>
                <w:szCs w:val="14"/>
                <w:u w:val="single"/>
              </w:rPr>
              <w:t>that long-term adaptation pathways planning is particularly valuable</w:t>
            </w:r>
            <w:r w:rsidRPr="00066BF0">
              <w:rPr>
                <w:rFonts w:ascii="Times New Roman" w:hAnsi="Times New Roman"/>
                <w:sz w:val="14"/>
                <w:szCs w:val="14"/>
              </w:rPr>
              <w:t xml:space="preserve"> when applied at a strategic level of decision-making. It is important to promote a “free thinking space” that allows for considering measures that may not be politically or financially feasible in the short-term. APs approaches can help foster the development and evaluation of innovative solutions (</w:t>
            </w:r>
            <w:r w:rsidRPr="00066BF0">
              <w:rPr>
                <w:rFonts w:ascii="Times New Roman" w:hAnsi="Times New Roman"/>
                <w:color w:val="7F7F7F" w:themeColor="text1" w:themeTint="80"/>
                <w:sz w:val="14"/>
                <w:szCs w:val="14"/>
              </w:rPr>
              <w:t>Bloemen et al. 2018, p.11</w:t>
            </w:r>
            <w:r w:rsidRPr="00066BF0">
              <w:rPr>
                <w:rFonts w:ascii="Times New Roman" w:hAnsi="Times New Roman"/>
                <w:sz w:val="14"/>
                <w:szCs w:val="14"/>
              </w:rPr>
              <w:t>).</w:t>
            </w:r>
          </w:p>
        </w:tc>
        <w:tc>
          <w:tcPr>
            <w:tcW w:w="708" w:type="dxa"/>
            <w:tcBorders>
              <w:left w:val="nil"/>
              <w:right w:val="nil"/>
            </w:tcBorders>
          </w:tcPr>
          <w:p w14:paraId="1580E29D" w14:textId="77777777" w:rsidR="00ED6053" w:rsidRPr="00066BF0" w:rsidRDefault="00ED6053" w:rsidP="00FF4124">
            <w:pPr>
              <w:pStyle w:val="tablecontenttext"/>
              <w:spacing w:line="240" w:lineRule="auto"/>
              <w:rPr>
                <w:rFonts w:ascii="Times New Roman" w:hAnsi="Times New Roman" w:cs="Times New Roman"/>
                <w:bCs w:val="0"/>
                <w:sz w:val="14"/>
                <w:szCs w:val="14"/>
              </w:rPr>
            </w:pPr>
            <w:r w:rsidRPr="00066BF0">
              <w:rPr>
                <w:rFonts w:ascii="Times New Roman" w:hAnsi="Times New Roman" w:cs="Times New Roman"/>
                <w:bCs w:val="0"/>
                <w:sz w:val="14"/>
                <w:szCs w:val="14"/>
              </w:rPr>
              <w:t>TE2100; DP2014</w:t>
            </w:r>
          </w:p>
        </w:tc>
        <w:tc>
          <w:tcPr>
            <w:tcW w:w="792" w:type="dxa"/>
            <w:tcBorders>
              <w:left w:val="nil"/>
            </w:tcBorders>
          </w:tcPr>
          <w:p w14:paraId="0C82594F"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K3</w:t>
            </w:r>
          </w:p>
        </w:tc>
      </w:tr>
      <w:tr w:rsidR="00ED6053" w:rsidRPr="00066BF0" w14:paraId="63F58A2F" w14:textId="77777777" w:rsidTr="00FF4124">
        <w:tc>
          <w:tcPr>
            <w:tcW w:w="8364" w:type="dxa"/>
            <w:tcBorders>
              <w:left w:val="nil"/>
              <w:right w:val="nil"/>
            </w:tcBorders>
          </w:tcPr>
          <w:p w14:paraId="0EE517BC"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 xml:space="preserve">Providing a way of visualizing multiple alternatives. The APs served to position measures in time (a </w:t>
            </w:r>
            <w:r w:rsidRPr="00066BF0">
              <w:rPr>
                <w:rFonts w:ascii="Times New Roman" w:hAnsi="Times New Roman" w:cs="Times New Roman"/>
                <w:i/>
                <w:sz w:val="14"/>
                <w:szCs w:val="14"/>
              </w:rPr>
              <w:t>timeframe</w:t>
            </w:r>
            <w:r w:rsidRPr="00066BF0">
              <w:rPr>
                <w:rFonts w:ascii="Times New Roman" w:hAnsi="Times New Roman" w:cs="Times New Roman"/>
                <w:sz w:val="14"/>
                <w:szCs w:val="14"/>
              </w:rPr>
              <w:t>) and in the physical space. It allowed the development of a plan / strategies that can be adjusted to changes (</w:t>
            </w:r>
            <w:r w:rsidRPr="00066BF0">
              <w:rPr>
                <w:rFonts w:ascii="Times New Roman" w:hAnsi="Times New Roman" w:cs="Times New Roman"/>
                <w:color w:val="7F7F7F" w:themeColor="text1" w:themeTint="80"/>
                <w:sz w:val="14"/>
                <w:szCs w:val="14"/>
              </w:rPr>
              <w:t>Bloemen et al. 2018</w:t>
            </w:r>
            <w:r w:rsidRPr="00066BF0">
              <w:rPr>
                <w:rFonts w:ascii="Times New Roman" w:hAnsi="Times New Roman" w:cs="Times New Roman"/>
                <w:sz w:val="14"/>
                <w:szCs w:val="14"/>
              </w:rPr>
              <w:t>).</w:t>
            </w:r>
          </w:p>
        </w:tc>
        <w:tc>
          <w:tcPr>
            <w:tcW w:w="708" w:type="dxa"/>
            <w:tcBorders>
              <w:left w:val="nil"/>
              <w:right w:val="nil"/>
            </w:tcBorders>
          </w:tcPr>
          <w:p w14:paraId="05CC4737" w14:textId="77777777" w:rsidR="00ED6053" w:rsidRPr="00066BF0" w:rsidRDefault="00ED6053" w:rsidP="00FF4124">
            <w:pPr>
              <w:pStyle w:val="tablecontenttext"/>
              <w:spacing w:line="240" w:lineRule="auto"/>
              <w:rPr>
                <w:rFonts w:ascii="Times New Roman" w:hAnsi="Times New Roman" w:cs="Times New Roman"/>
                <w:bCs w:val="0"/>
                <w:sz w:val="14"/>
                <w:szCs w:val="14"/>
              </w:rPr>
            </w:pPr>
            <w:r w:rsidRPr="00066BF0">
              <w:rPr>
                <w:rFonts w:ascii="Times New Roman" w:hAnsi="Times New Roman" w:cs="Times New Roman"/>
                <w:bCs w:val="0"/>
                <w:sz w:val="14"/>
                <w:szCs w:val="14"/>
              </w:rPr>
              <w:t>TE2100; DP2014</w:t>
            </w:r>
          </w:p>
        </w:tc>
        <w:tc>
          <w:tcPr>
            <w:tcW w:w="792" w:type="dxa"/>
            <w:tcBorders>
              <w:left w:val="nil"/>
            </w:tcBorders>
          </w:tcPr>
          <w:p w14:paraId="08D4BA23"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K3</w:t>
            </w:r>
          </w:p>
        </w:tc>
      </w:tr>
      <w:tr w:rsidR="00ED6053" w:rsidRPr="00066BF0" w14:paraId="4CD83F39" w14:textId="77777777" w:rsidTr="00FF4124">
        <w:tc>
          <w:tcPr>
            <w:tcW w:w="8364" w:type="dxa"/>
            <w:tcBorders>
              <w:left w:val="nil"/>
              <w:right w:val="nil"/>
            </w:tcBorders>
          </w:tcPr>
          <w:p w14:paraId="5DC31320" w14:textId="77777777" w:rsidR="00ED6053" w:rsidRPr="00066BF0" w:rsidRDefault="00ED6053" w:rsidP="00FF4124">
            <w:pPr>
              <w:pStyle w:val="tablecontenttext"/>
              <w:spacing w:line="240" w:lineRule="auto"/>
              <w:rPr>
                <w:rFonts w:ascii="Times New Roman" w:hAnsi="Times New Roman" w:cs="Times New Roman"/>
                <w:b/>
                <w:bCs w:val="0"/>
                <w:sz w:val="14"/>
                <w:szCs w:val="14"/>
              </w:rPr>
            </w:pPr>
            <w:r w:rsidRPr="00066BF0">
              <w:rPr>
                <w:rFonts w:ascii="Times New Roman" w:hAnsi="Times New Roman" w:cs="Times New Roman"/>
                <w:sz w:val="14"/>
                <w:szCs w:val="14"/>
              </w:rPr>
              <w:t>Though it was not easy to</w:t>
            </w:r>
            <w:r w:rsidRPr="00066BF0">
              <w:rPr>
                <w:rFonts w:ascii="Times New Roman" w:hAnsi="Times New Roman" w:cs="Times New Roman"/>
                <w:color w:val="C00000"/>
                <w:sz w:val="14"/>
                <w:szCs w:val="14"/>
              </w:rPr>
              <w:t xml:space="preserve"> </w:t>
            </w:r>
            <w:r w:rsidRPr="00066BF0">
              <w:rPr>
                <w:rFonts w:ascii="Times New Roman" w:hAnsi="Times New Roman" w:cs="Times New Roman"/>
                <w:sz w:val="14"/>
                <w:szCs w:val="14"/>
              </w:rPr>
              <w:t xml:space="preserve">build consensus on </w:t>
            </w:r>
            <w:r w:rsidRPr="00066BF0">
              <w:rPr>
                <w:rFonts w:ascii="Times New Roman" w:hAnsi="Times New Roman" w:cs="Times New Roman"/>
                <w:i/>
                <w:sz w:val="14"/>
                <w:szCs w:val="14"/>
              </w:rPr>
              <w:t>which</w:t>
            </w:r>
            <w:r w:rsidRPr="00066BF0">
              <w:rPr>
                <w:rFonts w:ascii="Times New Roman" w:hAnsi="Times New Roman" w:cs="Times New Roman"/>
                <w:sz w:val="14"/>
                <w:szCs w:val="14"/>
              </w:rPr>
              <w:t xml:space="preserve"> and </w:t>
            </w:r>
            <w:r w:rsidRPr="00066BF0">
              <w:rPr>
                <w:rFonts w:ascii="Times New Roman" w:hAnsi="Times New Roman" w:cs="Times New Roman"/>
                <w:i/>
                <w:sz w:val="14"/>
                <w:szCs w:val="14"/>
              </w:rPr>
              <w:t>how</w:t>
            </w:r>
            <w:r w:rsidRPr="00066BF0">
              <w:rPr>
                <w:rFonts w:ascii="Times New Roman" w:hAnsi="Times New Roman" w:cs="Times New Roman"/>
                <w:sz w:val="14"/>
                <w:szCs w:val="14"/>
              </w:rPr>
              <w:t xml:space="preserve"> measures should be implemented, </w:t>
            </w:r>
            <w:r w:rsidRPr="00066BF0">
              <w:rPr>
                <w:rFonts w:ascii="Times New Roman" w:hAnsi="Times New Roman" w:cs="Times New Roman"/>
                <w:b/>
                <w:bCs w:val="0"/>
                <w:sz w:val="14"/>
                <w:szCs w:val="14"/>
              </w:rPr>
              <w:t>having a ‘maquette’ of adaptation pathways early in the planning process</w:t>
            </w:r>
            <w:r w:rsidRPr="00066BF0">
              <w:rPr>
                <w:rFonts w:ascii="Times New Roman" w:hAnsi="Times New Roman" w:cs="Times New Roman"/>
                <w:sz w:val="14"/>
                <w:szCs w:val="14"/>
              </w:rPr>
              <w:t xml:space="preserve"> is useful for communicating concepts and crucial to get stakeholders’ support and buy-in of the Plan / Strategy (</w:t>
            </w:r>
            <w:r w:rsidRPr="00066BF0">
              <w:rPr>
                <w:rFonts w:ascii="Times New Roman" w:hAnsi="Times New Roman" w:cs="Times New Roman"/>
                <w:color w:val="7F7F7F" w:themeColor="text1" w:themeTint="80"/>
                <w:sz w:val="14"/>
                <w:szCs w:val="14"/>
              </w:rPr>
              <w:t>Bloemen et al. 2018</w:t>
            </w:r>
            <w:r w:rsidRPr="00066BF0">
              <w:rPr>
                <w:rFonts w:ascii="Times New Roman" w:hAnsi="Times New Roman" w:cs="Times New Roman"/>
                <w:sz w:val="14"/>
                <w:szCs w:val="14"/>
              </w:rPr>
              <w:t>).</w:t>
            </w:r>
          </w:p>
        </w:tc>
        <w:tc>
          <w:tcPr>
            <w:tcW w:w="708" w:type="dxa"/>
            <w:tcBorders>
              <w:left w:val="nil"/>
              <w:right w:val="nil"/>
            </w:tcBorders>
          </w:tcPr>
          <w:p w14:paraId="1FC19B9A" w14:textId="77777777" w:rsidR="00ED6053" w:rsidRPr="00066BF0" w:rsidRDefault="00ED6053" w:rsidP="00FF4124">
            <w:pPr>
              <w:pStyle w:val="tablecontenttext"/>
              <w:spacing w:line="240" w:lineRule="auto"/>
              <w:rPr>
                <w:rFonts w:ascii="Times New Roman" w:hAnsi="Times New Roman" w:cs="Times New Roman"/>
                <w:b/>
                <w:bCs w:val="0"/>
                <w:sz w:val="14"/>
                <w:szCs w:val="14"/>
              </w:rPr>
            </w:pPr>
            <w:r w:rsidRPr="00066BF0">
              <w:rPr>
                <w:rFonts w:ascii="Times New Roman" w:hAnsi="Times New Roman" w:cs="Times New Roman"/>
                <w:bCs w:val="0"/>
                <w:sz w:val="14"/>
                <w:szCs w:val="14"/>
              </w:rPr>
              <w:t>TE2100; DP2014</w:t>
            </w:r>
          </w:p>
        </w:tc>
        <w:tc>
          <w:tcPr>
            <w:tcW w:w="792" w:type="dxa"/>
            <w:tcBorders>
              <w:left w:val="nil"/>
            </w:tcBorders>
          </w:tcPr>
          <w:p w14:paraId="617B28C7"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K3</w:t>
            </w:r>
          </w:p>
        </w:tc>
      </w:tr>
      <w:tr w:rsidR="00ED6053" w:rsidRPr="00066BF0" w14:paraId="740D0F10" w14:textId="77777777" w:rsidTr="00FF4124">
        <w:tc>
          <w:tcPr>
            <w:tcW w:w="8364" w:type="dxa"/>
            <w:tcBorders>
              <w:left w:val="nil"/>
              <w:right w:val="nil"/>
            </w:tcBorders>
          </w:tcPr>
          <w:p w14:paraId="1EFE3AE3" w14:textId="77777777" w:rsidR="00ED6053" w:rsidRPr="00066BF0" w:rsidRDefault="00ED6053" w:rsidP="00FF4124">
            <w:pPr>
              <w:pStyle w:val="tablecontenttext"/>
              <w:spacing w:line="240" w:lineRule="auto"/>
              <w:rPr>
                <w:rFonts w:ascii="Times New Roman" w:hAnsi="Times New Roman" w:cs="Times New Roman"/>
                <w:b/>
                <w:bCs w:val="0"/>
                <w:sz w:val="14"/>
                <w:szCs w:val="14"/>
              </w:rPr>
            </w:pPr>
            <w:r w:rsidRPr="00066BF0">
              <w:rPr>
                <w:rFonts w:ascii="Times New Roman" w:hAnsi="Times New Roman" w:cs="Times New Roman"/>
                <w:b/>
                <w:bCs w:val="0"/>
                <w:sz w:val="14"/>
                <w:szCs w:val="14"/>
              </w:rPr>
              <w:t>Enhancing and fostering political commitment to keeping options open for the future</w:t>
            </w:r>
            <w:r w:rsidRPr="00066BF0">
              <w:rPr>
                <w:rFonts w:ascii="Times New Roman" w:hAnsi="Times New Roman" w:cs="Times New Roman"/>
                <w:sz w:val="14"/>
                <w:szCs w:val="14"/>
              </w:rPr>
              <w:t>. The method stimulated decision-makers to include in their plans alternative measures (options) to adapt to uncertain and changing conditions over time. The APs served to explore ‘options to keep open for the long-term’, e.g. the TE2100 demarcated land areas for future flood defences, and the DP set the reservation of areas for possible future options (e.g. retention area in the Rhine) (</w:t>
            </w:r>
            <w:r w:rsidRPr="00066BF0">
              <w:rPr>
                <w:rFonts w:ascii="Times New Roman" w:hAnsi="Times New Roman" w:cs="Times New Roman"/>
                <w:color w:val="7F7F7F" w:themeColor="text1" w:themeTint="80"/>
                <w:sz w:val="14"/>
                <w:szCs w:val="14"/>
              </w:rPr>
              <w:t>Bloemen et al. 2018</w:t>
            </w:r>
            <w:r w:rsidRPr="00066BF0">
              <w:rPr>
                <w:rFonts w:ascii="Times New Roman" w:hAnsi="Times New Roman" w:cs="Times New Roman"/>
                <w:sz w:val="14"/>
                <w:szCs w:val="14"/>
              </w:rPr>
              <w:t xml:space="preserve">). </w:t>
            </w:r>
          </w:p>
        </w:tc>
        <w:tc>
          <w:tcPr>
            <w:tcW w:w="708" w:type="dxa"/>
            <w:tcBorders>
              <w:left w:val="nil"/>
              <w:right w:val="nil"/>
            </w:tcBorders>
          </w:tcPr>
          <w:p w14:paraId="1A25CD64" w14:textId="77777777" w:rsidR="00ED6053" w:rsidRPr="00066BF0" w:rsidRDefault="00ED6053" w:rsidP="00FF4124">
            <w:pPr>
              <w:pStyle w:val="CORPOTEXTO"/>
              <w:spacing w:after="60"/>
              <w:jc w:val="left"/>
              <w:rPr>
                <w:sz w:val="14"/>
                <w:szCs w:val="14"/>
              </w:rPr>
            </w:pPr>
            <w:r w:rsidRPr="00066BF0">
              <w:rPr>
                <w:bCs/>
                <w:sz w:val="14"/>
                <w:szCs w:val="14"/>
              </w:rPr>
              <w:t>TE2100; DP2014</w:t>
            </w:r>
          </w:p>
        </w:tc>
        <w:tc>
          <w:tcPr>
            <w:tcW w:w="792" w:type="dxa"/>
            <w:tcBorders>
              <w:left w:val="nil"/>
            </w:tcBorders>
          </w:tcPr>
          <w:p w14:paraId="37452E46"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K3; its sub-elements</w:t>
            </w:r>
          </w:p>
        </w:tc>
      </w:tr>
      <w:tr w:rsidR="00ED6053" w:rsidRPr="00066BF0" w14:paraId="5E13EBAA" w14:textId="77777777" w:rsidTr="00FF4124">
        <w:tc>
          <w:tcPr>
            <w:tcW w:w="8364" w:type="dxa"/>
            <w:tcBorders>
              <w:left w:val="nil"/>
              <w:right w:val="nil"/>
            </w:tcBorders>
          </w:tcPr>
          <w:p w14:paraId="3407DEA3" w14:textId="77777777" w:rsidR="00ED6053" w:rsidRPr="00066BF0" w:rsidRDefault="00ED6053" w:rsidP="00FF4124">
            <w:pPr>
              <w:spacing w:after="60"/>
              <w:jc w:val="left"/>
              <w:rPr>
                <w:rFonts w:ascii="Times New Roman" w:hAnsi="Times New Roman"/>
                <w:sz w:val="14"/>
                <w:szCs w:val="14"/>
              </w:rPr>
            </w:pPr>
            <w:r w:rsidRPr="00066BF0">
              <w:rPr>
                <w:rFonts w:ascii="Times New Roman" w:hAnsi="Times New Roman"/>
                <w:sz w:val="14"/>
                <w:szCs w:val="14"/>
              </w:rPr>
              <w:t>Moving the adaptation planning and decision-making process forward up to the approval of the long-term plan, improving the pace and quality of decision-making processes under uncertain future changes, but also to guide the implementation of this plan, and its adaptation / regular adjustment over time (</w:t>
            </w:r>
            <w:r w:rsidRPr="00066BF0">
              <w:rPr>
                <w:rFonts w:ascii="Times New Roman" w:hAnsi="Times New Roman"/>
                <w:color w:val="7F7F7F" w:themeColor="text1" w:themeTint="80"/>
                <w:sz w:val="14"/>
                <w:szCs w:val="14"/>
              </w:rPr>
              <w:t>Bloemen et al. 2018, p.2</w:t>
            </w:r>
            <w:r w:rsidRPr="00066BF0">
              <w:rPr>
                <w:rFonts w:ascii="Times New Roman" w:hAnsi="Times New Roman"/>
                <w:sz w:val="14"/>
                <w:szCs w:val="14"/>
              </w:rPr>
              <w:t xml:space="preserve">).   </w:t>
            </w:r>
          </w:p>
        </w:tc>
        <w:tc>
          <w:tcPr>
            <w:tcW w:w="708" w:type="dxa"/>
            <w:tcBorders>
              <w:left w:val="nil"/>
              <w:right w:val="nil"/>
            </w:tcBorders>
          </w:tcPr>
          <w:p w14:paraId="2CF4D694" w14:textId="77777777" w:rsidR="00ED6053" w:rsidRPr="00066BF0" w:rsidRDefault="00ED6053" w:rsidP="00FF4124">
            <w:pPr>
              <w:pStyle w:val="CORPOTEXTO"/>
              <w:spacing w:after="60"/>
              <w:jc w:val="left"/>
              <w:rPr>
                <w:bCs/>
                <w:sz w:val="14"/>
                <w:szCs w:val="14"/>
              </w:rPr>
            </w:pPr>
            <w:r w:rsidRPr="00066BF0">
              <w:rPr>
                <w:bCs/>
                <w:sz w:val="14"/>
                <w:szCs w:val="14"/>
              </w:rPr>
              <w:t>TE2100; DP2014</w:t>
            </w:r>
          </w:p>
        </w:tc>
        <w:tc>
          <w:tcPr>
            <w:tcW w:w="792" w:type="dxa"/>
            <w:tcBorders>
              <w:left w:val="nil"/>
            </w:tcBorders>
          </w:tcPr>
          <w:p w14:paraId="47D8AA8E"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K5</w:t>
            </w:r>
          </w:p>
        </w:tc>
      </w:tr>
      <w:tr w:rsidR="00ED6053" w:rsidRPr="00066BF0" w14:paraId="244E6047" w14:textId="77777777" w:rsidTr="00FF4124">
        <w:tc>
          <w:tcPr>
            <w:tcW w:w="8364" w:type="dxa"/>
            <w:tcBorders>
              <w:left w:val="nil"/>
              <w:right w:val="nil"/>
            </w:tcBorders>
          </w:tcPr>
          <w:p w14:paraId="3D44D00B" w14:textId="77777777" w:rsidR="00ED6053" w:rsidRPr="00066BF0" w:rsidRDefault="00ED6053" w:rsidP="00FF4124">
            <w:pPr>
              <w:pStyle w:val="tablecontenttext"/>
              <w:spacing w:line="240" w:lineRule="auto"/>
              <w:rPr>
                <w:rFonts w:ascii="Times New Roman" w:hAnsi="Times New Roman" w:cs="Times New Roman"/>
                <w:b/>
                <w:bCs w:val="0"/>
                <w:sz w:val="14"/>
                <w:szCs w:val="14"/>
              </w:rPr>
            </w:pPr>
            <w:r w:rsidRPr="00066BF0">
              <w:rPr>
                <w:rFonts w:ascii="Times New Roman" w:hAnsi="Times New Roman" w:cs="Times New Roman"/>
                <w:sz w:val="14"/>
                <w:szCs w:val="14"/>
              </w:rPr>
              <w:t>Articulate a</w:t>
            </w:r>
            <w:r w:rsidRPr="00066BF0">
              <w:rPr>
                <w:rFonts w:ascii="Times New Roman" w:hAnsi="Times New Roman" w:cs="Times New Roman"/>
                <w:b/>
                <w:sz w:val="14"/>
                <w:szCs w:val="14"/>
              </w:rPr>
              <w:t xml:space="preserve"> </w:t>
            </w:r>
            <w:r w:rsidRPr="00066BF0">
              <w:rPr>
                <w:rFonts w:ascii="Times New Roman" w:hAnsi="Times New Roman" w:cs="Times New Roman"/>
                <w:sz w:val="14"/>
                <w:szCs w:val="14"/>
              </w:rPr>
              <w:t>‘combination of objectives’ of FRM, FS, and spatial adaptation, and coordination articulation between the national and regional scale (</w:t>
            </w:r>
            <w:proofErr w:type="spellStart"/>
            <w:r w:rsidRPr="00066BF0">
              <w:rPr>
                <w:rFonts w:ascii="Times New Roman" w:hAnsi="Times New Roman" w:cs="Times New Roman"/>
                <w:color w:val="7F7F7F" w:themeColor="text1" w:themeTint="80"/>
                <w:sz w:val="14"/>
                <w:szCs w:val="14"/>
              </w:rPr>
              <w:t>Jeuken</w:t>
            </w:r>
            <w:proofErr w:type="spellEnd"/>
            <w:r w:rsidRPr="00066BF0">
              <w:rPr>
                <w:rFonts w:ascii="Times New Roman" w:hAnsi="Times New Roman" w:cs="Times New Roman"/>
                <w:color w:val="7F7F7F" w:themeColor="text1" w:themeTint="80"/>
                <w:sz w:val="14"/>
                <w:szCs w:val="14"/>
              </w:rPr>
              <w:t xml:space="preserve"> and Reeder 2011</w:t>
            </w:r>
            <w:r w:rsidRPr="00066BF0">
              <w:rPr>
                <w:rFonts w:ascii="Times New Roman" w:hAnsi="Times New Roman" w:cs="Times New Roman"/>
                <w:sz w:val="14"/>
                <w:szCs w:val="14"/>
              </w:rPr>
              <w:t>).</w:t>
            </w:r>
          </w:p>
        </w:tc>
        <w:tc>
          <w:tcPr>
            <w:tcW w:w="708" w:type="dxa"/>
            <w:tcBorders>
              <w:left w:val="nil"/>
              <w:right w:val="nil"/>
            </w:tcBorders>
          </w:tcPr>
          <w:p w14:paraId="13EE166F" w14:textId="77777777" w:rsidR="00ED6053" w:rsidRPr="00066BF0" w:rsidRDefault="00ED6053" w:rsidP="00FF4124">
            <w:pPr>
              <w:pStyle w:val="CORPOTEXTO"/>
              <w:spacing w:after="60"/>
              <w:jc w:val="left"/>
              <w:rPr>
                <w:sz w:val="14"/>
                <w:szCs w:val="14"/>
              </w:rPr>
            </w:pPr>
            <w:r w:rsidRPr="00066BF0">
              <w:rPr>
                <w:bCs/>
                <w:sz w:val="14"/>
                <w:szCs w:val="14"/>
              </w:rPr>
              <w:t>DP2014</w:t>
            </w:r>
          </w:p>
        </w:tc>
        <w:tc>
          <w:tcPr>
            <w:tcW w:w="792" w:type="dxa"/>
            <w:tcBorders>
              <w:left w:val="nil"/>
            </w:tcBorders>
          </w:tcPr>
          <w:p w14:paraId="2FDF4B09"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K5</w:t>
            </w:r>
          </w:p>
        </w:tc>
      </w:tr>
      <w:tr w:rsidR="00ED6053" w:rsidRPr="00066BF0" w14:paraId="60073EF4" w14:textId="77777777" w:rsidTr="00FF4124">
        <w:tc>
          <w:tcPr>
            <w:tcW w:w="8364" w:type="dxa"/>
            <w:tcBorders>
              <w:left w:val="nil"/>
              <w:right w:val="nil"/>
            </w:tcBorders>
          </w:tcPr>
          <w:p w14:paraId="6DD04C9F"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By using the Route-map / APs approach, it is possible to make decisions more ‘robust’ under deeply uncertain future conditions and changes (namely decisions involving high-stakes)</w:t>
            </w:r>
            <w:r w:rsidRPr="00066BF0">
              <w:rPr>
                <w:rFonts w:ascii="Times New Roman" w:hAnsi="Times New Roman" w:cs="Times New Roman"/>
                <w:i/>
                <w:sz w:val="14"/>
                <w:szCs w:val="14"/>
              </w:rPr>
              <w:t xml:space="preserve"> </w:t>
            </w:r>
            <w:r w:rsidRPr="00066BF0">
              <w:rPr>
                <w:rFonts w:ascii="Times New Roman" w:hAnsi="Times New Roman" w:cs="Times New Roman"/>
                <w:sz w:val="14"/>
                <w:szCs w:val="14"/>
              </w:rPr>
              <w:t>(</w:t>
            </w:r>
            <w:r w:rsidRPr="00066BF0">
              <w:rPr>
                <w:rFonts w:ascii="Times New Roman" w:hAnsi="Times New Roman" w:cs="Times New Roman"/>
                <w:color w:val="7F7F7F" w:themeColor="text1" w:themeTint="80"/>
                <w:sz w:val="14"/>
                <w:szCs w:val="14"/>
              </w:rPr>
              <w:t xml:space="preserve">Reeder and Ranger 2011, p.2, 4; </w:t>
            </w:r>
            <w:proofErr w:type="spellStart"/>
            <w:r w:rsidRPr="00066BF0">
              <w:rPr>
                <w:rFonts w:ascii="Times New Roman" w:hAnsi="Times New Roman" w:cs="Times New Roman"/>
                <w:color w:val="7F7F7F" w:themeColor="text1" w:themeTint="80"/>
                <w:sz w:val="14"/>
                <w:szCs w:val="14"/>
              </w:rPr>
              <w:t>Jeuken</w:t>
            </w:r>
            <w:proofErr w:type="spellEnd"/>
            <w:r w:rsidRPr="00066BF0">
              <w:rPr>
                <w:rFonts w:ascii="Times New Roman" w:hAnsi="Times New Roman" w:cs="Times New Roman"/>
                <w:color w:val="7F7F7F" w:themeColor="text1" w:themeTint="80"/>
                <w:sz w:val="14"/>
                <w:szCs w:val="14"/>
              </w:rPr>
              <w:t xml:space="preserve"> and Reeder 2011, p.5</w:t>
            </w:r>
            <w:r w:rsidRPr="00066BF0">
              <w:rPr>
                <w:rFonts w:ascii="Times New Roman" w:hAnsi="Times New Roman" w:cs="Times New Roman"/>
                <w:sz w:val="14"/>
                <w:szCs w:val="14"/>
              </w:rPr>
              <w:t xml:space="preserve">). APs approach constitutes a way of incorporating (building-in) and designing </w:t>
            </w:r>
            <w:r w:rsidRPr="00066BF0">
              <w:rPr>
                <w:rFonts w:ascii="Times New Roman" w:hAnsi="Times New Roman" w:cs="Times New Roman"/>
                <w:b/>
                <w:i/>
                <w:sz w:val="14"/>
                <w:szCs w:val="14"/>
              </w:rPr>
              <w:t>dynamic robustness</w:t>
            </w:r>
            <w:r w:rsidRPr="00066BF0">
              <w:rPr>
                <w:rFonts w:ascii="Times New Roman" w:hAnsi="Times New Roman" w:cs="Times New Roman"/>
                <w:sz w:val="14"/>
                <w:szCs w:val="14"/>
              </w:rPr>
              <w:t xml:space="preserve"> (</w:t>
            </w:r>
            <w:r w:rsidRPr="00066BF0">
              <w:rPr>
                <w:rFonts w:ascii="Times New Roman" w:hAnsi="Times New Roman" w:cs="Times New Roman"/>
                <w:i/>
                <w:sz w:val="14"/>
                <w:szCs w:val="14"/>
              </w:rPr>
              <w:t>flexibility</w:t>
            </w:r>
            <w:r w:rsidRPr="00066BF0">
              <w:rPr>
                <w:rFonts w:ascii="Times New Roman" w:hAnsi="Times New Roman" w:cs="Times New Roman"/>
                <w:sz w:val="14"/>
                <w:szCs w:val="14"/>
              </w:rPr>
              <w:t>) into the adaptation plan itself and its strategies (pathways), as a way of dealing with deep uncertainties about future (climatic and socioeconomic) conditions and changes (</w:t>
            </w:r>
            <w:r w:rsidRPr="00066BF0">
              <w:rPr>
                <w:rFonts w:ascii="Times New Roman" w:hAnsi="Times New Roman" w:cs="Times New Roman"/>
                <w:color w:val="7F7F7F" w:themeColor="text1" w:themeTint="80"/>
                <w:sz w:val="14"/>
                <w:szCs w:val="14"/>
              </w:rPr>
              <w:t>Reeder and Ranger 2011</w:t>
            </w:r>
            <w:r w:rsidRPr="00066BF0">
              <w:rPr>
                <w:rFonts w:ascii="Times New Roman" w:hAnsi="Times New Roman" w:cs="Times New Roman"/>
                <w:sz w:val="14"/>
                <w:szCs w:val="14"/>
              </w:rPr>
              <w:t xml:space="preserve">). Instead of making a potentially irreversible decision now about the ‘best’ measure(s) to manage future risk based on a given scenario (which could lead to </w:t>
            </w:r>
            <w:r w:rsidRPr="00066BF0">
              <w:rPr>
                <w:rFonts w:ascii="Times New Roman" w:hAnsi="Times New Roman" w:cs="Times New Roman"/>
                <w:b/>
                <w:bCs w:val="0"/>
                <w:sz w:val="14"/>
                <w:szCs w:val="14"/>
              </w:rPr>
              <w:t>maladaptation</w:t>
            </w:r>
            <w:r w:rsidRPr="00066BF0">
              <w:rPr>
                <w:rFonts w:ascii="Times New Roman" w:hAnsi="Times New Roman" w:cs="Times New Roman"/>
                <w:sz w:val="14"/>
                <w:szCs w:val="14"/>
              </w:rPr>
              <w:t xml:space="preserve"> if the expected scenario did not occur), the approach encouraged a more flexible stance regarding climate adaptation (</w:t>
            </w:r>
            <w:r w:rsidRPr="00066BF0">
              <w:rPr>
                <w:rFonts w:ascii="Times New Roman" w:hAnsi="Times New Roman" w:cs="Times New Roman"/>
                <w:color w:val="7F7F7F" w:themeColor="text1" w:themeTint="80"/>
                <w:sz w:val="14"/>
                <w:szCs w:val="14"/>
              </w:rPr>
              <w:t>Reeder and Ranger 2011; Ranger et al. 2013</w:t>
            </w:r>
            <w:r w:rsidRPr="00066BF0">
              <w:rPr>
                <w:rFonts w:ascii="Times New Roman" w:hAnsi="Times New Roman" w:cs="Times New Roman"/>
                <w:sz w:val="14"/>
                <w:szCs w:val="14"/>
              </w:rPr>
              <w:t>), since “</w:t>
            </w:r>
            <w:r w:rsidRPr="00066BF0">
              <w:rPr>
                <w:rFonts w:ascii="Times New Roman" w:hAnsi="Times New Roman" w:cs="Times New Roman"/>
                <w:i/>
                <w:sz w:val="14"/>
                <w:szCs w:val="14"/>
              </w:rPr>
              <w:t>decisions are made over time to continuously adapt while maintaining as much flexibility</w:t>
            </w:r>
            <w:r w:rsidRPr="00066BF0">
              <w:rPr>
                <w:rFonts w:ascii="Times New Roman" w:hAnsi="Times New Roman" w:cs="Times New Roman"/>
                <w:sz w:val="14"/>
                <w:szCs w:val="14"/>
              </w:rPr>
              <w:t xml:space="preserve"> </w:t>
            </w:r>
            <w:r w:rsidRPr="00066BF0">
              <w:rPr>
                <w:rFonts w:ascii="Times New Roman" w:hAnsi="Times New Roman" w:cs="Times New Roman"/>
                <w:i/>
                <w:sz w:val="14"/>
                <w:szCs w:val="14"/>
              </w:rPr>
              <w:t>as is desirable about future options</w:t>
            </w:r>
            <w:r w:rsidRPr="00066BF0">
              <w:rPr>
                <w:rFonts w:ascii="Times New Roman" w:hAnsi="Times New Roman" w:cs="Times New Roman"/>
                <w:i/>
                <w:iCs w:val="0"/>
                <w:sz w:val="14"/>
                <w:szCs w:val="14"/>
              </w:rPr>
              <w:t>”</w:t>
            </w:r>
            <w:r w:rsidRPr="00066BF0">
              <w:rPr>
                <w:rFonts w:ascii="Times New Roman" w:hAnsi="Times New Roman" w:cs="Times New Roman"/>
                <w:sz w:val="14"/>
                <w:szCs w:val="14"/>
              </w:rPr>
              <w:t xml:space="preserve"> (</w:t>
            </w:r>
            <w:r w:rsidRPr="00066BF0">
              <w:rPr>
                <w:rFonts w:ascii="Times New Roman" w:hAnsi="Times New Roman" w:cs="Times New Roman"/>
                <w:color w:val="7F7F7F" w:themeColor="text1" w:themeTint="80"/>
                <w:sz w:val="14"/>
                <w:szCs w:val="14"/>
              </w:rPr>
              <w:t>Reeder and Ranger 2011, p.8</w:t>
            </w:r>
            <w:r w:rsidRPr="00066BF0">
              <w:rPr>
                <w:rFonts w:ascii="Times New Roman" w:hAnsi="Times New Roman" w:cs="Times New Roman"/>
                <w:sz w:val="14"/>
                <w:szCs w:val="14"/>
              </w:rPr>
              <w:t xml:space="preserve">). </w:t>
            </w:r>
          </w:p>
          <w:p w14:paraId="6B185EE1"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The APs approach helped to ensure that whatever short- / mid-term measure is taken, it is set within a framework (pathway) that will not result in maladaptation if climate change progresses at a different rate from what was predicted as ‘the most probable future’ when the Plan was designed (</w:t>
            </w:r>
            <w:r w:rsidRPr="00066BF0">
              <w:rPr>
                <w:rFonts w:ascii="Times New Roman" w:hAnsi="Times New Roman" w:cs="Times New Roman"/>
                <w:color w:val="7F7F7F" w:themeColor="text1" w:themeTint="80"/>
                <w:sz w:val="14"/>
                <w:szCs w:val="14"/>
              </w:rPr>
              <w:t>Reeder and Ranger 2011, p.8; Ranger et al. 2013, p.255</w:t>
            </w:r>
            <w:r w:rsidRPr="00066BF0">
              <w:rPr>
                <w:rFonts w:ascii="Times New Roman" w:hAnsi="Times New Roman" w:cs="Times New Roman"/>
                <w:sz w:val="14"/>
                <w:szCs w:val="14"/>
              </w:rPr>
              <w:t xml:space="preserve">). It promotes an adaptive approach regarding climate adaptation that is more cost-effective and avoids </w:t>
            </w:r>
            <w:proofErr w:type="spellStart"/>
            <w:r w:rsidRPr="00066BF0">
              <w:rPr>
                <w:rFonts w:ascii="Times New Roman" w:hAnsi="Times New Roman" w:cs="Times New Roman"/>
                <w:i/>
                <w:sz w:val="14"/>
                <w:szCs w:val="14"/>
              </w:rPr>
              <w:t>maladaptations</w:t>
            </w:r>
            <w:proofErr w:type="spellEnd"/>
            <w:r w:rsidRPr="00066BF0">
              <w:rPr>
                <w:rFonts w:ascii="Times New Roman" w:hAnsi="Times New Roman" w:cs="Times New Roman"/>
                <w:sz w:val="14"/>
                <w:szCs w:val="14"/>
              </w:rPr>
              <w:t xml:space="preserve"> since the outset (</w:t>
            </w:r>
            <w:r w:rsidRPr="00066BF0">
              <w:rPr>
                <w:rFonts w:ascii="Times New Roman" w:hAnsi="Times New Roman" w:cs="Times New Roman"/>
                <w:color w:val="7F7F7F" w:themeColor="text1" w:themeTint="80"/>
                <w:sz w:val="14"/>
                <w:szCs w:val="14"/>
              </w:rPr>
              <w:t xml:space="preserve">Reeder and Ranger 2011, p.13; </w:t>
            </w:r>
            <w:proofErr w:type="spellStart"/>
            <w:r w:rsidRPr="00066BF0">
              <w:rPr>
                <w:rFonts w:ascii="Times New Roman" w:hAnsi="Times New Roman" w:cs="Times New Roman"/>
                <w:color w:val="7F7F7F" w:themeColor="text1" w:themeTint="80"/>
                <w:sz w:val="14"/>
                <w:szCs w:val="14"/>
              </w:rPr>
              <w:t>Jeuken</w:t>
            </w:r>
            <w:proofErr w:type="spellEnd"/>
            <w:r w:rsidRPr="00066BF0">
              <w:rPr>
                <w:rFonts w:ascii="Times New Roman" w:hAnsi="Times New Roman" w:cs="Times New Roman"/>
                <w:color w:val="7F7F7F" w:themeColor="text1" w:themeTint="80"/>
                <w:sz w:val="14"/>
                <w:szCs w:val="14"/>
              </w:rPr>
              <w:t xml:space="preserve"> and Reeder 2011, p.4</w:t>
            </w:r>
            <w:r w:rsidRPr="00066BF0">
              <w:rPr>
                <w:rFonts w:ascii="Times New Roman" w:hAnsi="Times New Roman" w:cs="Times New Roman"/>
                <w:sz w:val="14"/>
                <w:szCs w:val="14"/>
              </w:rPr>
              <w:t>).</w:t>
            </w:r>
          </w:p>
        </w:tc>
        <w:tc>
          <w:tcPr>
            <w:tcW w:w="708" w:type="dxa"/>
            <w:tcBorders>
              <w:left w:val="nil"/>
              <w:right w:val="nil"/>
            </w:tcBorders>
          </w:tcPr>
          <w:p w14:paraId="20FCC5F7" w14:textId="77777777" w:rsidR="00ED6053" w:rsidRPr="00066BF0" w:rsidRDefault="00ED6053" w:rsidP="00FF4124">
            <w:pPr>
              <w:pStyle w:val="CORPOTEXTO"/>
              <w:spacing w:after="60"/>
              <w:jc w:val="left"/>
              <w:rPr>
                <w:bCs/>
                <w:sz w:val="14"/>
                <w:szCs w:val="14"/>
              </w:rPr>
            </w:pPr>
            <w:r w:rsidRPr="00066BF0">
              <w:rPr>
                <w:bCs/>
                <w:sz w:val="14"/>
                <w:szCs w:val="14"/>
              </w:rPr>
              <w:t>TE2100</w:t>
            </w:r>
          </w:p>
        </w:tc>
        <w:tc>
          <w:tcPr>
            <w:tcW w:w="792" w:type="dxa"/>
            <w:tcBorders>
              <w:left w:val="nil"/>
            </w:tcBorders>
          </w:tcPr>
          <w:p w14:paraId="1C4361AF"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K3, flexibility / dynamic robustness</w:t>
            </w:r>
          </w:p>
        </w:tc>
      </w:tr>
      <w:tr w:rsidR="00ED6053" w:rsidRPr="00066BF0" w14:paraId="21839643" w14:textId="77777777" w:rsidTr="00FF4124">
        <w:tc>
          <w:tcPr>
            <w:tcW w:w="8364" w:type="dxa"/>
            <w:tcBorders>
              <w:left w:val="nil"/>
              <w:right w:val="nil"/>
            </w:tcBorders>
          </w:tcPr>
          <w:p w14:paraId="11070251" w14:textId="77777777" w:rsidR="00ED6053" w:rsidRPr="00066BF0" w:rsidRDefault="00ED6053" w:rsidP="00FF4124">
            <w:pPr>
              <w:pStyle w:val="CORPOTEXTO"/>
              <w:jc w:val="left"/>
              <w:rPr>
                <w:rFonts w:eastAsia="Frutiger-Roman"/>
                <w:sz w:val="14"/>
                <w:szCs w:val="14"/>
              </w:rPr>
            </w:pPr>
            <w:r w:rsidRPr="00066BF0">
              <w:rPr>
                <w:sz w:val="14"/>
                <w:szCs w:val="14"/>
              </w:rPr>
              <w:t>The Route-map approach provided a way forward to tackle decision-making in the face of incomplete or ‘imperfect knowledge’ – i.e. deep uncertainty about future conditions and changes (</w:t>
            </w:r>
            <w:r w:rsidRPr="00066BF0">
              <w:rPr>
                <w:color w:val="7F7F7F" w:themeColor="text1" w:themeTint="80"/>
                <w:sz w:val="14"/>
                <w:szCs w:val="14"/>
              </w:rPr>
              <w:t>Reeder and Ranger 2011, p.13</w:t>
            </w:r>
            <w:r w:rsidRPr="00066BF0">
              <w:rPr>
                <w:sz w:val="14"/>
                <w:szCs w:val="14"/>
              </w:rPr>
              <w:t xml:space="preserve">). </w:t>
            </w:r>
            <w:r w:rsidRPr="00066BF0">
              <w:rPr>
                <w:rFonts w:eastAsia="Frutiger-Roman"/>
                <w:sz w:val="14"/>
                <w:szCs w:val="14"/>
              </w:rPr>
              <w:t xml:space="preserve">The </w:t>
            </w:r>
            <w:r w:rsidRPr="00066BF0">
              <w:rPr>
                <w:sz w:val="14"/>
                <w:szCs w:val="14"/>
              </w:rPr>
              <w:t xml:space="preserve">approach for developing the Plan explicitly addressed uncertainties around the projection of future climate, physical and socioeconomic changes in the TE </w:t>
            </w:r>
            <w:r w:rsidRPr="00066BF0">
              <w:rPr>
                <w:rFonts w:eastAsia="Frutiger-Roman"/>
                <w:sz w:val="14"/>
                <w:szCs w:val="14"/>
              </w:rPr>
              <w:t>(</w:t>
            </w:r>
            <w:r w:rsidRPr="00066BF0">
              <w:rPr>
                <w:rFonts w:eastAsia="Frutiger-Roman"/>
                <w:color w:val="7F7F7F" w:themeColor="text1" w:themeTint="80"/>
                <w:sz w:val="14"/>
                <w:szCs w:val="14"/>
              </w:rPr>
              <w:t>Lowe et al. 2009, p.86</w:t>
            </w:r>
            <w:r w:rsidRPr="00066BF0">
              <w:rPr>
                <w:rFonts w:eastAsia="Frutiger-Roman"/>
                <w:sz w:val="14"/>
                <w:szCs w:val="14"/>
              </w:rPr>
              <w:t>). The adaptive planning approach of the TE2100 is deemed a sensible way of moving forward in face of uncertainties about future conditions and changing risk, and it can cope with a ‘</w:t>
            </w:r>
            <w:r w:rsidRPr="00066BF0">
              <w:rPr>
                <w:rFonts w:eastAsia="Frutiger-Roman"/>
                <w:i/>
                <w:iCs/>
                <w:sz w:val="14"/>
                <w:szCs w:val="14"/>
              </w:rPr>
              <w:t>large range of change</w:t>
            </w:r>
            <w:r w:rsidRPr="00066BF0">
              <w:rPr>
                <w:rFonts w:eastAsia="Frutiger-Roman"/>
                <w:sz w:val="14"/>
                <w:szCs w:val="14"/>
              </w:rPr>
              <w:t>’ if needed (</w:t>
            </w:r>
            <w:r w:rsidRPr="00066BF0">
              <w:rPr>
                <w:rFonts w:eastAsia="Frutiger-Roman"/>
                <w:color w:val="7F7F7F" w:themeColor="text1" w:themeTint="80"/>
                <w:sz w:val="14"/>
                <w:szCs w:val="14"/>
              </w:rPr>
              <w:t>Lowe et al. 2009, p. 85</w:t>
            </w:r>
            <w:r w:rsidRPr="00066BF0">
              <w:rPr>
                <w:rFonts w:eastAsia="Frutiger-Roman"/>
                <w:sz w:val="14"/>
                <w:szCs w:val="14"/>
              </w:rPr>
              <w:t>).</w:t>
            </w:r>
          </w:p>
        </w:tc>
        <w:tc>
          <w:tcPr>
            <w:tcW w:w="708" w:type="dxa"/>
            <w:tcBorders>
              <w:left w:val="nil"/>
              <w:right w:val="nil"/>
            </w:tcBorders>
          </w:tcPr>
          <w:p w14:paraId="54F09193" w14:textId="77777777" w:rsidR="00ED6053" w:rsidRPr="00066BF0" w:rsidRDefault="00ED6053" w:rsidP="00FF4124">
            <w:pPr>
              <w:pStyle w:val="CORPOTEXTO"/>
              <w:spacing w:after="60"/>
              <w:jc w:val="left"/>
              <w:rPr>
                <w:bCs/>
                <w:sz w:val="14"/>
                <w:szCs w:val="14"/>
              </w:rPr>
            </w:pPr>
            <w:r w:rsidRPr="00066BF0">
              <w:rPr>
                <w:bCs/>
                <w:sz w:val="14"/>
                <w:szCs w:val="14"/>
              </w:rPr>
              <w:t>TE2100</w:t>
            </w:r>
          </w:p>
        </w:tc>
        <w:tc>
          <w:tcPr>
            <w:tcW w:w="792" w:type="dxa"/>
            <w:tcBorders>
              <w:left w:val="nil"/>
            </w:tcBorders>
          </w:tcPr>
          <w:p w14:paraId="2C0D9E6D"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AP&amp;M approach; K3; K1</w:t>
            </w:r>
          </w:p>
        </w:tc>
      </w:tr>
      <w:tr w:rsidR="00ED6053" w:rsidRPr="00066BF0" w14:paraId="1CCAA032" w14:textId="77777777" w:rsidTr="00FF4124">
        <w:tc>
          <w:tcPr>
            <w:tcW w:w="8364" w:type="dxa"/>
            <w:tcBorders>
              <w:left w:val="nil"/>
              <w:right w:val="nil"/>
            </w:tcBorders>
          </w:tcPr>
          <w:p w14:paraId="502859F0" w14:textId="77777777" w:rsidR="00ED6053" w:rsidRPr="00066BF0" w:rsidRDefault="00ED6053" w:rsidP="00FF4124">
            <w:pPr>
              <w:pStyle w:val="CORPOTEXTO"/>
              <w:jc w:val="left"/>
              <w:rPr>
                <w:sz w:val="14"/>
                <w:szCs w:val="14"/>
              </w:rPr>
            </w:pPr>
            <w:r w:rsidRPr="00066BF0">
              <w:rPr>
                <w:sz w:val="14"/>
                <w:szCs w:val="14"/>
              </w:rPr>
              <w:t>APs approach provided clear information on the timing and effectiveness of measures, by assessing under what conditions a measure could fail, and on what timescale (</w:t>
            </w:r>
            <w:r w:rsidRPr="00066BF0">
              <w:rPr>
                <w:color w:val="7F7F7F" w:themeColor="text1" w:themeTint="80"/>
                <w:sz w:val="14"/>
                <w:szCs w:val="14"/>
              </w:rPr>
              <w:t>Ranger et al. 2013, p.255</w:t>
            </w:r>
            <w:r w:rsidRPr="00066BF0">
              <w:rPr>
                <w:sz w:val="14"/>
                <w:szCs w:val="14"/>
              </w:rPr>
              <w:t>).</w:t>
            </w:r>
          </w:p>
        </w:tc>
        <w:tc>
          <w:tcPr>
            <w:tcW w:w="708" w:type="dxa"/>
            <w:tcBorders>
              <w:left w:val="nil"/>
              <w:right w:val="nil"/>
            </w:tcBorders>
          </w:tcPr>
          <w:p w14:paraId="370F1E9C" w14:textId="77777777" w:rsidR="00ED6053" w:rsidRPr="00066BF0" w:rsidRDefault="00ED6053" w:rsidP="00FF4124">
            <w:pPr>
              <w:pStyle w:val="CORPOTEXTO"/>
              <w:spacing w:after="60"/>
              <w:jc w:val="left"/>
              <w:rPr>
                <w:bCs/>
                <w:sz w:val="14"/>
                <w:szCs w:val="14"/>
              </w:rPr>
            </w:pPr>
            <w:r w:rsidRPr="00066BF0">
              <w:rPr>
                <w:bCs/>
                <w:sz w:val="14"/>
                <w:szCs w:val="14"/>
              </w:rPr>
              <w:t>TE2100</w:t>
            </w:r>
          </w:p>
        </w:tc>
        <w:tc>
          <w:tcPr>
            <w:tcW w:w="792" w:type="dxa"/>
            <w:tcBorders>
              <w:left w:val="nil"/>
            </w:tcBorders>
          </w:tcPr>
          <w:p w14:paraId="5A161904"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K2</w:t>
            </w:r>
          </w:p>
        </w:tc>
      </w:tr>
      <w:tr w:rsidR="00ED6053" w:rsidRPr="00066BF0" w14:paraId="17D01FA4" w14:textId="77777777" w:rsidTr="00FF4124">
        <w:tc>
          <w:tcPr>
            <w:tcW w:w="8364" w:type="dxa"/>
            <w:tcBorders>
              <w:left w:val="nil"/>
              <w:right w:val="nil"/>
            </w:tcBorders>
          </w:tcPr>
          <w:p w14:paraId="24706DAA" w14:textId="77777777" w:rsidR="00ED6053" w:rsidRPr="00066BF0" w:rsidRDefault="00ED6053" w:rsidP="00FF4124">
            <w:pPr>
              <w:pStyle w:val="CORPOTEXTO"/>
              <w:rPr>
                <w:color w:val="0070C0"/>
                <w:sz w:val="14"/>
                <w:szCs w:val="14"/>
              </w:rPr>
            </w:pPr>
            <w:r w:rsidRPr="00066BF0">
              <w:rPr>
                <w:sz w:val="14"/>
                <w:szCs w:val="14"/>
              </w:rPr>
              <w:t xml:space="preserve">The Route-map approach reduces the dependence of decisions on any climate scenario, therefore, stimulates a </w:t>
            </w:r>
            <w:r w:rsidRPr="00066BF0">
              <w:rPr>
                <w:i/>
                <w:iCs/>
                <w:sz w:val="14"/>
                <w:szCs w:val="14"/>
              </w:rPr>
              <w:t>more robust planning</w:t>
            </w:r>
            <w:r w:rsidRPr="00066BF0">
              <w:rPr>
                <w:sz w:val="14"/>
                <w:szCs w:val="14"/>
              </w:rPr>
              <w:t xml:space="preserve"> (</w:t>
            </w:r>
            <w:r w:rsidRPr="00066BF0">
              <w:rPr>
                <w:color w:val="7F7F7F" w:themeColor="text1" w:themeTint="80"/>
                <w:sz w:val="14"/>
                <w:szCs w:val="14"/>
              </w:rPr>
              <w:t xml:space="preserve">Reeder and Ranger 2011; </w:t>
            </w:r>
            <w:proofErr w:type="spellStart"/>
            <w:r w:rsidRPr="00066BF0">
              <w:rPr>
                <w:color w:val="7F7F7F" w:themeColor="text1" w:themeTint="80"/>
                <w:sz w:val="14"/>
                <w:szCs w:val="14"/>
              </w:rPr>
              <w:t>Jeuken</w:t>
            </w:r>
            <w:proofErr w:type="spellEnd"/>
            <w:r w:rsidRPr="00066BF0">
              <w:rPr>
                <w:color w:val="7F7F7F" w:themeColor="text1" w:themeTint="80"/>
                <w:sz w:val="14"/>
                <w:szCs w:val="14"/>
              </w:rPr>
              <w:t xml:space="preserve"> and Reeder 2011</w:t>
            </w:r>
            <w:r w:rsidRPr="00066BF0">
              <w:rPr>
                <w:sz w:val="14"/>
                <w:szCs w:val="14"/>
              </w:rPr>
              <w:t>). The approach, and the resulting plan, are more ‘</w:t>
            </w:r>
            <w:r w:rsidRPr="00066BF0">
              <w:rPr>
                <w:i/>
                <w:iCs/>
                <w:sz w:val="14"/>
                <w:szCs w:val="14"/>
              </w:rPr>
              <w:t>scenario neutral</w:t>
            </w:r>
            <w:r w:rsidRPr="00066BF0">
              <w:rPr>
                <w:sz w:val="14"/>
                <w:szCs w:val="14"/>
              </w:rPr>
              <w:t>’: decisions are not so dependent on information about the likelihood of different climate scenarios (</w:t>
            </w:r>
            <w:r w:rsidRPr="00066BF0">
              <w:rPr>
                <w:color w:val="7F7F7F" w:themeColor="text1" w:themeTint="80"/>
                <w:sz w:val="14"/>
                <w:szCs w:val="14"/>
              </w:rPr>
              <w:t>Reeder and Ranger 2011, p.9; Ranger et al. 2013, p.254</w:t>
            </w:r>
            <w:r w:rsidRPr="00066BF0">
              <w:rPr>
                <w:sz w:val="14"/>
                <w:szCs w:val="14"/>
              </w:rPr>
              <w:t>).</w:t>
            </w:r>
            <w:r w:rsidRPr="00066BF0">
              <w:rPr>
                <w:color w:val="0070C0"/>
                <w:sz w:val="14"/>
                <w:szCs w:val="14"/>
              </w:rPr>
              <w:t xml:space="preserve"> </w:t>
            </w:r>
          </w:p>
        </w:tc>
        <w:tc>
          <w:tcPr>
            <w:tcW w:w="708" w:type="dxa"/>
            <w:tcBorders>
              <w:left w:val="nil"/>
              <w:right w:val="nil"/>
            </w:tcBorders>
          </w:tcPr>
          <w:p w14:paraId="082BE1E3" w14:textId="77777777" w:rsidR="00ED6053" w:rsidRPr="00066BF0" w:rsidRDefault="00ED6053" w:rsidP="00FF4124">
            <w:pPr>
              <w:pStyle w:val="CORPOTEXTO"/>
              <w:spacing w:after="60"/>
              <w:jc w:val="left"/>
              <w:rPr>
                <w:bCs/>
                <w:sz w:val="14"/>
                <w:szCs w:val="14"/>
              </w:rPr>
            </w:pPr>
            <w:r w:rsidRPr="00066BF0">
              <w:rPr>
                <w:bCs/>
                <w:sz w:val="14"/>
                <w:szCs w:val="14"/>
              </w:rPr>
              <w:t>TE2100</w:t>
            </w:r>
          </w:p>
        </w:tc>
        <w:tc>
          <w:tcPr>
            <w:tcW w:w="792" w:type="dxa"/>
            <w:tcBorders>
              <w:left w:val="nil"/>
            </w:tcBorders>
          </w:tcPr>
          <w:p w14:paraId="16856DC0"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K1</w:t>
            </w:r>
          </w:p>
        </w:tc>
      </w:tr>
      <w:tr w:rsidR="00ED6053" w:rsidRPr="00066BF0" w14:paraId="3F3F1D2D" w14:textId="77777777" w:rsidTr="00FF4124">
        <w:tc>
          <w:tcPr>
            <w:tcW w:w="8364" w:type="dxa"/>
            <w:tcBorders>
              <w:left w:val="nil"/>
              <w:right w:val="nil"/>
            </w:tcBorders>
          </w:tcPr>
          <w:p w14:paraId="265A9598" w14:textId="77777777" w:rsidR="00ED6053" w:rsidRPr="00066BF0" w:rsidRDefault="00ED6053" w:rsidP="00FF4124">
            <w:pPr>
              <w:pStyle w:val="CORPOTEXTO"/>
              <w:jc w:val="left"/>
              <w:rPr>
                <w:sz w:val="14"/>
                <w:szCs w:val="14"/>
              </w:rPr>
            </w:pPr>
            <w:r w:rsidRPr="00066BF0">
              <w:rPr>
                <w:sz w:val="14"/>
                <w:szCs w:val="14"/>
              </w:rPr>
              <w:t>In APs approach, adaptation over time is not only determined by what is anticipated now, but also by what will be observed and learnt as time unfolds (</w:t>
            </w:r>
            <w:r w:rsidRPr="00066BF0">
              <w:rPr>
                <w:color w:val="7F7F7F" w:themeColor="text1" w:themeTint="80"/>
                <w:sz w:val="14"/>
                <w:szCs w:val="14"/>
              </w:rPr>
              <w:t>Ranger et al. 2013, p.255</w:t>
            </w:r>
            <w:r w:rsidRPr="00066BF0">
              <w:rPr>
                <w:sz w:val="14"/>
                <w:szCs w:val="14"/>
              </w:rPr>
              <w:t xml:space="preserve">). </w:t>
            </w:r>
          </w:p>
        </w:tc>
        <w:tc>
          <w:tcPr>
            <w:tcW w:w="708" w:type="dxa"/>
            <w:tcBorders>
              <w:left w:val="nil"/>
              <w:right w:val="nil"/>
            </w:tcBorders>
          </w:tcPr>
          <w:p w14:paraId="7C29B8D7" w14:textId="77777777" w:rsidR="00ED6053" w:rsidRPr="00066BF0" w:rsidRDefault="00ED6053" w:rsidP="00FF4124">
            <w:pPr>
              <w:pStyle w:val="CORPOTEXTO"/>
              <w:spacing w:after="60"/>
              <w:jc w:val="left"/>
              <w:rPr>
                <w:bCs/>
                <w:sz w:val="14"/>
                <w:szCs w:val="14"/>
              </w:rPr>
            </w:pPr>
            <w:r w:rsidRPr="00066BF0">
              <w:rPr>
                <w:bCs/>
                <w:sz w:val="14"/>
                <w:szCs w:val="14"/>
              </w:rPr>
              <w:t>TE2100</w:t>
            </w:r>
          </w:p>
        </w:tc>
        <w:tc>
          <w:tcPr>
            <w:tcW w:w="792" w:type="dxa"/>
            <w:tcBorders>
              <w:left w:val="nil"/>
            </w:tcBorders>
          </w:tcPr>
          <w:p w14:paraId="67A4FB07"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K4</w:t>
            </w:r>
          </w:p>
        </w:tc>
      </w:tr>
      <w:tr w:rsidR="00ED6053" w:rsidRPr="00066BF0" w14:paraId="00E450E5" w14:textId="77777777" w:rsidTr="00FF4124">
        <w:tc>
          <w:tcPr>
            <w:tcW w:w="8364" w:type="dxa"/>
            <w:tcBorders>
              <w:left w:val="nil"/>
              <w:right w:val="nil"/>
            </w:tcBorders>
          </w:tcPr>
          <w:p w14:paraId="734F14D2" w14:textId="77777777" w:rsidR="00ED6053" w:rsidRPr="00066BF0" w:rsidRDefault="00ED6053" w:rsidP="00FF4124">
            <w:pPr>
              <w:pStyle w:val="CORPOTEXTO"/>
              <w:jc w:val="left"/>
              <w:rPr>
                <w:sz w:val="14"/>
                <w:szCs w:val="14"/>
              </w:rPr>
            </w:pPr>
            <w:r w:rsidRPr="00066BF0">
              <w:rPr>
                <w:sz w:val="14"/>
                <w:szCs w:val="14"/>
              </w:rPr>
              <w:t>APs approach helps in identifying low-regret measures and opportunities, but also potential lock-ins (</w:t>
            </w:r>
            <w:r w:rsidRPr="00066BF0">
              <w:rPr>
                <w:color w:val="7F7F7F" w:themeColor="text1" w:themeTint="80"/>
                <w:sz w:val="14"/>
                <w:szCs w:val="14"/>
              </w:rPr>
              <w:t>Ranger et al. 2013, p.255</w:t>
            </w:r>
            <w:r w:rsidRPr="00066BF0">
              <w:rPr>
                <w:sz w:val="14"/>
                <w:szCs w:val="14"/>
              </w:rPr>
              <w:t xml:space="preserve">).  </w:t>
            </w:r>
          </w:p>
        </w:tc>
        <w:tc>
          <w:tcPr>
            <w:tcW w:w="708" w:type="dxa"/>
            <w:tcBorders>
              <w:left w:val="nil"/>
              <w:right w:val="nil"/>
            </w:tcBorders>
          </w:tcPr>
          <w:p w14:paraId="3BDEB573" w14:textId="77777777" w:rsidR="00ED6053" w:rsidRPr="00066BF0" w:rsidRDefault="00ED6053" w:rsidP="00FF4124">
            <w:pPr>
              <w:pStyle w:val="CORPOTEXTO"/>
              <w:spacing w:after="60"/>
              <w:jc w:val="left"/>
              <w:rPr>
                <w:bCs/>
                <w:sz w:val="14"/>
                <w:szCs w:val="14"/>
              </w:rPr>
            </w:pPr>
            <w:proofErr w:type="gramStart"/>
            <w:r w:rsidRPr="00066BF0">
              <w:rPr>
                <w:bCs/>
                <w:sz w:val="14"/>
                <w:szCs w:val="14"/>
              </w:rPr>
              <w:t>TE2100;</w:t>
            </w:r>
            <w:proofErr w:type="gramEnd"/>
          </w:p>
          <w:p w14:paraId="69E3CBAD" w14:textId="77777777" w:rsidR="00ED6053" w:rsidRPr="00066BF0" w:rsidRDefault="00ED6053" w:rsidP="00FF4124">
            <w:pPr>
              <w:pStyle w:val="CORPOTEXTO"/>
              <w:spacing w:after="60"/>
              <w:jc w:val="left"/>
              <w:rPr>
                <w:bCs/>
                <w:sz w:val="14"/>
                <w:szCs w:val="14"/>
              </w:rPr>
            </w:pPr>
            <w:r w:rsidRPr="00066BF0">
              <w:rPr>
                <w:bCs/>
                <w:sz w:val="14"/>
                <w:szCs w:val="14"/>
              </w:rPr>
              <w:t>DP2014</w:t>
            </w:r>
          </w:p>
        </w:tc>
        <w:tc>
          <w:tcPr>
            <w:tcW w:w="792" w:type="dxa"/>
            <w:tcBorders>
              <w:left w:val="nil"/>
            </w:tcBorders>
          </w:tcPr>
          <w:p w14:paraId="63098FF3"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 xml:space="preserve">K3 sub-elements </w:t>
            </w:r>
          </w:p>
        </w:tc>
      </w:tr>
      <w:tr w:rsidR="00ED6053" w:rsidRPr="00066BF0" w14:paraId="596B9356" w14:textId="77777777" w:rsidTr="00FF4124">
        <w:tc>
          <w:tcPr>
            <w:tcW w:w="8364" w:type="dxa"/>
            <w:tcBorders>
              <w:left w:val="nil"/>
              <w:right w:val="nil"/>
            </w:tcBorders>
          </w:tcPr>
          <w:p w14:paraId="52001F15"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The ‘decision-centred’ planning process, including the Route-map approach, did not take much time nor intensive studies, it helped to get an idea of the adaptation needs and types of measures and options that are relevant, and identify information gaps; and the exercise can be repeated several times, with growing detail (</w:t>
            </w:r>
            <w:r w:rsidRPr="00066BF0">
              <w:rPr>
                <w:rFonts w:ascii="Times New Roman" w:hAnsi="Times New Roman" w:cs="Times New Roman"/>
                <w:color w:val="7F7F7F" w:themeColor="text1" w:themeTint="80"/>
                <w:sz w:val="14"/>
                <w:szCs w:val="14"/>
              </w:rPr>
              <w:t>Reeder and Ranger 2011</w:t>
            </w:r>
            <w:r w:rsidRPr="00066BF0">
              <w:rPr>
                <w:rFonts w:ascii="Times New Roman" w:hAnsi="Times New Roman" w:cs="Times New Roman"/>
                <w:sz w:val="14"/>
                <w:szCs w:val="14"/>
              </w:rPr>
              <w:t>).</w:t>
            </w:r>
          </w:p>
        </w:tc>
        <w:tc>
          <w:tcPr>
            <w:tcW w:w="708" w:type="dxa"/>
            <w:tcBorders>
              <w:left w:val="nil"/>
              <w:right w:val="nil"/>
            </w:tcBorders>
          </w:tcPr>
          <w:p w14:paraId="69B543D1" w14:textId="77777777" w:rsidR="00ED6053" w:rsidRPr="00066BF0" w:rsidRDefault="00ED6053" w:rsidP="00FF4124">
            <w:pPr>
              <w:pStyle w:val="CORPOTEXTO"/>
              <w:spacing w:after="60"/>
              <w:jc w:val="left"/>
              <w:rPr>
                <w:bCs/>
                <w:sz w:val="14"/>
                <w:szCs w:val="14"/>
              </w:rPr>
            </w:pPr>
            <w:r w:rsidRPr="00066BF0">
              <w:rPr>
                <w:bCs/>
                <w:sz w:val="14"/>
                <w:szCs w:val="14"/>
              </w:rPr>
              <w:t>TE2100</w:t>
            </w:r>
          </w:p>
        </w:tc>
        <w:tc>
          <w:tcPr>
            <w:tcW w:w="792" w:type="dxa"/>
            <w:tcBorders>
              <w:left w:val="nil"/>
            </w:tcBorders>
          </w:tcPr>
          <w:p w14:paraId="69F79066"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K5</w:t>
            </w:r>
          </w:p>
        </w:tc>
      </w:tr>
      <w:tr w:rsidR="00ED6053" w:rsidRPr="00066BF0" w14:paraId="5973856E" w14:textId="77777777" w:rsidTr="00FF4124">
        <w:tc>
          <w:tcPr>
            <w:tcW w:w="8364" w:type="dxa"/>
            <w:tcBorders>
              <w:left w:val="nil"/>
              <w:right w:val="nil"/>
            </w:tcBorders>
          </w:tcPr>
          <w:p w14:paraId="0F0034DE" w14:textId="77777777" w:rsidR="00ED6053" w:rsidRPr="00066BF0" w:rsidRDefault="00ED6053" w:rsidP="00FF4124">
            <w:pPr>
              <w:pStyle w:val="CORPOTEXTO"/>
              <w:jc w:val="left"/>
              <w:rPr>
                <w:sz w:val="14"/>
                <w:szCs w:val="14"/>
              </w:rPr>
            </w:pPr>
            <w:r w:rsidRPr="00066BF0">
              <w:rPr>
                <w:sz w:val="14"/>
                <w:szCs w:val="14"/>
              </w:rPr>
              <w:t xml:space="preserve">Clear communication of Project outcomes, e.g. the draft and final Plan, the list of actions needed to undertake it, information on the works needed, </w:t>
            </w:r>
            <w:proofErr w:type="spellStart"/>
            <w:r w:rsidRPr="00066BF0">
              <w:rPr>
                <w:sz w:val="14"/>
                <w:szCs w:val="14"/>
              </w:rPr>
              <w:t>defense</w:t>
            </w:r>
            <w:proofErr w:type="spellEnd"/>
            <w:r w:rsidRPr="00066BF0">
              <w:rPr>
                <w:sz w:val="14"/>
                <w:szCs w:val="14"/>
              </w:rPr>
              <w:t xml:space="preserve"> crest levels, etc.) (</w:t>
            </w:r>
            <w:r w:rsidRPr="00066BF0">
              <w:rPr>
                <w:color w:val="7F7F7F" w:themeColor="text1" w:themeTint="80"/>
                <w:sz w:val="14"/>
                <w:szCs w:val="14"/>
              </w:rPr>
              <w:t>Ramsbottom and Sheppard 2017</w:t>
            </w:r>
            <w:r w:rsidRPr="00066BF0">
              <w:rPr>
                <w:sz w:val="14"/>
                <w:szCs w:val="14"/>
              </w:rPr>
              <w:t xml:space="preserve">). </w:t>
            </w:r>
          </w:p>
        </w:tc>
        <w:tc>
          <w:tcPr>
            <w:tcW w:w="708" w:type="dxa"/>
            <w:tcBorders>
              <w:left w:val="nil"/>
              <w:right w:val="nil"/>
            </w:tcBorders>
          </w:tcPr>
          <w:p w14:paraId="15F8EE56" w14:textId="77777777" w:rsidR="00ED6053" w:rsidRPr="00066BF0" w:rsidRDefault="00ED6053" w:rsidP="00FF4124">
            <w:pPr>
              <w:pStyle w:val="CORPOTEXTO"/>
              <w:spacing w:after="60"/>
              <w:jc w:val="left"/>
              <w:rPr>
                <w:bCs/>
                <w:sz w:val="14"/>
                <w:szCs w:val="14"/>
              </w:rPr>
            </w:pPr>
            <w:r w:rsidRPr="00066BF0">
              <w:rPr>
                <w:bCs/>
                <w:sz w:val="14"/>
                <w:szCs w:val="14"/>
              </w:rPr>
              <w:t>TE2100</w:t>
            </w:r>
          </w:p>
        </w:tc>
        <w:tc>
          <w:tcPr>
            <w:tcW w:w="792" w:type="dxa"/>
            <w:tcBorders>
              <w:left w:val="nil"/>
            </w:tcBorders>
          </w:tcPr>
          <w:p w14:paraId="09DC09E0" w14:textId="77777777" w:rsidR="00ED6053" w:rsidRPr="00066BF0" w:rsidRDefault="00ED6053" w:rsidP="00FF4124">
            <w:pPr>
              <w:pStyle w:val="tablecontenttext"/>
              <w:spacing w:line="240" w:lineRule="auto"/>
              <w:rPr>
                <w:rFonts w:ascii="Times New Roman" w:hAnsi="Times New Roman" w:cs="Times New Roman"/>
                <w:sz w:val="14"/>
                <w:szCs w:val="14"/>
              </w:rPr>
            </w:pPr>
            <w:r w:rsidRPr="00066BF0">
              <w:rPr>
                <w:rFonts w:ascii="Times New Roman" w:hAnsi="Times New Roman" w:cs="Times New Roman"/>
                <w:sz w:val="14"/>
                <w:szCs w:val="14"/>
              </w:rPr>
              <w:t>K5</w:t>
            </w:r>
          </w:p>
        </w:tc>
      </w:tr>
      <w:tr w:rsidR="00ED6053" w:rsidRPr="00066BF0" w14:paraId="354CECE8" w14:textId="77777777" w:rsidTr="00FF4124">
        <w:tc>
          <w:tcPr>
            <w:tcW w:w="8364" w:type="dxa"/>
            <w:tcBorders>
              <w:left w:val="nil"/>
              <w:right w:val="nil"/>
            </w:tcBorders>
          </w:tcPr>
          <w:p w14:paraId="3FD2A97F" w14:textId="77777777" w:rsidR="00ED6053" w:rsidRPr="00066BF0" w:rsidRDefault="00ED6053" w:rsidP="00FF4124">
            <w:pPr>
              <w:pStyle w:val="CORPOTEXTO"/>
              <w:jc w:val="left"/>
              <w:rPr>
                <w:sz w:val="14"/>
                <w:szCs w:val="14"/>
              </w:rPr>
            </w:pPr>
            <w:r w:rsidRPr="00066BF0">
              <w:rPr>
                <w:sz w:val="14"/>
                <w:szCs w:val="14"/>
              </w:rPr>
              <w:t>Involvement</w:t>
            </w:r>
            <w:r w:rsidRPr="00066BF0">
              <w:rPr>
                <w:i/>
                <w:sz w:val="14"/>
                <w:szCs w:val="14"/>
              </w:rPr>
              <w:t xml:space="preserve"> </w:t>
            </w:r>
            <w:r w:rsidRPr="00066BF0">
              <w:rPr>
                <w:sz w:val="14"/>
                <w:szCs w:val="14"/>
              </w:rPr>
              <w:t xml:space="preserve">of stakeholders from the TE and London was crucial for the success of the TE2100, especially to ensure that the final Plan was compatible (as far as possible) with different interests concentrated in the TE. The ongoing dialogue with a broad range of actors and sectors, alongside with the large study-program undertaken, allowed a deeper understanding of issues that were critical to develop and assess the pathways </w:t>
            </w:r>
            <w:r w:rsidRPr="00066BF0">
              <w:rPr>
                <w:rFonts w:eastAsia="Frutiger-Roman"/>
                <w:sz w:val="14"/>
                <w:szCs w:val="14"/>
              </w:rPr>
              <w:t>(</w:t>
            </w:r>
            <w:r w:rsidRPr="00066BF0">
              <w:rPr>
                <w:rFonts w:eastAsia="Frutiger-Roman"/>
                <w:color w:val="7F7F7F" w:themeColor="text1" w:themeTint="80"/>
                <w:sz w:val="14"/>
                <w:szCs w:val="14"/>
              </w:rPr>
              <w:t>Lowe et al. 2009, p.87</w:t>
            </w:r>
            <w:r w:rsidRPr="00066BF0">
              <w:rPr>
                <w:rFonts w:eastAsia="Frutiger-Roman"/>
                <w:sz w:val="14"/>
                <w:szCs w:val="14"/>
              </w:rPr>
              <w:t xml:space="preserve">). </w:t>
            </w:r>
          </w:p>
        </w:tc>
        <w:tc>
          <w:tcPr>
            <w:tcW w:w="708" w:type="dxa"/>
            <w:tcBorders>
              <w:left w:val="nil"/>
              <w:right w:val="nil"/>
            </w:tcBorders>
          </w:tcPr>
          <w:p w14:paraId="0FBD537E" w14:textId="77777777" w:rsidR="00ED6053" w:rsidRPr="00066BF0" w:rsidRDefault="00ED6053" w:rsidP="00FF4124">
            <w:pPr>
              <w:pStyle w:val="CORPOTEXTO"/>
              <w:spacing w:after="60"/>
              <w:rPr>
                <w:bCs/>
                <w:sz w:val="14"/>
                <w:szCs w:val="14"/>
              </w:rPr>
            </w:pPr>
            <w:r w:rsidRPr="00066BF0">
              <w:rPr>
                <w:bCs/>
                <w:sz w:val="14"/>
                <w:szCs w:val="14"/>
              </w:rPr>
              <w:t>TE2100</w:t>
            </w:r>
          </w:p>
        </w:tc>
        <w:tc>
          <w:tcPr>
            <w:tcW w:w="792" w:type="dxa"/>
            <w:tcBorders>
              <w:left w:val="nil"/>
            </w:tcBorders>
          </w:tcPr>
          <w:p w14:paraId="6D38C0E4" w14:textId="77777777" w:rsidR="00ED6053" w:rsidRPr="00066BF0" w:rsidRDefault="00ED6053" w:rsidP="00FF4124">
            <w:pPr>
              <w:pStyle w:val="tablecontenttext"/>
              <w:spacing w:line="240" w:lineRule="auto"/>
              <w:jc w:val="both"/>
              <w:rPr>
                <w:rFonts w:ascii="Times New Roman" w:hAnsi="Times New Roman" w:cs="Times New Roman"/>
                <w:sz w:val="14"/>
                <w:szCs w:val="14"/>
              </w:rPr>
            </w:pPr>
            <w:r w:rsidRPr="00066BF0">
              <w:rPr>
                <w:rFonts w:ascii="Times New Roman" w:hAnsi="Times New Roman" w:cs="Times New Roman"/>
                <w:sz w:val="14"/>
                <w:szCs w:val="14"/>
              </w:rPr>
              <w:t>K5</w:t>
            </w:r>
          </w:p>
        </w:tc>
      </w:tr>
      <w:tr w:rsidR="00ED6053" w:rsidRPr="00066BF0" w14:paraId="61657074" w14:textId="77777777" w:rsidTr="00FF4124">
        <w:tc>
          <w:tcPr>
            <w:tcW w:w="8364" w:type="dxa"/>
            <w:tcBorders>
              <w:left w:val="nil"/>
              <w:right w:val="nil"/>
            </w:tcBorders>
          </w:tcPr>
          <w:p w14:paraId="63294058" w14:textId="77777777" w:rsidR="00ED6053" w:rsidRPr="00066BF0" w:rsidRDefault="00ED6053" w:rsidP="00FF4124">
            <w:pPr>
              <w:pStyle w:val="tablecontenttext"/>
              <w:spacing w:line="240" w:lineRule="auto"/>
              <w:rPr>
                <w:rFonts w:ascii="Times New Roman" w:hAnsi="Times New Roman" w:cs="Times New Roman"/>
                <w:b/>
                <w:bCs w:val="0"/>
                <w:sz w:val="14"/>
                <w:szCs w:val="14"/>
              </w:rPr>
            </w:pPr>
            <w:r w:rsidRPr="00066BF0">
              <w:rPr>
                <w:rFonts w:ascii="Times New Roman" w:hAnsi="Times New Roman" w:cs="Times New Roman"/>
                <w:sz w:val="14"/>
                <w:szCs w:val="14"/>
              </w:rPr>
              <w:t>By specifying the physical thresholds that require a transition of measure, the ATP method is less sensitive to updates of scenarios that commonly emerge every few years; if new scenarios arise, it is only necessary to compare the threshold values against such scenarios (</w:t>
            </w:r>
            <w:r w:rsidRPr="00066BF0">
              <w:rPr>
                <w:rFonts w:ascii="Times New Roman" w:hAnsi="Times New Roman" w:cs="Times New Roman"/>
                <w:color w:val="7F7F7F" w:themeColor="text1" w:themeTint="80"/>
                <w:sz w:val="14"/>
                <w:szCs w:val="14"/>
              </w:rPr>
              <w:t>Klijn et al. 2015</w:t>
            </w:r>
            <w:r w:rsidRPr="00066BF0">
              <w:rPr>
                <w:rFonts w:ascii="Times New Roman" w:hAnsi="Times New Roman" w:cs="Times New Roman"/>
                <w:color w:val="231F20"/>
                <w:sz w:val="14"/>
                <w:szCs w:val="14"/>
              </w:rPr>
              <w:t>).</w:t>
            </w:r>
          </w:p>
        </w:tc>
        <w:tc>
          <w:tcPr>
            <w:tcW w:w="708" w:type="dxa"/>
            <w:tcBorders>
              <w:left w:val="nil"/>
              <w:right w:val="nil"/>
            </w:tcBorders>
          </w:tcPr>
          <w:p w14:paraId="4096556C" w14:textId="77777777" w:rsidR="00ED6053" w:rsidRPr="00066BF0" w:rsidRDefault="00ED6053" w:rsidP="00FF4124">
            <w:pPr>
              <w:pStyle w:val="CORPOTEXTO"/>
              <w:rPr>
                <w:bCs/>
                <w:sz w:val="14"/>
                <w:szCs w:val="14"/>
              </w:rPr>
            </w:pPr>
            <w:r w:rsidRPr="00066BF0">
              <w:rPr>
                <w:bCs/>
                <w:sz w:val="14"/>
                <w:szCs w:val="14"/>
              </w:rPr>
              <w:t>DP2014</w:t>
            </w:r>
          </w:p>
        </w:tc>
        <w:tc>
          <w:tcPr>
            <w:tcW w:w="792" w:type="dxa"/>
            <w:tcBorders>
              <w:left w:val="nil"/>
            </w:tcBorders>
          </w:tcPr>
          <w:p w14:paraId="6257E7D3" w14:textId="77777777" w:rsidR="00ED6053" w:rsidRPr="00066BF0" w:rsidRDefault="00ED6053" w:rsidP="00FF4124">
            <w:pPr>
              <w:pStyle w:val="tablecontenttext"/>
              <w:spacing w:line="240" w:lineRule="auto"/>
              <w:jc w:val="both"/>
              <w:rPr>
                <w:rFonts w:ascii="Times New Roman" w:hAnsi="Times New Roman" w:cs="Times New Roman"/>
                <w:sz w:val="14"/>
                <w:szCs w:val="14"/>
              </w:rPr>
            </w:pPr>
            <w:r w:rsidRPr="00066BF0">
              <w:rPr>
                <w:rFonts w:ascii="Times New Roman" w:hAnsi="Times New Roman" w:cs="Times New Roman"/>
                <w:sz w:val="14"/>
                <w:szCs w:val="14"/>
              </w:rPr>
              <w:t>K2</w:t>
            </w:r>
          </w:p>
        </w:tc>
      </w:tr>
      <w:tr w:rsidR="00ED6053" w:rsidRPr="00066BF0" w14:paraId="6893C566" w14:textId="77777777" w:rsidTr="00FF4124">
        <w:tc>
          <w:tcPr>
            <w:tcW w:w="8364" w:type="dxa"/>
            <w:tcBorders>
              <w:left w:val="nil"/>
              <w:right w:val="nil"/>
            </w:tcBorders>
          </w:tcPr>
          <w:p w14:paraId="0B97F413" w14:textId="77777777" w:rsidR="00ED6053" w:rsidRPr="00066BF0" w:rsidRDefault="00ED6053" w:rsidP="00FF4124">
            <w:pPr>
              <w:pStyle w:val="CORPOTEXTO"/>
              <w:rPr>
                <w:sz w:val="14"/>
                <w:szCs w:val="14"/>
              </w:rPr>
            </w:pPr>
            <w:r w:rsidRPr="00066BF0">
              <w:rPr>
                <w:sz w:val="14"/>
                <w:szCs w:val="14"/>
              </w:rPr>
              <w:t xml:space="preserve">Working with APs facilitated making choices in areas where measures were already needed in the short-term </w:t>
            </w:r>
            <w:r w:rsidRPr="00066BF0">
              <w:rPr>
                <w:bCs/>
                <w:sz w:val="14"/>
                <w:szCs w:val="14"/>
              </w:rPr>
              <w:t>(</w:t>
            </w:r>
            <w:r w:rsidRPr="00066BF0">
              <w:rPr>
                <w:bCs/>
                <w:color w:val="7F7F7F" w:themeColor="text1" w:themeTint="80"/>
                <w:sz w:val="14"/>
                <w:szCs w:val="14"/>
              </w:rPr>
              <w:t xml:space="preserve">Rhee 2012, </w:t>
            </w:r>
            <w:r w:rsidRPr="00066BF0">
              <w:rPr>
                <w:bCs/>
                <w:i/>
                <w:iCs/>
                <w:color w:val="7F7F7F" w:themeColor="text1" w:themeTint="80"/>
                <w:sz w:val="14"/>
                <w:szCs w:val="14"/>
              </w:rPr>
              <w:t xml:space="preserve">in </w:t>
            </w:r>
            <w:r w:rsidRPr="00066BF0">
              <w:rPr>
                <w:bCs/>
                <w:color w:val="7F7F7F" w:themeColor="text1" w:themeTint="80"/>
                <w:sz w:val="14"/>
                <w:szCs w:val="14"/>
              </w:rPr>
              <w:t>Marchand and Ludwig 2014, p.27</w:t>
            </w:r>
            <w:r w:rsidRPr="00066BF0">
              <w:rPr>
                <w:bCs/>
                <w:sz w:val="14"/>
                <w:szCs w:val="14"/>
              </w:rPr>
              <w:t>).</w:t>
            </w:r>
          </w:p>
        </w:tc>
        <w:tc>
          <w:tcPr>
            <w:tcW w:w="708" w:type="dxa"/>
            <w:tcBorders>
              <w:left w:val="nil"/>
              <w:right w:val="nil"/>
            </w:tcBorders>
          </w:tcPr>
          <w:p w14:paraId="5F7B3FE3" w14:textId="77777777" w:rsidR="00ED6053" w:rsidRPr="00066BF0" w:rsidRDefault="00ED6053" w:rsidP="00FF4124">
            <w:pPr>
              <w:pStyle w:val="CORPOTEXTO"/>
              <w:spacing w:after="60"/>
              <w:rPr>
                <w:bCs/>
                <w:sz w:val="14"/>
                <w:szCs w:val="14"/>
              </w:rPr>
            </w:pPr>
            <w:r w:rsidRPr="00066BF0">
              <w:rPr>
                <w:bCs/>
                <w:sz w:val="14"/>
                <w:szCs w:val="14"/>
              </w:rPr>
              <w:t>DP2014</w:t>
            </w:r>
          </w:p>
        </w:tc>
        <w:tc>
          <w:tcPr>
            <w:tcW w:w="792" w:type="dxa"/>
            <w:tcBorders>
              <w:left w:val="nil"/>
            </w:tcBorders>
          </w:tcPr>
          <w:p w14:paraId="164ED024" w14:textId="77777777" w:rsidR="00ED6053" w:rsidRPr="00066BF0" w:rsidRDefault="00ED6053" w:rsidP="00FF4124">
            <w:pPr>
              <w:pStyle w:val="tablecontenttext"/>
              <w:spacing w:line="240" w:lineRule="auto"/>
              <w:jc w:val="both"/>
              <w:rPr>
                <w:rFonts w:ascii="Times New Roman" w:hAnsi="Times New Roman" w:cs="Times New Roman"/>
                <w:sz w:val="14"/>
                <w:szCs w:val="14"/>
              </w:rPr>
            </w:pPr>
            <w:r w:rsidRPr="00066BF0">
              <w:rPr>
                <w:rFonts w:ascii="Times New Roman" w:hAnsi="Times New Roman" w:cs="Times New Roman"/>
                <w:sz w:val="14"/>
                <w:szCs w:val="14"/>
              </w:rPr>
              <w:t>K3</w:t>
            </w:r>
          </w:p>
        </w:tc>
      </w:tr>
      <w:tr w:rsidR="00ED6053" w:rsidRPr="00066BF0" w14:paraId="0A55F1B2" w14:textId="77777777" w:rsidTr="00FF4124">
        <w:tc>
          <w:tcPr>
            <w:tcW w:w="8364" w:type="dxa"/>
            <w:tcBorders>
              <w:left w:val="nil"/>
              <w:right w:val="nil"/>
            </w:tcBorders>
          </w:tcPr>
          <w:p w14:paraId="0808CF79" w14:textId="77777777" w:rsidR="00ED6053" w:rsidRPr="00066BF0" w:rsidRDefault="00ED6053" w:rsidP="00FF4124">
            <w:pPr>
              <w:pStyle w:val="CORPOTEXTO"/>
              <w:rPr>
                <w:sz w:val="14"/>
                <w:szCs w:val="14"/>
              </w:rPr>
            </w:pPr>
            <w:r w:rsidRPr="00066BF0">
              <w:rPr>
                <w:sz w:val="14"/>
                <w:szCs w:val="14"/>
              </w:rPr>
              <w:t xml:space="preserve">Using APs, it was possible to synchronize decisions in time, and find optimized implementation sequences </w:t>
            </w:r>
            <w:r w:rsidRPr="00066BF0">
              <w:rPr>
                <w:bCs/>
                <w:sz w:val="14"/>
                <w:szCs w:val="14"/>
              </w:rPr>
              <w:t>(</w:t>
            </w:r>
            <w:r w:rsidRPr="00066BF0">
              <w:rPr>
                <w:bCs/>
                <w:color w:val="7F7F7F" w:themeColor="text1" w:themeTint="80"/>
                <w:sz w:val="14"/>
                <w:szCs w:val="14"/>
              </w:rPr>
              <w:t xml:space="preserve">Rhee 2012, </w:t>
            </w:r>
            <w:r w:rsidRPr="00066BF0">
              <w:rPr>
                <w:bCs/>
                <w:i/>
                <w:iCs/>
                <w:color w:val="7F7F7F" w:themeColor="text1" w:themeTint="80"/>
                <w:sz w:val="14"/>
                <w:szCs w:val="14"/>
              </w:rPr>
              <w:t>in</w:t>
            </w:r>
            <w:r w:rsidRPr="00066BF0">
              <w:rPr>
                <w:bCs/>
                <w:color w:val="7F7F7F" w:themeColor="text1" w:themeTint="80"/>
                <w:sz w:val="14"/>
                <w:szCs w:val="14"/>
              </w:rPr>
              <w:t xml:space="preserve"> Marchand and Ludwig 2014, p.27</w:t>
            </w:r>
            <w:r w:rsidRPr="00066BF0">
              <w:rPr>
                <w:bCs/>
                <w:sz w:val="14"/>
                <w:szCs w:val="14"/>
              </w:rPr>
              <w:t>).</w:t>
            </w:r>
          </w:p>
        </w:tc>
        <w:tc>
          <w:tcPr>
            <w:tcW w:w="708" w:type="dxa"/>
            <w:tcBorders>
              <w:left w:val="nil"/>
              <w:right w:val="nil"/>
            </w:tcBorders>
          </w:tcPr>
          <w:p w14:paraId="550BFA45" w14:textId="77777777" w:rsidR="00ED6053" w:rsidRPr="00066BF0" w:rsidRDefault="00ED6053" w:rsidP="00FF4124">
            <w:pPr>
              <w:pStyle w:val="CORPOTEXTO"/>
              <w:spacing w:after="60"/>
              <w:rPr>
                <w:bCs/>
                <w:sz w:val="14"/>
                <w:szCs w:val="14"/>
              </w:rPr>
            </w:pPr>
            <w:r w:rsidRPr="00066BF0">
              <w:rPr>
                <w:bCs/>
                <w:sz w:val="14"/>
                <w:szCs w:val="14"/>
              </w:rPr>
              <w:t>DP2014</w:t>
            </w:r>
          </w:p>
        </w:tc>
        <w:tc>
          <w:tcPr>
            <w:tcW w:w="792" w:type="dxa"/>
            <w:tcBorders>
              <w:left w:val="nil"/>
            </w:tcBorders>
          </w:tcPr>
          <w:p w14:paraId="478D1470" w14:textId="77777777" w:rsidR="00ED6053" w:rsidRPr="00066BF0" w:rsidRDefault="00ED6053" w:rsidP="00FF4124">
            <w:pPr>
              <w:pStyle w:val="tablecontenttext"/>
              <w:spacing w:line="240" w:lineRule="auto"/>
              <w:jc w:val="both"/>
              <w:rPr>
                <w:rFonts w:ascii="Times New Roman" w:hAnsi="Times New Roman" w:cs="Times New Roman"/>
                <w:sz w:val="14"/>
                <w:szCs w:val="14"/>
              </w:rPr>
            </w:pPr>
            <w:r w:rsidRPr="00066BF0">
              <w:rPr>
                <w:rFonts w:ascii="Times New Roman" w:hAnsi="Times New Roman" w:cs="Times New Roman"/>
                <w:sz w:val="14"/>
                <w:szCs w:val="14"/>
              </w:rPr>
              <w:t>K3</w:t>
            </w:r>
          </w:p>
        </w:tc>
      </w:tr>
      <w:tr w:rsidR="00ED6053" w:rsidRPr="00066BF0" w14:paraId="38332DE5" w14:textId="77777777" w:rsidTr="00FF4124">
        <w:tc>
          <w:tcPr>
            <w:tcW w:w="8364" w:type="dxa"/>
            <w:tcBorders>
              <w:left w:val="nil"/>
              <w:right w:val="nil"/>
            </w:tcBorders>
          </w:tcPr>
          <w:p w14:paraId="1E25E773" w14:textId="77777777" w:rsidR="00ED6053" w:rsidRPr="00066BF0" w:rsidRDefault="00ED6053" w:rsidP="00FF4124">
            <w:pPr>
              <w:pStyle w:val="CORPOTEXTO"/>
              <w:jc w:val="left"/>
              <w:rPr>
                <w:sz w:val="14"/>
                <w:szCs w:val="14"/>
              </w:rPr>
            </w:pPr>
            <w:r w:rsidRPr="00066BF0">
              <w:rPr>
                <w:sz w:val="14"/>
                <w:szCs w:val="14"/>
              </w:rPr>
              <w:t xml:space="preserve">It was possible to link measures with other investment agendas, which stimulated win-win situations </w:t>
            </w:r>
            <w:r w:rsidRPr="00066BF0">
              <w:rPr>
                <w:bCs/>
                <w:sz w:val="14"/>
                <w:szCs w:val="14"/>
              </w:rPr>
              <w:t>(</w:t>
            </w:r>
            <w:r w:rsidRPr="00066BF0">
              <w:rPr>
                <w:bCs/>
                <w:color w:val="7F7F7F" w:themeColor="text1" w:themeTint="80"/>
                <w:sz w:val="14"/>
                <w:szCs w:val="14"/>
              </w:rPr>
              <w:t>Rhee 2012,</w:t>
            </w:r>
            <w:r w:rsidRPr="00066BF0">
              <w:rPr>
                <w:bCs/>
                <w:i/>
                <w:iCs/>
                <w:color w:val="7F7F7F" w:themeColor="text1" w:themeTint="80"/>
                <w:sz w:val="14"/>
                <w:szCs w:val="14"/>
              </w:rPr>
              <w:t xml:space="preserve"> in</w:t>
            </w:r>
            <w:r w:rsidRPr="00066BF0">
              <w:rPr>
                <w:bCs/>
                <w:color w:val="7F7F7F" w:themeColor="text1" w:themeTint="80"/>
                <w:sz w:val="14"/>
                <w:szCs w:val="14"/>
              </w:rPr>
              <w:t xml:space="preserve"> Marchand and Ludwig 2014, p.27</w:t>
            </w:r>
            <w:r w:rsidRPr="00066BF0">
              <w:rPr>
                <w:bCs/>
                <w:sz w:val="14"/>
                <w:szCs w:val="14"/>
              </w:rPr>
              <w:t>).</w:t>
            </w:r>
            <w:r w:rsidRPr="00066BF0">
              <w:rPr>
                <w:sz w:val="14"/>
                <w:szCs w:val="14"/>
              </w:rPr>
              <w:t xml:space="preserve"> ADM offered a valuable means for framing short-term decisions in the context of long-term objectives and tasks and identifying possibilities for linking measures with other planned investments or merging different investment agendas (</w:t>
            </w:r>
            <w:proofErr w:type="spellStart"/>
            <w:r w:rsidRPr="00066BF0">
              <w:rPr>
                <w:color w:val="7F7F7F" w:themeColor="text1" w:themeTint="80"/>
                <w:sz w:val="14"/>
                <w:szCs w:val="14"/>
              </w:rPr>
              <w:t>Gersonius</w:t>
            </w:r>
            <w:proofErr w:type="spellEnd"/>
            <w:r w:rsidRPr="00066BF0">
              <w:rPr>
                <w:color w:val="7F7F7F" w:themeColor="text1" w:themeTint="80"/>
                <w:sz w:val="14"/>
                <w:szCs w:val="14"/>
              </w:rPr>
              <w:t xml:space="preserve"> et al. 2016 p.13-14</w:t>
            </w:r>
            <w:r w:rsidRPr="00066BF0">
              <w:rPr>
                <w:sz w:val="14"/>
                <w:szCs w:val="14"/>
              </w:rPr>
              <w:t xml:space="preserve">). ADM is an adaptive but also </w:t>
            </w:r>
            <w:r w:rsidRPr="00066BF0">
              <w:rPr>
                <w:color w:val="231F20"/>
                <w:sz w:val="14"/>
                <w:szCs w:val="14"/>
              </w:rPr>
              <w:t>integrated / comprehensive approach that aims to combine various investment agendas and seize opportunities to mainstream FRM into planned investments</w:t>
            </w:r>
            <w:r w:rsidRPr="00066BF0">
              <w:rPr>
                <w:color w:val="C00000"/>
                <w:sz w:val="14"/>
                <w:szCs w:val="14"/>
              </w:rPr>
              <w:t xml:space="preserve"> </w:t>
            </w:r>
            <w:r w:rsidRPr="00066BF0">
              <w:rPr>
                <w:color w:val="231F20"/>
                <w:sz w:val="14"/>
                <w:szCs w:val="14"/>
              </w:rPr>
              <w:t>(</w:t>
            </w:r>
            <w:r w:rsidRPr="00066BF0">
              <w:rPr>
                <w:color w:val="7F7F7F" w:themeColor="text1" w:themeTint="80"/>
                <w:sz w:val="14"/>
                <w:szCs w:val="14"/>
              </w:rPr>
              <w:t xml:space="preserve">Haegen and </w:t>
            </w:r>
            <w:proofErr w:type="spellStart"/>
            <w:r w:rsidRPr="00066BF0">
              <w:rPr>
                <w:color w:val="7F7F7F" w:themeColor="text1" w:themeTint="80"/>
                <w:sz w:val="14"/>
                <w:szCs w:val="14"/>
              </w:rPr>
              <w:t>Wieriks</w:t>
            </w:r>
            <w:proofErr w:type="spellEnd"/>
            <w:r w:rsidRPr="00066BF0">
              <w:rPr>
                <w:color w:val="7F7F7F" w:themeColor="text1" w:themeTint="80"/>
                <w:sz w:val="14"/>
                <w:szCs w:val="14"/>
              </w:rPr>
              <w:t xml:space="preserve"> 2015</w:t>
            </w:r>
            <w:r w:rsidRPr="00066BF0">
              <w:rPr>
                <w:sz w:val="14"/>
                <w:szCs w:val="14"/>
              </w:rPr>
              <w:t xml:space="preserve">). </w:t>
            </w:r>
          </w:p>
        </w:tc>
        <w:tc>
          <w:tcPr>
            <w:tcW w:w="708" w:type="dxa"/>
            <w:tcBorders>
              <w:left w:val="nil"/>
              <w:right w:val="nil"/>
            </w:tcBorders>
          </w:tcPr>
          <w:p w14:paraId="2F2CD995" w14:textId="77777777" w:rsidR="00ED6053" w:rsidRPr="00066BF0" w:rsidRDefault="00ED6053" w:rsidP="00FF4124">
            <w:pPr>
              <w:pStyle w:val="CORPOTEXTO"/>
              <w:spacing w:after="60"/>
              <w:rPr>
                <w:bCs/>
                <w:sz w:val="14"/>
                <w:szCs w:val="14"/>
              </w:rPr>
            </w:pPr>
            <w:r w:rsidRPr="00066BF0">
              <w:rPr>
                <w:bCs/>
                <w:sz w:val="14"/>
                <w:szCs w:val="14"/>
              </w:rPr>
              <w:t>DP2014</w:t>
            </w:r>
          </w:p>
        </w:tc>
        <w:tc>
          <w:tcPr>
            <w:tcW w:w="792" w:type="dxa"/>
            <w:tcBorders>
              <w:left w:val="nil"/>
            </w:tcBorders>
          </w:tcPr>
          <w:p w14:paraId="66A3E272" w14:textId="77777777" w:rsidR="00ED6053" w:rsidRPr="00066BF0" w:rsidRDefault="00ED6053" w:rsidP="00FF4124">
            <w:pPr>
              <w:pStyle w:val="tablecontenttext"/>
              <w:spacing w:line="240" w:lineRule="auto"/>
              <w:jc w:val="both"/>
              <w:rPr>
                <w:rFonts w:ascii="Times New Roman" w:hAnsi="Times New Roman" w:cs="Times New Roman"/>
                <w:sz w:val="14"/>
                <w:szCs w:val="14"/>
              </w:rPr>
            </w:pPr>
            <w:r w:rsidRPr="00066BF0">
              <w:rPr>
                <w:rFonts w:ascii="Times New Roman" w:hAnsi="Times New Roman" w:cs="Times New Roman"/>
                <w:sz w:val="14"/>
                <w:szCs w:val="14"/>
              </w:rPr>
              <w:t>ADM</w:t>
            </w:r>
          </w:p>
        </w:tc>
      </w:tr>
      <w:tr w:rsidR="00ED6053" w:rsidRPr="00066BF0" w14:paraId="14936748" w14:textId="77777777" w:rsidTr="00FF4124">
        <w:tc>
          <w:tcPr>
            <w:tcW w:w="8364" w:type="dxa"/>
            <w:tcBorders>
              <w:left w:val="nil"/>
              <w:right w:val="nil"/>
            </w:tcBorders>
          </w:tcPr>
          <w:p w14:paraId="1E74750C" w14:textId="77777777" w:rsidR="00ED6053" w:rsidRPr="00066BF0" w:rsidRDefault="00ED6053" w:rsidP="00FF4124">
            <w:pPr>
              <w:pStyle w:val="tablecontenttext"/>
              <w:spacing w:line="240" w:lineRule="auto"/>
              <w:rPr>
                <w:rFonts w:ascii="Times New Roman" w:hAnsi="Times New Roman" w:cs="Times New Roman"/>
                <w:b/>
                <w:bCs w:val="0"/>
                <w:sz w:val="14"/>
                <w:szCs w:val="14"/>
              </w:rPr>
            </w:pPr>
            <w:r w:rsidRPr="00066BF0">
              <w:rPr>
                <w:rFonts w:ascii="Times New Roman" w:hAnsi="Times New Roman" w:cs="Times New Roman"/>
                <w:sz w:val="14"/>
                <w:szCs w:val="14"/>
              </w:rPr>
              <w:t>The APs method was essential to develop strategies that can be adjusted to changing external conditions and to position measures in a timeframe (</w:t>
            </w:r>
            <w:r w:rsidRPr="00066BF0">
              <w:rPr>
                <w:rFonts w:ascii="Times New Roman" w:hAnsi="Times New Roman" w:cs="Times New Roman"/>
                <w:color w:val="7F7F7F" w:themeColor="text1" w:themeTint="80"/>
                <w:sz w:val="14"/>
                <w:szCs w:val="14"/>
              </w:rPr>
              <w:t>Bloemen et al. 2018</w:t>
            </w:r>
            <w:r w:rsidRPr="00066BF0">
              <w:rPr>
                <w:rFonts w:ascii="Times New Roman" w:hAnsi="Times New Roman" w:cs="Times New Roman"/>
                <w:sz w:val="14"/>
                <w:szCs w:val="14"/>
              </w:rPr>
              <w:t xml:space="preserve">). </w:t>
            </w:r>
          </w:p>
        </w:tc>
        <w:tc>
          <w:tcPr>
            <w:tcW w:w="708" w:type="dxa"/>
            <w:tcBorders>
              <w:left w:val="nil"/>
              <w:right w:val="nil"/>
            </w:tcBorders>
          </w:tcPr>
          <w:p w14:paraId="74BB1271" w14:textId="77777777" w:rsidR="00ED6053" w:rsidRPr="00066BF0" w:rsidRDefault="00ED6053" w:rsidP="00FF4124">
            <w:pPr>
              <w:pStyle w:val="CORPOTEXTO"/>
              <w:spacing w:after="60"/>
              <w:rPr>
                <w:bCs/>
                <w:sz w:val="14"/>
                <w:szCs w:val="14"/>
              </w:rPr>
            </w:pPr>
            <w:r w:rsidRPr="00066BF0">
              <w:rPr>
                <w:bCs/>
                <w:sz w:val="14"/>
                <w:szCs w:val="14"/>
              </w:rPr>
              <w:t>DP2014</w:t>
            </w:r>
          </w:p>
        </w:tc>
        <w:tc>
          <w:tcPr>
            <w:tcW w:w="792" w:type="dxa"/>
            <w:tcBorders>
              <w:left w:val="nil"/>
            </w:tcBorders>
          </w:tcPr>
          <w:p w14:paraId="47BF6506" w14:textId="77777777" w:rsidR="00ED6053" w:rsidRPr="00066BF0" w:rsidRDefault="00ED6053" w:rsidP="00FF4124">
            <w:pPr>
              <w:pStyle w:val="tablecontenttext"/>
              <w:spacing w:line="240" w:lineRule="auto"/>
              <w:jc w:val="both"/>
              <w:rPr>
                <w:rFonts w:ascii="Times New Roman" w:hAnsi="Times New Roman" w:cs="Times New Roman"/>
                <w:sz w:val="14"/>
                <w:szCs w:val="14"/>
              </w:rPr>
            </w:pPr>
            <w:r w:rsidRPr="00066BF0">
              <w:rPr>
                <w:rFonts w:ascii="Times New Roman" w:hAnsi="Times New Roman" w:cs="Times New Roman"/>
                <w:sz w:val="14"/>
                <w:szCs w:val="14"/>
              </w:rPr>
              <w:t xml:space="preserve">K3; </w:t>
            </w:r>
            <w:proofErr w:type="spellStart"/>
            <w:r w:rsidRPr="00066BF0">
              <w:rPr>
                <w:rFonts w:ascii="Times New Roman" w:hAnsi="Times New Roman" w:cs="Times New Roman"/>
                <w:sz w:val="14"/>
                <w:szCs w:val="14"/>
              </w:rPr>
              <w:t>adaptabili</w:t>
            </w:r>
            <w:proofErr w:type="spellEnd"/>
            <w:r w:rsidRPr="00066BF0">
              <w:rPr>
                <w:rFonts w:ascii="Times New Roman" w:hAnsi="Times New Roman" w:cs="Times New Roman"/>
                <w:sz w:val="14"/>
                <w:szCs w:val="14"/>
              </w:rPr>
              <w:t>.</w:t>
            </w:r>
          </w:p>
        </w:tc>
      </w:tr>
      <w:tr w:rsidR="00ED6053" w:rsidRPr="00066BF0" w14:paraId="7CA218AD" w14:textId="77777777" w:rsidTr="00FF4124">
        <w:tc>
          <w:tcPr>
            <w:tcW w:w="8364" w:type="dxa"/>
            <w:tcBorders>
              <w:left w:val="nil"/>
              <w:right w:val="nil"/>
            </w:tcBorders>
          </w:tcPr>
          <w:p w14:paraId="75EDEF4C" w14:textId="77777777" w:rsidR="00ED6053" w:rsidRPr="00066BF0" w:rsidRDefault="00ED6053" w:rsidP="00FF4124">
            <w:pPr>
              <w:pStyle w:val="tablecontenttext"/>
              <w:spacing w:line="240" w:lineRule="auto"/>
              <w:rPr>
                <w:rFonts w:ascii="Times New Roman" w:hAnsi="Times New Roman" w:cs="Times New Roman"/>
                <w:b/>
                <w:bCs w:val="0"/>
                <w:sz w:val="14"/>
                <w:szCs w:val="14"/>
              </w:rPr>
            </w:pPr>
            <w:r w:rsidRPr="00066BF0">
              <w:rPr>
                <w:rFonts w:ascii="Times New Roman" w:hAnsi="Times New Roman" w:cs="Times New Roman"/>
                <w:sz w:val="14"/>
                <w:szCs w:val="14"/>
              </w:rPr>
              <w:t xml:space="preserve">The APs contributed to embed long-term objectives into decisions </w:t>
            </w:r>
            <w:proofErr w:type="gramStart"/>
            <w:r w:rsidRPr="00066BF0">
              <w:rPr>
                <w:rFonts w:ascii="Times New Roman" w:hAnsi="Times New Roman" w:cs="Times New Roman"/>
                <w:sz w:val="14"/>
                <w:szCs w:val="14"/>
              </w:rPr>
              <w:t>in the near future</w:t>
            </w:r>
            <w:proofErr w:type="gramEnd"/>
            <w:r w:rsidRPr="00066BF0">
              <w:rPr>
                <w:rFonts w:ascii="Times New Roman" w:hAnsi="Times New Roman" w:cs="Times New Roman"/>
                <w:sz w:val="14"/>
                <w:szCs w:val="14"/>
              </w:rPr>
              <w:t xml:space="preserve"> in</w:t>
            </w:r>
            <w:bookmarkStart w:id="141" w:name="_Hlk21540797"/>
            <w:bookmarkStart w:id="142" w:name="_Hlk35266457"/>
            <w:r w:rsidRPr="00066BF0">
              <w:rPr>
                <w:rFonts w:ascii="Times New Roman" w:hAnsi="Times New Roman" w:cs="Times New Roman"/>
                <w:sz w:val="14"/>
                <w:szCs w:val="14"/>
              </w:rPr>
              <w:t xml:space="preserve"> several sectors (urban planning, water management, nature, infrastructure, shipping) (</w:t>
            </w:r>
            <w:r w:rsidRPr="00066BF0">
              <w:rPr>
                <w:rFonts w:ascii="Times New Roman" w:hAnsi="Times New Roman" w:cs="Times New Roman"/>
                <w:color w:val="7F7F7F" w:themeColor="text1" w:themeTint="80"/>
                <w:sz w:val="14"/>
                <w:szCs w:val="14"/>
              </w:rPr>
              <w:t>Bloemen et al. 2018</w:t>
            </w:r>
            <w:r w:rsidRPr="00066BF0">
              <w:rPr>
                <w:rFonts w:ascii="Times New Roman" w:hAnsi="Times New Roman" w:cs="Times New Roman"/>
                <w:sz w:val="14"/>
                <w:szCs w:val="14"/>
              </w:rPr>
              <w:t>).</w:t>
            </w:r>
            <w:bookmarkEnd w:id="141"/>
            <w:bookmarkEnd w:id="142"/>
          </w:p>
        </w:tc>
        <w:tc>
          <w:tcPr>
            <w:tcW w:w="708" w:type="dxa"/>
            <w:tcBorders>
              <w:left w:val="nil"/>
              <w:right w:val="nil"/>
            </w:tcBorders>
          </w:tcPr>
          <w:p w14:paraId="44023503" w14:textId="77777777" w:rsidR="00ED6053" w:rsidRPr="00066BF0" w:rsidRDefault="00ED6053" w:rsidP="00FF4124">
            <w:pPr>
              <w:pStyle w:val="tablecontenttext"/>
              <w:spacing w:line="240" w:lineRule="auto"/>
              <w:jc w:val="both"/>
              <w:rPr>
                <w:rFonts w:ascii="Times New Roman" w:hAnsi="Times New Roman" w:cs="Times New Roman"/>
                <w:sz w:val="14"/>
                <w:szCs w:val="14"/>
              </w:rPr>
            </w:pPr>
            <w:r w:rsidRPr="00066BF0">
              <w:rPr>
                <w:rFonts w:ascii="Times New Roman" w:hAnsi="Times New Roman" w:cs="Times New Roman"/>
                <w:sz w:val="14"/>
                <w:szCs w:val="14"/>
              </w:rPr>
              <w:t>DP2014</w:t>
            </w:r>
          </w:p>
        </w:tc>
        <w:tc>
          <w:tcPr>
            <w:tcW w:w="792" w:type="dxa"/>
            <w:tcBorders>
              <w:left w:val="nil"/>
            </w:tcBorders>
          </w:tcPr>
          <w:p w14:paraId="23B89E6A" w14:textId="77777777" w:rsidR="00ED6053" w:rsidRPr="00066BF0" w:rsidRDefault="00ED6053" w:rsidP="00FF4124">
            <w:pPr>
              <w:pStyle w:val="tablecontenttext"/>
              <w:spacing w:line="240" w:lineRule="auto"/>
              <w:jc w:val="both"/>
              <w:rPr>
                <w:rFonts w:ascii="Times New Roman" w:hAnsi="Times New Roman" w:cs="Times New Roman"/>
                <w:sz w:val="14"/>
                <w:szCs w:val="14"/>
              </w:rPr>
            </w:pPr>
            <w:r w:rsidRPr="00066BF0">
              <w:rPr>
                <w:rFonts w:ascii="Times New Roman" w:hAnsi="Times New Roman" w:cs="Times New Roman"/>
                <w:sz w:val="14"/>
                <w:szCs w:val="14"/>
              </w:rPr>
              <w:t>K3</w:t>
            </w:r>
          </w:p>
        </w:tc>
      </w:tr>
      <w:tr w:rsidR="00ED6053" w:rsidRPr="00066BF0" w14:paraId="0360EB86" w14:textId="77777777" w:rsidTr="00FF4124">
        <w:tc>
          <w:tcPr>
            <w:tcW w:w="8364" w:type="dxa"/>
            <w:tcBorders>
              <w:left w:val="nil"/>
              <w:right w:val="nil"/>
            </w:tcBorders>
          </w:tcPr>
          <w:p w14:paraId="7199B2AF" w14:textId="77777777" w:rsidR="00ED6053" w:rsidRPr="00066BF0" w:rsidRDefault="00ED6053" w:rsidP="00FF4124">
            <w:pPr>
              <w:pStyle w:val="CORPOTEXTO"/>
              <w:jc w:val="left"/>
              <w:rPr>
                <w:sz w:val="14"/>
                <w:szCs w:val="14"/>
              </w:rPr>
            </w:pPr>
            <w:r w:rsidRPr="00066BF0">
              <w:rPr>
                <w:sz w:val="14"/>
                <w:szCs w:val="14"/>
              </w:rPr>
              <w:lastRenderedPageBreak/>
              <w:t>APs contributed to increase the awareness of uncertainties (</w:t>
            </w:r>
            <w:r w:rsidRPr="00066BF0">
              <w:rPr>
                <w:color w:val="7F7F7F" w:themeColor="text1" w:themeTint="80"/>
                <w:sz w:val="14"/>
                <w:szCs w:val="14"/>
              </w:rPr>
              <w:t>Bloemen et al. 2018</w:t>
            </w:r>
            <w:r w:rsidRPr="00066BF0">
              <w:rPr>
                <w:sz w:val="14"/>
                <w:szCs w:val="14"/>
              </w:rPr>
              <w:t>). ADM renders uncertainties about future tasks more manageable (</w:t>
            </w:r>
            <w:r w:rsidRPr="00066BF0">
              <w:rPr>
                <w:color w:val="7F7F7F" w:themeColor="text1" w:themeTint="80"/>
                <w:sz w:val="14"/>
                <w:szCs w:val="14"/>
              </w:rPr>
              <w:t>DP 2014, p.144</w:t>
            </w:r>
            <w:r w:rsidRPr="00066BF0">
              <w:rPr>
                <w:sz w:val="14"/>
                <w:szCs w:val="14"/>
              </w:rPr>
              <w:t>)</w:t>
            </w:r>
          </w:p>
        </w:tc>
        <w:tc>
          <w:tcPr>
            <w:tcW w:w="708" w:type="dxa"/>
            <w:tcBorders>
              <w:left w:val="nil"/>
              <w:right w:val="nil"/>
            </w:tcBorders>
          </w:tcPr>
          <w:p w14:paraId="3068DDEF" w14:textId="77777777" w:rsidR="00ED6053" w:rsidRPr="00066BF0" w:rsidRDefault="00ED6053" w:rsidP="00FF4124">
            <w:pPr>
              <w:pStyle w:val="tablecontenttext"/>
              <w:spacing w:line="240" w:lineRule="auto"/>
              <w:jc w:val="both"/>
              <w:rPr>
                <w:rFonts w:ascii="Times New Roman" w:hAnsi="Times New Roman" w:cs="Times New Roman"/>
                <w:sz w:val="14"/>
                <w:szCs w:val="14"/>
              </w:rPr>
            </w:pPr>
            <w:r w:rsidRPr="00066BF0">
              <w:rPr>
                <w:rFonts w:ascii="Times New Roman" w:hAnsi="Times New Roman" w:cs="Times New Roman"/>
                <w:sz w:val="14"/>
                <w:szCs w:val="14"/>
              </w:rPr>
              <w:t>DP2014</w:t>
            </w:r>
          </w:p>
        </w:tc>
        <w:tc>
          <w:tcPr>
            <w:tcW w:w="792" w:type="dxa"/>
            <w:tcBorders>
              <w:left w:val="nil"/>
            </w:tcBorders>
          </w:tcPr>
          <w:p w14:paraId="4216E521" w14:textId="77777777" w:rsidR="00ED6053" w:rsidRPr="00066BF0" w:rsidRDefault="00ED6053" w:rsidP="00FF4124">
            <w:pPr>
              <w:pStyle w:val="tablecontenttext"/>
              <w:spacing w:line="240" w:lineRule="auto"/>
              <w:jc w:val="both"/>
              <w:rPr>
                <w:rFonts w:ascii="Times New Roman" w:hAnsi="Times New Roman" w:cs="Times New Roman"/>
                <w:sz w:val="14"/>
                <w:szCs w:val="14"/>
              </w:rPr>
            </w:pPr>
            <w:r w:rsidRPr="00066BF0">
              <w:rPr>
                <w:rFonts w:ascii="Times New Roman" w:hAnsi="Times New Roman" w:cs="Times New Roman"/>
                <w:sz w:val="14"/>
                <w:szCs w:val="14"/>
              </w:rPr>
              <w:t>ADM + APs</w:t>
            </w:r>
          </w:p>
        </w:tc>
      </w:tr>
      <w:tr w:rsidR="00ED6053" w:rsidRPr="00066BF0" w14:paraId="793D4A73" w14:textId="77777777" w:rsidTr="00FF4124">
        <w:tc>
          <w:tcPr>
            <w:tcW w:w="8364" w:type="dxa"/>
            <w:tcBorders>
              <w:left w:val="nil"/>
              <w:right w:val="nil"/>
            </w:tcBorders>
          </w:tcPr>
          <w:p w14:paraId="38382090" w14:textId="77777777" w:rsidR="00ED6053" w:rsidRPr="00066BF0" w:rsidRDefault="00ED6053" w:rsidP="00FF4124">
            <w:pPr>
              <w:jc w:val="left"/>
              <w:rPr>
                <w:rFonts w:ascii="Times New Roman" w:hAnsi="Times New Roman"/>
                <w:sz w:val="14"/>
                <w:szCs w:val="14"/>
              </w:rPr>
            </w:pPr>
            <w:r w:rsidRPr="00066BF0">
              <w:rPr>
                <w:rFonts w:ascii="Times New Roman" w:hAnsi="Times New Roman"/>
                <w:sz w:val="14"/>
                <w:szCs w:val="14"/>
              </w:rPr>
              <w:t>Positive outcomes from using this approach have led to its wider adoption (</w:t>
            </w:r>
            <w:r w:rsidRPr="00066BF0">
              <w:rPr>
                <w:rFonts w:ascii="Times New Roman" w:hAnsi="Times New Roman"/>
                <w:color w:val="7F7F7F" w:themeColor="text1" w:themeTint="80"/>
                <w:sz w:val="14"/>
                <w:szCs w:val="14"/>
              </w:rPr>
              <w:t>Bloemen et al. 2018, p.21</w:t>
            </w:r>
            <w:r w:rsidRPr="00066BF0">
              <w:rPr>
                <w:rFonts w:ascii="Times New Roman" w:hAnsi="Times New Roman"/>
                <w:sz w:val="14"/>
                <w:szCs w:val="14"/>
              </w:rPr>
              <w:t xml:space="preserve">). The </w:t>
            </w:r>
            <w:r w:rsidRPr="00066BF0">
              <w:rPr>
                <w:rFonts w:ascii="Times New Roman" w:hAnsi="Times New Roman"/>
                <w:sz w:val="14"/>
                <w:szCs w:val="14"/>
                <w:u w:val="single"/>
              </w:rPr>
              <w:t>adoption of a flexible APs-based approach for planning climate adaptation was crucial</w:t>
            </w:r>
            <w:r w:rsidRPr="00066BF0">
              <w:rPr>
                <w:rFonts w:ascii="Times New Roman" w:hAnsi="Times New Roman"/>
                <w:sz w:val="14"/>
                <w:szCs w:val="14"/>
              </w:rPr>
              <w:t xml:space="preserve"> in securing approval and support for the plan from key actors (e.g. in London and the wider </w:t>
            </w:r>
            <w:proofErr w:type="gramStart"/>
            <w:r w:rsidRPr="00066BF0">
              <w:rPr>
                <w:rFonts w:ascii="Times New Roman" w:hAnsi="Times New Roman"/>
                <w:sz w:val="14"/>
                <w:szCs w:val="14"/>
              </w:rPr>
              <w:t>South East</w:t>
            </w:r>
            <w:proofErr w:type="gramEnd"/>
            <w:r w:rsidRPr="00066BF0">
              <w:rPr>
                <w:rFonts w:ascii="Times New Roman" w:hAnsi="Times New Roman"/>
                <w:sz w:val="14"/>
                <w:szCs w:val="14"/>
              </w:rPr>
              <w:t>; and in the stakeholders involved in the six regional sub-programs of the DP) (</w:t>
            </w:r>
            <w:r w:rsidRPr="00066BF0">
              <w:rPr>
                <w:rFonts w:ascii="Times New Roman" w:hAnsi="Times New Roman"/>
                <w:color w:val="7F7F7F" w:themeColor="text1" w:themeTint="80"/>
                <w:sz w:val="14"/>
                <w:szCs w:val="14"/>
              </w:rPr>
              <w:t>Bloemen et al. 2018, p.11</w:t>
            </w:r>
            <w:r w:rsidRPr="00066BF0">
              <w:rPr>
                <w:rFonts w:ascii="Times New Roman" w:hAnsi="Times New Roman"/>
                <w:sz w:val="14"/>
                <w:szCs w:val="14"/>
              </w:rPr>
              <w:t xml:space="preserve">). </w:t>
            </w:r>
          </w:p>
          <w:p w14:paraId="5C460695" w14:textId="77777777" w:rsidR="00ED6053" w:rsidRPr="000E7FEF" w:rsidRDefault="00ED6053" w:rsidP="00FF4124">
            <w:pPr>
              <w:jc w:val="left"/>
              <w:rPr>
                <w:rFonts w:ascii="Times New Roman" w:hAnsi="Times New Roman"/>
                <w:sz w:val="14"/>
                <w:szCs w:val="14"/>
              </w:rPr>
            </w:pPr>
            <w:r w:rsidRPr="00066BF0">
              <w:rPr>
                <w:rFonts w:ascii="Times New Roman" w:hAnsi="Times New Roman"/>
                <w:sz w:val="14"/>
                <w:szCs w:val="14"/>
              </w:rPr>
              <w:t>The principles of an adaptive approach to planning for climate adaptation have been incorporated into the guidance for FRM provided by both the UK’s Environment Agency and Lead Local Flood Authorities (</w:t>
            </w:r>
            <w:proofErr w:type="spellStart"/>
            <w:r w:rsidRPr="00066BF0">
              <w:rPr>
                <w:rFonts w:ascii="Times New Roman" w:hAnsi="Times New Roman"/>
                <w:color w:val="7F7F7F" w:themeColor="text1" w:themeTint="80"/>
                <w:sz w:val="14"/>
                <w:szCs w:val="14"/>
              </w:rPr>
              <w:t>Kuklicke</w:t>
            </w:r>
            <w:proofErr w:type="spellEnd"/>
            <w:r w:rsidRPr="00066BF0">
              <w:rPr>
                <w:rFonts w:ascii="Times New Roman" w:hAnsi="Times New Roman"/>
                <w:color w:val="7F7F7F" w:themeColor="text1" w:themeTint="80"/>
                <w:sz w:val="14"/>
                <w:szCs w:val="14"/>
              </w:rPr>
              <w:t xml:space="preserve"> and </w:t>
            </w:r>
            <w:proofErr w:type="spellStart"/>
            <w:r w:rsidRPr="00066BF0">
              <w:rPr>
                <w:rFonts w:ascii="Times New Roman" w:hAnsi="Times New Roman"/>
                <w:color w:val="7F7F7F" w:themeColor="text1" w:themeTint="80"/>
                <w:sz w:val="14"/>
                <w:szCs w:val="14"/>
              </w:rPr>
              <w:t>Demeritt</w:t>
            </w:r>
            <w:proofErr w:type="spellEnd"/>
            <w:r w:rsidRPr="00066BF0">
              <w:rPr>
                <w:rFonts w:ascii="Times New Roman" w:hAnsi="Times New Roman"/>
                <w:color w:val="7F7F7F" w:themeColor="text1" w:themeTint="80"/>
                <w:sz w:val="14"/>
                <w:szCs w:val="14"/>
              </w:rPr>
              <w:t xml:space="preserve"> 2016</w:t>
            </w:r>
            <w:r w:rsidRPr="00066BF0">
              <w:rPr>
                <w:rFonts w:ascii="Times New Roman" w:hAnsi="Times New Roman"/>
                <w:sz w:val="14"/>
                <w:szCs w:val="14"/>
              </w:rPr>
              <w:t xml:space="preserve">), as well as in the annual DP reports submitted to </w:t>
            </w:r>
            <w:r w:rsidRPr="000E7FEF">
              <w:rPr>
                <w:rFonts w:ascii="Times New Roman" w:hAnsi="Times New Roman"/>
                <w:sz w:val="14"/>
                <w:szCs w:val="14"/>
              </w:rPr>
              <w:t>parliament (DP 2015, 2015, 2016) (</w:t>
            </w:r>
            <w:r w:rsidRPr="000E7FEF">
              <w:rPr>
                <w:rFonts w:ascii="Times New Roman" w:hAnsi="Times New Roman"/>
                <w:color w:val="7F7F7F" w:themeColor="text1" w:themeTint="80"/>
                <w:sz w:val="14"/>
                <w:szCs w:val="14"/>
              </w:rPr>
              <w:t>Bloemen et al. 2018, p.12</w:t>
            </w:r>
            <w:r w:rsidRPr="000E7FEF">
              <w:rPr>
                <w:rFonts w:ascii="Times New Roman" w:hAnsi="Times New Roman"/>
                <w:sz w:val="14"/>
                <w:szCs w:val="14"/>
              </w:rPr>
              <w:t>).</w:t>
            </w:r>
          </w:p>
          <w:p w14:paraId="05776CE8" w14:textId="77777777" w:rsidR="00ED6053" w:rsidRPr="00066BF0" w:rsidRDefault="00ED6053" w:rsidP="00FF4124">
            <w:pPr>
              <w:jc w:val="left"/>
              <w:rPr>
                <w:rFonts w:ascii="Times New Roman" w:hAnsi="Times New Roman"/>
                <w:sz w:val="14"/>
                <w:szCs w:val="14"/>
              </w:rPr>
            </w:pPr>
            <w:r w:rsidRPr="000E7FEF">
              <w:rPr>
                <w:rFonts w:ascii="Times New Roman" w:hAnsi="Times New Roman"/>
                <w:sz w:val="14"/>
                <w:szCs w:val="14"/>
              </w:rPr>
              <w:t xml:space="preserve">The value and potential applicability of the TE2100’s approach have gained recognition both in the UK and internationally. It has been considered and applied to stimulate discussions in several initiatives, e.g. </w:t>
            </w:r>
            <w:r w:rsidRPr="000E7FEF">
              <w:rPr>
                <w:rFonts w:ascii="Times New Roman" w:hAnsi="Times New Roman"/>
                <w:b/>
                <w:bCs/>
                <w:sz w:val="14"/>
                <w:szCs w:val="14"/>
              </w:rPr>
              <w:t>Coast Communities 2150 project</w:t>
            </w:r>
            <w:r w:rsidRPr="000E7FEF">
              <w:rPr>
                <w:rFonts w:ascii="Times New Roman" w:hAnsi="Times New Roman"/>
                <w:sz w:val="14"/>
                <w:szCs w:val="14"/>
              </w:rPr>
              <w:t>, which developed a long-term adaptation plan for Newhaven on the South Coast of the UK; the London Climate Change Partnership (which supports the use of APs approaches); and the London Assembly (which urged the mayor to prepare adaptation options as ‘pathways’, if possible) (London Environment Committee (LEC) 2015) (</w:t>
            </w:r>
            <w:r w:rsidRPr="000E7FEF">
              <w:rPr>
                <w:rFonts w:ascii="Times New Roman" w:hAnsi="Times New Roman"/>
                <w:color w:val="7F7F7F" w:themeColor="text1" w:themeTint="80"/>
                <w:sz w:val="14"/>
                <w:szCs w:val="14"/>
              </w:rPr>
              <w:t>Bloemen et al. 2018, p.12</w:t>
            </w:r>
            <w:r w:rsidRPr="000E7FEF">
              <w:rPr>
                <w:rFonts w:ascii="Times New Roman" w:hAnsi="Times New Roman"/>
                <w:sz w:val="14"/>
                <w:szCs w:val="14"/>
              </w:rPr>
              <w:t>).</w:t>
            </w:r>
          </w:p>
          <w:p w14:paraId="5199AD8A" w14:textId="77777777" w:rsidR="00ED6053" w:rsidRPr="00066BF0" w:rsidRDefault="00ED6053" w:rsidP="00FF4124">
            <w:pPr>
              <w:pStyle w:val="CORPOTEXTO"/>
              <w:jc w:val="left"/>
              <w:rPr>
                <w:sz w:val="14"/>
                <w:szCs w:val="14"/>
              </w:rPr>
            </w:pPr>
          </w:p>
        </w:tc>
        <w:tc>
          <w:tcPr>
            <w:tcW w:w="708" w:type="dxa"/>
            <w:tcBorders>
              <w:left w:val="nil"/>
              <w:right w:val="nil"/>
            </w:tcBorders>
          </w:tcPr>
          <w:p w14:paraId="0FA355E3" w14:textId="77777777" w:rsidR="00ED6053" w:rsidRPr="00066BF0" w:rsidRDefault="00ED6053" w:rsidP="00FF4124">
            <w:pPr>
              <w:pStyle w:val="tablecontenttext"/>
              <w:spacing w:line="240" w:lineRule="auto"/>
              <w:jc w:val="both"/>
              <w:rPr>
                <w:rFonts w:ascii="Times New Roman" w:hAnsi="Times New Roman" w:cs="Times New Roman"/>
                <w:sz w:val="14"/>
                <w:szCs w:val="14"/>
              </w:rPr>
            </w:pPr>
            <w:r w:rsidRPr="00066BF0">
              <w:rPr>
                <w:rFonts w:ascii="Times New Roman" w:hAnsi="Times New Roman" w:cs="Times New Roman"/>
                <w:sz w:val="14"/>
                <w:szCs w:val="14"/>
              </w:rPr>
              <w:t>TE2100</w:t>
            </w:r>
          </w:p>
          <w:p w14:paraId="08229546" w14:textId="77777777" w:rsidR="00ED6053" w:rsidRPr="00066BF0" w:rsidRDefault="00ED6053" w:rsidP="00FF4124">
            <w:pPr>
              <w:pStyle w:val="tablecontenttext"/>
              <w:spacing w:line="240" w:lineRule="auto"/>
              <w:jc w:val="both"/>
              <w:rPr>
                <w:rFonts w:ascii="Times New Roman" w:hAnsi="Times New Roman" w:cs="Times New Roman"/>
                <w:sz w:val="14"/>
                <w:szCs w:val="14"/>
              </w:rPr>
            </w:pPr>
            <w:r w:rsidRPr="00066BF0">
              <w:rPr>
                <w:rFonts w:ascii="Times New Roman" w:hAnsi="Times New Roman" w:cs="Times New Roman"/>
                <w:sz w:val="14"/>
                <w:szCs w:val="14"/>
              </w:rPr>
              <w:t>DP2014</w:t>
            </w:r>
          </w:p>
        </w:tc>
        <w:tc>
          <w:tcPr>
            <w:tcW w:w="792" w:type="dxa"/>
            <w:tcBorders>
              <w:left w:val="nil"/>
            </w:tcBorders>
          </w:tcPr>
          <w:p w14:paraId="31C54D90" w14:textId="77777777" w:rsidR="00ED6053" w:rsidRPr="00066BF0" w:rsidRDefault="00ED6053" w:rsidP="00FF4124">
            <w:pPr>
              <w:pStyle w:val="tablecontenttext"/>
              <w:spacing w:line="240" w:lineRule="auto"/>
              <w:jc w:val="both"/>
              <w:rPr>
                <w:rFonts w:ascii="Times New Roman" w:hAnsi="Times New Roman" w:cs="Times New Roman"/>
                <w:sz w:val="14"/>
                <w:szCs w:val="14"/>
              </w:rPr>
            </w:pPr>
            <w:r w:rsidRPr="00066BF0">
              <w:rPr>
                <w:rFonts w:ascii="Times New Roman" w:hAnsi="Times New Roman" w:cs="Times New Roman"/>
                <w:sz w:val="14"/>
                <w:szCs w:val="14"/>
              </w:rPr>
              <w:t>AP&amp;M APs</w:t>
            </w:r>
          </w:p>
        </w:tc>
      </w:tr>
    </w:tbl>
    <w:p w14:paraId="3F5E265F" w14:textId="77777777" w:rsidR="00ED6053" w:rsidRDefault="00ED6053" w:rsidP="00ED6053">
      <w:pPr>
        <w:pStyle w:val="TEXTBODY"/>
      </w:pPr>
    </w:p>
    <w:p w14:paraId="7FC1FC09" w14:textId="77777777" w:rsidR="000E7FEF" w:rsidRDefault="000E7FEF" w:rsidP="00ED6053">
      <w:pPr>
        <w:pStyle w:val="TEXTBODY"/>
      </w:pPr>
    </w:p>
    <w:p w14:paraId="3F819F00" w14:textId="0C3F2030" w:rsidR="000E7FEF" w:rsidRDefault="000E7FEF" w:rsidP="000E7FEF">
      <w:pPr>
        <w:pStyle w:val="Ttulo5"/>
      </w:pPr>
      <w:r>
        <w:t xml:space="preserve">D. </w:t>
      </w:r>
      <w:r w:rsidRPr="005C56D1">
        <w:t>Difficulties and barriers in applying an APs-based approach</w:t>
      </w:r>
    </w:p>
    <w:tbl>
      <w:tblPr>
        <w:tblStyle w:val="TabelacomGrelha"/>
        <w:tblW w:w="5000" w:type="pct"/>
        <w:tblBorders>
          <w:left w:val="none" w:sz="0" w:space="0" w:color="auto"/>
          <w:right w:val="none" w:sz="0" w:space="0" w:color="auto"/>
        </w:tblBorders>
        <w:tblLayout w:type="fixed"/>
        <w:tblCellMar>
          <w:left w:w="85" w:type="dxa"/>
          <w:right w:w="85" w:type="dxa"/>
        </w:tblCellMar>
        <w:tblLook w:val="04A0" w:firstRow="1" w:lastRow="0" w:firstColumn="1" w:lastColumn="0" w:noHBand="0" w:noVBand="1"/>
      </w:tblPr>
      <w:tblGrid>
        <w:gridCol w:w="8364"/>
        <w:gridCol w:w="708"/>
        <w:gridCol w:w="792"/>
      </w:tblGrid>
      <w:tr w:rsidR="00ED6053" w:rsidRPr="005C56D1" w14:paraId="0D4139F7" w14:textId="77777777" w:rsidTr="00FF4124">
        <w:tc>
          <w:tcPr>
            <w:tcW w:w="8364" w:type="dxa"/>
            <w:tcBorders>
              <w:left w:val="nil"/>
              <w:right w:val="nil"/>
            </w:tcBorders>
          </w:tcPr>
          <w:p w14:paraId="73FA6A1A" w14:textId="6A61131E" w:rsidR="00ED6053" w:rsidRPr="005C56D1" w:rsidRDefault="000E7FEF" w:rsidP="00FF4124">
            <w:pPr>
              <w:pStyle w:val="tablecontenttext"/>
              <w:spacing w:afterLines="40" w:after="96" w:line="240" w:lineRule="auto"/>
              <w:rPr>
                <w:rFonts w:ascii="Times New Roman" w:hAnsi="Times New Roman" w:cs="Times New Roman"/>
                <w:b/>
                <w:bCs w:val="0"/>
                <w:sz w:val="14"/>
                <w:szCs w:val="14"/>
              </w:rPr>
            </w:pPr>
            <w:r w:rsidRPr="000E7FEF">
              <w:rPr>
                <w:rFonts w:ascii="Times New Roman" w:hAnsi="Times New Roman" w:cs="Times New Roman"/>
                <w:b/>
                <w:bCs w:val="0"/>
                <w:sz w:val="14"/>
                <w:szCs w:val="14"/>
              </w:rPr>
              <w:t>Table D.</w:t>
            </w:r>
            <w:r w:rsidRPr="005C56D1">
              <w:rPr>
                <w:rFonts w:ascii="Times New Roman" w:hAnsi="Times New Roman" w:cs="Times New Roman"/>
                <w:b/>
                <w:bCs w:val="0"/>
                <w:sz w:val="14"/>
                <w:szCs w:val="14"/>
              </w:rPr>
              <w:t xml:space="preserve"> Difficulties and barriers in applying an APs-based approach</w:t>
            </w:r>
          </w:p>
        </w:tc>
        <w:tc>
          <w:tcPr>
            <w:tcW w:w="708" w:type="dxa"/>
            <w:tcBorders>
              <w:left w:val="nil"/>
              <w:right w:val="nil"/>
            </w:tcBorders>
          </w:tcPr>
          <w:p w14:paraId="68C54F25" w14:textId="77777777" w:rsidR="00ED6053" w:rsidRPr="005C56D1" w:rsidRDefault="00ED6053" w:rsidP="00FF4124">
            <w:pPr>
              <w:pStyle w:val="CORPOTEXTO"/>
              <w:spacing w:after="60"/>
              <w:contextualSpacing/>
              <w:jc w:val="left"/>
              <w:rPr>
                <w:b/>
                <w:sz w:val="14"/>
                <w:szCs w:val="14"/>
              </w:rPr>
            </w:pPr>
            <w:r w:rsidRPr="005C56D1">
              <w:rPr>
                <w:b/>
                <w:sz w:val="14"/>
                <w:szCs w:val="14"/>
              </w:rPr>
              <w:t>Cases</w:t>
            </w:r>
          </w:p>
        </w:tc>
        <w:tc>
          <w:tcPr>
            <w:tcW w:w="792" w:type="dxa"/>
            <w:tcBorders>
              <w:left w:val="nil"/>
            </w:tcBorders>
          </w:tcPr>
          <w:p w14:paraId="747A2743" w14:textId="77777777" w:rsidR="00ED6053" w:rsidRPr="005C56D1" w:rsidRDefault="00ED6053" w:rsidP="00FF4124">
            <w:pPr>
              <w:pStyle w:val="tablecontenttext"/>
              <w:spacing w:line="240" w:lineRule="auto"/>
              <w:contextualSpacing/>
              <w:rPr>
                <w:rFonts w:ascii="Times New Roman" w:hAnsi="Times New Roman" w:cs="Times New Roman"/>
                <w:b/>
                <w:bCs w:val="0"/>
                <w:sz w:val="14"/>
                <w:szCs w:val="14"/>
              </w:rPr>
            </w:pPr>
            <w:r w:rsidRPr="005C56D1">
              <w:rPr>
                <w:rFonts w:ascii="Times New Roman" w:hAnsi="Times New Roman" w:cs="Times New Roman"/>
                <w:b/>
                <w:bCs w:val="0"/>
                <w:sz w:val="14"/>
                <w:szCs w:val="14"/>
              </w:rPr>
              <w:t>Relation w/ key-elements</w:t>
            </w:r>
          </w:p>
        </w:tc>
      </w:tr>
      <w:tr w:rsidR="00ED6053" w:rsidRPr="005C56D1" w14:paraId="3BA6356E" w14:textId="77777777" w:rsidTr="00FF4124">
        <w:tc>
          <w:tcPr>
            <w:tcW w:w="8364" w:type="dxa"/>
            <w:tcBorders>
              <w:left w:val="nil"/>
              <w:right w:val="nil"/>
            </w:tcBorders>
          </w:tcPr>
          <w:p w14:paraId="1A597FB1" w14:textId="77777777" w:rsidR="00ED6053" w:rsidRPr="005C56D1" w:rsidRDefault="00ED6053" w:rsidP="00FF4124">
            <w:pPr>
              <w:pStyle w:val="CORPOTEXTO"/>
              <w:spacing w:afterLines="40" w:after="96"/>
              <w:rPr>
                <w:sz w:val="14"/>
                <w:szCs w:val="14"/>
              </w:rPr>
            </w:pPr>
            <w:r w:rsidRPr="005C56D1">
              <w:rPr>
                <w:sz w:val="14"/>
                <w:szCs w:val="14"/>
              </w:rPr>
              <w:t>The use of a broad range of scenarios is more acceptable in the exploratory phase of the process (</w:t>
            </w:r>
            <w:proofErr w:type="spellStart"/>
            <w:r w:rsidRPr="005C56D1">
              <w:rPr>
                <w:color w:val="7F7F7F" w:themeColor="text1" w:themeTint="80"/>
                <w:sz w:val="14"/>
                <w:szCs w:val="14"/>
              </w:rPr>
              <w:t>Jeuken</w:t>
            </w:r>
            <w:proofErr w:type="spellEnd"/>
            <w:r w:rsidRPr="005C56D1">
              <w:rPr>
                <w:color w:val="7F7F7F" w:themeColor="text1" w:themeTint="80"/>
                <w:sz w:val="14"/>
                <w:szCs w:val="14"/>
              </w:rPr>
              <w:t xml:space="preserve"> et al. 2014, p.1</w:t>
            </w:r>
            <w:r w:rsidRPr="005C56D1">
              <w:rPr>
                <w:sz w:val="14"/>
                <w:szCs w:val="14"/>
              </w:rPr>
              <w:t xml:space="preserve">).  </w:t>
            </w:r>
          </w:p>
        </w:tc>
        <w:tc>
          <w:tcPr>
            <w:tcW w:w="708" w:type="dxa"/>
            <w:tcBorders>
              <w:left w:val="nil"/>
              <w:right w:val="nil"/>
            </w:tcBorders>
          </w:tcPr>
          <w:p w14:paraId="76845D4C" w14:textId="77777777" w:rsidR="00ED6053" w:rsidRPr="005C56D1" w:rsidRDefault="00ED6053" w:rsidP="00FF4124">
            <w:pPr>
              <w:pStyle w:val="CORPOTEXTO"/>
              <w:spacing w:after="60"/>
              <w:contextualSpacing/>
              <w:jc w:val="left"/>
              <w:rPr>
                <w:sz w:val="14"/>
                <w:szCs w:val="14"/>
              </w:rPr>
            </w:pPr>
            <w:r w:rsidRPr="005C56D1">
              <w:rPr>
                <w:sz w:val="14"/>
                <w:szCs w:val="14"/>
              </w:rPr>
              <w:t>TE2100</w:t>
            </w:r>
          </w:p>
        </w:tc>
        <w:tc>
          <w:tcPr>
            <w:tcW w:w="792" w:type="dxa"/>
            <w:tcBorders>
              <w:left w:val="nil"/>
            </w:tcBorders>
          </w:tcPr>
          <w:p w14:paraId="4EFC2F0F"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K1</w:t>
            </w:r>
          </w:p>
        </w:tc>
      </w:tr>
      <w:tr w:rsidR="00ED6053" w:rsidRPr="005C56D1" w14:paraId="75B9BFFF" w14:textId="77777777" w:rsidTr="00FF4124">
        <w:tc>
          <w:tcPr>
            <w:tcW w:w="8364" w:type="dxa"/>
            <w:tcBorders>
              <w:left w:val="nil"/>
              <w:right w:val="nil"/>
            </w:tcBorders>
          </w:tcPr>
          <w:p w14:paraId="725C94C6" w14:textId="77777777" w:rsidR="00ED6053" w:rsidRPr="005C56D1" w:rsidRDefault="00ED6053" w:rsidP="00FF4124">
            <w:pPr>
              <w:pStyle w:val="CORPOTEXTO"/>
              <w:spacing w:afterLines="40" w:after="96"/>
              <w:rPr>
                <w:sz w:val="14"/>
                <w:szCs w:val="14"/>
              </w:rPr>
            </w:pPr>
            <w:r w:rsidRPr="005C56D1">
              <w:rPr>
                <w:sz w:val="14"/>
                <w:szCs w:val="14"/>
              </w:rPr>
              <w:t>The identification of thresholds</w:t>
            </w:r>
            <w:r w:rsidRPr="005C56D1">
              <w:rPr>
                <w:b/>
                <w:bCs/>
                <w:sz w:val="14"/>
                <w:szCs w:val="14"/>
              </w:rPr>
              <w:t xml:space="preserve"> </w:t>
            </w:r>
            <w:r w:rsidRPr="005C56D1">
              <w:rPr>
                <w:sz w:val="14"/>
                <w:szCs w:val="14"/>
              </w:rPr>
              <w:t xml:space="preserve">for some systems can be problematic or difficult for some systems (e.g. ecosystems) or if there is insufficient knowledge. In the TE2100, it was difficult to determine thresholds for impacts on local ecosystems. Even though, it is possible to advance, by gradually postulating such thresholds and then subjecting them to more detailed modelling. If a threshold is potentially critical, it can be further researched and monitored, so that the route-map can be adjusted (e.g. </w:t>
            </w:r>
            <w:r w:rsidRPr="005C56D1">
              <w:rPr>
                <w:bCs/>
                <w:color w:val="000000"/>
                <w:sz w:val="14"/>
                <w:szCs w:val="14"/>
              </w:rPr>
              <w:t>a threshold</w:t>
            </w:r>
            <w:r w:rsidRPr="005C56D1">
              <w:rPr>
                <w:color w:val="000000"/>
                <w:sz w:val="14"/>
                <w:szCs w:val="14"/>
              </w:rPr>
              <w:t xml:space="preserve"> is postulated and subjected to sensitivity analyses). Provided that the APs approach accounts for </w:t>
            </w:r>
            <w:r w:rsidRPr="005C56D1">
              <w:rPr>
                <w:i/>
                <w:iCs/>
                <w:color w:val="000000"/>
                <w:sz w:val="14"/>
                <w:szCs w:val="14"/>
              </w:rPr>
              <w:t>potential surprises</w:t>
            </w:r>
            <w:r w:rsidRPr="005C56D1">
              <w:rPr>
                <w:color w:val="000000"/>
                <w:sz w:val="14"/>
                <w:szCs w:val="14"/>
              </w:rPr>
              <w:t xml:space="preserve"> and ongoing learning, it allows for adjustments to be planned in (</w:t>
            </w:r>
            <w:r w:rsidRPr="005C56D1">
              <w:rPr>
                <w:color w:val="7F7F7F" w:themeColor="text1" w:themeTint="80"/>
                <w:sz w:val="14"/>
                <w:szCs w:val="14"/>
              </w:rPr>
              <w:t>Reeder and Ranger 2011</w:t>
            </w:r>
            <w:r w:rsidRPr="005C56D1">
              <w:rPr>
                <w:sz w:val="14"/>
                <w:szCs w:val="14"/>
              </w:rPr>
              <w:t>;</w:t>
            </w:r>
            <w:r w:rsidRPr="005C56D1">
              <w:rPr>
                <w:color w:val="7F7F7F" w:themeColor="text1" w:themeTint="80"/>
                <w:sz w:val="14"/>
                <w:szCs w:val="14"/>
              </w:rPr>
              <w:t xml:space="preserve"> Ranger et al. 2013</w:t>
            </w:r>
            <w:r w:rsidRPr="005C56D1">
              <w:rPr>
                <w:sz w:val="14"/>
                <w:szCs w:val="14"/>
              </w:rPr>
              <w:t>).</w:t>
            </w:r>
          </w:p>
        </w:tc>
        <w:tc>
          <w:tcPr>
            <w:tcW w:w="708" w:type="dxa"/>
            <w:tcBorders>
              <w:left w:val="nil"/>
              <w:right w:val="nil"/>
            </w:tcBorders>
          </w:tcPr>
          <w:p w14:paraId="64C46BA2" w14:textId="77777777" w:rsidR="00ED6053" w:rsidRPr="005C56D1" w:rsidRDefault="00ED6053" w:rsidP="00FF4124">
            <w:pPr>
              <w:pStyle w:val="CORPOTEXTO"/>
              <w:spacing w:after="60"/>
              <w:contextualSpacing/>
              <w:jc w:val="left"/>
              <w:rPr>
                <w:sz w:val="14"/>
                <w:szCs w:val="14"/>
              </w:rPr>
            </w:pPr>
            <w:r w:rsidRPr="005C56D1">
              <w:rPr>
                <w:sz w:val="14"/>
                <w:szCs w:val="14"/>
              </w:rPr>
              <w:t>TE2100</w:t>
            </w:r>
          </w:p>
        </w:tc>
        <w:tc>
          <w:tcPr>
            <w:tcW w:w="792" w:type="dxa"/>
            <w:tcBorders>
              <w:left w:val="nil"/>
            </w:tcBorders>
          </w:tcPr>
          <w:p w14:paraId="5E6221DB"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K2</w:t>
            </w:r>
          </w:p>
        </w:tc>
      </w:tr>
      <w:tr w:rsidR="00ED6053" w:rsidRPr="005C56D1" w14:paraId="14A2D10F" w14:textId="77777777" w:rsidTr="00FF4124">
        <w:tc>
          <w:tcPr>
            <w:tcW w:w="8364" w:type="dxa"/>
            <w:tcBorders>
              <w:left w:val="nil"/>
              <w:right w:val="nil"/>
            </w:tcBorders>
          </w:tcPr>
          <w:p w14:paraId="720799FC" w14:textId="77777777" w:rsidR="00ED6053" w:rsidRPr="005C56D1" w:rsidRDefault="00ED6053" w:rsidP="00FF4124">
            <w:pPr>
              <w:pStyle w:val="CORPOTEXTO"/>
              <w:spacing w:afterLines="40" w:after="96"/>
              <w:rPr>
                <w:sz w:val="14"/>
                <w:szCs w:val="14"/>
              </w:rPr>
            </w:pPr>
            <w:r w:rsidRPr="005C56D1">
              <w:rPr>
                <w:sz w:val="14"/>
                <w:szCs w:val="14"/>
              </w:rPr>
              <w:t>In the ‘formal appraisal’ of pathways, a potential drawback is that the decision analysis methods used in it are often resource intensive. However, when high stakes are involved, a careful assessment (considering vulnerabilities and uncertainties) is usually justified (</w:t>
            </w:r>
            <w:r w:rsidRPr="005C56D1">
              <w:rPr>
                <w:color w:val="7F7F7F" w:themeColor="text1" w:themeTint="80"/>
                <w:sz w:val="14"/>
                <w:szCs w:val="14"/>
              </w:rPr>
              <w:t>Reeder and Ranger 2011</w:t>
            </w:r>
            <w:r w:rsidRPr="005C56D1">
              <w:rPr>
                <w:sz w:val="14"/>
                <w:szCs w:val="14"/>
              </w:rPr>
              <w:t xml:space="preserve">). </w:t>
            </w:r>
          </w:p>
          <w:p w14:paraId="28AB5E98" w14:textId="77777777" w:rsidR="00ED6053" w:rsidRPr="005C56D1" w:rsidRDefault="00ED6053" w:rsidP="00FF4124">
            <w:pPr>
              <w:pStyle w:val="CORPOTEXTO"/>
              <w:spacing w:afterLines="40" w:after="96"/>
              <w:rPr>
                <w:sz w:val="14"/>
                <w:szCs w:val="14"/>
              </w:rPr>
            </w:pPr>
            <w:r w:rsidRPr="005C56D1">
              <w:rPr>
                <w:sz w:val="14"/>
                <w:szCs w:val="14"/>
              </w:rPr>
              <w:t>During the public consultations, many stakeholders felt that it was difficult to comment on measures for the late century and easier to plan decisions for the near-</w:t>
            </w:r>
            <w:bookmarkStart w:id="143" w:name="_Hlk12474953"/>
            <w:r w:rsidRPr="005C56D1">
              <w:rPr>
                <w:sz w:val="14"/>
                <w:szCs w:val="14"/>
              </w:rPr>
              <w:t xml:space="preserve"> and mid-term (</w:t>
            </w:r>
            <w:r w:rsidRPr="005C56D1">
              <w:rPr>
                <w:color w:val="7F7F7F" w:themeColor="text1" w:themeTint="80"/>
                <w:sz w:val="14"/>
                <w:szCs w:val="14"/>
              </w:rPr>
              <w:t>EA 2012, p.9</w:t>
            </w:r>
            <w:r w:rsidRPr="005C56D1">
              <w:rPr>
                <w:sz w:val="14"/>
                <w:szCs w:val="14"/>
              </w:rPr>
              <w:t>).</w:t>
            </w:r>
            <w:bookmarkEnd w:id="143"/>
          </w:p>
        </w:tc>
        <w:tc>
          <w:tcPr>
            <w:tcW w:w="708" w:type="dxa"/>
            <w:tcBorders>
              <w:left w:val="nil"/>
              <w:right w:val="nil"/>
            </w:tcBorders>
          </w:tcPr>
          <w:p w14:paraId="5158C569" w14:textId="77777777" w:rsidR="00ED6053" w:rsidRPr="005C56D1" w:rsidRDefault="00ED6053" w:rsidP="00FF4124">
            <w:pPr>
              <w:pStyle w:val="CORPOTEXTO"/>
              <w:spacing w:after="60"/>
              <w:contextualSpacing/>
              <w:jc w:val="left"/>
              <w:rPr>
                <w:sz w:val="14"/>
                <w:szCs w:val="14"/>
              </w:rPr>
            </w:pPr>
            <w:r w:rsidRPr="005C56D1">
              <w:rPr>
                <w:sz w:val="14"/>
                <w:szCs w:val="14"/>
              </w:rPr>
              <w:t>TE2100</w:t>
            </w:r>
          </w:p>
        </w:tc>
        <w:tc>
          <w:tcPr>
            <w:tcW w:w="792" w:type="dxa"/>
            <w:tcBorders>
              <w:left w:val="nil"/>
            </w:tcBorders>
          </w:tcPr>
          <w:p w14:paraId="559A1EF7"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K3</w:t>
            </w:r>
          </w:p>
        </w:tc>
      </w:tr>
      <w:tr w:rsidR="00ED6053" w:rsidRPr="005C56D1" w14:paraId="0A3D2551" w14:textId="77777777" w:rsidTr="00FF4124">
        <w:tc>
          <w:tcPr>
            <w:tcW w:w="8364" w:type="dxa"/>
            <w:tcBorders>
              <w:left w:val="nil"/>
              <w:right w:val="nil"/>
            </w:tcBorders>
          </w:tcPr>
          <w:p w14:paraId="453AF26F" w14:textId="77777777" w:rsidR="00ED6053" w:rsidRPr="005C56D1" w:rsidRDefault="00ED6053" w:rsidP="00FF4124">
            <w:pPr>
              <w:pStyle w:val="CORPOTEXTO"/>
              <w:spacing w:afterLines="40" w:after="96"/>
              <w:rPr>
                <w:sz w:val="14"/>
                <w:szCs w:val="14"/>
              </w:rPr>
            </w:pPr>
            <w:r w:rsidRPr="005C56D1">
              <w:rPr>
                <w:sz w:val="14"/>
                <w:szCs w:val="14"/>
              </w:rPr>
              <w:t>Some structural flood protection measures taken in the past do constrain future options and choices. In part, the flexibility</w:t>
            </w:r>
            <w:r w:rsidRPr="005C56D1">
              <w:rPr>
                <w:b/>
                <w:sz w:val="14"/>
                <w:szCs w:val="14"/>
              </w:rPr>
              <w:t xml:space="preserve"> </w:t>
            </w:r>
            <w:r w:rsidRPr="005C56D1">
              <w:rPr>
                <w:sz w:val="14"/>
                <w:szCs w:val="14"/>
              </w:rPr>
              <w:t>of the Plan (its pathways) was constrained by the nature and lifespan of some pre-existent measures (e.g. barriers that are in place for many decades) (</w:t>
            </w:r>
            <w:proofErr w:type="spellStart"/>
            <w:r w:rsidRPr="005C56D1">
              <w:rPr>
                <w:color w:val="7F7F7F" w:themeColor="text1" w:themeTint="80"/>
                <w:sz w:val="14"/>
                <w:szCs w:val="14"/>
              </w:rPr>
              <w:t>Jeuken</w:t>
            </w:r>
            <w:proofErr w:type="spellEnd"/>
            <w:r w:rsidRPr="005C56D1">
              <w:rPr>
                <w:color w:val="7F7F7F" w:themeColor="text1" w:themeTint="80"/>
                <w:sz w:val="14"/>
                <w:szCs w:val="14"/>
              </w:rPr>
              <w:t xml:space="preserve"> et al. 2014</w:t>
            </w:r>
            <w:r w:rsidRPr="005C56D1">
              <w:rPr>
                <w:sz w:val="14"/>
                <w:szCs w:val="14"/>
              </w:rPr>
              <w:t>).</w:t>
            </w:r>
          </w:p>
        </w:tc>
        <w:tc>
          <w:tcPr>
            <w:tcW w:w="708" w:type="dxa"/>
            <w:tcBorders>
              <w:left w:val="nil"/>
              <w:right w:val="nil"/>
            </w:tcBorders>
          </w:tcPr>
          <w:p w14:paraId="017358D5" w14:textId="77777777" w:rsidR="00ED6053" w:rsidRPr="005C56D1" w:rsidRDefault="00ED6053" w:rsidP="00FF4124">
            <w:pPr>
              <w:pStyle w:val="CORPOTEXTO"/>
              <w:spacing w:after="60"/>
              <w:contextualSpacing/>
              <w:jc w:val="left"/>
              <w:rPr>
                <w:sz w:val="14"/>
                <w:szCs w:val="14"/>
              </w:rPr>
            </w:pPr>
            <w:r w:rsidRPr="005C56D1">
              <w:rPr>
                <w:sz w:val="14"/>
                <w:szCs w:val="14"/>
              </w:rPr>
              <w:t>TE2100</w:t>
            </w:r>
          </w:p>
        </w:tc>
        <w:tc>
          <w:tcPr>
            <w:tcW w:w="792" w:type="dxa"/>
            <w:tcBorders>
              <w:left w:val="nil"/>
            </w:tcBorders>
          </w:tcPr>
          <w:p w14:paraId="412381F3"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K3</w:t>
            </w:r>
          </w:p>
        </w:tc>
      </w:tr>
      <w:tr w:rsidR="00ED6053" w:rsidRPr="005C56D1" w14:paraId="031A75F5" w14:textId="77777777" w:rsidTr="00FF4124">
        <w:tc>
          <w:tcPr>
            <w:tcW w:w="8364" w:type="dxa"/>
            <w:tcBorders>
              <w:left w:val="nil"/>
              <w:right w:val="nil"/>
            </w:tcBorders>
          </w:tcPr>
          <w:p w14:paraId="66CD51CA" w14:textId="77777777" w:rsidR="00ED6053" w:rsidRPr="005C56D1" w:rsidRDefault="00ED6053" w:rsidP="00FF4124">
            <w:pPr>
              <w:pStyle w:val="CORPOTEXTO"/>
              <w:spacing w:afterLines="40" w:after="96"/>
              <w:rPr>
                <w:sz w:val="14"/>
                <w:szCs w:val="14"/>
              </w:rPr>
            </w:pPr>
            <w:r w:rsidRPr="005C56D1">
              <w:rPr>
                <w:sz w:val="14"/>
                <w:szCs w:val="14"/>
              </w:rPr>
              <w:t>A disadvantage of the Route-map approach (as other approaches that seek to build in flexibility into the adaptive plan) is related to its greater overall costs. For instance, delaying a measure (e.g. the construction of a defence) can leave people temporarily exposed to storm surges, or imply expensive repairs to existing defences (as in the TE2100 case). Such trade-offs should be carefully assessed in during the Options’ appraisal. In addition, the APs often requires detailed information about the local system (the FRM system, ecosystems), namely for identifying thresholds (</w:t>
            </w:r>
            <w:r w:rsidRPr="005C56D1">
              <w:rPr>
                <w:color w:val="7F7F7F" w:themeColor="text1" w:themeTint="80"/>
                <w:sz w:val="14"/>
                <w:szCs w:val="14"/>
              </w:rPr>
              <w:t>Reeder and Ranger 2011</w:t>
            </w:r>
            <w:r w:rsidRPr="005C56D1">
              <w:rPr>
                <w:sz w:val="14"/>
                <w:szCs w:val="14"/>
              </w:rPr>
              <w:t>).</w:t>
            </w:r>
          </w:p>
        </w:tc>
        <w:tc>
          <w:tcPr>
            <w:tcW w:w="708" w:type="dxa"/>
            <w:tcBorders>
              <w:left w:val="nil"/>
              <w:right w:val="nil"/>
            </w:tcBorders>
          </w:tcPr>
          <w:p w14:paraId="6DC7A984" w14:textId="77777777" w:rsidR="00ED6053" w:rsidRPr="005C56D1" w:rsidRDefault="00ED6053" w:rsidP="00FF4124">
            <w:pPr>
              <w:pStyle w:val="CORPOTEXTO"/>
              <w:spacing w:after="60"/>
              <w:contextualSpacing/>
              <w:jc w:val="left"/>
              <w:rPr>
                <w:sz w:val="14"/>
                <w:szCs w:val="14"/>
              </w:rPr>
            </w:pPr>
            <w:r w:rsidRPr="005C56D1">
              <w:rPr>
                <w:sz w:val="14"/>
                <w:szCs w:val="14"/>
              </w:rPr>
              <w:t>TE2100</w:t>
            </w:r>
          </w:p>
        </w:tc>
        <w:tc>
          <w:tcPr>
            <w:tcW w:w="792" w:type="dxa"/>
            <w:tcBorders>
              <w:left w:val="nil"/>
            </w:tcBorders>
          </w:tcPr>
          <w:p w14:paraId="1FBF25D1"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K3</w:t>
            </w:r>
          </w:p>
        </w:tc>
      </w:tr>
      <w:tr w:rsidR="00ED6053" w:rsidRPr="005C56D1" w14:paraId="529FD5DF" w14:textId="77777777" w:rsidTr="00FF4124">
        <w:tc>
          <w:tcPr>
            <w:tcW w:w="8364" w:type="dxa"/>
            <w:tcBorders>
              <w:left w:val="nil"/>
              <w:right w:val="nil"/>
            </w:tcBorders>
          </w:tcPr>
          <w:p w14:paraId="292BDFDE" w14:textId="77777777" w:rsidR="00ED6053" w:rsidRPr="005C56D1" w:rsidRDefault="00ED6053" w:rsidP="00FF4124">
            <w:pPr>
              <w:pStyle w:val="CORPOTEXTO"/>
              <w:spacing w:afterLines="40" w:after="96"/>
              <w:jc w:val="left"/>
              <w:rPr>
                <w:sz w:val="14"/>
                <w:szCs w:val="14"/>
              </w:rPr>
            </w:pPr>
            <w:r w:rsidRPr="005C56D1">
              <w:rPr>
                <w:sz w:val="14"/>
                <w:szCs w:val="14"/>
              </w:rPr>
              <w:t>The monitoring and review (e.g. the reappraisal of Options) are complicated by the fact that the trends in some variables cannot be easily detected (</w:t>
            </w:r>
            <w:proofErr w:type="spellStart"/>
            <w:r w:rsidRPr="005C56D1">
              <w:rPr>
                <w:color w:val="7F7F7F" w:themeColor="text1" w:themeTint="80"/>
                <w:sz w:val="14"/>
                <w:szCs w:val="14"/>
              </w:rPr>
              <w:t>Jeuken</w:t>
            </w:r>
            <w:proofErr w:type="spellEnd"/>
            <w:r w:rsidRPr="005C56D1">
              <w:rPr>
                <w:color w:val="7F7F7F" w:themeColor="text1" w:themeTint="80"/>
                <w:sz w:val="14"/>
                <w:szCs w:val="14"/>
              </w:rPr>
              <w:t xml:space="preserve"> et al. 2014, p.1</w:t>
            </w:r>
            <w:r w:rsidRPr="005C56D1">
              <w:rPr>
                <w:sz w:val="14"/>
                <w:szCs w:val="14"/>
              </w:rPr>
              <w:t xml:space="preserve">). The TE2100 case suggests that it is necessary to shift from probabilistic modelling to a greater focus on monitoring and observation, on an improved understanding of historical climatic variability, physical systems and processes, their representation in models, </w:t>
            </w:r>
            <w:proofErr w:type="gramStart"/>
            <w:r w:rsidRPr="005C56D1">
              <w:rPr>
                <w:sz w:val="14"/>
                <w:szCs w:val="14"/>
              </w:rPr>
              <w:t>in order to</w:t>
            </w:r>
            <w:proofErr w:type="gramEnd"/>
            <w:r w:rsidRPr="005C56D1">
              <w:rPr>
                <w:sz w:val="14"/>
                <w:szCs w:val="14"/>
              </w:rPr>
              <w:t xml:space="preserve"> improve projections/ scenarios </w:t>
            </w:r>
            <w:r w:rsidRPr="005C56D1">
              <w:rPr>
                <w:color w:val="000000"/>
                <w:sz w:val="14"/>
                <w:szCs w:val="14"/>
              </w:rPr>
              <w:t>(</w:t>
            </w:r>
            <w:r w:rsidRPr="005C56D1">
              <w:rPr>
                <w:color w:val="7F7F7F" w:themeColor="text1" w:themeTint="80"/>
                <w:sz w:val="14"/>
                <w:szCs w:val="14"/>
              </w:rPr>
              <w:t>Ranger et al. 2013, p.234</w:t>
            </w:r>
            <w:r w:rsidRPr="005C56D1">
              <w:rPr>
                <w:color w:val="000000"/>
                <w:sz w:val="14"/>
                <w:szCs w:val="14"/>
              </w:rPr>
              <w:t>).</w:t>
            </w:r>
            <w:r w:rsidRPr="005C56D1">
              <w:rPr>
                <w:sz w:val="14"/>
                <w:szCs w:val="14"/>
              </w:rPr>
              <w:t xml:space="preserve"> </w:t>
            </w:r>
          </w:p>
        </w:tc>
        <w:tc>
          <w:tcPr>
            <w:tcW w:w="708" w:type="dxa"/>
            <w:tcBorders>
              <w:left w:val="nil"/>
              <w:right w:val="nil"/>
            </w:tcBorders>
          </w:tcPr>
          <w:p w14:paraId="13381368" w14:textId="77777777" w:rsidR="00ED6053" w:rsidRPr="005C56D1" w:rsidRDefault="00ED6053" w:rsidP="00FF4124">
            <w:pPr>
              <w:pStyle w:val="CORPOTEXTO"/>
              <w:spacing w:after="60"/>
              <w:contextualSpacing/>
              <w:jc w:val="left"/>
              <w:rPr>
                <w:sz w:val="14"/>
                <w:szCs w:val="14"/>
              </w:rPr>
            </w:pPr>
            <w:r w:rsidRPr="005C56D1">
              <w:rPr>
                <w:sz w:val="14"/>
                <w:szCs w:val="14"/>
              </w:rPr>
              <w:t>TE2100</w:t>
            </w:r>
          </w:p>
        </w:tc>
        <w:tc>
          <w:tcPr>
            <w:tcW w:w="792" w:type="dxa"/>
            <w:tcBorders>
              <w:left w:val="nil"/>
            </w:tcBorders>
          </w:tcPr>
          <w:p w14:paraId="694D3965"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K4</w:t>
            </w:r>
          </w:p>
        </w:tc>
      </w:tr>
      <w:tr w:rsidR="00ED6053" w:rsidRPr="005C56D1" w14:paraId="18D9FCB2" w14:textId="77777777" w:rsidTr="00FF4124">
        <w:tc>
          <w:tcPr>
            <w:tcW w:w="8364" w:type="dxa"/>
            <w:tcBorders>
              <w:left w:val="nil"/>
              <w:right w:val="nil"/>
            </w:tcBorders>
          </w:tcPr>
          <w:p w14:paraId="58DCA15B" w14:textId="77777777" w:rsidR="00ED6053" w:rsidRPr="005C56D1" w:rsidRDefault="00ED6053" w:rsidP="00FF4124">
            <w:pPr>
              <w:pStyle w:val="CORPOTEXTO"/>
              <w:spacing w:afterLines="40" w:after="96"/>
              <w:jc w:val="left"/>
              <w:rPr>
                <w:sz w:val="14"/>
                <w:szCs w:val="14"/>
              </w:rPr>
            </w:pPr>
            <w:r w:rsidRPr="005C56D1">
              <w:rPr>
                <w:sz w:val="14"/>
                <w:szCs w:val="14"/>
              </w:rPr>
              <w:t>Difficulties in ensuring that land will be available for creating new intertidal habitat areas. It has been difficult to obtain land for this purpose; in some areas this will require managed realignment (breaching and realigning existing flood defences). Agreement on the availability of land is needed (</w:t>
            </w:r>
            <w:r w:rsidRPr="005C56D1">
              <w:rPr>
                <w:color w:val="7F7F7F" w:themeColor="text1" w:themeTint="80"/>
                <w:sz w:val="14"/>
                <w:szCs w:val="14"/>
              </w:rPr>
              <w:t>Ramsbottom and Sheppard 2017, p.17</w:t>
            </w:r>
            <w:r w:rsidRPr="005C56D1">
              <w:rPr>
                <w:sz w:val="14"/>
                <w:szCs w:val="14"/>
              </w:rPr>
              <w:t xml:space="preserve">).  </w:t>
            </w:r>
          </w:p>
        </w:tc>
        <w:tc>
          <w:tcPr>
            <w:tcW w:w="708" w:type="dxa"/>
            <w:tcBorders>
              <w:left w:val="nil"/>
              <w:right w:val="nil"/>
            </w:tcBorders>
          </w:tcPr>
          <w:p w14:paraId="2326F5A1" w14:textId="77777777" w:rsidR="00ED6053" w:rsidRPr="005C56D1" w:rsidRDefault="00ED6053" w:rsidP="00FF4124">
            <w:pPr>
              <w:pStyle w:val="CORPOTEXTO"/>
              <w:spacing w:after="60"/>
              <w:contextualSpacing/>
              <w:jc w:val="left"/>
              <w:rPr>
                <w:sz w:val="14"/>
                <w:szCs w:val="14"/>
              </w:rPr>
            </w:pPr>
            <w:r w:rsidRPr="005C56D1">
              <w:rPr>
                <w:sz w:val="14"/>
                <w:szCs w:val="14"/>
              </w:rPr>
              <w:t>TE2100</w:t>
            </w:r>
          </w:p>
        </w:tc>
        <w:tc>
          <w:tcPr>
            <w:tcW w:w="792" w:type="dxa"/>
            <w:tcBorders>
              <w:left w:val="nil"/>
            </w:tcBorders>
          </w:tcPr>
          <w:p w14:paraId="28A9E59A"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K3 sub-elements</w:t>
            </w:r>
          </w:p>
        </w:tc>
      </w:tr>
      <w:tr w:rsidR="00ED6053" w:rsidRPr="005C56D1" w14:paraId="7A9146A4" w14:textId="77777777" w:rsidTr="00FF4124">
        <w:tc>
          <w:tcPr>
            <w:tcW w:w="8364" w:type="dxa"/>
            <w:tcBorders>
              <w:left w:val="nil"/>
              <w:right w:val="nil"/>
            </w:tcBorders>
          </w:tcPr>
          <w:p w14:paraId="7DBFF188" w14:textId="77777777" w:rsidR="00ED6053" w:rsidRPr="005C56D1" w:rsidRDefault="00ED6053" w:rsidP="00FF4124">
            <w:pPr>
              <w:pStyle w:val="CORPOTEXTO"/>
              <w:spacing w:afterLines="40" w:after="96"/>
              <w:jc w:val="left"/>
              <w:rPr>
                <w:sz w:val="14"/>
                <w:szCs w:val="14"/>
              </w:rPr>
            </w:pPr>
            <w:r w:rsidRPr="005C56D1">
              <w:rPr>
                <w:sz w:val="14"/>
                <w:szCs w:val="14"/>
              </w:rPr>
              <w:t xml:space="preserve">The scarce ‘integration’ of studies about different sources of flooding: tidal and fluvial flood risk have been examined in detail in the </w:t>
            </w:r>
            <w:proofErr w:type="gramStart"/>
            <w:r w:rsidRPr="005C56D1">
              <w:rPr>
                <w:sz w:val="14"/>
                <w:szCs w:val="14"/>
              </w:rPr>
              <w:t>TE2100;</w:t>
            </w:r>
            <w:proofErr w:type="gramEnd"/>
            <w:r w:rsidRPr="005C56D1">
              <w:rPr>
                <w:sz w:val="14"/>
                <w:szCs w:val="14"/>
              </w:rPr>
              <w:t xml:space="preserve"> while studies focused on surface water and groundwater. However, their results have not been fully ‘joined up’. The TE2100 Plan has not been linked with drainage plans for the defended areas (</w:t>
            </w:r>
            <w:r w:rsidRPr="005C56D1">
              <w:rPr>
                <w:color w:val="7F7F7F" w:themeColor="text1" w:themeTint="80"/>
                <w:sz w:val="14"/>
                <w:szCs w:val="14"/>
              </w:rPr>
              <w:t>Ramsbottom and Sheppard 2017, p.17</w:t>
            </w:r>
            <w:r w:rsidRPr="005C56D1">
              <w:rPr>
                <w:sz w:val="14"/>
                <w:szCs w:val="14"/>
              </w:rPr>
              <w:t xml:space="preserve">).  </w:t>
            </w:r>
          </w:p>
        </w:tc>
        <w:tc>
          <w:tcPr>
            <w:tcW w:w="708" w:type="dxa"/>
            <w:tcBorders>
              <w:left w:val="nil"/>
              <w:right w:val="nil"/>
            </w:tcBorders>
          </w:tcPr>
          <w:p w14:paraId="47A1E970" w14:textId="77777777" w:rsidR="00ED6053" w:rsidRPr="005C56D1" w:rsidRDefault="00ED6053" w:rsidP="00FF4124">
            <w:pPr>
              <w:pStyle w:val="CORPOTEXTO"/>
              <w:spacing w:after="60"/>
              <w:contextualSpacing/>
              <w:jc w:val="left"/>
              <w:rPr>
                <w:sz w:val="14"/>
                <w:szCs w:val="14"/>
              </w:rPr>
            </w:pPr>
            <w:r w:rsidRPr="005C56D1">
              <w:rPr>
                <w:sz w:val="14"/>
                <w:szCs w:val="14"/>
              </w:rPr>
              <w:t>TE2100</w:t>
            </w:r>
          </w:p>
        </w:tc>
        <w:tc>
          <w:tcPr>
            <w:tcW w:w="792" w:type="dxa"/>
            <w:tcBorders>
              <w:left w:val="nil"/>
            </w:tcBorders>
          </w:tcPr>
          <w:p w14:paraId="2985516B"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K1 + K2</w:t>
            </w:r>
          </w:p>
        </w:tc>
      </w:tr>
      <w:tr w:rsidR="00ED6053" w:rsidRPr="005C56D1" w14:paraId="3B171919" w14:textId="77777777" w:rsidTr="00FF4124">
        <w:tc>
          <w:tcPr>
            <w:tcW w:w="8364" w:type="dxa"/>
            <w:tcBorders>
              <w:left w:val="nil"/>
              <w:right w:val="nil"/>
            </w:tcBorders>
          </w:tcPr>
          <w:p w14:paraId="324FFA70" w14:textId="77777777" w:rsidR="00ED6053" w:rsidRPr="000E7FEF" w:rsidRDefault="00ED6053" w:rsidP="00FF4124">
            <w:pPr>
              <w:pStyle w:val="CORPOTEXTO"/>
              <w:spacing w:afterLines="40" w:after="96"/>
              <w:jc w:val="left"/>
              <w:rPr>
                <w:sz w:val="14"/>
                <w:szCs w:val="14"/>
              </w:rPr>
            </w:pPr>
            <w:r w:rsidRPr="005C56D1">
              <w:rPr>
                <w:b/>
                <w:bCs/>
                <w:sz w:val="14"/>
                <w:szCs w:val="14"/>
              </w:rPr>
              <w:t xml:space="preserve">Difficulty in working with a wide range of scenarios. </w:t>
            </w:r>
            <w:r w:rsidRPr="005C56D1">
              <w:rPr>
                <w:sz w:val="14"/>
                <w:szCs w:val="14"/>
              </w:rPr>
              <w:t>The use of a broad range of scenarios was, in general, more viable in the exploratory phase of the planning process (as in the TE2100 case) (</w:t>
            </w:r>
            <w:proofErr w:type="spellStart"/>
            <w:r w:rsidRPr="005C56D1">
              <w:rPr>
                <w:color w:val="7F7F7F" w:themeColor="text1" w:themeTint="80"/>
                <w:sz w:val="14"/>
                <w:szCs w:val="14"/>
              </w:rPr>
              <w:t>Jeuken</w:t>
            </w:r>
            <w:proofErr w:type="spellEnd"/>
            <w:r w:rsidRPr="005C56D1">
              <w:rPr>
                <w:color w:val="7F7F7F" w:themeColor="text1" w:themeTint="80"/>
                <w:sz w:val="14"/>
                <w:szCs w:val="14"/>
              </w:rPr>
              <w:t xml:space="preserve"> et al. 2014, p.1</w:t>
            </w:r>
            <w:r w:rsidRPr="005C56D1">
              <w:rPr>
                <w:sz w:val="14"/>
                <w:szCs w:val="14"/>
              </w:rPr>
              <w:t xml:space="preserve">). The DP worked with a moderate range of climate scenarios that does not include high-end projections. In </w:t>
            </w:r>
            <w:r w:rsidRPr="000E7FEF">
              <w:rPr>
                <w:sz w:val="14"/>
                <w:szCs w:val="14"/>
              </w:rPr>
              <w:t>the beginning of the DP, the consideration of an ‘high-end scenario for SRL’ (of 1,3m) generated scientific and public controversy, thus, it was abandoned. The scientific willingness to communicate uncertainties may not always be compatible with their political recognition (</w:t>
            </w:r>
            <w:proofErr w:type="spellStart"/>
            <w:r w:rsidRPr="000E7FEF">
              <w:rPr>
                <w:color w:val="7F7F7F" w:themeColor="text1" w:themeTint="80"/>
                <w:sz w:val="14"/>
                <w:szCs w:val="14"/>
              </w:rPr>
              <w:t>Jeuken</w:t>
            </w:r>
            <w:proofErr w:type="spellEnd"/>
            <w:r w:rsidRPr="000E7FEF">
              <w:rPr>
                <w:color w:val="7F7F7F" w:themeColor="text1" w:themeTint="80"/>
                <w:sz w:val="14"/>
                <w:szCs w:val="14"/>
              </w:rPr>
              <w:t xml:space="preserve"> et al. 2014, p.11</w:t>
            </w:r>
            <w:r w:rsidRPr="000E7FEF">
              <w:rPr>
                <w:sz w:val="14"/>
                <w:szCs w:val="14"/>
              </w:rPr>
              <w:t xml:space="preserve">). </w:t>
            </w:r>
            <w:r w:rsidRPr="000E7FEF">
              <w:rPr>
                <w:bCs/>
                <w:sz w:val="14"/>
                <w:szCs w:val="14"/>
              </w:rPr>
              <w:t xml:space="preserve">In the </w:t>
            </w:r>
            <w:r w:rsidRPr="000E7FEF">
              <w:rPr>
                <w:sz w:val="14"/>
                <w:szCs w:val="14"/>
              </w:rPr>
              <w:t>RE-D Subprogramme, experience showed that working with scenarios was easier in theory than in practice: it</w:t>
            </w:r>
            <w:r w:rsidRPr="000E7FEF">
              <w:rPr>
                <w:color w:val="000000"/>
                <w:sz w:val="14"/>
                <w:szCs w:val="14"/>
              </w:rPr>
              <w:t xml:space="preserve"> was too difficult for people to think about four possible futures, they tended to focus on the ‘steam’ and ‘rest’ scenarios (</w:t>
            </w:r>
            <w:proofErr w:type="spellStart"/>
            <w:r w:rsidRPr="000E7FEF">
              <w:rPr>
                <w:color w:val="7F7F7F" w:themeColor="text1" w:themeTint="80"/>
                <w:sz w:val="14"/>
                <w:szCs w:val="14"/>
              </w:rPr>
              <w:t>Restemeyer</w:t>
            </w:r>
            <w:proofErr w:type="spellEnd"/>
            <w:r w:rsidRPr="000E7FEF">
              <w:rPr>
                <w:color w:val="7F7F7F" w:themeColor="text1" w:themeTint="80"/>
                <w:sz w:val="14"/>
                <w:szCs w:val="14"/>
              </w:rPr>
              <w:t xml:space="preserve"> et al. 2017, p.931</w:t>
            </w:r>
            <w:r w:rsidRPr="000E7FEF">
              <w:rPr>
                <w:sz w:val="14"/>
                <w:szCs w:val="14"/>
              </w:rPr>
              <w:t xml:space="preserve">). The idea that ‘whatever scenario happens, the existing defence system can cope with </w:t>
            </w:r>
            <w:proofErr w:type="gramStart"/>
            <w:r w:rsidRPr="000E7FEF">
              <w:rPr>
                <w:sz w:val="14"/>
                <w:szCs w:val="14"/>
              </w:rPr>
              <w:t>it</w:t>
            </w:r>
            <w:proofErr w:type="gramEnd"/>
            <w:r w:rsidRPr="000E7FEF">
              <w:rPr>
                <w:sz w:val="14"/>
                <w:szCs w:val="14"/>
              </w:rPr>
              <w:t xml:space="preserve"> and it will not require radical modifications’ hampered the identification of tipping-points and visualization of pathways (</w:t>
            </w:r>
            <w:proofErr w:type="spellStart"/>
            <w:r w:rsidRPr="000E7FEF">
              <w:rPr>
                <w:color w:val="7F7F7F" w:themeColor="text1" w:themeTint="80"/>
                <w:sz w:val="14"/>
                <w:szCs w:val="14"/>
              </w:rPr>
              <w:t>Restemeyer</w:t>
            </w:r>
            <w:proofErr w:type="spellEnd"/>
            <w:r w:rsidRPr="000E7FEF">
              <w:rPr>
                <w:color w:val="7F7F7F" w:themeColor="text1" w:themeTint="80"/>
                <w:sz w:val="14"/>
                <w:szCs w:val="14"/>
              </w:rPr>
              <w:t xml:space="preserve"> et al. 2017, p.931</w:t>
            </w:r>
            <w:r w:rsidRPr="000E7FEF">
              <w:rPr>
                <w:sz w:val="14"/>
                <w:szCs w:val="14"/>
              </w:rPr>
              <w:t>).</w:t>
            </w:r>
          </w:p>
          <w:p w14:paraId="41477414" w14:textId="77777777" w:rsidR="00ED6053" w:rsidRPr="005C56D1" w:rsidRDefault="00ED6053" w:rsidP="00FF4124">
            <w:pPr>
              <w:pStyle w:val="CORPOTEXTO"/>
              <w:spacing w:afterLines="40" w:after="96"/>
              <w:jc w:val="left"/>
              <w:rPr>
                <w:b/>
                <w:bCs/>
                <w:sz w:val="14"/>
                <w:szCs w:val="14"/>
              </w:rPr>
            </w:pPr>
            <w:r w:rsidRPr="000E7FEF">
              <w:rPr>
                <w:bCs/>
                <w:sz w:val="14"/>
                <w:szCs w:val="14"/>
              </w:rPr>
              <w:t xml:space="preserve">The Delta Scenarios disregard the institutional and governance aspects, e.g. what may be the role of the state, market and society under different scenarios </w:t>
            </w:r>
            <w:r w:rsidRPr="000E7FEF">
              <w:rPr>
                <w:color w:val="000000"/>
                <w:sz w:val="14"/>
                <w:szCs w:val="14"/>
              </w:rPr>
              <w:t>(</w:t>
            </w:r>
            <w:proofErr w:type="spellStart"/>
            <w:r w:rsidRPr="000E7FEF">
              <w:rPr>
                <w:color w:val="7F7F7F" w:themeColor="text1" w:themeTint="80"/>
                <w:sz w:val="14"/>
                <w:szCs w:val="14"/>
              </w:rPr>
              <w:t>Restemeyer</w:t>
            </w:r>
            <w:proofErr w:type="spellEnd"/>
            <w:r w:rsidRPr="000E7FEF">
              <w:rPr>
                <w:color w:val="7F7F7F" w:themeColor="text1" w:themeTint="80"/>
                <w:sz w:val="14"/>
                <w:szCs w:val="14"/>
              </w:rPr>
              <w:t xml:space="preserve"> et al.2017, p.932; Brugge and Bruggeman</w:t>
            </w:r>
            <w:r w:rsidRPr="005C56D1">
              <w:rPr>
                <w:sz w:val="14"/>
                <w:szCs w:val="14"/>
              </w:rPr>
              <w:t>).</w:t>
            </w:r>
          </w:p>
        </w:tc>
        <w:tc>
          <w:tcPr>
            <w:tcW w:w="708" w:type="dxa"/>
            <w:tcBorders>
              <w:left w:val="nil"/>
              <w:right w:val="nil"/>
            </w:tcBorders>
          </w:tcPr>
          <w:p w14:paraId="6D3CF17D" w14:textId="77777777" w:rsidR="00ED6053" w:rsidRPr="005C56D1" w:rsidRDefault="00ED6053" w:rsidP="00FF4124">
            <w:pPr>
              <w:pStyle w:val="CORPOTEXTO"/>
              <w:spacing w:after="60"/>
              <w:contextualSpacing/>
              <w:jc w:val="left"/>
              <w:rPr>
                <w:sz w:val="14"/>
                <w:szCs w:val="14"/>
              </w:rPr>
            </w:pPr>
            <w:r w:rsidRPr="005C56D1">
              <w:rPr>
                <w:sz w:val="14"/>
                <w:szCs w:val="14"/>
              </w:rPr>
              <w:t>DP2014</w:t>
            </w:r>
          </w:p>
        </w:tc>
        <w:tc>
          <w:tcPr>
            <w:tcW w:w="792" w:type="dxa"/>
            <w:tcBorders>
              <w:left w:val="nil"/>
            </w:tcBorders>
          </w:tcPr>
          <w:p w14:paraId="56093A86"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K1</w:t>
            </w:r>
          </w:p>
        </w:tc>
      </w:tr>
      <w:tr w:rsidR="00ED6053" w:rsidRPr="005C56D1" w14:paraId="72A80307" w14:textId="77777777" w:rsidTr="00FF4124">
        <w:tc>
          <w:tcPr>
            <w:tcW w:w="8364" w:type="dxa"/>
            <w:tcBorders>
              <w:left w:val="nil"/>
              <w:right w:val="nil"/>
            </w:tcBorders>
          </w:tcPr>
          <w:p w14:paraId="002A9593" w14:textId="77777777" w:rsidR="00ED6053" w:rsidRPr="005C56D1" w:rsidRDefault="00ED6053" w:rsidP="00FF4124">
            <w:pPr>
              <w:pStyle w:val="CORPOTEXTO"/>
              <w:jc w:val="left"/>
              <w:rPr>
                <w:sz w:val="14"/>
                <w:szCs w:val="14"/>
              </w:rPr>
            </w:pPr>
            <w:r w:rsidRPr="005C56D1">
              <w:rPr>
                <w:b/>
                <w:bCs/>
                <w:sz w:val="14"/>
                <w:szCs w:val="14"/>
              </w:rPr>
              <w:t>Difficulty in and complexity of identifying ATPs</w:t>
            </w:r>
            <w:r w:rsidRPr="005C56D1">
              <w:rPr>
                <w:sz w:val="14"/>
                <w:szCs w:val="14"/>
              </w:rPr>
              <w:t>.</w:t>
            </w:r>
            <w:r w:rsidRPr="005C56D1">
              <w:rPr>
                <w:b/>
                <w:bCs/>
                <w:sz w:val="14"/>
                <w:szCs w:val="14"/>
              </w:rPr>
              <w:t xml:space="preserve"> </w:t>
            </w:r>
            <w:r w:rsidRPr="005C56D1">
              <w:rPr>
                <w:sz w:val="14"/>
                <w:szCs w:val="14"/>
              </w:rPr>
              <w:t>The identification of ATPs was deemed one of the most challenging aspects of ADM by the DP staff (</w:t>
            </w:r>
            <w:proofErr w:type="spellStart"/>
            <w:r w:rsidRPr="005C56D1">
              <w:rPr>
                <w:color w:val="7F7F7F" w:themeColor="text1" w:themeTint="80"/>
                <w:sz w:val="14"/>
                <w:szCs w:val="14"/>
              </w:rPr>
              <w:t>Gersonius</w:t>
            </w:r>
            <w:proofErr w:type="spellEnd"/>
            <w:r w:rsidRPr="005C56D1">
              <w:rPr>
                <w:color w:val="7F7F7F" w:themeColor="text1" w:themeTint="80"/>
                <w:sz w:val="14"/>
                <w:szCs w:val="14"/>
              </w:rPr>
              <w:t xml:space="preserve"> et al. 2016</w:t>
            </w:r>
            <w:r w:rsidRPr="005C56D1">
              <w:rPr>
                <w:sz w:val="14"/>
                <w:szCs w:val="14"/>
              </w:rPr>
              <w:t>). Some hindrances that hampered the identification of ATPs (in the DP) were:</w:t>
            </w:r>
          </w:p>
          <w:p w14:paraId="7CB8D26F" w14:textId="77777777" w:rsidR="00ED6053" w:rsidRPr="005C56D1" w:rsidRDefault="00ED6053" w:rsidP="00ED6053">
            <w:pPr>
              <w:pStyle w:val="CORPOTEXTO"/>
              <w:numPr>
                <w:ilvl w:val="0"/>
                <w:numId w:val="133"/>
              </w:numPr>
              <w:ind w:left="336" w:hanging="357"/>
              <w:jc w:val="left"/>
              <w:rPr>
                <w:sz w:val="14"/>
                <w:szCs w:val="14"/>
              </w:rPr>
            </w:pPr>
            <w:r w:rsidRPr="005C56D1">
              <w:rPr>
                <w:sz w:val="14"/>
                <w:szCs w:val="14"/>
              </w:rPr>
              <w:t>ATPs are difficult to identify where the signals of climate change are weak in relation to the natural variability of the system, as in river discharges.</w:t>
            </w:r>
          </w:p>
          <w:p w14:paraId="596DE8B5" w14:textId="77777777" w:rsidR="00ED6053" w:rsidRPr="005C56D1" w:rsidRDefault="00ED6053" w:rsidP="00ED6053">
            <w:pPr>
              <w:pStyle w:val="CORPOTEXTO"/>
              <w:numPr>
                <w:ilvl w:val="0"/>
                <w:numId w:val="133"/>
              </w:numPr>
              <w:ind w:left="336" w:hanging="357"/>
              <w:jc w:val="left"/>
              <w:rPr>
                <w:sz w:val="14"/>
                <w:szCs w:val="14"/>
              </w:rPr>
            </w:pPr>
            <w:r w:rsidRPr="005C56D1">
              <w:rPr>
                <w:sz w:val="14"/>
                <w:szCs w:val="14"/>
              </w:rPr>
              <w:t xml:space="preserve">It is not straightforward to determine threshold values in the absence of binding safety norms, which happens in </w:t>
            </w:r>
            <w:proofErr w:type="spellStart"/>
            <w:r w:rsidRPr="005C56D1">
              <w:rPr>
                <w:sz w:val="14"/>
                <w:szCs w:val="14"/>
              </w:rPr>
              <w:t>unembanked</w:t>
            </w:r>
            <w:proofErr w:type="spellEnd"/>
            <w:r w:rsidRPr="005C56D1">
              <w:rPr>
                <w:sz w:val="14"/>
                <w:szCs w:val="14"/>
              </w:rPr>
              <w:t xml:space="preserve"> areas.</w:t>
            </w:r>
          </w:p>
          <w:p w14:paraId="68853DB2" w14:textId="77777777" w:rsidR="00ED6053" w:rsidRPr="005C56D1" w:rsidRDefault="00ED6053" w:rsidP="00ED6053">
            <w:pPr>
              <w:pStyle w:val="CORPOTEXTO"/>
              <w:numPr>
                <w:ilvl w:val="0"/>
                <w:numId w:val="133"/>
              </w:numPr>
              <w:ind w:left="336" w:hanging="357"/>
              <w:jc w:val="left"/>
              <w:rPr>
                <w:sz w:val="14"/>
                <w:szCs w:val="14"/>
              </w:rPr>
            </w:pPr>
            <w:r w:rsidRPr="005C56D1">
              <w:rPr>
                <w:sz w:val="14"/>
                <w:szCs w:val="14"/>
              </w:rPr>
              <w:t xml:space="preserve">ATPs are difficult to identify in the case of strategies that are inherently flexible, e.g. sand nourishment (which can be extended indefinitely). </w:t>
            </w:r>
          </w:p>
          <w:p w14:paraId="5A9CBC9D" w14:textId="77777777" w:rsidR="00ED6053" w:rsidRDefault="00ED6053" w:rsidP="00ED6053">
            <w:pPr>
              <w:pStyle w:val="CORPOTEXTO"/>
              <w:numPr>
                <w:ilvl w:val="0"/>
                <w:numId w:val="133"/>
              </w:numPr>
              <w:ind w:left="336" w:hanging="357"/>
              <w:jc w:val="left"/>
              <w:rPr>
                <w:sz w:val="14"/>
                <w:szCs w:val="14"/>
              </w:rPr>
            </w:pPr>
            <w:r w:rsidRPr="005C56D1">
              <w:rPr>
                <w:sz w:val="14"/>
                <w:szCs w:val="14"/>
              </w:rPr>
              <w:t>the ATP works for slowly changing conditions, but for drivers affected by extreme events / sudden changes, it runs the risk of being too late (</w:t>
            </w:r>
            <w:proofErr w:type="spellStart"/>
            <w:r w:rsidRPr="005C56D1">
              <w:rPr>
                <w:color w:val="7F7F7F" w:themeColor="text1" w:themeTint="80"/>
                <w:sz w:val="14"/>
                <w:szCs w:val="14"/>
              </w:rPr>
              <w:t>Gersonius</w:t>
            </w:r>
            <w:proofErr w:type="spellEnd"/>
            <w:r w:rsidRPr="005C56D1">
              <w:rPr>
                <w:color w:val="7F7F7F" w:themeColor="text1" w:themeTint="80"/>
                <w:sz w:val="14"/>
                <w:szCs w:val="14"/>
              </w:rPr>
              <w:t xml:space="preserve"> et al. 2016; Zevenbergen et al. 2018; </w:t>
            </w:r>
            <w:proofErr w:type="spellStart"/>
            <w:r w:rsidRPr="005C56D1">
              <w:rPr>
                <w:color w:val="7F7F7F" w:themeColor="text1" w:themeTint="80"/>
                <w:sz w:val="14"/>
                <w:szCs w:val="14"/>
              </w:rPr>
              <w:t>Haasnoot</w:t>
            </w:r>
            <w:proofErr w:type="spellEnd"/>
            <w:r w:rsidRPr="005C56D1">
              <w:rPr>
                <w:color w:val="7F7F7F" w:themeColor="text1" w:themeTint="80"/>
                <w:sz w:val="14"/>
                <w:szCs w:val="14"/>
              </w:rPr>
              <w:t xml:space="preserve"> et al. 2013</w:t>
            </w:r>
            <w:r w:rsidRPr="005C56D1">
              <w:rPr>
                <w:sz w:val="14"/>
                <w:szCs w:val="14"/>
              </w:rPr>
              <w:t xml:space="preserve">). </w:t>
            </w:r>
          </w:p>
          <w:p w14:paraId="49FCC2E7" w14:textId="77777777" w:rsidR="00ED6053" w:rsidRPr="005C56D1" w:rsidRDefault="00ED6053" w:rsidP="00FF4124">
            <w:pPr>
              <w:pStyle w:val="CORPOTEXTO"/>
              <w:ind w:left="336"/>
              <w:jc w:val="left"/>
              <w:rPr>
                <w:sz w:val="14"/>
                <w:szCs w:val="14"/>
              </w:rPr>
            </w:pPr>
          </w:p>
          <w:p w14:paraId="00CDF907" w14:textId="77777777" w:rsidR="00ED6053" w:rsidRPr="005C56D1" w:rsidRDefault="00ED6053" w:rsidP="00FF4124">
            <w:pPr>
              <w:pStyle w:val="CORPOTEXTO"/>
              <w:spacing w:afterLines="40" w:after="96"/>
              <w:jc w:val="left"/>
              <w:rPr>
                <w:bCs/>
                <w:sz w:val="14"/>
                <w:szCs w:val="14"/>
              </w:rPr>
            </w:pPr>
            <w:r w:rsidRPr="005C56D1">
              <w:rPr>
                <w:b/>
                <w:bCs/>
                <w:sz w:val="14"/>
                <w:szCs w:val="14"/>
              </w:rPr>
              <w:lastRenderedPageBreak/>
              <w:t xml:space="preserve">Difficulty in determining tipping-points </w:t>
            </w:r>
            <w:bookmarkStart w:id="144" w:name="_Hlk185363905"/>
            <w:r w:rsidRPr="005C56D1">
              <w:rPr>
                <w:b/>
                <w:bCs/>
                <w:sz w:val="14"/>
                <w:szCs w:val="14"/>
              </w:rPr>
              <w:t>in situations where: a) there is large natural variability, b) intrinsically flexible strategies are used, c) there are no clear policy goals defined</w:t>
            </w:r>
            <w:bookmarkEnd w:id="144"/>
            <w:r w:rsidRPr="005C56D1">
              <w:rPr>
                <w:b/>
                <w:bCs/>
                <w:sz w:val="14"/>
                <w:szCs w:val="14"/>
              </w:rPr>
              <w:t xml:space="preserve"> </w:t>
            </w:r>
            <w:r w:rsidRPr="005C56D1">
              <w:rPr>
                <w:bCs/>
                <w:sz w:val="14"/>
                <w:szCs w:val="14"/>
              </w:rPr>
              <w:t>(</w:t>
            </w:r>
            <w:r>
              <w:rPr>
                <w:color w:val="7F7F7F" w:themeColor="text1" w:themeTint="80"/>
                <w:sz w:val="14"/>
                <w:szCs w:val="14"/>
              </w:rPr>
              <w:t>Bloemen et al. 2018</w:t>
            </w:r>
            <w:r w:rsidRPr="005C56D1">
              <w:rPr>
                <w:bCs/>
                <w:sz w:val="14"/>
                <w:szCs w:val="14"/>
              </w:rPr>
              <w:t>)</w:t>
            </w:r>
            <w:r w:rsidRPr="005C56D1">
              <w:rPr>
                <w:sz w:val="14"/>
                <w:szCs w:val="14"/>
              </w:rPr>
              <w:t>.</w:t>
            </w:r>
            <w:r w:rsidRPr="005C56D1">
              <w:rPr>
                <w:b/>
                <w:bCs/>
                <w:sz w:val="14"/>
                <w:szCs w:val="14"/>
              </w:rPr>
              <w:t xml:space="preserve"> </w:t>
            </w:r>
            <w:r w:rsidRPr="005C56D1">
              <w:rPr>
                <w:sz w:val="14"/>
                <w:szCs w:val="14"/>
              </w:rPr>
              <w:t xml:space="preserve">In the APs, it is implicitly assumed that some physical parameters that influence flood risk (e.g. climatic conditions that influence the probability of floods, or socioeconomic developments that influence the consequences of a flood) change gradually and allow societal systems to react and shift to a new measure. This works well in situations characterized by gradual trends / slow changes, e.g. SLR, however, evidence shows that, in situations of large natural variability, the determination of tipping-points is challenging. For instance, there is usually a great difficulty in monitoring changes in the patterns of storms, droughts, etc., in conjunction with a lack of observations of extreme events. The detection of climate change-induced </w:t>
            </w:r>
            <w:r w:rsidRPr="005C56D1">
              <w:rPr>
                <w:color w:val="000000" w:themeColor="text1"/>
                <w:sz w:val="14"/>
                <w:szCs w:val="14"/>
              </w:rPr>
              <w:t>changes in certain parameters, e</w:t>
            </w:r>
            <w:r w:rsidRPr="005C56D1">
              <w:rPr>
                <w:sz w:val="14"/>
                <w:szCs w:val="14"/>
              </w:rPr>
              <w:t>.g. in river discharges, requires detailed monitoring data and model calculations and often shows that the natural variability is so high that it may take 3 or 4 decades until CC signals can be distinguished accurately. Further research is needed to discern CC signals from ‘common’ monitoring measurements, through approaches that use observations and future projections, scenarios and modelling; t</w:t>
            </w:r>
            <w:r w:rsidRPr="005C56D1">
              <w:rPr>
                <w:bCs/>
                <w:sz w:val="14"/>
                <w:szCs w:val="14"/>
              </w:rPr>
              <w:t>here is a need of methods to distinguish climate signals from highly variable measurements of physical conditions (</w:t>
            </w:r>
            <w:r>
              <w:rPr>
                <w:color w:val="7F7F7F" w:themeColor="text1" w:themeTint="80"/>
                <w:sz w:val="14"/>
                <w:szCs w:val="14"/>
              </w:rPr>
              <w:t>Bloemen et al. 2018</w:t>
            </w:r>
            <w:r w:rsidRPr="005C56D1">
              <w:rPr>
                <w:color w:val="7F7F7F" w:themeColor="text1" w:themeTint="80"/>
                <w:sz w:val="14"/>
                <w:szCs w:val="14"/>
              </w:rPr>
              <w:t>, p.14</w:t>
            </w:r>
            <w:r w:rsidRPr="005C56D1">
              <w:rPr>
                <w:bCs/>
                <w:sz w:val="14"/>
                <w:szCs w:val="14"/>
              </w:rPr>
              <w:t>)</w:t>
            </w:r>
            <w:r w:rsidRPr="005C56D1">
              <w:rPr>
                <w:sz w:val="14"/>
                <w:szCs w:val="14"/>
              </w:rPr>
              <w:t>.</w:t>
            </w:r>
            <w:r w:rsidRPr="005C56D1">
              <w:rPr>
                <w:bCs/>
                <w:sz w:val="14"/>
                <w:szCs w:val="14"/>
              </w:rPr>
              <w:t xml:space="preserve"> </w:t>
            </w:r>
          </w:p>
          <w:p w14:paraId="78D7449A" w14:textId="77777777" w:rsidR="00ED6053" w:rsidRPr="005C56D1" w:rsidRDefault="00ED6053" w:rsidP="00FF4124">
            <w:pPr>
              <w:pStyle w:val="CORPOTEXTO"/>
              <w:spacing w:afterLines="40" w:after="96"/>
              <w:jc w:val="left"/>
              <w:rPr>
                <w:color w:val="C00000"/>
                <w:sz w:val="14"/>
                <w:szCs w:val="14"/>
              </w:rPr>
            </w:pPr>
            <w:r w:rsidRPr="005C56D1">
              <w:rPr>
                <w:sz w:val="14"/>
                <w:szCs w:val="14"/>
              </w:rPr>
              <w:t xml:space="preserve">It is also difficult to determine ATPs where there are not precise goals, and when strategies are inherently flexible. The DP’s strategy to manage coastal flood risk is sand nourishment, which is flexible: the sand volume supplied per year can be increased / decreased according to the observed SLR rate </w:t>
            </w:r>
            <w:r w:rsidRPr="005C56D1">
              <w:rPr>
                <w:bCs/>
                <w:sz w:val="14"/>
                <w:szCs w:val="14"/>
              </w:rPr>
              <w:t>(</w:t>
            </w:r>
            <w:r>
              <w:rPr>
                <w:color w:val="7F7F7F" w:themeColor="text1" w:themeTint="80"/>
                <w:sz w:val="14"/>
                <w:szCs w:val="14"/>
              </w:rPr>
              <w:t>Bloemen et al. 2018</w:t>
            </w:r>
            <w:r w:rsidRPr="005C56D1">
              <w:rPr>
                <w:color w:val="7F7F7F" w:themeColor="text1" w:themeTint="80"/>
                <w:sz w:val="14"/>
                <w:szCs w:val="14"/>
              </w:rPr>
              <w:t>, p.14</w:t>
            </w:r>
            <w:r w:rsidRPr="005C56D1">
              <w:rPr>
                <w:bCs/>
                <w:sz w:val="14"/>
                <w:szCs w:val="14"/>
              </w:rPr>
              <w:t>).</w:t>
            </w:r>
            <w:r w:rsidRPr="005C56D1">
              <w:rPr>
                <w:color w:val="C00000"/>
                <w:sz w:val="14"/>
                <w:szCs w:val="14"/>
              </w:rPr>
              <w:t xml:space="preserve"> </w:t>
            </w:r>
          </w:p>
        </w:tc>
        <w:tc>
          <w:tcPr>
            <w:tcW w:w="708" w:type="dxa"/>
            <w:tcBorders>
              <w:left w:val="nil"/>
              <w:right w:val="nil"/>
            </w:tcBorders>
          </w:tcPr>
          <w:p w14:paraId="756FB796" w14:textId="77777777" w:rsidR="00ED6053" w:rsidRPr="005C56D1" w:rsidRDefault="00ED6053" w:rsidP="00FF4124">
            <w:pPr>
              <w:pStyle w:val="CORPOTEXTO"/>
              <w:spacing w:after="60"/>
              <w:contextualSpacing/>
              <w:jc w:val="left"/>
              <w:rPr>
                <w:sz w:val="14"/>
                <w:szCs w:val="14"/>
              </w:rPr>
            </w:pPr>
            <w:r w:rsidRPr="005C56D1">
              <w:rPr>
                <w:sz w:val="14"/>
                <w:szCs w:val="14"/>
              </w:rPr>
              <w:lastRenderedPageBreak/>
              <w:t>DP2014</w:t>
            </w:r>
          </w:p>
        </w:tc>
        <w:tc>
          <w:tcPr>
            <w:tcW w:w="792" w:type="dxa"/>
            <w:tcBorders>
              <w:left w:val="nil"/>
            </w:tcBorders>
          </w:tcPr>
          <w:p w14:paraId="59E2F398"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K2</w:t>
            </w:r>
          </w:p>
        </w:tc>
      </w:tr>
      <w:tr w:rsidR="00ED6053" w:rsidRPr="005C56D1" w14:paraId="69E27C90" w14:textId="77777777" w:rsidTr="00FF4124">
        <w:tc>
          <w:tcPr>
            <w:tcW w:w="8364" w:type="dxa"/>
            <w:tcBorders>
              <w:left w:val="nil"/>
              <w:right w:val="nil"/>
            </w:tcBorders>
          </w:tcPr>
          <w:p w14:paraId="32892A91" w14:textId="77777777" w:rsidR="00ED6053" w:rsidRPr="005C56D1" w:rsidRDefault="00ED6053" w:rsidP="00FF4124">
            <w:pPr>
              <w:pStyle w:val="CORPOTEXTO"/>
              <w:spacing w:afterLines="40" w:after="96"/>
              <w:jc w:val="left"/>
              <w:rPr>
                <w:b/>
                <w:bCs/>
                <w:sz w:val="14"/>
                <w:szCs w:val="14"/>
              </w:rPr>
            </w:pPr>
            <w:r w:rsidRPr="005C56D1">
              <w:rPr>
                <w:sz w:val="14"/>
                <w:szCs w:val="14"/>
              </w:rPr>
              <w:t>While some variables / indicators can be easily monitored (e.g. SLR), others present more challenges, e.g. river discharge. River discharge shows a large natural variability (it can increase or decrease during a period without a pattern). In the DP, it was nearly impossible to distinguish climate change signals from natural variations in river discharge. Hence, the DP decided to assume a fixed value of river discharge (maximum value): 17 000 m</w:t>
            </w:r>
            <w:r w:rsidRPr="005C56D1">
              <w:rPr>
                <w:sz w:val="14"/>
                <w:szCs w:val="14"/>
                <w:vertAlign w:val="superscript"/>
              </w:rPr>
              <w:t>3</w:t>
            </w:r>
            <w:r w:rsidRPr="005C56D1">
              <w:rPr>
                <w:sz w:val="14"/>
                <w:szCs w:val="14"/>
              </w:rPr>
              <w:t>/s in 2050 and 18000 m</w:t>
            </w:r>
            <w:r w:rsidRPr="005C56D1">
              <w:rPr>
                <w:sz w:val="14"/>
                <w:szCs w:val="14"/>
                <w:vertAlign w:val="superscript"/>
              </w:rPr>
              <w:t>3</w:t>
            </w:r>
            <w:r w:rsidRPr="005C56D1">
              <w:rPr>
                <w:sz w:val="14"/>
                <w:szCs w:val="14"/>
              </w:rPr>
              <w:t>/s in 2100. However, as noted by the DP Staff member responsible for ADM, taking decisions and measures based on ‘</w:t>
            </w:r>
            <w:proofErr w:type="gramStart"/>
            <w:r w:rsidRPr="005C56D1">
              <w:rPr>
                <w:sz w:val="14"/>
                <w:szCs w:val="14"/>
              </w:rPr>
              <w:t>artificially-fixed</w:t>
            </w:r>
            <w:proofErr w:type="gramEnd"/>
            <w:r w:rsidRPr="005C56D1">
              <w:rPr>
                <w:sz w:val="14"/>
                <w:szCs w:val="14"/>
              </w:rPr>
              <w:t>’ worst future conditions (in cases where one cannot rely on monitoring) goes against the idea of ‘flexibility’. Setting a fixed value resembles more a ‘predict-and-control’ approach</w:t>
            </w:r>
            <w:r w:rsidRPr="005C56D1">
              <w:rPr>
                <w:iCs/>
                <w:sz w:val="14"/>
                <w:szCs w:val="14"/>
              </w:rPr>
              <w:t xml:space="preserve"> than an adaptive approach (</w:t>
            </w:r>
            <w:proofErr w:type="spellStart"/>
            <w:r w:rsidRPr="005C56D1">
              <w:rPr>
                <w:color w:val="7F7F7F" w:themeColor="text1" w:themeTint="80"/>
                <w:sz w:val="14"/>
                <w:szCs w:val="14"/>
              </w:rPr>
              <w:t>Restemeyer</w:t>
            </w:r>
            <w:proofErr w:type="spellEnd"/>
            <w:r w:rsidRPr="005C56D1">
              <w:rPr>
                <w:color w:val="7F7F7F" w:themeColor="text1" w:themeTint="80"/>
                <w:sz w:val="14"/>
                <w:szCs w:val="14"/>
              </w:rPr>
              <w:t xml:space="preserve"> et al. 2017, p.931</w:t>
            </w:r>
            <w:r w:rsidRPr="005C56D1">
              <w:rPr>
                <w:sz w:val="14"/>
                <w:szCs w:val="14"/>
              </w:rPr>
              <w:t>)</w:t>
            </w:r>
          </w:p>
        </w:tc>
        <w:tc>
          <w:tcPr>
            <w:tcW w:w="708" w:type="dxa"/>
            <w:tcBorders>
              <w:left w:val="nil"/>
              <w:right w:val="nil"/>
            </w:tcBorders>
          </w:tcPr>
          <w:p w14:paraId="5332BC70" w14:textId="77777777" w:rsidR="00ED6053" w:rsidRPr="005C56D1" w:rsidRDefault="00ED6053" w:rsidP="00FF4124">
            <w:pPr>
              <w:pStyle w:val="CORPOTEXTO"/>
              <w:spacing w:after="60"/>
              <w:contextualSpacing/>
              <w:jc w:val="left"/>
              <w:rPr>
                <w:sz w:val="14"/>
                <w:szCs w:val="14"/>
              </w:rPr>
            </w:pPr>
            <w:r w:rsidRPr="005C56D1">
              <w:rPr>
                <w:sz w:val="14"/>
                <w:szCs w:val="14"/>
              </w:rPr>
              <w:t>DP2014</w:t>
            </w:r>
          </w:p>
        </w:tc>
        <w:tc>
          <w:tcPr>
            <w:tcW w:w="792" w:type="dxa"/>
            <w:tcBorders>
              <w:left w:val="nil"/>
            </w:tcBorders>
          </w:tcPr>
          <w:p w14:paraId="5C7404A1"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K2 + K4</w:t>
            </w:r>
          </w:p>
        </w:tc>
      </w:tr>
      <w:tr w:rsidR="00ED6053" w:rsidRPr="005C56D1" w14:paraId="3A0530BC" w14:textId="77777777" w:rsidTr="00FF4124">
        <w:tc>
          <w:tcPr>
            <w:tcW w:w="8364" w:type="dxa"/>
            <w:tcBorders>
              <w:left w:val="nil"/>
              <w:right w:val="nil"/>
            </w:tcBorders>
          </w:tcPr>
          <w:p w14:paraId="30D1859E" w14:textId="77777777" w:rsidR="00ED6053" w:rsidRPr="005C56D1" w:rsidRDefault="00ED6053" w:rsidP="00FF4124">
            <w:pPr>
              <w:pStyle w:val="CORPOTEXTO"/>
              <w:spacing w:afterLines="40" w:after="96"/>
              <w:jc w:val="left"/>
              <w:rPr>
                <w:sz w:val="14"/>
                <w:szCs w:val="14"/>
              </w:rPr>
            </w:pPr>
            <w:r w:rsidRPr="005C56D1">
              <w:rPr>
                <w:b/>
                <w:bCs/>
                <w:sz w:val="14"/>
                <w:szCs w:val="14"/>
              </w:rPr>
              <w:t xml:space="preserve">Complexity of the ATPs and APs methods </w:t>
            </w:r>
            <w:r w:rsidRPr="005C56D1">
              <w:rPr>
                <w:b/>
                <w:bCs/>
                <w:i/>
                <w:iCs/>
                <w:sz w:val="14"/>
                <w:szCs w:val="14"/>
              </w:rPr>
              <w:t>per se</w:t>
            </w:r>
            <w:r w:rsidRPr="005C56D1">
              <w:rPr>
                <w:b/>
                <w:bCs/>
                <w:sz w:val="14"/>
                <w:szCs w:val="14"/>
              </w:rPr>
              <w:t xml:space="preserve">. </w:t>
            </w:r>
            <w:r w:rsidRPr="005C56D1">
              <w:rPr>
                <w:sz w:val="14"/>
                <w:szCs w:val="14"/>
              </w:rPr>
              <w:t>The ATP and APs methods may become quite complex and abstract for strategic policymaking at a national or regional scale (</w:t>
            </w:r>
            <w:proofErr w:type="spellStart"/>
            <w:r w:rsidRPr="005C56D1">
              <w:rPr>
                <w:color w:val="7F7F7F" w:themeColor="text1" w:themeTint="80"/>
                <w:sz w:val="14"/>
                <w:szCs w:val="14"/>
              </w:rPr>
              <w:t>Restemeyer</w:t>
            </w:r>
            <w:proofErr w:type="spellEnd"/>
            <w:r w:rsidRPr="005C56D1">
              <w:rPr>
                <w:color w:val="7F7F7F" w:themeColor="text1" w:themeTint="80"/>
                <w:sz w:val="14"/>
                <w:szCs w:val="14"/>
              </w:rPr>
              <w:t xml:space="preserve"> et al. 2017, p.936</w:t>
            </w:r>
            <w:r w:rsidRPr="005C56D1">
              <w:rPr>
                <w:sz w:val="14"/>
                <w:szCs w:val="14"/>
              </w:rPr>
              <w:t>). In the DP, ADM was time-consuming and required detailed knowledge of the FRM system (</w:t>
            </w:r>
            <w:proofErr w:type="spellStart"/>
            <w:r w:rsidRPr="005C56D1">
              <w:rPr>
                <w:color w:val="7F7F7F" w:themeColor="text1" w:themeTint="80"/>
                <w:sz w:val="14"/>
                <w:szCs w:val="14"/>
              </w:rPr>
              <w:t>Gersonius</w:t>
            </w:r>
            <w:proofErr w:type="spellEnd"/>
            <w:r w:rsidRPr="005C56D1">
              <w:rPr>
                <w:color w:val="7F7F7F" w:themeColor="text1" w:themeTint="80"/>
                <w:sz w:val="14"/>
                <w:szCs w:val="14"/>
              </w:rPr>
              <w:t xml:space="preserve"> et al. 2016</w:t>
            </w:r>
            <w:r w:rsidRPr="005C56D1">
              <w:rPr>
                <w:sz w:val="14"/>
                <w:szCs w:val="14"/>
              </w:rPr>
              <w:t xml:space="preserve">). For example, </w:t>
            </w:r>
            <w:r w:rsidRPr="005C56D1">
              <w:rPr>
                <w:bCs/>
                <w:sz w:val="14"/>
                <w:szCs w:val="14"/>
              </w:rPr>
              <w:t>t</w:t>
            </w:r>
            <w:r w:rsidRPr="005C56D1">
              <w:rPr>
                <w:sz w:val="14"/>
                <w:szCs w:val="14"/>
              </w:rPr>
              <w:t>he Subprogramme for the RE-D faced several difficulties in working with Scenarios, ATPs, and APs</w:t>
            </w:r>
            <w:r w:rsidRPr="005C56D1">
              <w:rPr>
                <w:bCs/>
                <w:sz w:val="14"/>
                <w:szCs w:val="14"/>
              </w:rPr>
              <w:t>.</w:t>
            </w:r>
            <w:r w:rsidRPr="005C56D1">
              <w:rPr>
                <w:sz w:val="14"/>
                <w:szCs w:val="14"/>
              </w:rPr>
              <w:t xml:space="preserve"> In practice, it was quite complex to identify tipping-points and envision adaptation pathways</w:t>
            </w:r>
            <w:r w:rsidRPr="005C56D1">
              <w:rPr>
                <w:iCs/>
                <w:sz w:val="14"/>
                <w:szCs w:val="14"/>
              </w:rPr>
              <w:t xml:space="preserve"> (</w:t>
            </w:r>
            <w:proofErr w:type="spellStart"/>
            <w:r w:rsidRPr="005C56D1">
              <w:rPr>
                <w:color w:val="7F7F7F" w:themeColor="text1" w:themeTint="80"/>
                <w:sz w:val="14"/>
                <w:szCs w:val="14"/>
              </w:rPr>
              <w:t>Restemeyer</w:t>
            </w:r>
            <w:proofErr w:type="spellEnd"/>
            <w:r w:rsidRPr="005C56D1">
              <w:rPr>
                <w:color w:val="7F7F7F" w:themeColor="text1" w:themeTint="80"/>
                <w:sz w:val="14"/>
                <w:szCs w:val="14"/>
              </w:rPr>
              <w:t xml:space="preserve"> et al. 2017, p.931</w:t>
            </w:r>
            <w:r w:rsidRPr="005C56D1">
              <w:rPr>
                <w:sz w:val="14"/>
                <w:szCs w:val="14"/>
              </w:rPr>
              <w:t>). Both ATPs and APs methods assume that tipping-points can be identified beforehand (or, at least, when they are reached), however, practice shows that there are limits to the forecasting capacity and it is quite difficult to define adequate monitoring parameters, namely in cases of large natural variability</w:t>
            </w:r>
            <w:r w:rsidRPr="005C56D1">
              <w:rPr>
                <w:iCs/>
                <w:sz w:val="14"/>
                <w:szCs w:val="14"/>
              </w:rPr>
              <w:t xml:space="preserve"> (</w:t>
            </w:r>
            <w:proofErr w:type="spellStart"/>
            <w:r w:rsidRPr="005C56D1">
              <w:rPr>
                <w:color w:val="7F7F7F" w:themeColor="text1" w:themeTint="80"/>
                <w:sz w:val="14"/>
                <w:szCs w:val="14"/>
              </w:rPr>
              <w:t>Restemeyer</w:t>
            </w:r>
            <w:proofErr w:type="spellEnd"/>
            <w:r w:rsidRPr="005C56D1">
              <w:rPr>
                <w:color w:val="7F7F7F" w:themeColor="text1" w:themeTint="80"/>
                <w:sz w:val="14"/>
                <w:szCs w:val="14"/>
              </w:rPr>
              <w:t xml:space="preserve"> et al. 2017, p.931</w:t>
            </w:r>
            <w:r w:rsidRPr="005C56D1">
              <w:rPr>
                <w:sz w:val="14"/>
                <w:szCs w:val="14"/>
              </w:rPr>
              <w:t>). While some indicators can be easily monitored (e.g. SLR), others present more challenges, e.g. river discharge. River discharge shows a large natural variability (it can increase or decrease during a period without a pattern). In the DP, it was nearly impossible to distinguish climate change signals from natural variations in river discharge. Hence, the DP decided to assume a fixed value of river discharge (maximum value): 17 000 m</w:t>
            </w:r>
            <w:r w:rsidRPr="005C56D1">
              <w:rPr>
                <w:sz w:val="14"/>
                <w:szCs w:val="14"/>
                <w:vertAlign w:val="superscript"/>
              </w:rPr>
              <w:t>3</w:t>
            </w:r>
            <w:r w:rsidRPr="005C56D1">
              <w:rPr>
                <w:sz w:val="14"/>
                <w:szCs w:val="14"/>
              </w:rPr>
              <w:t>/s in 2050 and 18000 m</w:t>
            </w:r>
            <w:r w:rsidRPr="005C56D1">
              <w:rPr>
                <w:sz w:val="14"/>
                <w:szCs w:val="14"/>
                <w:vertAlign w:val="superscript"/>
              </w:rPr>
              <w:t>3</w:t>
            </w:r>
            <w:r w:rsidRPr="005C56D1">
              <w:rPr>
                <w:sz w:val="14"/>
                <w:szCs w:val="14"/>
              </w:rPr>
              <w:t>/s in 2100. However, as noted by the DP Staff member responsible for ADM, taking decisions and measures based on ‘</w:t>
            </w:r>
            <w:proofErr w:type="gramStart"/>
            <w:r w:rsidRPr="005C56D1">
              <w:rPr>
                <w:sz w:val="14"/>
                <w:szCs w:val="14"/>
              </w:rPr>
              <w:t>artificially-fixed</w:t>
            </w:r>
            <w:proofErr w:type="gramEnd"/>
            <w:r w:rsidRPr="005C56D1">
              <w:rPr>
                <w:sz w:val="14"/>
                <w:szCs w:val="14"/>
              </w:rPr>
              <w:t>’ worst future conditions (in cases where one cannot rely on monitoring) goes against the idea of ‘flexibility’. Setting a fixed value resembles more a ‘predict-and-control’ approach</w:t>
            </w:r>
            <w:r w:rsidRPr="005C56D1">
              <w:rPr>
                <w:iCs/>
                <w:sz w:val="14"/>
                <w:szCs w:val="14"/>
              </w:rPr>
              <w:t xml:space="preserve"> than an adaptive approach (</w:t>
            </w:r>
            <w:proofErr w:type="spellStart"/>
            <w:r w:rsidRPr="005C56D1">
              <w:rPr>
                <w:color w:val="7F7F7F" w:themeColor="text1" w:themeTint="80"/>
                <w:sz w:val="14"/>
                <w:szCs w:val="14"/>
              </w:rPr>
              <w:t>Restemeyer</w:t>
            </w:r>
            <w:proofErr w:type="spellEnd"/>
            <w:r w:rsidRPr="005C56D1">
              <w:rPr>
                <w:color w:val="7F7F7F" w:themeColor="text1" w:themeTint="80"/>
                <w:sz w:val="14"/>
                <w:szCs w:val="14"/>
              </w:rPr>
              <w:t xml:space="preserve"> et al. 2017, p.931</w:t>
            </w:r>
            <w:r w:rsidRPr="005C56D1">
              <w:rPr>
                <w:sz w:val="14"/>
                <w:szCs w:val="14"/>
              </w:rPr>
              <w:t xml:space="preserve">). In the RE-D </w:t>
            </w:r>
            <w:r w:rsidRPr="005C56D1">
              <w:rPr>
                <w:color w:val="000000"/>
                <w:sz w:val="14"/>
                <w:szCs w:val="14"/>
              </w:rPr>
              <w:t>Subprogramme, ATPs were difficult to find or did not exist, thus, the exercise was more about ‘</w:t>
            </w:r>
            <w:r w:rsidRPr="005C56D1">
              <w:rPr>
                <w:i/>
                <w:iCs/>
                <w:color w:val="000000"/>
                <w:sz w:val="14"/>
                <w:szCs w:val="14"/>
              </w:rPr>
              <w:t>spreading measures in time</w:t>
            </w:r>
            <w:r w:rsidRPr="005C56D1">
              <w:rPr>
                <w:color w:val="000000"/>
                <w:sz w:val="14"/>
                <w:szCs w:val="14"/>
              </w:rPr>
              <w:t>’ than ‘</w:t>
            </w:r>
            <w:r w:rsidRPr="005C56D1">
              <w:rPr>
                <w:i/>
                <w:iCs/>
                <w:color w:val="000000"/>
                <w:sz w:val="14"/>
                <w:szCs w:val="14"/>
              </w:rPr>
              <w:t>exploring alternative measures to shift to</w:t>
            </w:r>
            <w:r w:rsidRPr="005C56D1">
              <w:rPr>
                <w:color w:val="000000"/>
                <w:sz w:val="14"/>
                <w:szCs w:val="14"/>
              </w:rPr>
              <w:t>’ (</w:t>
            </w:r>
            <w:proofErr w:type="spellStart"/>
            <w:r w:rsidRPr="005C56D1">
              <w:rPr>
                <w:color w:val="7F7F7F" w:themeColor="text1" w:themeTint="80"/>
                <w:sz w:val="14"/>
                <w:szCs w:val="14"/>
              </w:rPr>
              <w:t>Restemeyer</w:t>
            </w:r>
            <w:proofErr w:type="spellEnd"/>
            <w:r w:rsidRPr="005C56D1">
              <w:rPr>
                <w:color w:val="7F7F7F" w:themeColor="text1" w:themeTint="80"/>
                <w:sz w:val="14"/>
                <w:szCs w:val="14"/>
              </w:rPr>
              <w:t xml:space="preserve"> et al. 2017, p.932</w:t>
            </w:r>
            <w:r w:rsidRPr="005C56D1">
              <w:rPr>
                <w:sz w:val="14"/>
                <w:szCs w:val="14"/>
              </w:rPr>
              <w:t xml:space="preserve">). </w:t>
            </w:r>
          </w:p>
          <w:p w14:paraId="70FFC80D" w14:textId="77777777" w:rsidR="00ED6053" w:rsidRPr="009D0767" w:rsidRDefault="00ED6053" w:rsidP="00FF4124">
            <w:pPr>
              <w:pStyle w:val="CORPOTEXTO"/>
              <w:spacing w:afterLines="40" w:after="96"/>
              <w:jc w:val="left"/>
              <w:rPr>
                <w:sz w:val="14"/>
                <w:szCs w:val="14"/>
              </w:rPr>
            </w:pPr>
            <w:r w:rsidRPr="009D0767">
              <w:rPr>
                <w:sz w:val="14"/>
                <w:szCs w:val="14"/>
              </w:rPr>
              <w:t>APs method can be complex and abstract for policymaking at national and regional scales; it is more feasible at a local scale, where ‘</w:t>
            </w:r>
            <w:r w:rsidRPr="009D0767">
              <w:rPr>
                <w:i/>
                <w:sz w:val="14"/>
                <w:szCs w:val="14"/>
              </w:rPr>
              <w:t>specific measures can be discussed in depth and better embedded into the physical, social and political reality</w:t>
            </w:r>
            <w:r w:rsidRPr="009D0767">
              <w:rPr>
                <w:sz w:val="14"/>
                <w:szCs w:val="14"/>
              </w:rPr>
              <w:t>’ (</w:t>
            </w:r>
            <w:proofErr w:type="spellStart"/>
            <w:r w:rsidRPr="009D0767">
              <w:rPr>
                <w:color w:val="7F7F7F" w:themeColor="text1" w:themeTint="80"/>
                <w:sz w:val="14"/>
                <w:szCs w:val="14"/>
              </w:rPr>
              <w:t>Restemeyer</w:t>
            </w:r>
            <w:proofErr w:type="spellEnd"/>
            <w:r w:rsidRPr="009D0767">
              <w:rPr>
                <w:color w:val="7F7F7F" w:themeColor="text1" w:themeTint="80"/>
                <w:sz w:val="14"/>
                <w:szCs w:val="14"/>
              </w:rPr>
              <w:t xml:space="preserve"> etal.2017, p. 936</w:t>
            </w:r>
            <w:r w:rsidRPr="009D0767">
              <w:rPr>
                <w:sz w:val="14"/>
                <w:szCs w:val="14"/>
              </w:rPr>
              <w:t xml:space="preserve">). </w:t>
            </w:r>
          </w:p>
        </w:tc>
        <w:tc>
          <w:tcPr>
            <w:tcW w:w="708" w:type="dxa"/>
            <w:tcBorders>
              <w:left w:val="nil"/>
              <w:right w:val="nil"/>
            </w:tcBorders>
          </w:tcPr>
          <w:p w14:paraId="1FAA89C5" w14:textId="77777777" w:rsidR="00ED6053" w:rsidRPr="005C56D1" w:rsidRDefault="00ED6053" w:rsidP="00FF4124">
            <w:pPr>
              <w:pStyle w:val="CORPOTEXTO"/>
              <w:spacing w:after="60"/>
              <w:contextualSpacing/>
              <w:jc w:val="left"/>
              <w:rPr>
                <w:sz w:val="14"/>
                <w:szCs w:val="14"/>
              </w:rPr>
            </w:pPr>
            <w:r w:rsidRPr="005C56D1">
              <w:rPr>
                <w:sz w:val="14"/>
                <w:szCs w:val="14"/>
              </w:rPr>
              <w:t>DP2014</w:t>
            </w:r>
          </w:p>
        </w:tc>
        <w:tc>
          <w:tcPr>
            <w:tcW w:w="792" w:type="dxa"/>
            <w:tcBorders>
              <w:left w:val="nil"/>
            </w:tcBorders>
          </w:tcPr>
          <w:p w14:paraId="6C740588"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K2 + K3</w:t>
            </w:r>
          </w:p>
        </w:tc>
      </w:tr>
      <w:tr w:rsidR="00ED6053" w:rsidRPr="005C56D1" w14:paraId="3858BBFB" w14:textId="77777777" w:rsidTr="00FF4124">
        <w:tc>
          <w:tcPr>
            <w:tcW w:w="8364" w:type="dxa"/>
            <w:tcBorders>
              <w:left w:val="nil"/>
              <w:right w:val="nil"/>
            </w:tcBorders>
          </w:tcPr>
          <w:p w14:paraId="742B7FB9" w14:textId="77777777" w:rsidR="00ED6053" w:rsidRPr="00612331" w:rsidRDefault="00ED6053" w:rsidP="00FF4124">
            <w:pPr>
              <w:pStyle w:val="CORPOTEXTO"/>
              <w:spacing w:afterLines="40" w:after="96"/>
              <w:jc w:val="left"/>
              <w:rPr>
                <w:sz w:val="16"/>
                <w:szCs w:val="16"/>
              </w:rPr>
            </w:pPr>
            <w:r w:rsidRPr="00612331">
              <w:rPr>
                <w:b/>
                <w:bCs/>
                <w:sz w:val="14"/>
                <w:szCs w:val="14"/>
              </w:rPr>
              <w:t>Gaps in the assessment of measures and paths</w:t>
            </w:r>
            <w:r w:rsidRPr="00612331">
              <w:rPr>
                <w:sz w:val="14"/>
                <w:szCs w:val="14"/>
              </w:rPr>
              <w:t xml:space="preserve"> (strategies): the lack of criteria specific of climate adaptation, namely </w:t>
            </w:r>
            <w:r w:rsidRPr="00612331">
              <w:rPr>
                <w:i/>
                <w:iCs/>
                <w:sz w:val="14"/>
                <w:szCs w:val="14"/>
              </w:rPr>
              <w:t>flexibility</w:t>
            </w:r>
            <w:r w:rsidRPr="00612331">
              <w:rPr>
                <w:sz w:val="14"/>
                <w:szCs w:val="14"/>
              </w:rPr>
              <w:t xml:space="preserve"> and</w:t>
            </w:r>
            <w:r w:rsidRPr="00612331">
              <w:rPr>
                <w:i/>
                <w:iCs/>
                <w:sz w:val="14"/>
                <w:szCs w:val="14"/>
              </w:rPr>
              <w:t xml:space="preserve"> robustness</w:t>
            </w:r>
            <w:r w:rsidRPr="00612331">
              <w:rPr>
                <w:sz w:val="14"/>
                <w:szCs w:val="14"/>
              </w:rPr>
              <w:t>; measures and paths were mainly assessed quantitatively (time and costs) in detriment of qualitative aspects (time and costs largely influenced the selection of measures), some strategies were left out at an early stage due to political reasons (rather than formal appraisal criteria); in the strategy-making and in the assessment, the identification of measures could have been broader and foster consensus (consensus-building was not explicitly addressed in the appraisal of measures) (</w:t>
            </w:r>
            <w:r w:rsidRPr="00612331">
              <w:rPr>
                <w:color w:val="7F7F7F" w:themeColor="text1" w:themeTint="80"/>
                <w:sz w:val="14"/>
                <w:szCs w:val="14"/>
              </w:rPr>
              <w:t>Werners et al. 2016</w:t>
            </w:r>
            <w:r w:rsidRPr="00612331">
              <w:rPr>
                <w:sz w:val="14"/>
                <w:szCs w:val="14"/>
              </w:rPr>
              <w:t>).</w:t>
            </w:r>
          </w:p>
        </w:tc>
        <w:tc>
          <w:tcPr>
            <w:tcW w:w="708" w:type="dxa"/>
            <w:tcBorders>
              <w:left w:val="nil"/>
              <w:right w:val="nil"/>
            </w:tcBorders>
          </w:tcPr>
          <w:p w14:paraId="43CFDDD5" w14:textId="77777777" w:rsidR="00ED6053" w:rsidRPr="005C56D1" w:rsidRDefault="00ED6053" w:rsidP="00FF4124">
            <w:pPr>
              <w:pStyle w:val="CORPOTEXTO"/>
              <w:spacing w:after="60"/>
              <w:contextualSpacing/>
              <w:jc w:val="left"/>
              <w:rPr>
                <w:sz w:val="14"/>
                <w:szCs w:val="14"/>
              </w:rPr>
            </w:pPr>
            <w:r w:rsidRPr="005C56D1">
              <w:rPr>
                <w:sz w:val="14"/>
                <w:szCs w:val="14"/>
              </w:rPr>
              <w:t>DP2014</w:t>
            </w:r>
          </w:p>
        </w:tc>
        <w:tc>
          <w:tcPr>
            <w:tcW w:w="792" w:type="dxa"/>
            <w:tcBorders>
              <w:left w:val="nil"/>
            </w:tcBorders>
          </w:tcPr>
          <w:p w14:paraId="187E1783"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K3</w:t>
            </w:r>
          </w:p>
        </w:tc>
      </w:tr>
      <w:tr w:rsidR="00ED6053" w:rsidRPr="005C56D1" w14:paraId="1018A740" w14:textId="77777777" w:rsidTr="00FF4124">
        <w:tc>
          <w:tcPr>
            <w:tcW w:w="8364" w:type="dxa"/>
            <w:tcBorders>
              <w:left w:val="nil"/>
              <w:right w:val="nil"/>
            </w:tcBorders>
          </w:tcPr>
          <w:p w14:paraId="3F305949" w14:textId="77777777" w:rsidR="00ED6053" w:rsidRPr="005C56D1" w:rsidRDefault="00ED6053" w:rsidP="00FF4124">
            <w:pPr>
              <w:pStyle w:val="CORPOTEXTO"/>
              <w:spacing w:afterLines="40" w:after="96"/>
              <w:jc w:val="left"/>
              <w:rPr>
                <w:b/>
                <w:bCs/>
                <w:sz w:val="14"/>
                <w:szCs w:val="14"/>
              </w:rPr>
            </w:pPr>
            <w:r w:rsidRPr="005C56D1">
              <w:rPr>
                <w:b/>
                <w:bCs/>
                <w:sz w:val="14"/>
                <w:szCs w:val="14"/>
              </w:rPr>
              <w:t>Difficulty in quantifying / valuating flexibility in measures.</w:t>
            </w:r>
            <w:r w:rsidRPr="005C56D1">
              <w:rPr>
                <w:sz w:val="14"/>
                <w:szCs w:val="14"/>
              </w:rPr>
              <w:t xml:space="preserve"> Another aspect of the ADM approach that was difficult to apply in the DP was the </w:t>
            </w:r>
            <w:r w:rsidRPr="005C56D1">
              <w:rPr>
                <w:i/>
                <w:sz w:val="14"/>
                <w:szCs w:val="14"/>
              </w:rPr>
              <w:t xml:space="preserve">‘quantification of the </w:t>
            </w:r>
            <w:proofErr w:type="gramStart"/>
            <w:r w:rsidRPr="005C56D1">
              <w:rPr>
                <w:i/>
                <w:sz w:val="14"/>
                <w:szCs w:val="14"/>
              </w:rPr>
              <w:t>added-value</w:t>
            </w:r>
            <w:proofErr w:type="gramEnd"/>
            <w:r w:rsidRPr="005C56D1">
              <w:rPr>
                <w:i/>
                <w:sz w:val="14"/>
                <w:szCs w:val="14"/>
              </w:rPr>
              <w:t xml:space="preserve"> of flexibility’</w:t>
            </w:r>
            <w:r w:rsidRPr="005C56D1">
              <w:rPr>
                <w:sz w:val="14"/>
                <w:szCs w:val="14"/>
              </w:rPr>
              <w:t xml:space="preserve"> (‘Real Options Analysis’ was too complex in many cases) (</w:t>
            </w:r>
            <w:r w:rsidRPr="005C56D1">
              <w:rPr>
                <w:color w:val="7F7F7F" w:themeColor="text1" w:themeTint="80"/>
                <w:sz w:val="14"/>
                <w:szCs w:val="14"/>
              </w:rPr>
              <w:t>Bloemen et al. 2018, p.14</w:t>
            </w:r>
            <w:r w:rsidRPr="005C56D1">
              <w:rPr>
                <w:sz w:val="14"/>
                <w:szCs w:val="14"/>
              </w:rPr>
              <w:t>). Regarding the assessment of pathways, traditional cost-benefit analyses present shortcomings, e.g. the non-consideration of uncertainties about the future, and the non-valuation of the added value of flexibility, which can lead to suboptimal decisions. Several authors have investigated methods to valuate flexibility economically, based on ‘Real Options Analysis’ (</w:t>
            </w:r>
            <w:r w:rsidRPr="005C56D1">
              <w:rPr>
                <w:color w:val="7F7F7F" w:themeColor="text1" w:themeTint="80"/>
                <w:sz w:val="14"/>
                <w:szCs w:val="14"/>
              </w:rPr>
              <w:t>Brugge and Bruggeman, p.5</w:t>
            </w:r>
            <w:r w:rsidRPr="005C56D1">
              <w:rPr>
                <w:sz w:val="14"/>
                <w:szCs w:val="14"/>
              </w:rPr>
              <w:t>)</w:t>
            </w:r>
          </w:p>
        </w:tc>
        <w:tc>
          <w:tcPr>
            <w:tcW w:w="708" w:type="dxa"/>
            <w:tcBorders>
              <w:left w:val="nil"/>
              <w:right w:val="nil"/>
            </w:tcBorders>
          </w:tcPr>
          <w:p w14:paraId="3CDE1BD6" w14:textId="77777777" w:rsidR="00ED6053" w:rsidRPr="005C56D1" w:rsidRDefault="00ED6053" w:rsidP="00FF4124">
            <w:pPr>
              <w:pStyle w:val="CORPOTEXTO"/>
              <w:spacing w:after="60"/>
              <w:contextualSpacing/>
              <w:jc w:val="left"/>
              <w:rPr>
                <w:sz w:val="14"/>
                <w:szCs w:val="14"/>
              </w:rPr>
            </w:pPr>
            <w:r w:rsidRPr="005C56D1">
              <w:rPr>
                <w:sz w:val="14"/>
                <w:szCs w:val="14"/>
              </w:rPr>
              <w:t>DP2014</w:t>
            </w:r>
          </w:p>
        </w:tc>
        <w:tc>
          <w:tcPr>
            <w:tcW w:w="792" w:type="dxa"/>
            <w:tcBorders>
              <w:left w:val="nil"/>
            </w:tcBorders>
          </w:tcPr>
          <w:p w14:paraId="2FDEC42C"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K3</w:t>
            </w:r>
          </w:p>
        </w:tc>
      </w:tr>
      <w:tr w:rsidR="00ED6053" w:rsidRPr="005C56D1" w14:paraId="05F56492" w14:textId="77777777" w:rsidTr="00FF4124">
        <w:tc>
          <w:tcPr>
            <w:tcW w:w="8364" w:type="dxa"/>
            <w:tcBorders>
              <w:left w:val="nil"/>
              <w:right w:val="nil"/>
            </w:tcBorders>
          </w:tcPr>
          <w:p w14:paraId="1CD4FEDF" w14:textId="77777777" w:rsidR="00ED6053" w:rsidRPr="005C56D1" w:rsidRDefault="00ED6053" w:rsidP="00FF4124">
            <w:pPr>
              <w:pStyle w:val="CORPOTEXTO"/>
              <w:spacing w:afterLines="40" w:after="96"/>
              <w:jc w:val="left"/>
              <w:rPr>
                <w:sz w:val="14"/>
                <w:szCs w:val="14"/>
              </w:rPr>
            </w:pPr>
            <w:r w:rsidRPr="005C56D1">
              <w:rPr>
                <w:b/>
                <w:bCs/>
                <w:sz w:val="14"/>
                <w:szCs w:val="14"/>
              </w:rPr>
              <w:t>Difficulty in untangling (grasping) relationships between measures that are implemented in parallel, i.e. simultaneously</w:t>
            </w:r>
            <w:r w:rsidRPr="005C56D1">
              <w:rPr>
                <w:b/>
                <w:bCs/>
                <w:color w:val="000000" w:themeColor="text1"/>
                <w:sz w:val="14"/>
                <w:szCs w:val="14"/>
              </w:rPr>
              <w:t xml:space="preserve"> in time (at different areas</w:t>
            </w:r>
            <w:r w:rsidRPr="005C56D1">
              <w:rPr>
                <w:b/>
                <w:bCs/>
                <w:sz w:val="14"/>
                <w:szCs w:val="14"/>
              </w:rPr>
              <w:t xml:space="preserve">). </w:t>
            </w:r>
            <w:r w:rsidRPr="005C56D1">
              <w:rPr>
                <w:sz w:val="14"/>
                <w:szCs w:val="14"/>
              </w:rPr>
              <w:t xml:space="preserve">A difficulty presented by the APs approach lies in understanding and disentangling interdependences between measures that are defined for the same </w:t>
            </w:r>
            <w:proofErr w:type="gramStart"/>
            <w:r w:rsidRPr="005C56D1">
              <w:rPr>
                <w:sz w:val="14"/>
                <w:szCs w:val="14"/>
              </w:rPr>
              <w:t>time period</w:t>
            </w:r>
            <w:proofErr w:type="gramEnd"/>
            <w:r w:rsidRPr="005C56D1">
              <w:rPr>
                <w:sz w:val="14"/>
                <w:szCs w:val="14"/>
              </w:rPr>
              <w:t>, but in different zones or in different fields. As seen, in the DP’s Preferential Strategies, several ‘</w:t>
            </w:r>
            <w:r w:rsidRPr="005C56D1">
              <w:rPr>
                <w:i/>
                <w:iCs/>
                <w:sz w:val="14"/>
                <w:szCs w:val="14"/>
              </w:rPr>
              <w:t>parallel trajectories</w:t>
            </w:r>
            <w:r w:rsidRPr="005C56D1">
              <w:rPr>
                <w:sz w:val="14"/>
                <w:szCs w:val="14"/>
              </w:rPr>
              <w:t>’</w:t>
            </w:r>
            <w:r w:rsidRPr="005C56D1">
              <w:rPr>
                <w:rFonts w:eastAsiaTheme="majorEastAsia"/>
                <w:sz w:val="14"/>
                <w:szCs w:val="14"/>
              </w:rPr>
              <w:t xml:space="preserve"> </w:t>
            </w:r>
            <w:r w:rsidRPr="005C56D1">
              <w:rPr>
                <w:sz w:val="14"/>
                <w:szCs w:val="14"/>
              </w:rPr>
              <w:t xml:space="preserve">were often drawn, to be implemented at the same time. These different trajectories often concern different </w:t>
            </w:r>
            <w:proofErr w:type="gramStart"/>
            <w:r w:rsidRPr="005C56D1">
              <w:rPr>
                <w:sz w:val="14"/>
                <w:szCs w:val="14"/>
              </w:rPr>
              <w:t>actors,</w:t>
            </w:r>
            <w:proofErr w:type="gramEnd"/>
            <w:r w:rsidRPr="005C56D1">
              <w:rPr>
                <w:sz w:val="14"/>
                <w:szCs w:val="14"/>
              </w:rPr>
              <w:t xml:space="preserve"> hence, the interrelatedness of their outcomes tends to be disregarded and their successful implementation becomes more uncertain. In addition, while the assessment of the effectiveness of individual measures is a complex issue </w:t>
            </w:r>
            <w:r w:rsidRPr="005C56D1">
              <w:rPr>
                <w:i/>
                <w:iCs/>
                <w:sz w:val="14"/>
                <w:szCs w:val="14"/>
              </w:rPr>
              <w:t>per se</w:t>
            </w:r>
            <w:r w:rsidRPr="005C56D1">
              <w:rPr>
                <w:sz w:val="14"/>
                <w:szCs w:val="14"/>
              </w:rPr>
              <w:t>, the use of simultaneous measures</w:t>
            </w:r>
            <w:r w:rsidRPr="005C56D1">
              <w:rPr>
                <w:color w:val="C00000"/>
                <w:sz w:val="14"/>
                <w:szCs w:val="14"/>
              </w:rPr>
              <w:t xml:space="preserve"> </w:t>
            </w:r>
            <w:r w:rsidRPr="005C56D1">
              <w:rPr>
                <w:sz w:val="14"/>
                <w:szCs w:val="14"/>
              </w:rPr>
              <w:t>in ‘parallel trajectories’ further</w:t>
            </w:r>
            <w:r w:rsidRPr="005C56D1">
              <w:rPr>
                <w:color w:val="C00000"/>
                <w:sz w:val="14"/>
                <w:szCs w:val="14"/>
              </w:rPr>
              <w:t xml:space="preserve"> </w:t>
            </w:r>
            <w:r w:rsidRPr="005C56D1">
              <w:rPr>
                <w:sz w:val="14"/>
                <w:szCs w:val="14"/>
              </w:rPr>
              <w:t xml:space="preserve">complicates it. </w:t>
            </w:r>
            <w:r w:rsidRPr="005C56D1">
              <w:rPr>
                <w:color w:val="7F7F7F" w:themeColor="text1" w:themeTint="80"/>
                <w:sz w:val="14"/>
                <w:szCs w:val="14"/>
              </w:rPr>
              <w:t xml:space="preserve">Bloemen et al. </w:t>
            </w:r>
            <w:r w:rsidRPr="005C56D1">
              <w:rPr>
                <w:sz w:val="14"/>
                <w:szCs w:val="14"/>
              </w:rPr>
              <w:t xml:space="preserve">suggest that the effectiveness of the general Strategy could be examined by evaluating (ex-ante) how the different parallel (concurrent) ‘trajectories of action’ strengthen/ weaken each other, and by recombining or eliminating trajectories (measures). The DP shows that, in the preparation of a strategy that contains several </w:t>
            </w:r>
            <w:r w:rsidRPr="005C56D1">
              <w:rPr>
                <w:i/>
                <w:iCs/>
                <w:sz w:val="14"/>
                <w:szCs w:val="14"/>
              </w:rPr>
              <w:t xml:space="preserve">parallel trajectories </w:t>
            </w:r>
            <w:r w:rsidRPr="005C56D1">
              <w:rPr>
                <w:sz w:val="14"/>
                <w:szCs w:val="14"/>
              </w:rPr>
              <w:t>(i.e. parallel / complementary measures), it would be useful to assess if such trajectories perform well under diverse conditions, and examine if the general Strategy covers a wide spectrum of plausible futures evenly, or if it is skewed towards a specific scenario and compensation is needed (</w:t>
            </w:r>
            <w:r>
              <w:rPr>
                <w:color w:val="7F7F7F" w:themeColor="text1" w:themeTint="80"/>
                <w:sz w:val="14"/>
                <w:szCs w:val="14"/>
              </w:rPr>
              <w:t>Bloemen et al. 2018</w:t>
            </w:r>
            <w:r w:rsidRPr="005C56D1">
              <w:rPr>
                <w:color w:val="7F7F7F" w:themeColor="text1" w:themeTint="80"/>
                <w:sz w:val="14"/>
                <w:szCs w:val="14"/>
              </w:rPr>
              <w:t>, p.14-15</w:t>
            </w:r>
            <w:r w:rsidRPr="005C56D1">
              <w:rPr>
                <w:sz w:val="14"/>
                <w:szCs w:val="14"/>
              </w:rPr>
              <w:t>).</w:t>
            </w:r>
          </w:p>
          <w:p w14:paraId="32426277" w14:textId="77777777" w:rsidR="00ED6053" w:rsidRPr="005C56D1" w:rsidRDefault="00ED6053" w:rsidP="00FF4124">
            <w:pPr>
              <w:pStyle w:val="CORPOTEXTO"/>
              <w:spacing w:afterLines="40" w:after="96"/>
              <w:jc w:val="left"/>
              <w:rPr>
                <w:b/>
                <w:bCs/>
                <w:sz w:val="14"/>
                <w:szCs w:val="14"/>
              </w:rPr>
            </w:pPr>
            <w:r w:rsidRPr="005C56D1">
              <w:rPr>
                <w:sz w:val="14"/>
                <w:szCs w:val="14"/>
              </w:rPr>
              <w:t xml:space="preserve">It was difficult to grasp </w:t>
            </w:r>
            <w:r w:rsidRPr="005C56D1">
              <w:rPr>
                <w:bCs/>
                <w:sz w:val="14"/>
                <w:szCs w:val="14"/>
              </w:rPr>
              <w:t xml:space="preserve">interdependences of measures in different policy-fields and in different parts of catchment areas, and </w:t>
            </w:r>
            <w:r w:rsidRPr="005C56D1">
              <w:rPr>
                <w:sz w:val="14"/>
                <w:szCs w:val="14"/>
              </w:rPr>
              <w:t>to coordinate investment agendas of other actors (</w:t>
            </w:r>
            <w:r>
              <w:rPr>
                <w:color w:val="7F7F7F" w:themeColor="text1" w:themeTint="80"/>
                <w:sz w:val="14"/>
                <w:szCs w:val="14"/>
              </w:rPr>
              <w:t>Bloemen et al. 2018</w:t>
            </w:r>
            <w:r w:rsidRPr="005C56D1">
              <w:rPr>
                <w:color w:val="7F7F7F" w:themeColor="text1" w:themeTint="80"/>
                <w:sz w:val="14"/>
                <w:szCs w:val="14"/>
              </w:rPr>
              <w:t>, p.14</w:t>
            </w:r>
            <w:r w:rsidRPr="005C56D1">
              <w:rPr>
                <w:sz w:val="14"/>
                <w:szCs w:val="14"/>
              </w:rPr>
              <w:t>).</w:t>
            </w:r>
          </w:p>
        </w:tc>
        <w:tc>
          <w:tcPr>
            <w:tcW w:w="708" w:type="dxa"/>
            <w:tcBorders>
              <w:left w:val="nil"/>
              <w:right w:val="nil"/>
            </w:tcBorders>
          </w:tcPr>
          <w:p w14:paraId="37C84493" w14:textId="77777777" w:rsidR="00ED6053" w:rsidRPr="005C56D1" w:rsidRDefault="00ED6053" w:rsidP="00FF4124">
            <w:pPr>
              <w:pStyle w:val="CORPOTEXTO"/>
              <w:spacing w:after="60"/>
              <w:contextualSpacing/>
              <w:jc w:val="left"/>
              <w:rPr>
                <w:sz w:val="14"/>
                <w:szCs w:val="14"/>
              </w:rPr>
            </w:pPr>
            <w:r w:rsidRPr="005C56D1">
              <w:rPr>
                <w:sz w:val="14"/>
                <w:szCs w:val="14"/>
              </w:rPr>
              <w:t>DP2014</w:t>
            </w:r>
          </w:p>
        </w:tc>
        <w:tc>
          <w:tcPr>
            <w:tcW w:w="792" w:type="dxa"/>
            <w:tcBorders>
              <w:left w:val="nil"/>
            </w:tcBorders>
          </w:tcPr>
          <w:p w14:paraId="18FB90F9"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K3</w:t>
            </w:r>
          </w:p>
        </w:tc>
      </w:tr>
      <w:tr w:rsidR="00ED6053" w:rsidRPr="005C56D1" w14:paraId="0F3E3280" w14:textId="77777777" w:rsidTr="00FF4124">
        <w:tc>
          <w:tcPr>
            <w:tcW w:w="8364" w:type="dxa"/>
            <w:tcBorders>
              <w:left w:val="nil"/>
              <w:right w:val="nil"/>
            </w:tcBorders>
          </w:tcPr>
          <w:p w14:paraId="321FECC9" w14:textId="77777777" w:rsidR="00ED6053" w:rsidRPr="005C56D1" w:rsidRDefault="00ED6053" w:rsidP="00FF4124">
            <w:pPr>
              <w:pStyle w:val="CORPOTEXTO"/>
              <w:spacing w:afterLines="40" w:after="96"/>
              <w:jc w:val="left"/>
              <w:rPr>
                <w:b/>
                <w:bCs/>
                <w:sz w:val="14"/>
                <w:szCs w:val="14"/>
              </w:rPr>
            </w:pPr>
            <w:r w:rsidRPr="005C56D1">
              <w:rPr>
                <w:b/>
                <w:bCs/>
                <w:sz w:val="14"/>
                <w:szCs w:val="14"/>
              </w:rPr>
              <w:t>Difficulty in maintaining commitment to prepare and decide on possible options for the long-term</w:t>
            </w:r>
            <w:r w:rsidRPr="005C56D1">
              <w:rPr>
                <w:sz w:val="14"/>
                <w:szCs w:val="14"/>
              </w:rPr>
              <w:t>. APs maps define measures to be taken in the short-term and indicate possible future measures for the long-term for which decisions will need to be taken in due time.</w:t>
            </w:r>
            <w:r w:rsidRPr="005C56D1">
              <w:rPr>
                <w:color w:val="C00000"/>
                <w:sz w:val="14"/>
                <w:szCs w:val="14"/>
              </w:rPr>
              <w:t xml:space="preserve"> </w:t>
            </w:r>
            <w:r w:rsidRPr="005C56D1">
              <w:rPr>
                <w:sz w:val="14"/>
                <w:szCs w:val="14"/>
              </w:rPr>
              <w:t xml:space="preserve">However, decisions on such options and their implementation are often postponed until the (climatic, physical, socioeconomic) conditions that justify them are reached or predicted with greater certainty. This hinders the adequate anticipation of these measures. The postponing of decisions about future options is usually related to </w:t>
            </w:r>
            <w:r w:rsidRPr="005C56D1">
              <w:rPr>
                <w:b/>
                <w:bCs/>
                <w:sz w:val="14"/>
                <w:szCs w:val="14"/>
              </w:rPr>
              <w:t xml:space="preserve">avoiding the ‘unwanted anticipation’ of long-term measures </w:t>
            </w:r>
            <w:r w:rsidRPr="005C56D1">
              <w:rPr>
                <w:sz w:val="14"/>
                <w:szCs w:val="14"/>
              </w:rPr>
              <w:t>(</w:t>
            </w:r>
            <w:r>
              <w:rPr>
                <w:color w:val="7F7F7F" w:themeColor="text1" w:themeTint="80"/>
                <w:sz w:val="14"/>
                <w:szCs w:val="14"/>
              </w:rPr>
              <w:t>Bloemen et al. 2018</w:t>
            </w:r>
            <w:r w:rsidRPr="005C56D1">
              <w:rPr>
                <w:color w:val="7F7F7F" w:themeColor="text1" w:themeTint="80"/>
                <w:sz w:val="14"/>
                <w:szCs w:val="14"/>
              </w:rPr>
              <w:t>, p.15</w:t>
            </w:r>
            <w:r w:rsidRPr="005C56D1">
              <w:rPr>
                <w:sz w:val="14"/>
                <w:szCs w:val="14"/>
              </w:rPr>
              <w:t>). On the other hand, taking a decision now to do not implement a certain future measure can lead to a search for other measures. Thus, postponing decisions about future options can be advantageous or disadvantageous depending on the nature of the measure, costs and benefits of anticipating it for diverse actors, the direction that the anticipation follows in relation to the objectives of the measure, etc. These aspects must be considered when taking decisions about, and planning, future measures.</w:t>
            </w:r>
          </w:p>
        </w:tc>
        <w:tc>
          <w:tcPr>
            <w:tcW w:w="708" w:type="dxa"/>
            <w:tcBorders>
              <w:left w:val="nil"/>
              <w:right w:val="nil"/>
            </w:tcBorders>
          </w:tcPr>
          <w:p w14:paraId="0DCBBA42" w14:textId="77777777" w:rsidR="00ED6053" w:rsidRPr="005C56D1" w:rsidRDefault="00ED6053" w:rsidP="00FF4124">
            <w:pPr>
              <w:pStyle w:val="CORPOTEXTO"/>
              <w:spacing w:after="60"/>
              <w:contextualSpacing/>
              <w:jc w:val="left"/>
              <w:rPr>
                <w:sz w:val="14"/>
                <w:szCs w:val="14"/>
              </w:rPr>
            </w:pPr>
            <w:r w:rsidRPr="005C56D1">
              <w:rPr>
                <w:sz w:val="14"/>
                <w:szCs w:val="14"/>
              </w:rPr>
              <w:t>TE2100+</w:t>
            </w:r>
          </w:p>
          <w:p w14:paraId="5BB52448" w14:textId="77777777" w:rsidR="00ED6053" w:rsidRPr="005C56D1" w:rsidRDefault="00ED6053" w:rsidP="00FF4124">
            <w:pPr>
              <w:pStyle w:val="CORPOTEXTO"/>
              <w:spacing w:after="60"/>
              <w:contextualSpacing/>
              <w:jc w:val="left"/>
              <w:rPr>
                <w:sz w:val="14"/>
                <w:szCs w:val="14"/>
              </w:rPr>
            </w:pPr>
            <w:r w:rsidRPr="005C56D1">
              <w:rPr>
                <w:sz w:val="14"/>
                <w:szCs w:val="14"/>
              </w:rPr>
              <w:t>DP2014</w:t>
            </w:r>
          </w:p>
        </w:tc>
        <w:tc>
          <w:tcPr>
            <w:tcW w:w="792" w:type="dxa"/>
            <w:tcBorders>
              <w:left w:val="nil"/>
            </w:tcBorders>
          </w:tcPr>
          <w:p w14:paraId="4F3DC1BC"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K3; sub-elements of K3</w:t>
            </w:r>
          </w:p>
        </w:tc>
      </w:tr>
      <w:tr w:rsidR="00ED6053" w:rsidRPr="005C56D1" w14:paraId="1EDE89EB" w14:textId="77777777" w:rsidTr="00FF4124">
        <w:tc>
          <w:tcPr>
            <w:tcW w:w="8364" w:type="dxa"/>
            <w:tcBorders>
              <w:left w:val="nil"/>
              <w:right w:val="nil"/>
            </w:tcBorders>
          </w:tcPr>
          <w:p w14:paraId="60240CE0" w14:textId="77777777" w:rsidR="00ED6053" w:rsidRPr="005C56D1" w:rsidRDefault="00ED6053" w:rsidP="00FF4124">
            <w:pPr>
              <w:pStyle w:val="CORPOTEXTO"/>
              <w:spacing w:afterLines="40" w:after="96"/>
              <w:jc w:val="left"/>
              <w:rPr>
                <w:b/>
                <w:bCs/>
                <w:sz w:val="14"/>
                <w:szCs w:val="14"/>
              </w:rPr>
            </w:pPr>
            <w:r w:rsidRPr="005C56D1">
              <w:rPr>
                <w:b/>
                <w:bCs/>
                <w:sz w:val="14"/>
                <w:szCs w:val="14"/>
              </w:rPr>
              <w:t>Political resistance to ‘keep options open’, and to take preparatory measures needed for keeping options open</w:t>
            </w:r>
            <w:r w:rsidRPr="005C56D1">
              <w:rPr>
                <w:sz w:val="14"/>
                <w:szCs w:val="14"/>
              </w:rPr>
              <w:t>, was found in several Subprogrammes of the DP (</w:t>
            </w:r>
            <w:proofErr w:type="spellStart"/>
            <w:r w:rsidRPr="005C56D1">
              <w:rPr>
                <w:color w:val="7F7F7F" w:themeColor="text1" w:themeTint="80"/>
                <w:sz w:val="14"/>
                <w:szCs w:val="14"/>
              </w:rPr>
              <w:t>Gersonius</w:t>
            </w:r>
            <w:proofErr w:type="spellEnd"/>
            <w:r w:rsidRPr="005C56D1">
              <w:rPr>
                <w:color w:val="7F7F7F" w:themeColor="text1" w:themeTint="80"/>
                <w:sz w:val="14"/>
                <w:szCs w:val="14"/>
              </w:rPr>
              <w:t xml:space="preserve"> et al. 2016 p.13</w:t>
            </w:r>
            <w:r w:rsidRPr="005C56D1">
              <w:rPr>
                <w:sz w:val="14"/>
                <w:szCs w:val="14"/>
              </w:rPr>
              <w:t>).</w:t>
            </w:r>
            <w:r w:rsidRPr="005C56D1">
              <w:rPr>
                <w:b/>
                <w:bCs/>
                <w:color w:val="C00000"/>
                <w:sz w:val="14"/>
                <w:szCs w:val="14"/>
              </w:rPr>
              <w:t xml:space="preserve"> </w:t>
            </w:r>
            <w:r w:rsidRPr="005C56D1">
              <w:rPr>
                <w:sz w:val="14"/>
                <w:szCs w:val="14"/>
              </w:rPr>
              <w:t>While ‘keeping options open’ is logical in theory, it is often difficult for decision-makers to commit to this. The reflection on future options can lead to greater cost-effectiveness in the long-term, but the traditional focus of decision-makers on the status quo, and their risk-aversion (and uncertainty-avoidance), tend to reduce their willpower to keep options open. These are barriers to the implementation of adaptive approaches (</w:t>
            </w:r>
            <w:proofErr w:type="spellStart"/>
            <w:r w:rsidRPr="005C56D1">
              <w:rPr>
                <w:color w:val="7F7F7F" w:themeColor="text1" w:themeTint="80"/>
                <w:sz w:val="14"/>
                <w:szCs w:val="14"/>
              </w:rPr>
              <w:t>Gersonius</w:t>
            </w:r>
            <w:proofErr w:type="spellEnd"/>
            <w:r w:rsidRPr="005C56D1">
              <w:rPr>
                <w:color w:val="7F7F7F" w:themeColor="text1" w:themeTint="80"/>
                <w:sz w:val="14"/>
                <w:szCs w:val="14"/>
              </w:rPr>
              <w:t xml:space="preserve"> et al. 2016</w:t>
            </w:r>
            <w:r w:rsidRPr="005C56D1">
              <w:rPr>
                <w:sz w:val="14"/>
                <w:szCs w:val="14"/>
              </w:rPr>
              <w:t xml:space="preserve">). This can be explained by: (a) lack of clearness on whether options are realistic </w:t>
            </w:r>
            <w:proofErr w:type="gramStart"/>
            <w:r w:rsidRPr="005C56D1">
              <w:rPr>
                <w:sz w:val="14"/>
                <w:szCs w:val="14"/>
              </w:rPr>
              <w:t>or  will</w:t>
            </w:r>
            <w:proofErr w:type="gramEnd"/>
            <w:r w:rsidRPr="005C56D1">
              <w:rPr>
                <w:sz w:val="14"/>
                <w:szCs w:val="14"/>
              </w:rPr>
              <w:t xml:space="preserve"> ever be realised; (b) keeping options open usually entails ‘spatial claims’ that put constraints on spatial developments; (c) </w:t>
            </w:r>
            <w:r w:rsidRPr="005C56D1">
              <w:rPr>
                <w:sz w:val="14"/>
                <w:szCs w:val="14"/>
              </w:rPr>
              <w:lastRenderedPageBreak/>
              <w:t>decision-makers’ desire and habit to take visible short-term actions (rather than inaction that facilitates future action) (</w:t>
            </w:r>
            <w:proofErr w:type="spellStart"/>
            <w:r w:rsidRPr="005C56D1">
              <w:rPr>
                <w:color w:val="7F7F7F" w:themeColor="text1" w:themeTint="80"/>
                <w:sz w:val="14"/>
                <w:szCs w:val="14"/>
              </w:rPr>
              <w:t>Gersonius</w:t>
            </w:r>
            <w:proofErr w:type="spellEnd"/>
            <w:r w:rsidRPr="005C56D1">
              <w:rPr>
                <w:color w:val="7F7F7F" w:themeColor="text1" w:themeTint="80"/>
                <w:sz w:val="14"/>
                <w:szCs w:val="14"/>
              </w:rPr>
              <w:t xml:space="preserve"> et al. 2016 p.13</w:t>
            </w:r>
            <w:r w:rsidRPr="005C56D1">
              <w:rPr>
                <w:sz w:val="14"/>
                <w:szCs w:val="14"/>
              </w:rPr>
              <w:t xml:space="preserve">). </w:t>
            </w:r>
            <w:r w:rsidRPr="005C56D1">
              <w:rPr>
                <w:rFonts w:eastAsia="RijksoverheidSansText-Regular"/>
                <w:i/>
                <w:iCs/>
                <w:color w:val="000000"/>
                <w:sz w:val="14"/>
                <w:szCs w:val="14"/>
              </w:rPr>
              <w:t xml:space="preserve">Keeping options </w:t>
            </w:r>
            <w:proofErr w:type="gramStart"/>
            <w:r w:rsidRPr="005C56D1">
              <w:rPr>
                <w:rFonts w:eastAsia="RijksoverheidSansText-Regular"/>
                <w:i/>
                <w:iCs/>
                <w:color w:val="000000"/>
                <w:sz w:val="14"/>
                <w:szCs w:val="14"/>
              </w:rPr>
              <w:t>open</w:t>
            </w:r>
            <w:r w:rsidRPr="005C56D1">
              <w:rPr>
                <w:rFonts w:eastAsia="RijksoverheidSansText-Regular"/>
                <w:color w:val="000000"/>
                <w:sz w:val="14"/>
                <w:szCs w:val="14"/>
              </w:rPr>
              <w:t>, and</w:t>
            </w:r>
            <w:proofErr w:type="gramEnd"/>
            <w:r w:rsidRPr="005C56D1">
              <w:rPr>
                <w:rFonts w:eastAsia="RijksoverheidSansText-Regular"/>
                <w:color w:val="000000"/>
                <w:sz w:val="14"/>
                <w:szCs w:val="14"/>
              </w:rPr>
              <w:t xml:space="preserve"> using measures that allow their own adjustment over time, may also entail higher costs (</w:t>
            </w:r>
            <w:r w:rsidRPr="005C56D1">
              <w:rPr>
                <w:rFonts w:eastAsia="RijksoverheidSansText-Regular"/>
                <w:color w:val="7F7F7F" w:themeColor="text1" w:themeTint="80"/>
                <w:sz w:val="14"/>
                <w:szCs w:val="14"/>
              </w:rPr>
              <w:t>DP 2011, p.49</w:t>
            </w:r>
            <w:r w:rsidRPr="005C56D1">
              <w:rPr>
                <w:rFonts w:eastAsia="RijksoverheidSansText-Regular"/>
                <w:color w:val="000000"/>
                <w:sz w:val="14"/>
                <w:szCs w:val="14"/>
              </w:rPr>
              <w:t>).</w:t>
            </w:r>
          </w:p>
        </w:tc>
        <w:tc>
          <w:tcPr>
            <w:tcW w:w="708" w:type="dxa"/>
            <w:tcBorders>
              <w:left w:val="nil"/>
              <w:right w:val="nil"/>
            </w:tcBorders>
          </w:tcPr>
          <w:p w14:paraId="620EC5F0" w14:textId="77777777" w:rsidR="00ED6053" w:rsidRPr="005C56D1" w:rsidRDefault="00ED6053" w:rsidP="00FF4124">
            <w:pPr>
              <w:pStyle w:val="CORPOTEXTO"/>
              <w:spacing w:after="60"/>
              <w:contextualSpacing/>
              <w:jc w:val="left"/>
              <w:rPr>
                <w:sz w:val="14"/>
                <w:szCs w:val="14"/>
              </w:rPr>
            </w:pPr>
            <w:r w:rsidRPr="005C56D1">
              <w:rPr>
                <w:sz w:val="14"/>
                <w:szCs w:val="14"/>
              </w:rPr>
              <w:lastRenderedPageBreak/>
              <w:t>DP2014</w:t>
            </w:r>
          </w:p>
        </w:tc>
        <w:tc>
          <w:tcPr>
            <w:tcW w:w="792" w:type="dxa"/>
            <w:tcBorders>
              <w:left w:val="nil"/>
            </w:tcBorders>
          </w:tcPr>
          <w:p w14:paraId="6BCC7CD9"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K3; sub-elements of K3</w:t>
            </w:r>
          </w:p>
        </w:tc>
      </w:tr>
      <w:tr w:rsidR="00ED6053" w:rsidRPr="005C56D1" w14:paraId="63160239" w14:textId="77777777" w:rsidTr="00FF4124">
        <w:tc>
          <w:tcPr>
            <w:tcW w:w="8364" w:type="dxa"/>
            <w:tcBorders>
              <w:left w:val="nil"/>
              <w:right w:val="nil"/>
            </w:tcBorders>
          </w:tcPr>
          <w:p w14:paraId="5A5DC43A" w14:textId="77777777" w:rsidR="00ED6053" w:rsidRPr="005C56D1" w:rsidRDefault="00ED6053" w:rsidP="00FF4124">
            <w:pPr>
              <w:pStyle w:val="tablecontenttext"/>
              <w:spacing w:afterLines="40" w:after="96" w:line="240" w:lineRule="auto"/>
              <w:rPr>
                <w:rFonts w:ascii="Times New Roman" w:hAnsi="Times New Roman" w:cs="Times New Roman"/>
                <w:b/>
                <w:bCs w:val="0"/>
                <w:sz w:val="14"/>
                <w:szCs w:val="14"/>
              </w:rPr>
            </w:pPr>
            <w:r w:rsidRPr="005C56D1">
              <w:rPr>
                <w:rFonts w:ascii="Times New Roman" w:hAnsi="Times New Roman" w:cs="Times New Roman"/>
                <w:b/>
                <w:sz w:val="14"/>
                <w:szCs w:val="14"/>
              </w:rPr>
              <w:t xml:space="preserve">Difficulty of preparing and making shifts from incremental to </w:t>
            </w:r>
            <w:r w:rsidRPr="000E7FEF">
              <w:rPr>
                <w:rFonts w:ascii="Times New Roman" w:hAnsi="Times New Roman" w:cs="Times New Roman"/>
                <w:b/>
                <w:sz w:val="14"/>
                <w:szCs w:val="14"/>
              </w:rPr>
              <w:t>transformational measures</w:t>
            </w:r>
            <w:r w:rsidRPr="000E7FEF">
              <w:rPr>
                <w:rFonts w:ascii="Times New Roman" w:hAnsi="Times New Roman" w:cs="Times New Roman"/>
                <w:sz w:val="14"/>
                <w:szCs w:val="14"/>
              </w:rPr>
              <w:t>. Both the TE2100 and the DP sought to secure the possibility to shift from incremental to transformational measures, however, this point could be further improved and contribute to improve the APs approach, by clarifying how such shifts can be enabled. In both cases, often, the selected pathway contains incremental measures in the short-term, and ‘system-changing’ transformational measures in the long-term. Incremental measures usually correspond to investments in further / gradual improvement of the protection level provided by the current system. Yet, continuing in a path of incremental measures can lead to an increase or a transference of costs to a future system, greater path-dependency and</w:t>
            </w:r>
            <w:r w:rsidRPr="005C56D1">
              <w:rPr>
                <w:rFonts w:ascii="Times New Roman" w:hAnsi="Times New Roman" w:cs="Times New Roman"/>
                <w:sz w:val="14"/>
                <w:szCs w:val="14"/>
              </w:rPr>
              <w:t xml:space="preserve"> sunk-costs (by augmenting the point for switching from incremental to transformational measures) (</w:t>
            </w:r>
            <w:r>
              <w:rPr>
                <w:rFonts w:ascii="Times New Roman" w:hAnsi="Times New Roman" w:cs="Times New Roman"/>
                <w:color w:val="7F7F7F" w:themeColor="text1" w:themeTint="80"/>
                <w:sz w:val="14"/>
                <w:szCs w:val="14"/>
              </w:rPr>
              <w:t>Bloemen et al. 2018</w:t>
            </w:r>
            <w:r w:rsidRPr="005C56D1">
              <w:rPr>
                <w:rFonts w:ascii="Times New Roman" w:hAnsi="Times New Roman" w:cs="Times New Roman"/>
                <w:color w:val="7F7F7F" w:themeColor="text1" w:themeTint="80"/>
                <w:sz w:val="14"/>
                <w:szCs w:val="14"/>
              </w:rPr>
              <w:t>, p.17</w:t>
            </w:r>
            <w:r w:rsidRPr="005C56D1">
              <w:rPr>
                <w:rFonts w:ascii="Times New Roman" w:hAnsi="Times New Roman" w:cs="Times New Roman"/>
                <w:sz w:val="14"/>
                <w:szCs w:val="14"/>
              </w:rPr>
              <w:t>).</w:t>
            </w:r>
          </w:p>
        </w:tc>
        <w:tc>
          <w:tcPr>
            <w:tcW w:w="708" w:type="dxa"/>
            <w:tcBorders>
              <w:left w:val="nil"/>
              <w:right w:val="nil"/>
            </w:tcBorders>
          </w:tcPr>
          <w:p w14:paraId="5A3DC653" w14:textId="77777777" w:rsidR="00ED6053" w:rsidRPr="005C56D1" w:rsidRDefault="00ED6053" w:rsidP="00FF4124">
            <w:pPr>
              <w:pStyle w:val="CORPOTEXTO"/>
              <w:spacing w:after="60"/>
              <w:contextualSpacing/>
              <w:jc w:val="left"/>
              <w:rPr>
                <w:sz w:val="14"/>
                <w:szCs w:val="14"/>
              </w:rPr>
            </w:pPr>
            <w:r w:rsidRPr="005C56D1">
              <w:rPr>
                <w:sz w:val="14"/>
                <w:szCs w:val="14"/>
              </w:rPr>
              <w:t>TE2100+</w:t>
            </w:r>
          </w:p>
          <w:p w14:paraId="0EEE5584" w14:textId="77777777" w:rsidR="00ED6053" w:rsidRPr="005C56D1" w:rsidRDefault="00ED6053" w:rsidP="00FF4124">
            <w:pPr>
              <w:pStyle w:val="CORPOTEXTO"/>
              <w:spacing w:after="60"/>
              <w:contextualSpacing/>
              <w:jc w:val="left"/>
              <w:rPr>
                <w:sz w:val="14"/>
                <w:szCs w:val="14"/>
              </w:rPr>
            </w:pPr>
            <w:r w:rsidRPr="005C56D1">
              <w:rPr>
                <w:sz w:val="14"/>
                <w:szCs w:val="14"/>
              </w:rPr>
              <w:t>DP2014</w:t>
            </w:r>
          </w:p>
        </w:tc>
        <w:tc>
          <w:tcPr>
            <w:tcW w:w="792" w:type="dxa"/>
            <w:tcBorders>
              <w:left w:val="nil"/>
            </w:tcBorders>
          </w:tcPr>
          <w:p w14:paraId="685369FD"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K3</w:t>
            </w:r>
          </w:p>
        </w:tc>
      </w:tr>
      <w:tr w:rsidR="00ED6053" w:rsidRPr="005C56D1" w14:paraId="1B7A9CE9" w14:textId="77777777" w:rsidTr="00FF4124">
        <w:tc>
          <w:tcPr>
            <w:tcW w:w="8364" w:type="dxa"/>
            <w:tcBorders>
              <w:left w:val="nil"/>
              <w:right w:val="nil"/>
            </w:tcBorders>
          </w:tcPr>
          <w:p w14:paraId="5E603373" w14:textId="77777777" w:rsidR="00ED6053" w:rsidRPr="005C56D1" w:rsidRDefault="00ED6053" w:rsidP="00FF4124">
            <w:pPr>
              <w:pStyle w:val="CORPOTEXTO"/>
              <w:spacing w:afterLines="40" w:after="96"/>
              <w:jc w:val="left"/>
              <w:rPr>
                <w:sz w:val="14"/>
                <w:szCs w:val="14"/>
              </w:rPr>
            </w:pPr>
            <w:r w:rsidRPr="005C56D1">
              <w:rPr>
                <w:b/>
                <w:bCs/>
                <w:sz w:val="14"/>
                <w:szCs w:val="14"/>
              </w:rPr>
              <w:t xml:space="preserve">The flexibility of the Strategies may be constrained </w:t>
            </w:r>
            <w:r w:rsidRPr="005C56D1">
              <w:rPr>
                <w:sz w:val="14"/>
                <w:szCs w:val="14"/>
              </w:rPr>
              <w:t>by pre-existing structural flood protection measures. Some structural flood protection measures taken in the past do constrain future options and choices (</w:t>
            </w:r>
            <w:proofErr w:type="spellStart"/>
            <w:r w:rsidRPr="005C56D1">
              <w:rPr>
                <w:color w:val="7F7F7F" w:themeColor="text1" w:themeTint="80"/>
                <w:sz w:val="14"/>
                <w:szCs w:val="14"/>
              </w:rPr>
              <w:t>Jeuken</w:t>
            </w:r>
            <w:proofErr w:type="spellEnd"/>
            <w:r w:rsidRPr="005C56D1">
              <w:rPr>
                <w:color w:val="7F7F7F" w:themeColor="text1" w:themeTint="80"/>
                <w:sz w:val="14"/>
                <w:szCs w:val="14"/>
              </w:rPr>
              <w:t xml:space="preserve"> et al. 2014, p.1</w:t>
            </w:r>
            <w:r w:rsidRPr="005C56D1">
              <w:rPr>
                <w:sz w:val="14"/>
                <w:szCs w:val="14"/>
              </w:rPr>
              <w:t>). In the DP, the flexibility</w:t>
            </w:r>
            <w:r w:rsidRPr="005C56D1">
              <w:rPr>
                <w:b/>
                <w:sz w:val="14"/>
                <w:szCs w:val="14"/>
              </w:rPr>
              <w:t xml:space="preserve"> </w:t>
            </w:r>
            <w:r w:rsidRPr="005C56D1">
              <w:rPr>
                <w:sz w:val="14"/>
                <w:szCs w:val="14"/>
              </w:rPr>
              <w:t>of strategies was often limited by the nature and lifespan of some measures – e.g. protection measures involving barriers that are implemented for several decades (</w:t>
            </w:r>
            <w:proofErr w:type="spellStart"/>
            <w:r w:rsidRPr="005C56D1">
              <w:rPr>
                <w:color w:val="7F7F7F" w:themeColor="text1" w:themeTint="80"/>
                <w:sz w:val="14"/>
                <w:szCs w:val="14"/>
              </w:rPr>
              <w:t>Jeuken</w:t>
            </w:r>
            <w:proofErr w:type="spellEnd"/>
            <w:r w:rsidRPr="005C56D1">
              <w:rPr>
                <w:color w:val="7F7F7F" w:themeColor="text1" w:themeTint="80"/>
                <w:sz w:val="14"/>
                <w:szCs w:val="14"/>
              </w:rPr>
              <w:t xml:space="preserve"> et al. 2014, p.18</w:t>
            </w:r>
            <w:r w:rsidRPr="005C56D1">
              <w:rPr>
                <w:sz w:val="14"/>
                <w:szCs w:val="14"/>
              </w:rPr>
              <w:t>). It is quite difficult to prioritise measures that prevent lock-ins when</w:t>
            </w:r>
            <w:r w:rsidRPr="005C56D1">
              <w:rPr>
                <w:i/>
                <w:sz w:val="14"/>
                <w:szCs w:val="14"/>
              </w:rPr>
              <w:t xml:space="preserve"> </w:t>
            </w:r>
            <w:r w:rsidRPr="005C56D1">
              <w:rPr>
                <w:sz w:val="14"/>
                <w:szCs w:val="14"/>
              </w:rPr>
              <w:t>such system</w:t>
            </w:r>
            <w:r w:rsidRPr="005C56D1">
              <w:rPr>
                <w:i/>
                <w:sz w:val="14"/>
                <w:szCs w:val="14"/>
              </w:rPr>
              <w:t xml:space="preserve"> is already caught in a lock-in</w:t>
            </w:r>
            <w:r w:rsidRPr="005C56D1">
              <w:rPr>
                <w:sz w:val="14"/>
                <w:szCs w:val="14"/>
              </w:rPr>
              <w:t xml:space="preserve"> (</w:t>
            </w:r>
            <w:proofErr w:type="spellStart"/>
            <w:r w:rsidRPr="005C56D1">
              <w:rPr>
                <w:color w:val="7F7F7F" w:themeColor="text1" w:themeTint="80"/>
                <w:sz w:val="14"/>
                <w:szCs w:val="14"/>
              </w:rPr>
              <w:t>Restemeyer</w:t>
            </w:r>
            <w:proofErr w:type="spellEnd"/>
            <w:r w:rsidRPr="005C56D1">
              <w:rPr>
                <w:color w:val="7F7F7F" w:themeColor="text1" w:themeTint="80"/>
                <w:sz w:val="14"/>
                <w:szCs w:val="14"/>
              </w:rPr>
              <w:t xml:space="preserve"> et al. 2017, p.936</w:t>
            </w:r>
            <w:r w:rsidRPr="005C56D1">
              <w:rPr>
                <w:sz w:val="14"/>
                <w:szCs w:val="14"/>
              </w:rPr>
              <w:t>).</w:t>
            </w:r>
          </w:p>
        </w:tc>
        <w:tc>
          <w:tcPr>
            <w:tcW w:w="708" w:type="dxa"/>
            <w:tcBorders>
              <w:left w:val="nil"/>
              <w:right w:val="nil"/>
            </w:tcBorders>
          </w:tcPr>
          <w:p w14:paraId="2BA2AE73" w14:textId="77777777" w:rsidR="00ED6053" w:rsidRPr="005C56D1" w:rsidRDefault="00ED6053" w:rsidP="00FF4124">
            <w:pPr>
              <w:pStyle w:val="CORPOTEXTO"/>
              <w:spacing w:after="60"/>
              <w:contextualSpacing/>
              <w:jc w:val="left"/>
              <w:rPr>
                <w:sz w:val="14"/>
                <w:szCs w:val="14"/>
              </w:rPr>
            </w:pPr>
            <w:r w:rsidRPr="005C56D1">
              <w:rPr>
                <w:sz w:val="14"/>
                <w:szCs w:val="14"/>
              </w:rPr>
              <w:t>DP2014</w:t>
            </w:r>
          </w:p>
        </w:tc>
        <w:tc>
          <w:tcPr>
            <w:tcW w:w="792" w:type="dxa"/>
            <w:tcBorders>
              <w:left w:val="nil"/>
            </w:tcBorders>
          </w:tcPr>
          <w:p w14:paraId="1B0B4C4B"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 xml:space="preserve">K3; overall plan’s flexibility </w:t>
            </w:r>
          </w:p>
        </w:tc>
      </w:tr>
      <w:tr w:rsidR="00ED6053" w:rsidRPr="005C56D1" w14:paraId="41555870" w14:textId="77777777" w:rsidTr="00FF4124">
        <w:tc>
          <w:tcPr>
            <w:tcW w:w="8364" w:type="dxa"/>
            <w:tcBorders>
              <w:left w:val="nil"/>
              <w:right w:val="nil"/>
            </w:tcBorders>
          </w:tcPr>
          <w:p w14:paraId="49E24AF2" w14:textId="77777777" w:rsidR="00ED6053" w:rsidRPr="005C56D1" w:rsidRDefault="00ED6053" w:rsidP="00FF4124">
            <w:pPr>
              <w:pStyle w:val="CORPOTEXTO"/>
              <w:spacing w:afterLines="40" w:after="96"/>
              <w:jc w:val="left"/>
              <w:rPr>
                <w:sz w:val="14"/>
                <w:szCs w:val="14"/>
              </w:rPr>
            </w:pPr>
            <w:r w:rsidRPr="005C56D1">
              <w:rPr>
                <w:b/>
                <w:bCs/>
                <w:sz w:val="14"/>
                <w:szCs w:val="14"/>
              </w:rPr>
              <w:t>Some spatial developments or investments hamper or lock out future options.</w:t>
            </w:r>
            <w:r w:rsidRPr="005C56D1">
              <w:rPr>
                <w:sz w:val="14"/>
                <w:szCs w:val="14"/>
              </w:rPr>
              <w:t xml:space="preserve"> In some situations, spatial developments contributed to narrow down future options, e.g. past investments in hard defences in the Netherlands have attracted economic activity to low-lying flood-prone areas (and this development usually does not account for long-term adaptation needs), this will hamper a switch to measures substantially different from hard defences. In the future, measures involving spatial planning instruments that shape development patterns (e.g. risk-zoning plans, spatial reservations, building codes) will become essential to reduce flood risk (</w:t>
            </w:r>
            <w:proofErr w:type="spellStart"/>
            <w:r w:rsidRPr="005C56D1">
              <w:rPr>
                <w:color w:val="7F7F7F" w:themeColor="text1" w:themeTint="80"/>
                <w:sz w:val="14"/>
                <w:szCs w:val="14"/>
              </w:rPr>
              <w:t>Jeuken</w:t>
            </w:r>
            <w:proofErr w:type="spellEnd"/>
            <w:r w:rsidRPr="005C56D1">
              <w:rPr>
                <w:color w:val="7F7F7F" w:themeColor="text1" w:themeTint="80"/>
                <w:sz w:val="14"/>
                <w:szCs w:val="14"/>
              </w:rPr>
              <w:t xml:space="preserve"> et al. 2014, p.21</w:t>
            </w:r>
            <w:r w:rsidRPr="005C56D1">
              <w:rPr>
                <w:sz w:val="14"/>
                <w:szCs w:val="14"/>
              </w:rPr>
              <w:t>).</w:t>
            </w:r>
          </w:p>
        </w:tc>
        <w:tc>
          <w:tcPr>
            <w:tcW w:w="708" w:type="dxa"/>
            <w:tcBorders>
              <w:left w:val="nil"/>
              <w:right w:val="nil"/>
            </w:tcBorders>
          </w:tcPr>
          <w:p w14:paraId="0961F784" w14:textId="77777777" w:rsidR="00ED6053" w:rsidRPr="005C56D1" w:rsidRDefault="00ED6053" w:rsidP="00FF4124">
            <w:pPr>
              <w:pStyle w:val="CORPOTEXTO"/>
              <w:spacing w:after="60"/>
              <w:contextualSpacing/>
              <w:jc w:val="left"/>
              <w:rPr>
                <w:sz w:val="14"/>
                <w:szCs w:val="14"/>
              </w:rPr>
            </w:pPr>
            <w:r w:rsidRPr="005C56D1">
              <w:rPr>
                <w:sz w:val="14"/>
                <w:szCs w:val="14"/>
              </w:rPr>
              <w:t>DP2014</w:t>
            </w:r>
          </w:p>
        </w:tc>
        <w:tc>
          <w:tcPr>
            <w:tcW w:w="792" w:type="dxa"/>
            <w:tcBorders>
              <w:left w:val="nil"/>
            </w:tcBorders>
          </w:tcPr>
          <w:p w14:paraId="0E612F04"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 xml:space="preserve">K3; K3 sub-elements </w:t>
            </w:r>
          </w:p>
        </w:tc>
      </w:tr>
      <w:tr w:rsidR="00ED6053" w:rsidRPr="005C56D1" w14:paraId="1416B38E" w14:textId="77777777" w:rsidTr="00FF4124">
        <w:tc>
          <w:tcPr>
            <w:tcW w:w="8364" w:type="dxa"/>
            <w:tcBorders>
              <w:left w:val="nil"/>
              <w:right w:val="nil"/>
            </w:tcBorders>
          </w:tcPr>
          <w:p w14:paraId="022E8C12" w14:textId="77777777" w:rsidR="00ED6053" w:rsidRDefault="00ED6053" w:rsidP="00FF4124">
            <w:pPr>
              <w:pStyle w:val="CORPOTEXTO"/>
              <w:spacing w:afterLines="40" w:after="96"/>
              <w:jc w:val="left"/>
              <w:rPr>
                <w:b/>
                <w:bCs/>
                <w:sz w:val="14"/>
                <w:szCs w:val="14"/>
              </w:rPr>
            </w:pPr>
            <w:r w:rsidRPr="005C56D1">
              <w:rPr>
                <w:b/>
                <w:bCs/>
                <w:sz w:val="14"/>
                <w:szCs w:val="14"/>
              </w:rPr>
              <w:t xml:space="preserve">Difficulties in the monitoring and reassessment. </w:t>
            </w:r>
            <w:r w:rsidRPr="005C56D1">
              <w:rPr>
                <w:sz w:val="14"/>
                <w:szCs w:val="14"/>
              </w:rPr>
              <w:t>Monitoring and the reassessment of pathways are complicated by the fact that trends in some variables cannot be detected (</w:t>
            </w:r>
            <w:proofErr w:type="spellStart"/>
            <w:r w:rsidRPr="005C56D1">
              <w:rPr>
                <w:color w:val="7F7F7F" w:themeColor="text1" w:themeTint="80"/>
                <w:sz w:val="14"/>
                <w:szCs w:val="14"/>
              </w:rPr>
              <w:t>Jeuken</w:t>
            </w:r>
            <w:proofErr w:type="spellEnd"/>
            <w:r w:rsidRPr="005C56D1">
              <w:rPr>
                <w:color w:val="7F7F7F" w:themeColor="text1" w:themeTint="80"/>
                <w:sz w:val="14"/>
                <w:szCs w:val="14"/>
              </w:rPr>
              <w:t xml:space="preserve"> et al. 2014, p.1</w:t>
            </w:r>
            <w:r w:rsidRPr="005C56D1">
              <w:rPr>
                <w:sz w:val="14"/>
                <w:szCs w:val="14"/>
              </w:rPr>
              <w:t xml:space="preserve">). For </w:t>
            </w:r>
            <w:r w:rsidRPr="005C56D1">
              <w:rPr>
                <w:color w:val="7F7F7F" w:themeColor="text1" w:themeTint="80"/>
                <w:sz w:val="14"/>
                <w:szCs w:val="14"/>
              </w:rPr>
              <w:t>Zevenbergen et al.</w:t>
            </w:r>
            <w:r w:rsidRPr="005C56D1">
              <w:rPr>
                <w:sz w:val="14"/>
                <w:szCs w:val="14"/>
              </w:rPr>
              <w:t>, the detection of climate change effects within the timescales of decision-making remains difficult, and it still needs to be seen whether the adaptive approach is being effectively applied in practice.</w:t>
            </w:r>
          </w:p>
          <w:p w14:paraId="4EC037AD" w14:textId="77777777" w:rsidR="00ED6053" w:rsidRPr="005C56D1" w:rsidRDefault="00ED6053" w:rsidP="00FF4124">
            <w:pPr>
              <w:pStyle w:val="CORPOTEXTO"/>
              <w:spacing w:afterLines="40" w:after="96"/>
              <w:jc w:val="left"/>
              <w:rPr>
                <w:b/>
                <w:bCs/>
                <w:sz w:val="14"/>
                <w:szCs w:val="14"/>
              </w:rPr>
            </w:pPr>
            <w:r w:rsidRPr="005C56D1">
              <w:rPr>
                <w:sz w:val="14"/>
                <w:szCs w:val="14"/>
              </w:rPr>
              <w:t>The potential for monitoring and reassessment of options is hampered by the fact that trends in some variables cannot be detected’ (</w:t>
            </w:r>
            <w:proofErr w:type="spellStart"/>
            <w:r w:rsidRPr="005C56D1">
              <w:rPr>
                <w:color w:val="7F7F7F" w:themeColor="text1" w:themeTint="80"/>
                <w:sz w:val="14"/>
                <w:szCs w:val="14"/>
              </w:rPr>
              <w:t>Jeuken</w:t>
            </w:r>
            <w:proofErr w:type="spellEnd"/>
            <w:r w:rsidRPr="005C56D1">
              <w:rPr>
                <w:color w:val="7F7F7F" w:themeColor="text1" w:themeTint="80"/>
                <w:sz w:val="14"/>
                <w:szCs w:val="14"/>
              </w:rPr>
              <w:t xml:space="preserve"> et al. 2014, p.1</w:t>
            </w:r>
            <w:r w:rsidRPr="005C56D1">
              <w:rPr>
                <w:sz w:val="14"/>
                <w:szCs w:val="14"/>
              </w:rPr>
              <w:t xml:space="preserve">). In situations </w:t>
            </w:r>
            <w:r w:rsidRPr="005C56D1">
              <w:rPr>
                <w:b/>
                <w:bCs/>
                <w:sz w:val="14"/>
                <w:szCs w:val="14"/>
              </w:rPr>
              <w:t xml:space="preserve">where: there is large natural variability, intrinsically flexible strategies are used, </w:t>
            </w:r>
            <w:r w:rsidRPr="005C56D1">
              <w:rPr>
                <w:b/>
                <w:sz w:val="14"/>
                <w:szCs w:val="14"/>
              </w:rPr>
              <w:t xml:space="preserve">or </w:t>
            </w:r>
            <w:r w:rsidRPr="005C56D1">
              <w:rPr>
                <w:b/>
                <w:bCs/>
                <w:sz w:val="14"/>
                <w:szCs w:val="14"/>
              </w:rPr>
              <w:t xml:space="preserve">there </w:t>
            </w:r>
            <w:proofErr w:type="gramStart"/>
            <w:r w:rsidRPr="005C56D1">
              <w:rPr>
                <w:b/>
                <w:bCs/>
                <w:sz w:val="14"/>
                <w:szCs w:val="14"/>
              </w:rPr>
              <w:t>are</w:t>
            </w:r>
            <w:proofErr w:type="gramEnd"/>
            <w:r w:rsidRPr="005C56D1">
              <w:rPr>
                <w:b/>
                <w:bCs/>
                <w:sz w:val="14"/>
                <w:szCs w:val="14"/>
              </w:rPr>
              <w:t xml:space="preserve"> no clear policy goals defined</w:t>
            </w:r>
            <w:r w:rsidRPr="005C56D1">
              <w:rPr>
                <w:sz w:val="14"/>
                <w:szCs w:val="14"/>
              </w:rPr>
              <w:t>), the monitoring and detection, in a timely way, of tipping-points, although challenging, will be essential. This implies the development of a monitoring and evaluation system able to detect tipping-points in such situations (</w:t>
            </w:r>
            <w:r>
              <w:rPr>
                <w:color w:val="7F7F7F" w:themeColor="text1" w:themeTint="80"/>
                <w:sz w:val="14"/>
                <w:szCs w:val="14"/>
              </w:rPr>
              <w:t>Bloemen et al. 2018</w:t>
            </w:r>
            <w:r w:rsidRPr="005C56D1">
              <w:rPr>
                <w:sz w:val="14"/>
                <w:szCs w:val="14"/>
              </w:rPr>
              <w:t xml:space="preserve">). </w:t>
            </w:r>
          </w:p>
        </w:tc>
        <w:tc>
          <w:tcPr>
            <w:tcW w:w="708" w:type="dxa"/>
            <w:tcBorders>
              <w:left w:val="nil"/>
              <w:right w:val="nil"/>
            </w:tcBorders>
          </w:tcPr>
          <w:p w14:paraId="3F24B6FA" w14:textId="77777777" w:rsidR="00ED6053" w:rsidRPr="005C56D1" w:rsidRDefault="00ED6053" w:rsidP="00FF4124">
            <w:pPr>
              <w:pStyle w:val="CORPOTEXTO"/>
              <w:spacing w:after="60"/>
              <w:contextualSpacing/>
              <w:jc w:val="left"/>
              <w:rPr>
                <w:sz w:val="14"/>
                <w:szCs w:val="14"/>
              </w:rPr>
            </w:pPr>
            <w:r w:rsidRPr="005C56D1">
              <w:rPr>
                <w:sz w:val="14"/>
                <w:szCs w:val="14"/>
              </w:rPr>
              <w:t>TE2100+</w:t>
            </w:r>
          </w:p>
          <w:p w14:paraId="7E8C581A"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sz w:val="14"/>
                <w:szCs w:val="14"/>
              </w:rPr>
              <w:t>DP2014</w:t>
            </w:r>
          </w:p>
        </w:tc>
        <w:tc>
          <w:tcPr>
            <w:tcW w:w="792" w:type="dxa"/>
            <w:tcBorders>
              <w:left w:val="nil"/>
            </w:tcBorders>
          </w:tcPr>
          <w:p w14:paraId="691CE1FE"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K4</w:t>
            </w:r>
          </w:p>
        </w:tc>
      </w:tr>
      <w:tr w:rsidR="00ED6053" w:rsidRPr="005C56D1" w14:paraId="1A7B0FA1" w14:textId="77777777" w:rsidTr="00FF4124">
        <w:tc>
          <w:tcPr>
            <w:tcW w:w="8364" w:type="dxa"/>
            <w:tcBorders>
              <w:left w:val="nil"/>
              <w:right w:val="nil"/>
            </w:tcBorders>
          </w:tcPr>
          <w:p w14:paraId="45F2FFBD" w14:textId="77777777" w:rsidR="00ED6053" w:rsidRPr="005C56D1" w:rsidRDefault="00ED6053" w:rsidP="00FF4124">
            <w:pPr>
              <w:pStyle w:val="CORPOTEXTO"/>
              <w:spacing w:afterLines="40" w:after="96"/>
              <w:jc w:val="left"/>
              <w:rPr>
                <w:sz w:val="14"/>
                <w:szCs w:val="14"/>
              </w:rPr>
            </w:pPr>
            <w:r w:rsidRPr="005C56D1">
              <w:rPr>
                <w:b/>
                <w:bCs/>
                <w:sz w:val="14"/>
                <w:szCs w:val="14"/>
              </w:rPr>
              <w:t>Scarce public engagement.</w:t>
            </w:r>
            <w:r w:rsidRPr="005C56D1">
              <w:rPr>
                <w:sz w:val="14"/>
                <w:szCs w:val="14"/>
              </w:rPr>
              <w:t xml:space="preserve"> The involvement of many stakeholders in a joint decision-making process was not easy. It was difficult to foster the engagement of citizens in decisions (unless decisions strongly affected in their ‘backyards’), and public awareness of flood risk in the country is low (</w:t>
            </w:r>
            <w:r w:rsidRPr="005C56D1">
              <w:rPr>
                <w:color w:val="7F7F7F" w:themeColor="text1" w:themeTint="80"/>
                <w:sz w:val="14"/>
                <w:szCs w:val="14"/>
              </w:rPr>
              <w:t xml:space="preserve">Haegen and </w:t>
            </w:r>
            <w:proofErr w:type="spellStart"/>
            <w:r w:rsidRPr="005C56D1">
              <w:rPr>
                <w:color w:val="7F7F7F" w:themeColor="text1" w:themeTint="80"/>
                <w:sz w:val="14"/>
                <w:szCs w:val="14"/>
              </w:rPr>
              <w:t>Wieriks</w:t>
            </w:r>
            <w:proofErr w:type="spellEnd"/>
            <w:r w:rsidRPr="005C56D1">
              <w:rPr>
                <w:color w:val="7F7F7F" w:themeColor="text1" w:themeTint="80"/>
                <w:sz w:val="14"/>
                <w:szCs w:val="14"/>
              </w:rPr>
              <w:t xml:space="preserve"> 2015; Ritzema and Steensma 2018, p.7</w:t>
            </w:r>
            <w:r w:rsidRPr="005C56D1">
              <w:rPr>
                <w:sz w:val="14"/>
                <w:szCs w:val="14"/>
              </w:rPr>
              <w:t xml:space="preserve">). The </w:t>
            </w:r>
            <w:r w:rsidRPr="005C56D1">
              <w:rPr>
                <w:color w:val="000000"/>
                <w:sz w:val="14"/>
                <w:szCs w:val="14"/>
              </w:rPr>
              <w:t>DP was</w:t>
            </w:r>
            <w:r w:rsidRPr="005C56D1">
              <w:rPr>
                <w:b/>
                <w:color w:val="000000"/>
                <w:sz w:val="14"/>
                <w:szCs w:val="14"/>
              </w:rPr>
              <w:t xml:space="preserve"> </w:t>
            </w:r>
            <w:r w:rsidRPr="005C56D1">
              <w:rPr>
                <w:bCs/>
                <w:color w:val="000000"/>
                <w:sz w:val="14"/>
                <w:szCs w:val="14"/>
              </w:rPr>
              <w:t>quite expert- and government-driven</w:t>
            </w:r>
            <w:r w:rsidRPr="005C56D1">
              <w:rPr>
                <w:color w:val="000000"/>
                <w:sz w:val="14"/>
                <w:szCs w:val="14"/>
              </w:rPr>
              <w:t>, with strong reliance on expert knowledge from water domain and scarce engagement of c</w:t>
            </w:r>
            <w:r w:rsidRPr="005C56D1">
              <w:rPr>
                <w:sz w:val="14"/>
                <w:szCs w:val="14"/>
              </w:rPr>
              <w:t>ivil society (citizens and business had not a formal role in the strategy-making process) (</w:t>
            </w:r>
            <w:proofErr w:type="spellStart"/>
            <w:r w:rsidRPr="005C56D1">
              <w:rPr>
                <w:color w:val="7F7F7F" w:themeColor="text1" w:themeTint="80"/>
                <w:sz w:val="14"/>
                <w:szCs w:val="14"/>
              </w:rPr>
              <w:t>Restemeyer</w:t>
            </w:r>
            <w:proofErr w:type="spellEnd"/>
            <w:r w:rsidRPr="005C56D1">
              <w:rPr>
                <w:color w:val="7F7F7F" w:themeColor="text1" w:themeTint="80"/>
                <w:sz w:val="14"/>
                <w:szCs w:val="14"/>
              </w:rPr>
              <w:t xml:space="preserve"> et al. 2017, p.929; Werners et al. 2016; </w:t>
            </w:r>
            <w:proofErr w:type="spellStart"/>
            <w:r w:rsidRPr="005C56D1">
              <w:rPr>
                <w:color w:val="7F7F7F" w:themeColor="text1" w:themeTint="80"/>
                <w:sz w:val="14"/>
                <w:szCs w:val="14"/>
              </w:rPr>
              <w:t>Seijger</w:t>
            </w:r>
            <w:proofErr w:type="spellEnd"/>
            <w:r w:rsidRPr="005C56D1">
              <w:rPr>
                <w:color w:val="7F7F7F" w:themeColor="text1" w:themeTint="80"/>
                <w:sz w:val="14"/>
                <w:szCs w:val="14"/>
              </w:rPr>
              <w:t xml:space="preserve"> et al. 2017</w:t>
            </w:r>
            <w:r w:rsidRPr="005C56D1">
              <w:rPr>
                <w:sz w:val="14"/>
                <w:szCs w:val="14"/>
              </w:rPr>
              <w:t>)</w:t>
            </w:r>
          </w:p>
        </w:tc>
        <w:tc>
          <w:tcPr>
            <w:tcW w:w="708" w:type="dxa"/>
            <w:tcBorders>
              <w:left w:val="nil"/>
              <w:right w:val="nil"/>
            </w:tcBorders>
          </w:tcPr>
          <w:p w14:paraId="1649D57F"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DP2014</w:t>
            </w:r>
          </w:p>
        </w:tc>
        <w:tc>
          <w:tcPr>
            <w:tcW w:w="792" w:type="dxa"/>
            <w:tcBorders>
              <w:left w:val="nil"/>
            </w:tcBorders>
          </w:tcPr>
          <w:p w14:paraId="299028D4"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K5</w:t>
            </w:r>
          </w:p>
        </w:tc>
      </w:tr>
      <w:tr w:rsidR="00ED6053" w:rsidRPr="005C56D1" w14:paraId="159F37FA" w14:textId="77777777" w:rsidTr="00FF4124">
        <w:tc>
          <w:tcPr>
            <w:tcW w:w="8364" w:type="dxa"/>
            <w:tcBorders>
              <w:left w:val="nil"/>
              <w:right w:val="nil"/>
            </w:tcBorders>
          </w:tcPr>
          <w:p w14:paraId="7E135951" w14:textId="77777777" w:rsidR="00ED6053" w:rsidRPr="005C56D1" w:rsidRDefault="00ED6053" w:rsidP="00FF4124">
            <w:pPr>
              <w:pStyle w:val="CORPOTEXTO"/>
              <w:spacing w:afterLines="40" w:after="96"/>
              <w:jc w:val="left"/>
              <w:rPr>
                <w:b/>
                <w:bCs/>
                <w:sz w:val="14"/>
                <w:szCs w:val="14"/>
              </w:rPr>
            </w:pPr>
            <w:r w:rsidRPr="005C56D1">
              <w:rPr>
                <w:b/>
                <w:bCs/>
                <w:sz w:val="14"/>
                <w:szCs w:val="14"/>
              </w:rPr>
              <w:t>Difficulties in the implementation phase</w:t>
            </w:r>
            <w:r w:rsidRPr="005C56D1">
              <w:rPr>
                <w:sz w:val="14"/>
                <w:szCs w:val="14"/>
              </w:rPr>
              <w:t>. The success of ADM and the effectiveness of proposed pathways can only be measured as the future unfolds (</w:t>
            </w:r>
            <w:proofErr w:type="spellStart"/>
            <w:r w:rsidRPr="005C56D1">
              <w:rPr>
                <w:color w:val="7F7F7F" w:themeColor="text1" w:themeTint="80"/>
                <w:sz w:val="14"/>
                <w:szCs w:val="14"/>
              </w:rPr>
              <w:t>Gersonius</w:t>
            </w:r>
            <w:proofErr w:type="spellEnd"/>
            <w:r w:rsidRPr="005C56D1">
              <w:rPr>
                <w:color w:val="7F7F7F" w:themeColor="text1" w:themeTint="80"/>
                <w:sz w:val="14"/>
                <w:szCs w:val="14"/>
              </w:rPr>
              <w:t xml:space="preserve"> et a. 2016</w:t>
            </w:r>
            <w:r w:rsidRPr="005C56D1">
              <w:rPr>
                <w:sz w:val="14"/>
                <w:szCs w:val="14"/>
              </w:rPr>
              <w:t>). ADM also implies an ‘</w:t>
            </w:r>
            <w:r w:rsidRPr="005C56D1">
              <w:rPr>
                <w:i/>
                <w:iCs/>
                <w:sz w:val="14"/>
                <w:szCs w:val="14"/>
              </w:rPr>
              <w:t>adaptive implementation</w:t>
            </w:r>
            <w:r w:rsidRPr="005C56D1">
              <w:rPr>
                <w:sz w:val="14"/>
                <w:szCs w:val="14"/>
              </w:rPr>
              <w:t>’ of the measures proposed in the Strategies (</w:t>
            </w:r>
            <w:r w:rsidRPr="005C56D1">
              <w:rPr>
                <w:color w:val="7F7F7F" w:themeColor="text1" w:themeTint="80"/>
                <w:sz w:val="14"/>
                <w:szCs w:val="14"/>
              </w:rPr>
              <w:t>DP 2014, p.145</w:t>
            </w:r>
            <w:r w:rsidRPr="005C56D1">
              <w:rPr>
                <w:sz w:val="14"/>
                <w:szCs w:val="14"/>
              </w:rPr>
              <w:t>). Yet, a recent survey showed that some actors responsible for the implementation of Strategies in their regions are concerned about their ability to maintain, in the implementation phase, the adaptive approach and to deal with unexpected conditions as time unfolds (</w:t>
            </w:r>
            <w:r w:rsidRPr="005C56D1">
              <w:rPr>
                <w:color w:val="7F7F7F" w:themeColor="text1" w:themeTint="80"/>
                <w:sz w:val="14"/>
                <w:szCs w:val="14"/>
              </w:rPr>
              <w:t>Bloemen et al. 2018</w:t>
            </w:r>
            <w:r w:rsidRPr="005C56D1">
              <w:rPr>
                <w:sz w:val="14"/>
                <w:szCs w:val="14"/>
              </w:rPr>
              <w:t xml:space="preserve">). It is also important to ensure that measures are enabled by legislation, however, at European level there several directives aimed at ensuring ‘preservation’ which can hamper an adaptive approach; </w:t>
            </w:r>
            <w:proofErr w:type="gramStart"/>
            <w:r w:rsidRPr="005C56D1">
              <w:rPr>
                <w:sz w:val="14"/>
                <w:szCs w:val="14"/>
              </w:rPr>
              <w:t>thus</w:t>
            </w:r>
            <w:proofErr w:type="gramEnd"/>
            <w:r w:rsidRPr="005C56D1">
              <w:rPr>
                <w:sz w:val="14"/>
                <w:szCs w:val="14"/>
              </w:rPr>
              <w:t xml:space="preserve"> the DP has made efforts to tackle such hindrances </w:t>
            </w:r>
            <w:r w:rsidRPr="005C56D1">
              <w:rPr>
                <w:rFonts w:eastAsia="RijksoverheidSansText-Regular"/>
                <w:color w:val="000000"/>
                <w:sz w:val="14"/>
                <w:szCs w:val="14"/>
              </w:rPr>
              <w:t>(</w:t>
            </w:r>
            <w:r w:rsidRPr="005C56D1">
              <w:rPr>
                <w:rFonts w:eastAsia="RijksoverheidSansText-Regular"/>
                <w:color w:val="7F7F7F" w:themeColor="text1" w:themeTint="80"/>
                <w:sz w:val="14"/>
                <w:szCs w:val="14"/>
              </w:rPr>
              <w:t>DP 2011, p.54</w:t>
            </w:r>
            <w:r w:rsidRPr="005C56D1">
              <w:rPr>
                <w:rFonts w:eastAsia="RijksoverheidSansText-Regular"/>
                <w:color w:val="000000"/>
                <w:sz w:val="14"/>
                <w:szCs w:val="14"/>
              </w:rPr>
              <w:t>).</w:t>
            </w:r>
          </w:p>
        </w:tc>
        <w:tc>
          <w:tcPr>
            <w:tcW w:w="708" w:type="dxa"/>
            <w:tcBorders>
              <w:left w:val="nil"/>
              <w:right w:val="nil"/>
            </w:tcBorders>
          </w:tcPr>
          <w:p w14:paraId="475683B8"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DP2014</w:t>
            </w:r>
          </w:p>
        </w:tc>
        <w:tc>
          <w:tcPr>
            <w:tcW w:w="792" w:type="dxa"/>
            <w:tcBorders>
              <w:left w:val="nil"/>
            </w:tcBorders>
          </w:tcPr>
          <w:p w14:paraId="5D07F718"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K5</w:t>
            </w:r>
          </w:p>
        </w:tc>
      </w:tr>
      <w:tr w:rsidR="00ED6053" w:rsidRPr="005C56D1" w14:paraId="7F386A91" w14:textId="77777777" w:rsidTr="00FF4124">
        <w:tc>
          <w:tcPr>
            <w:tcW w:w="8364" w:type="dxa"/>
            <w:tcBorders>
              <w:left w:val="nil"/>
              <w:right w:val="nil"/>
            </w:tcBorders>
          </w:tcPr>
          <w:p w14:paraId="183326A6" w14:textId="77777777" w:rsidR="00ED6053" w:rsidRPr="005C56D1" w:rsidRDefault="00ED6053" w:rsidP="00FF4124">
            <w:pPr>
              <w:pStyle w:val="tablecontenttext"/>
              <w:spacing w:afterLines="40" w:after="96" w:line="240" w:lineRule="auto"/>
              <w:rPr>
                <w:rFonts w:ascii="Times New Roman" w:hAnsi="Times New Roman" w:cs="Times New Roman"/>
                <w:sz w:val="14"/>
                <w:szCs w:val="14"/>
              </w:rPr>
            </w:pPr>
            <w:r w:rsidRPr="005C56D1">
              <w:rPr>
                <w:rFonts w:ascii="Times New Roman" w:hAnsi="Times New Roman" w:cs="Times New Roman"/>
                <w:b/>
                <w:sz w:val="14"/>
                <w:szCs w:val="14"/>
              </w:rPr>
              <w:t>Different conceptualizations of flood risk and of the FRM challenge</w:t>
            </w:r>
            <w:bookmarkStart w:id="145" w:name="_Hlk35436115"/>
            <w:r w:rsidRPr="005C56D1">
              <w:rPr>
                <w:rFonts w:ascii="Times New Roman" w:hAnsi="Times New Roman" w:cs="Times New Roman"/>
                <w:b/>
                <w:sz w:val="14"/>
                <w:szCs w:val="14"/>
              </w:rPr>
              <w:t xml:space="preserve">. </w:t>
            </w:r>
            <w:r w:rsidRPr="005C56D1">
              <w:rPr>
                <w:rFonts w:ascii="Times New Roman" w:hAnsi="Times New Roman" w:cs="Times New Roman"/>
                <w:sz w:val="14"/>
                <w:szCs w:val="14"/>
              </w:rPr>
              <w:t xml:space="preserve">According to </w:t>
            </w:r>
            <w:r w:rsidRPr="005C56D1">
              <w:rPr>
                <w:rFonts w:ascii="Times New Roman" w:hAnsi="Times New Roman" w:cs="Times New Roman"/>
                <w:color w:val="7F7F7F" w:themeColor="text1" w:themeTint="80"/>
                <w:sz w:val="14"/>
                <w:szCs w:val="14"/>
              </w:rPr>
              <w:t>Klijn et al</w:t>
            </w:r>
            <w:r w:rsidRPr="005C56D1">
              <w:rPr>
                <w:rFonts w:ascii="Times New Roman" w:hAnsi="Times New Roman" w:cs="Times New Roman"/>
                <w:color w:val="0070C0"/>
                <w:sz w:val="14"/>
                <w:szCs w:val="14"/>
              </w:rPr>
              <w:t>.</w:t>
            </w:r>
            <w:r w:rsidRPr="005C56D1">
              <w:rPr>
                <w:rFonts w:ascii="Times New Roman" w:hAnsi="Times New Roman" w:cs="Times New Roman"/>
                <w:sz w:val="14"/>
                <w:szCs w:val="14"/>
              </w:rPr>
              <w:t xml:space="preserve">, in the Netherlands, defence engineers and spatial planners have commonly relied on different conceptualizations of </w:t>
            </w:r>
            <w:bookmarkEnd w:id="145"/>
            <w:r w:rsidRPr="005C56D1">
              <w:rPr>
                <w:rFonts w:ascii="Times New Roman" w:hAnsi="Times New Roman" w:cs="Times New Roman"/>
                <w:sz w:val="14"/>
                <w:szCs w:val="14"/>
              </w:rPr>
              <w:t xml:space="preserve">flood risk and of the FRM challenge, and thus, on different </w:t>
            </w:r>
            <w:proofErr w:type="gramStart"/>
            <w:r w:rsidRPr="005C56D1">
              <w:rPr>
                <w:rFonts w:ascii="Times New Roman" w:hAnsi="Times New Roman" w:cs="Times New Roman"/>
                <w:sz w:val="14"/>
                <w:szCs w:val="14"/>
              </w:rPr>
              <w:t>measures;</w:t>
            </w:r>
            <w:proofErr w:type="gramEnd"/>
            <w:r w:rsidRPr="005C56D1">
              <w:rPr>
                <w:rFonts w:ascii="Times New Roman" w:hAnsi="Times New Roman" w:cs="Times New Roman"/>
                <w:sz w:val="14"/>
                <w:szCs w:val="14"/>
              </w:rPr>
              <w:t xml:space="preserve"> i.e. they use different framings of risk and how it can be tackled (</w:t>
            </w:r>
            <w:r w:rsidRPr="005C56D1">
              <w:rPr>
                <w:rFonts w:ascii="Times New Roman" w:hAnsi="Times New Roman" w:cs="Times New Roman"/>
                <w:color w:val="7F7F7F" w:themeColor="text1" w:themeTint="80"/>
                <w:sz w:val="14"/>
                <w:szCs w:val="14"/>
              </w:rPr>
              <w:t>Klijn et al. 2015, p.860</w:t>
            </w:r>
            <w:r w:rsidRPr="005C56D1">
              <w:rPr>
                <w:rFonts w:ascii="Times New Roman" w:hAnsi="Times New Roman" w:cs="Times New Roman"/>
                <w:sz w:val="14"/>
                <w:szCs w:val="14"/>
              </w:rPr>
              <w:t xml:space="preserve">). According to </w:t>
            </w:r>
            <w:r w:rsidRPr="005C56D1">
              <w:rPr>
                <w:rFonts w:ascii="Times New Roman" w:hAnsi="Times New Roman" w:cs="Times New Roman"/>
                <w:color w:val="7F7F7F" w:themeColor="text1" w:themeTint="80"/>
                <w:sz w:val="14"/>
                <w:szCs w:val="14"/>
              </w:rPr>
              <w:t>Klijn et al. (2015)</w:t>
            </w:r>
            <w:r w:rsidRPr="005C56D1">
              <w:rPr>
                <w:rFonts w:ascii="Times New Roman" w:hAnsi="Times New Roman" w:cs="Times New Roman"/>
                <w:color w:val="0070C0"/>
                <w:sz w:val="14"/>
                <w:szCs w:val="14"/>
              </w:rPr>
              <w:t xml:space="preserve">, </w:t>
            </w:r>
            <w:r w:rsidRPr="005C56D1">
              <w:rPr>
                <w:rFonts w:ascii="Times New Roman" w:hAnsi="Times New Roman" w:cs="Times New Roman"/>
                <w:sz w:val="14"/>
                <w:szCs w:val="14"/>
              </w:rPr>
              <w:t>there are two common definitions of flood risk in the Netherlands: 1) Flood risk = probability of flooding x consequences of flooding; 2) Flood risk = flood hazard x vulnerability of society / an area.</w:t>
            </w:r>
          </w:p>
          <w:p w14:paraId="7D5E63F3" w14:textId="77777777" w:rsidR="00ED6053" w:rsidRPr="005C56D1" w:rsidRDefault="00ED6053" w:rsidP="00FF4124">
            <w:pPr>
              <w:pStyle w:val="tablecontenttext"/>
              <w:spacing w:afterLines="40" w:after="96" w:line="240" w:lineRule="auto"/>
              <w:rPr>
                <w:rFonts w:ascii="Times New Roman" w:hAnsi="Times New Roman" w:cs="Times New Roman"/>
                <w:sz w:val="14"/>
                <w:szCs w:val="14"/>
              </w:rPr>
            </w:pPr>
            <w:r w:rsidRPr="005C56D1">
              <w:rPr>
                <w:rFonts w:ascii="Times New Roman" w:hAnsi="Times New Roman" w:cs="Times New Roman"/>
                <w:sz w:val="14"/>
                <w:szCs w:val="14"/>
              </w:rPr>
              <w:t>The 1</w:t>
            </w:r>
            <w:r w:rsidRPr="005C56D1">
              <w:rPr>
                <w:rFonts w:ascii="Times New Roman" w:hAnsi="Times New Roman" w:cs="Times New Roman"/>
                <w:sz w:val="14"/>
                <w:szCs w:val="14"/>
                <w:vertAlign w:val="superscript"/>
              </w:rPr>
              <w:t>st</w:t>
            </w:r>
            <w:r w:rsidRPr="005C56D1">
              <w:rPr>
                <w:rFonts w:ascii="Times New Roman" w:hAnsi="Times New Roman" w:cs="Times New Roman"/>
                <w:sz w:val="14"/>
                <w:szCs w:val="14"/>
              </w:rPr>
              <w:t xml:space="preserve"> definition is usually preferred by engineers and natural scientists, who seek to reduce the probability of flooding via flood protection measures (e.g. engineers of Rijkswaterstaat); it was quite aligned with the country’s situation in which 3000 km of defences protect flood-prone areas). The </w:t>
            </w:r>
            <w:r w:rsidRPr="005C56D1">
              <w:rPr>
                <w:rFonts w:ascii="Times New Roman" w:hAnsi="Times New Roman" w:cs="Times New Roman"/>
                <w:color w:val="231F20"/>
                <w:sz w:val="14"/>
                <w:szCs w:val="14"/>
              </w:rPr>
              <w:t>2</w:t>
            </w:r>
            <w:r w:rsidRPr="005C56D1">
              <w:rPr>
                <w:rFonts w:ascii="Times New Roman" w:hAnsi="Times New Roman" w:cs="Times New Roman"/>
                <w:color w:val="231F20"/>
                <w:sz w:val="14"/>
                <w:szCs w:val="14"/>
                <w:vertAlign w:val="superscript"/>
              </w:rPr>
              <w:t>nd</w:t>
            </w:r>
            <w:r w:rsidRPr="005C56D1">
              <w:rPr>
                <w:rFonts w:ascii="Times New Roman" w:hAnsi="Times New Roman" w:cs="Times New Roman"/>
                <w:color w:val="231F20"/>
                <w:sz w:val="14"/>
                <w:szCs w:val="14"/>
              </w:rPr>
              <w:t xml:space="preserve"> definition is preferred by spatial planners, who assume the ‘hazard’ as a given and spatial planning-related measures </w:t>
            </w:r>
            <w:proofErr w:type="gramStart"/>
            <w:r w:rsidRPr="005C56D1">
              <w:rPr>
                <w:rFonts w:ascii="Times New Roman" w:hAnsi="Times New Roman" w:cs="Times New Roman"/>
                <w:color w:val="231F20"/>
                <w:sz w:val="14"/>
                <w:szCs w:val="14"/>
              </w:rPr>
              <w:t>as a means to</w:t>
            </w:r>
            <w:proofErr w:type="gramEnd"/>
            <w:r w:rsidRPr="005C56D1">
              <w:rPr>
                <w:rFonts w:ascii="Times New Roman" w:hAnsi="Times New Roman" w:cs="Times New Roman"/>
                <w:color w:val="231F20"/>
                <w:sz w:val="14"/>
                <w:szCs w:val="14"/>
              </w:rPr>
              <w:t xml:space="preserve"> adapt to that given. </w:t>
            </w:r>
            <w:r w:rsidRPr="005C56D1">
              <w:rPr>
                <w:rFonts w:ascii="Times New Roman" w:hAnsi="Times New Roman" w:cs="Times New Roman"/>
                <w:sz w:val="14"/>
                <w:szCs w:val="14"/>
              </w:rPr>
              <w:t>In this definition, the ‘hazard’ covers all flood characteristics (flood probability, extent, depth, etc). The underlying thought is ‘without people, no risk’, thus, it uses other measures than defence measures only (</w:t>
            </w:r>
            <w:r w:rsidRPr="005C56D1">
              <w:rPr>
                <w:rFonts w:ascii="Times New Roman" w:hAnsi="Times New Roman" w:cs="Times New Roman"/>
                <w:color w:val="7F7F7F" w:themeColor="text1" w:themeTint="80"/>
                <w:sz w:val="14"/>
                <w:szCs w:val="14"/>
              </w:rPr>
              <w:t>Klijn et al. 2015, p.850</w:t>
            </w:r>
            <w:r w:rsidRPr="005C56D1">
              <w:rPr>
                <w:rFonts w:ascii="Times New Roman" w:hAnsi="Times New Roman" w:cs="Times New Roman"/>
                <w:sz w:val="14"/>
                <w:szCs w:val="14"/>
              </w:rPr>
              <w:t>).</w:t>
            </w:r>
          </w:p>
          <w:p w14:paraId="292D6394" w14:textId="77777777" w:rsidR="00ED6053" w:rsidRPr="005C56D1" w:rsidRDefault="00ED6053" w:rsidP="00FF4124">
            <w:pPr>
              <w:pStyle w:val="tablecontenttext"/>
              <w:spacing w:afterLines="40" w:after="96" w:line="240" w:lineRule="auto"/>
              <w:rPr>
                <w:rFonts w:ascii="Times New Roman" w:hAnsi="Times New Roman" w:cs="Times New Roman"/>
                <w:sz w:val="14"/>
                <w:szCs w:val="14"/>
              </w:rPr>
            </w:pPr>
            <w:r w:rsidRPr="005C56D1">
              <w:rPr>
                <w:rFonts w:ascii="Times New Roman" w:hAnsi="Times New Roman" w:cs="Times New Roman"/>
                <w:sz w:val="14"/>
                <w:szCs w:val="14"/>
              </w:rPr>
              <w:t>These two definitions of flood risk are present in the DP Subprogrammes, however, the most common tends to be the first one (it is subjacent to the definition of the new protection standards and the Multi-layered FRM concept). Nevertheless, in both conceptualizations, ‘exposure’ (which refers to flood characteristics like flood depth, extent, water inflow rate, trajectory, volume) is disregarded: defence engineers see ‘exposure’ as part of the ‘consequences’ and not their responsibility, while spatial planners see ‘exposure’ as part of the ‘hazard’ (not their responsibility). Hence, no one can be held responsible for influencing exposure determinants (</w:t>
            </w:r>
            <w:r w:rsidRPr="005C56D1">
              <w:rPr>
                <w:rFonts w:ascii="Times New Roman" w:hAnsi="Times New Roman" w:cs="Times New Roman"/>
                <w:color w:val="7F7F7F" w:themeColor="text1" w:themeTint="80"/>
                <w:sz w:val="14"/>
                <w:szCs w:val="14"/>
              </w:rPr>
              <w:t>Klijn et al. 2015</w:t>
            </w:r>
            <w:r w:rsidRPr="005C56D1">
              <w:rPr>
                <w:rFonts w:ascii="Times New Roman" w:hAnsi="Times New Roman" w:cs="Times New Roman"/>
                <w:sz w:val="14"/>
                <w:szCs w:val="14"/>
              </w:rPr>
              <w:t>).</w:t>
            </w:r>
            <w:r w:rsidRPr="005C56D1">
              <w:rPr>
                <w:rFonts w:ascii="Times New Roman" w:hAnsi="Times New Roman" w:cs="Times New Roman"/>
                <w:b/>
                <w:sz w:val="14"/>
                <w:szCs w:val="14"/>
              </w:rPr>
              <w:t xml:space="preserve"> </w:t>
            </w:r>
            <w:r w:rsidRPr="005C56D1">
              <w:rPr>
                <w:rFonts w:ascii="Times New Roman" w:hAnsi="Times New Roman" w:cs="Times New Roman"/>
                <w:sz w:val="14"/>
                <w:szCs w:val="14"/>
              </w:rPr>
              <w:t>A limited understanding of dynamic interactions among diverse components of risk may hinder an effective FRM. Moreover, there is no information to discern if a decrease in risk that results from reducing the probability of flooding (with defences) is nullified by an increase in the consequences associated with a growing population and investments in floodable zones (</w:t>
            </w:r>
            <w:r>
              <w:rPr>
                <w:rFonts w:ascii="Times New Roman" w:hAnsi="Times New Roman" w:cs="Times New Roman"/>
                <w:color w:val="7F7F7F" w:themeColor="text1" w:themeTint="80"/>
                <w:sz w:val="14"/>
                <w:szCs w:val="14"/>
              </w:rPr>
              <w:t>Bloemen et al. 2018</w:t>
            </w:r>
            <w:r w:rsidRPr="005C56D1">
              <w:rPr>
                <w:rFonts w:ascii="Times New Roman" w:hAnsi="Times New Roman" w:cs="Times New Roman"/>
                <w:sz w:val="14"/>
                <w:szCs w:val="14"/>
              </w:rPr>
              <w:t>).</w:t>
            </w:r>
          </w:p>
        </w:tc>
        <w:tc>
          <w:tcPr>
            <w:tcW w:w="708" w:type="dxa"/>
            <w:tcBorders>
              <w:left w:val="nil"/>
              <w:right w:val="nil"/>
            </w:tcBorders>
          </w:tcPr>
          <w:p w14:paraId="4D51F9CF"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DP2014</w:t>
            </w:r>
          </w:p>
        </w:tc>
        <w:tc>
          <w:tcPr>
            <w:tcW w:w="792" w:type="dxa"/>
            <w:tcBorders>
              <w:left w:val="nil"/>
            </w:tcBorders>
          </w:tcPr>
          <w:p w14:paraId="5CE95A41"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K5</w:t>
            </w:r>
          </w:p>
        </w:tc>
      </w:tr>
      <w:tr w:rsidR="00ED6053" w:rsidRPr="005C56D1" w14:paraId="5D09CB7F" w14:textId="77777777" w:rsidTr="00FF4124">
        <w:trPr>
          <w:trHeight w:val="416"/>
        </w:trPr>
        <w:tc>
          <w:tcPr>
            <w:tcW w:w="8364" w:type="dxa"/>
            <w:tcBorders>
              <w:left w:val="nil"/>
              <w:right w:val="nil"/>
            </w:tcBorders>
          </w:tcPr>
          <w:p w14:paraId="325D3FA7" w14:textId="77777777" w:rsidR="00ED6053" w:rsidRPr="005C56D1" w:rsidRDefault="00ED6053" w:rsidP="00FF4124">
            <w:pPr>
              <w:pStyle w:val="CORPOTEXTO"/>
              <w:spacing w:afterLines="40" w:after="96"/>
              <w:jc w:val="left"/>
              <w:rPr>
                <w:b/>
                <w:bCs/>
                <w:sz w:val="14"/>
                <w:szCs w:val="14"/>
              </w:rPr>
            </w:pPr>
            <w:r w:rsidRPr="005C56D1">
              <w:rPr>
                <w:b/>
                <w:bCs/>
                <w:sz w:val="14"/>
                <w:szCs w:val="14"/>
              </w:rPr>
              <w:t>Path-dependencies</w:t>
            </w:r>
            <w:bookmarkStart w:id="146" w:name="_Hlk35345918"/>
            <w:r w:rsidRPr="005C56D1">
              <w:rPr>
                <w:b/>
                <w:bCs/>
                <w:sz w:val="14"/>
                <w:szCs w:val="14"/>
              </w:rPr>
              <w:t>: m</w:t>
            </w:r>
            <w:r w:rsidRPr="005C56D1">
              <w:rPr>
                <w:b/>
                <w:bCs/>
                <w:iCs/>
                <w:sz w:val="14"/>
                <w:szCs w:val="14"/>
              </w:rPr>
              <w:t>echanisms of path-dependency and ‘</w:t>
            </w:r>
            <w:r w:rsidRPr="005C56D1">
              <w:rPr>
                <w:b/>
                <w:bCs/>
                <w:i/>
                <w:sz w:val="14"/>
                <w:szCs w:val="14"/>
              </w:rPr>
              <w:t>policy stability or stickiness</w:t>
            </w:r>
            <w:r w:rsidRPr="005C56D1">
              <w:rPr>
                <w:b/>
                <w:bCs/>
                <w:iCs/>
                <w:sz w:val="14"/>
                <w:szCs w:val="14"/>
              </w:rPr>
              <w:t>’</w:t>
            </w:r>
            <w:r w:rsidRPr="005C56D1">
              <w:rPr>
                <w:sz w:val="14"/>
                <w:szCs w:val="14"/>
              </w:rPr>
              <w:t>.</w:t>
            </w:r>
            <w:r w:rsidRPr="005C56D1">
              <w:rPr>
                <w:b/>
                <w:bCs/>
                <w:sz w:val="14"/>
                <w:szCs w:val="14"/>
              </w:rPr>
              <w:t xml:space="preserve"> </w:t>
            </w:r>
            <w:r w:rsidRPr="005C56D1">
              <w:rPr>
                <w:sz w:val="14"/>
                <w:szCs w:val="14"/>
              </w:rPr>
              <w:t xml:space="preserve">The term ‘path-dependency’ is useful to explain the stability of a flood policy, as noted by </w:t>
            </w:r>
            <w:r w:rsidRPr="005C56D1">
              <w:rPr>
                <w:color w:val="7F7F7F" w:themeColor="text1" w:themeTint="80"/>
                <w:sz w:val="14"/>
                <w:szCs w:val="14"/>
              </w:rPr>
              <w:t>Buuren et al. (2016)</w:t>
            </w:r>
            <w:r w:rsidRPr="005C56D1">
              <w:rPr>
                <w:sz w:val="14"/>
                <w:szCs w:val="14"/>
              </w:rPr>
              <w:t>. Several authors have used it to understand ‘</w:t>
            </w:r>
            <w:r w:rsidRPr="005C56D1">
              <w:rPr>
                <w:i/>
                <w:sz w:val="14"/>
                <w:szCs w:val="14"/>
              </w:rPr>
              <w:t>why some policies are resistant to change’</w:t>
            </w:r>
            <w:r w:rsidRPr="005C56D1">
              <w:rPr>
                <w:sz w:val="14"/>
                <w:szCs w:val="14"/>
              </w:rPr>
              <w:t xml:space="preserve"> and ‘</w:t>
            </w:r>
            <w:r w:rsidRPr="005C56D1">
              <w:rPr>
                <w:i/>
                <w:sz w:val="14"/>
                <w:szCs w:val="14"/>
              </w:rPr>
              <w:t>why some new policies are more of the same’</w:t>
            </w:r>
            <w:r w:rsidRPr="005C56D1">
              <w:rPr>
                <w:sz w:val="14"/>
                <w:szCs w:val="14"/>
              </w:rPr>
              <w:t xml:space="preserve"> (</w:t>
            </w:r>
            <w:r w:rsidRPr="005C56D1">
              <w:rPr>
                <w:color w:val="7F7F7F" w:themeColor="text1" w:themeTint="80"/>
                <w:sz w:val="14"/>
                <w:szCs w:val="14"/>
              </w:rPr>
              <w:t>Buuren et al. 2016</w:t>
            </w:r>
            <w:r w:rsidRPr="005C56D1">
              <w:rPr>
                <w:sz w:val="14"/>
                <w:szCs w:val="14"/>
              </w:rPr>
              <w:t>).  There are still path-dependencies rooted in the Dutch flood policy. Until the 1990s, the Dutch FRM approach has been dominated by flood defences to protect the country from floods. Some authors denominate this continuity as ‘institutional inertia’ or ‘regime stability’ and explain it with the existence of ‘path-dependency’ (dependence on the past path of investment in defence structures). More recently, there has been a shift from an ‘exclusive reliance on flood defences’ to a more integrated FRM.</w:t>
            </w:r>
            <w:bookmarkEnd w:id="146"/>
            <w:r w:rsidRPr="005C56D1">
              <w:rPr>
                <w:rStyle w:val="Refdenotaderodap"/>
                <w:rFonts w:eastAsiaTheme="majorEastAsia"/>
                <w:sz w:val="14"/>
                <w:szCs w:val="14"/>
              </w:rPr>
              <w:t xml:space="preserve"> </w:t>
            </w:r>
            <w:r w:rsidRPr="005C56D1">
              <w:rPr>
                <w:sz w:val="14"/>
                <w:szCs w:val="14"/>
              </w:rPr>
              <w:t>For centuries, Dutch FRM was equivalent to flood protection in the form of dykes and dams, and wetlands, marshes and intertidal areas were disregarded as ‘wasteland’. The predominant paradigm has been ‘</w:t>
            </w:r>
            <w:r w:rsidRPr="005C56D1">
              <w:rPr>
                <w:i/>
                <w:sz w:val="14"/>
                <w:szCs w:val="14"/>
              </w:rPr>
              <w:t xml:space="preserve">to </w:t>
            </w:r>
            <w:r w:rsidRPr="005C56D1">
              <w:rPr>
                <w:i/>
                <w:iCs/>
                <w:sz w:val="14"/>
                <w:szCs w:val="14"/>
              </w:rPr>
              <w:t>drain, dredge, build dykes, and reclaim’</w:t>
            </w:r>
            <w:r w:rsidRPr="005C56D1">
              <w:rPr>
                <w:iCs/>
                <w:sz w:val="14"/>
                <w:szCs w:val="14"/>
              </w:rPr>
              <w:t xml:space="preserve">, and it is deeply embodied in Dutch culture. </w:t>
            </w:r>
            <w:r w:rsidRPr="005C56D1">
              <w:rPr>
                <w:sz w:val="14"/>
                <w:szCs w:val="14"/>
              </w:rPr>
              <w:t>The practice of ‘draining, dredging and diking’ implied modifications and adjustments of natural landscapes, but offered little flexibility.</w:t>
            </w:r>
            <w:r w:rsidRPr="005C56D1">
              <w:rPr>
                <w:iCs/>
                <w:sz w:val="14"/>
                <w:szCs w:val="14"/>
              </w:rPr>
              <w:t xml:space="preserve"> It may take </w:t>
            </w:r>
            <w:r w:rsidRPr="005C56D1">
              <w:rPr>
                <w:sz w:val="14"/>
                <w:szCs w:val="14"/>
              </w:rPr>
              <w:t>several years to take forward other solutions (</w:t>
            </w:r>
            <w:r w:rsidRPr="005C56D1">
              <w:rPr>
                <w:color w:val="7F7F7F" w:themeColor="text1" w:themeTint="80"/>
                <w:sz w:val="14"/>
                <w:szCs w:val="14"/>
              </w:rPr>
              <w:t>Marchand and Ludwig 2014</w:t>
            </w:r>
            <w:r w:rsidRPr="005C56D1">
              <w:rPr>
                <w:sz w:val="14"/>
                <w:szCs w:val="14"/>
              </w:rPr>
              <w:t xml:space="preserve">). </w:t>
            </w:r>
            <w:r w:rsidRPr="005C56D1">
              <w:rPr>
                <w:iCs/>
                <w:sz w:val="14"/>
                <w:szCs w:val="14"/>
              </w:rPr>
              <w:t xml:space="preserve">This is a type of path-dependency. </w:t>
            </w:r>
            <w:r w:rsidRPr="005C56D1">
              <w:rPr>
                <w:sz w:val="14"/>
                <w:szCs w:val="14"/>
              </w:rPr>
              <w:t>More recently, there has been a shift from an ‘exclusive reliance on flood defences’ to a more ‘integrated’ FRM, in the Netherlands and Western European countries (where several floods in the 2000’s showed the ineffectiveness of technological and institutional arrangements). The Room for the River and the Multi-layered FRM (in 2009</w:t>
            </w:r>
            <w:r w:rsidRPr="005C56D1">
              <w:rPr>
                <w:color w:val="000000" w:themeColor="text1"/>
                <w:sz w:val="14"/>
                <w:szCs w:val="14"/>
              </w:rPr>
              <w:t xml:space="preserve">) represented the first steps of a shift towards a more integrated approach </w:t>
            </w:r>
            <w:r w:rsidRPr="005C56D1">
              <w:rPr>
                <w:sz w:val="14"/>
                <w:szCs w:val="14"/>
              </w:rPr>
              <w:t>(</w:t>
            </w:r>
            <w:r w:rsidRPr="005C56D1">
              <w:rPr>
                <w:color w:val="7F7F7F" w:themeColor="text1" w:themeTint="80"/>
                <w:sz w:val="14"/>
                <w:szCs w:val="14"/>
              </w:rPr>
              <w:t>Buuren et al. 2016</w:t>
            </w:r>
            <w:r w:rsidRPr="005C56D1">
              <w:rPr>
                <w:sz w:val="14"/>
                <w:szCs w:val="14"/>
              </w:rPr>
              <w:t>).</w:t>
            </w:r>
          </w:p>
        </w:tc>
        <w:tc>
          <w:tcPr>
            <w:tcW w:w="708" w:type="dxa"/>
            <w:tcBorders>
              <w:left w:val="nil"/>
              <w:right w:val="nil"/>
            </w:tcBorders>
          </w:tcPr>
          <w:p w14:paraId="3E5FB0A0"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DP2014</w:t>
            </w:r>
          </w:p>
        </w:tc>
        <w:tc>
          <w:tcPr>
            <w:tcW w:w="792" w:type="dxa"/>
            <w:tcBorders>
              <w:left w:val="nil"/>
            </w:tcBorders>
          </w:tcPr>
          <w:p w14:paraId="7807C47C"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K3 + K5</w:t>
            </w:r>
          </w:p>
        </w:tc>
      </w:tr>
      <w:tr w:rsidR="00ED6053" w:rsidRPr="005C56D1" w14:paraId="5C498F43" w14:textId="77777777" w:rsidTr="00FF4124">
        <w:trPr>
          <w:trHeight w:val="416"/>
        </w:trPr>
        <w:tc>
          <w:tcPr>
            <w:tcW w:w="8364" w:type="dxa"/>
            <w:tcBorders>
              <w:left w:val="nil"/>
              <w:right w:val="nil"/>
            </w:tcBorders>
          </w:tcPr>
          <w:p w14:paraId="5BD0AA1E" w14:textId="77777777" w:rsidR="00ED6053" w:rsidRPr="005C56D1" w:rsidRDefault="00ED6053" w:rsidP="00FF4124">
            <w:pPr>
              <w:pStyle w:val="CORPOTEXTO"/>
              <w:spacing w:afterLines="40" w:after="96"/>
              <w:jc w:val="left"/>
              <w:rPr>
                <w:b/>
                <w:bCs/>
                <w:sz w:val="14"/>
                <w:szCs w:val="14"/>
              </w:rPr>
            </w:pPr>
            <w:r w:rsidRPr="005C56D1">
              <w:rPr>
                <w:sz w:val="14"/>
                <w:szCs w:val="14"/>
              </w:rPr>
              <w:t>There are still several mechanisms of path-dependency</w:t>
            </w:r>
            <w:r w:rsidRPr="005C56D1">
              <w:rPr>
                <w:b/>
                <w:bCs/>
                <w:sz w:val="14"/>
                <w:szCs w:val="14"/>
              </w:rPr>
              <w:t xml:space="preserve"> </w:t>
            </w:r>
            <w:r w:rsidRPr="005C56D1">
              <w:rPr>
                <w:sz w:val="14"/>
                <w:szCs w:val="14"/>
              </w:rPr>
              <w:t xml:space="preserve">(technical, cultural, financial or institutional) and ‘policy stickiness / stability’ in the Dutch FRM system, which hinder policy learning and change, preclude a ‘system transformation’, i.e. a shift to a more </w:t>
            </w:r>
            <w:r w:rsidRPr="005C56D1">
              <w:rPr>
                <w:i/>
                <w:iCs/>
                <w:sz w:val="14"/>
                <w:szCs w:val="14"/>
              </w:rPr>
              <w:t>resilient</w:t>
            </w:r>
            <w:r w:rsidRPr="005C56D1">
              <w:rPr>
                <w:sz w:val="14"/>
                <w:szCs w:val="14"/>
              </w:rPr>
              <w:t xml:space="preserve"> </w:t>
            </w:r>
            <w:r w:rsidRPr="005C56D1">
              <w:rPr>
                <w:i/>
                <w:iCs/>
                <w:sz w:val="14"/>
                <w:szCs w:val="14"/>
              </w:rPr>
              <w:t>adaptive</w:t>
            </w:r>
            <w:r w:rsidRPr="005C56D1">
              <w:rPr>
                <w:sz w:val="14"/>
                <w:szCs w:val="14"/>
              </w:rPr>
              <w:t xml:space="preserve"> FRM, and show the difficulty of changing the FRM paradigm (</w:t>
            </w:r>
            <w:r w:rsidRPr="005C56D1">
              <w:rPr>
                <w:color w:val="7F7F7F" w:themeColor="text1" w:themeTint="80"/>
                <w:sz w:val="14"/>
                <w:szCs w:val="14"/>
              </w:rPr>
              <w:t>Buuren et al. 2016</w:t>
            </w:r>
            <w:r w:rsidRPr="005C56D1">
              <w:rPr>
                <w:sz w:val="14"/>
                <w:szCs w:val="14"/>
              </w:rPr>
              <w:t>)).</w:t>
            </w:r>
            <w:r w:rsidRPr="005C56D1">
              <w:rPr>
                <w:color w:val="0070C0"/>
                <w:sz w:val="14"/>
                <w:szCs w:val="14"/>
              </w:rPr>
              <w:t xml:space="preserve"> </w:t>
            </w:r>
            <w:r w:rsidRPr="005C56D1">
              <w:rPr>
                <w:sz w:val="14"/>
                <w:szCs w:val="14"/>
              </w:rPr>
              <w:t>Path-dependencies that may constitute barriers to a true AP&amp;M</w:t>
            </w:r>
            <w:r w:rsidRPr="005C56D1">
              <w:rPr>
                <w:b/>
                <w:bCs/>
                <w:sz w:val="14"/>
                <w:szCs w:val="14"/>
              </w:rPr>
              <w:t xml:space="preserve"> </w:t>
            </w:r>
            <w:r w:rsidRPr="005C56D1">
              <w:rPr>
                <w:sz w:val="14"/>
                <w:szCs w:val="14"/>
              </w:rPr>
              <w:t>are:</w:t>
            </w:r>
          </w:p>
          <w:p w14:paraId="6F1B18B6" w14:textId="77777777" w:rsidR="00ED6053" w:rsidRPr="005C56D1" w:rsidRDefault="00ED6053" w:rsidP="00ED6053">
            <w:pPr>
              <w:pStyle w:val="CORPOTEXTO"/>
              <w:numPr>
                <w:ilvl w:val="0"/>
                <w:numId w:val="42"/>
              </w:numPr>
              <w:ind w:left="193" w:hanging="142"/>
              <w:jc w:val="left"/>
              <w:rPr>
                <w:b/>
                <w:bCs/>
                <w:sz w:val="14"/>
                <w:szCs w:val="14"/>
              </w:rPr>
            </w:pPr>
            <w:r w:rsidRPr="005C56D1">
              <w:rPr>
                <w:sz w:val="14"/>
                <w:szCs w:val="14"/>
                <w:u w:val="single"/>
              </w:rPr>
              <w:t>Lack of knowledge and experience in applying alternative innovative FRM measures (other than those traditionally used</w:t>
            </w:r>
            <w:r w:rsidRPr="005C56D1">
              <w:rPr>
                <w:sz w:val="14"/>
                <w:szCs w:val="14"/>
              </w:rPr>
              <w:t>) namely measures that are</w:t>
            </w:r>
            <w:r w:rsidRPr="005C56D1">
              <w:rPr>
                <w:color w:val="C00000"/>
                <w:sz w:val="14"/>
                <w:szCs w:val="14"/>
              </w:rPr>
              <w:t xml:space="preserve"> </w:t>
            </w:r>
            <w:r w:rsidRPr="005C56D1">
              <w:rPr>
                <w:bCs/>
                <w:sz w:val="14"/>
                <w:szCs w:val="14"/>
              </w:rPr>
              <w:t>adaptable.</w:t>
            </w:r>
            <w:r w:rsidRPr="005C56D1">
              <w:rPr>
                <w:b/>
                <w:color w:val="C00000"/>
                <w:sz w:val="14"/>
                <w:szCs w:val="14"/>
              </w:rPr>
              <w:t xml:space="preserve"> </w:t>
            </w:r>
            <w:r w:rsidRPr="005C56D1">
              <w:rPr>
                <w:sz w:val="14"/>
                <w:szCs w:val="14"/>
              </w:rPr>
              <w:t xml:space="preserve">While the effectiveness of traditional engineering solutions can be assessed with known methods, in the case of new </w:t>
            </w:r>
            <w:r w:rsidRPr="005C56D1">
              <w:rPr>
                <w:sz w:val="14"/>
                <w:szCs w:val="14"/>
              </w:rPr>
              <w:lastRenderedPageBreak/>
              <w:t>measures (e.g. ‘</w:t>
            </w:r>
            <w:r w:rsidRPr="005C56D1">
              <w:rPr>
                <w:i/>
                <w:iCs/>
                <w:sz w:val="14"/>
                <w:szCs w:val="14"/>
              </w:rPr>
              <w:t>building with nature’</w:t>
            </w:r>
            <w:r w:rsidRPr="005C56D1">
              <w:rPr>
                <w:sz w:val="14"/>
                <w:szCs w:val="14"/>
              </w:rPr>
              <w:t xml:space="preserve"> measures) there are no ‘tried-and-tested’ methods yet, and it is necessary to further investigate the behaviour and protective capacity of inherently dynamic and adaptable solutions (e.g. a saltmarsh). The lack of scientific evidence on alternative measures generates uncertainty. Moreover, in coastal and deltaic systems (complex dynamic systems), it is necessary to use sophisticated (morphological, hydrodynamic and climate change) models to predict the performance of measures, and these models usually have deep uncertainty associated to them. Uncertainties regarding the future performance of new measures may easily become an excuse for not taking such options seriously </w:t>
            </w:r>
            <w:r w:rsidRPr="005C56D1">
              <w:rPr>
                <w:color w:val="000000"/>
                <w:sz w:val="14"/>
                <w:szCs w:val="14"/>
              </w:rPr>
              <w:t>(</w:t>
            </w:r>
            <w:r w:rsidRPr="005C56D1">
              <w:rPr>
                <w:color w:val="7F7F7F" w:themeColor="text1" w:themeTint="80"/>
                <w:sz w:val="14"/>
                <w:szCs w:val="14"/>
              </w:rPr>
              <w:t>Marchand and Ludwig 2014, p.36</w:t>
            </w:r>
            <w:r w:rsidRPr="005C56D1">
              <w:rPr>
                <w:sz w:val="14"/>
                <w:szCs w:val="14"/>
              </w:rPr>
              <w:t>).</w:t>
            </w:r>
          </w:p>
          <w:p w14:paraId="7D8FF9D2" w14:textId="77777777" w:rsidR="00ED6053" w:rsidRPr="005C56D1" w:rsidRDefault="00ED6053" w:rsidP="00ED6053">
            <w:pPr>
              <w:pStyle w:val="CORPOTEXTO"/>
              <w:numPr>
                <w:ilvl w:val="0"/>
                <w:numId w:val="42"/>
              </w:numPr>
              <w:ind w:left="193" w:hanging="142"/>
              <w:jc w:val="left"/>
              <w:rPr>
                <w:b/>
                <w:bCs/>
                <w:sz w:val="14"/>
                <w:szCs w:val="14"/>
              </w:rPr>
            </w:pPr>
            <w:r w:rsidRPr="005C56D1">
              <w:rPr>
                <w:sz w:val="14"/>
                <w:szCs w:val="14"/>
                <w:u w:val="single"/>
              </w:rPr>
              <w:t>Governance problems that complicate or prolong decision-making</w:t>
            </w:r>
            <w:r w:rsidRPr="005C56D1">
              <w:rPr>
                <w:sz w:val="14"/>
                <w:szCs w:val="14"/>
              </w:rPr>
              <w:t xml:space="preserve">, e.g.: existence of non-integrated approaches between national, regional, and local planning levels, and strong vested interests in the engineering domain that act as counter forces and emergence of ‘hydraulic bureaucracy’ when proposing non-engineering measures. Moreover, business-as-usual measures are often sustained by, and engrained into, legal and financial institutions (these institutions often rely on a particular type of measure, which leads them, and the organizations they protect, to reject new solutions as less secure or more expensive </w:t>
            </w:r>
            <w:r w:rsidRPr="005C56D1">
              <w:rPr>
                <w:color w:val="000000"/>
                <w:sz w:val="14"/>
                <w:szCs w:val="14"/>
              </w:rPr>
              <w:t>(</w:t>
            </w:r>
            <w:r w:rsidRPr="005C56D1">
              <w:rPr>
                <w:color w:val="7F7F7F" w:themeColor="text1" w:themeTint="80"/>
                <w:sz w:val="14"/>
                <w:szCs w:val="14"/>
              </w:rPr>
              <w:t>Marchand and Ludwig 2014, p.36</w:t>
            </w:r>
            <w:r w:rsidRPr="005C56D1">
              <w:rPr>
                <w:sz w:val="14"/>
                <w:szCs w:val="14"/>
              </w:rPr>
              <w:t>).</w:t>
            </w:r>
          </w:p>
          <w:p w14:paraId="176FE94C" w14:textId="77777777" w:rsidR="00ED6053" w:rsidRPr="005C56D1" w:rsidRDefault="00ED6053" w:rsidP="00ED6053">
            <w:pPr>
              <w:pStyle w:val="CORPOTEXTO"/>
              <w:numPr>
                <w:ilvl w:val="0"/>
                <w:numId w:val="42"/>
              </w:numPr>
              <w:ind w:left="193" w:hanging="142"/>
              <w:jc w:val="left"/>
              <w:rPr>
                <w:b/>
                <w:bCs/>
                <w:sz w:val="14"/>
                <w:szCs w:val="14"/>
              </w:rPr>
            </w:pPr>
            <w:r w:rsidRPr="005C56D1">
              <w:rPr>
                <w:sz w:val="14"/>
                <w:szCs w:val="14"/>
              </w:rPr>
              <w:t xml:space="preserve">Legacy and </w:t>
            </w:r>
            <w:r w:rsidRPr="005C56D1">
              <w:rPr>
                <w:sz w:val="14"/>
                <w:szCs w:val="14"/>
                <w:u w:val="single"/>
              </w:rPr>
              <w:t>institutional reliance on hard protection measures (defences</w:t>
            </w:r>
            <w:r w:rsidRPr="005C56D1">
              <w:rPr>
                <w:sz w:val="14"/>
                <w:szCs w:val="14"/>
              </w:rPr>
              <w:t xml:space="preserve">). For </w:t>
            </w:r>
            <w:r w:rsidRPr="005C56D1">
              <w:rPr>
                <w:color w:val="7F7F7F" w:themeColor="text1" w:themeTint="80"/>
                <w:sz w:val="14"/>
                <w:szCs w:val="14"/>
              </w:rPr>
              <w:t>Buuren et al</w:t>
            </w:r>
            <w:r w:rsidRPr="005C56D1">
              <w:rPr>
                <w:sz w:val="14"/>
                <w:szCs w:val="14"/>
              </w:rPr>
              <w:t>., there is a</w:t>
            </w:r>
            <w:r w:rsidRPr="005C56D1">
              <w:rPr>
                <w:i/>
                <w:sz w:val="14"/>
                <w:szCs w:val="14"/>
              </w:rPr>
              <w:t xml:space="preserve"> path-dependency of institutions and policies, but also of the measure used </w:t>
            </w:r>
            <w:r w:rsidRPr="005C56D1">
              <w:rPr>
                <w:sz w:val="14"/>
                <w:szCs w:val="14"/>
              </w:rPr>
              <w:t>in the FRM field</w:t>
            </w:r>
            <w:r w:rsidRPr="005C56D1">
              <w:rPr>
                <w:i/>
                <w:sz w:val="14"/>
                <w:szCs w:val="14"/>
              </w:rPr>
              <w:t xml:space="preserve"> </w:t>
            </w:r>
            <w:r w:rsidRPr="005C56D1">
              <w:rPr>
                <w:sz w:val="14"/>
                <w:szCs w:val="14"/>
              </w:rPr>
              <w:t>(hard protection)</w:t>
            </w:r>
            <w:r w:rsidRPr="005C56D1">
              <w:rPr>
                <w:rStyle w:val="Refdenotaderodap"/>
                <w:rFonts w:eastAsiaTheme="majorEastAsia"/>
                <w:sz w:val="14"/>
                <w:szCs w:val="14"/>
                <w:highlight w:val="lightGray"/>
              </w:rPr>
              <w:footnoteReference w:id="153"/>
            </w:r>
            <w:r w:rsidRPr="005C56D1">
              <w:rPr>
                <w:sz w:val="14"/>
                <w:szCs w:val="14"/>
              </w:rPr>
              <w:t>: past choices led to a vicious cycle of investment in more advanced dyke-technology, which limits the scope for ‘softer’ forms of</w:t>
            </w:r>
            <w:r w:rsidRPr="005C56D1">
              <w:rPr>
                <w:sz w:val="14"/>
                <w:szCs w:val="14"/>
                <w:u w:val="single"/>
              </w:rPr>
              <w:t xml:space="preserve"> </w:t>
            </w:r>
            <w:r w:rsidRPr="005C56D1">
              <w:rPr>
                <w:sz w:val="14"/>
                <w:szCs w:val="14"/>
              </w:rPr>
              <w:t>FRM. This</w:t>
            </w:r>
            <w:r w:rsidRPr="005C56D1">
              <w:rPr>
                <w:color w:val="C00000"/>
                <w:sz w:val="14"/>
                <w:szCs w:val="14"/>
              </w:rPr>
              <w:t xml:space="preserve"> </w:t>
            </w:r>
            <w:r w:rsidRPr="005C56D1">
              <w:rPr>
                <w:sz w:val="14"/>
                <w:szCs w:val="14"/>
              </w:rPr>
              <w:t>shows the ‘strong stickiness’ of policy and measures employed and leads to a conflict between those favouring the ML FRM and those favouring an exclusive reliance on defences and flood risk assessments. Despite the increasing recognition of the need to increase the spatial and societal resilience, the main principle underlying Dutch FRM has been ‘</w:t>
            </w:r>
            <w:r w:rsidRPr="005C56D1">
              <w:rPr>
                <w:i/>
                <w:iCs/>
                <w:sz w:val="14"/>
                <w:szCs w:val="14"/>
              </w:rPr>
              <w:t>it is better to prevent than to cure</w:t>
            </w:r>
            <w:r w:rsidRPr="005C56D1">
              <w:rPr>
                <w:sz w:val="14"/>
                <w:szCs w:val="14"/>
              </w:rPr>
              <w:t>’ (</w:t>
            </w:r>
            <w:r w:rsidRPr="005C56D1">
              <w:rPr>
                <w:i/>
                <w:iCs/>
                <w:sz w:val="14"/>
                <w:szCs w:val="14"/>
              </w:rPr>
              <w:t>better safe, than sorry</w:t>
            </w:r>
            <w:r w:rsidRPr="005C56D1">
              <w:rPr>
                <w:sz w:val="14"/>
                <w:szCs w:val="14"/>
              </w:rPr>
              <w:t>) (</w:t>
            </w:r>
            <w:r w:rsidRPr="005C56D1">
              <w:rPr>
                <w:color w:val="7F7F7F" w:themeColor="text1" w:themeTint="80"/>
                <w:sz w:val="14"/>
                <w:szCs w:val="14"/>
              </w:rPr>
              <w:t>Buuren et al. 2016</w:t>
            </w:r>
            <w:r w:rsidRPr="005C56D1">
              <w:rPr>
                <w:sz w:val="14"/>
                <w:szCs w:val="14"/>
              </w:rPr>
              <w:t xml:space="preserve">). The Dutch have traditionally focused on reducing the ‘probability of flooding’ by reinforcing dykes; this led to a </w:t>
            </w:r>
            <w:r w:rsidRPr="005C56D1">
              <w:rPr>
                <w:i/>
                <w:sz w:val="14"/>
                <w:szCs w:val="14"/>
              </w:rPr>
              <w:t>technological lock-in</w:t>
            </w:r>
            <w:r w:rsidRPr="005C56D1">
              <w:rPr>
                <w:iCs/>
                <w:sz w:val="14"/>
                <w:szCs w:val="14"/>
              </w:rPr>
              <w:t xml:space="preserve">, </w:t>
            </w:r>
            <w:r w:rsidRPr="005C56D1">
              <w:rPr>
                <w:i/>
                <w:sz w:val="14"/>
                <w:szCs w:val="14"/>
              </w:rPr>
              <w:t xml:space="preserve">a vicious cycle of investment </w:t>
            </w:r>
            <w:r w:rsidRPr="005C56D1">
              <w:rPr>
                <w:iCs/>
                <w:sz w:val="14"/>
                <w:szCs w:val="14"/>
              </w:rPr>
              <w:t xml:space="preserve">(…) </w:t>
            </w:r>
            <w:r w:rsidRPr="005C56D1">
              <w:rPr>
                <w:i/>
                <w:sz w:val="14"/>
                <w:szCs w:val="14"/>
              </w:rPr>
              <w:t>to protect land against flooding’</w:t>
            </w:r>
            <w:r w:rsidRPr="005C56D1">
              <w:rPr>
                <w:sz w:val="14"/>
                <w:szCs w:val="14"/>
              </w:rPr>
              <w:t xml:space="preserve"> (</w:t>
            </w:r>
            <w:r w:rsidRPr="005C56D1">
              <w:rPr>
                <w:color w:val="7F7F7F" w:themeColor="text1" w:themeTint="80"/>
                <w:sz w:val="14"/>
                <w:szCs w:val="14"/>
              </w:rPr>
              <w:t>Ritzema and Steensma 2018, p.4</w:t>
            </w:r>
            <w:r w:rsidRPr="005C56D1">
              <w:rPr>
                <w:sz w:val="14"/>
                <w:szCs w:val="14"/>
              </w:rPr>
              <w:t>).</w:t>
            </w:r>
            <w:bookmarkStart w:id="147" w:name="_Hlk36492506"/>
            <w:r w:rsidRPr="005C56D1">
              <w:rPr>
                <w:sz w:val="14"/>
                <w:szCs w:val="14"/>
              </w:rPr>
              <w:t xml:space="preserve"> There is a tendency for framing new policy ideas and solutions into the models / approaches of the old paradigm. A strong epistemic community remains stick to ‘</w:t>
            </w:r>
            <w:r w:rsidRPr="005C56D1">
              <w:rPr>
                <w:i/>
                <w:iCs/>
                <w:sz w:val="14"/>
                <w:szCs w:val="14"/>
              </w:rPr>
              <w:t>tried and tested</w:t>
            </w:r>
            <w:r w:rsidRPr="005C56D1">
              <w:rPr>
                <w:sz w:val="14"/>
                <w:szCs w:val="14"/>
              </w:rPr>
              <w:t>’ strategies (also rooted in national mindset), which hampers policy learning and change (</w:t>
            </w:r>
            <w:r w:rsidRPr="005C56D1">
              <w:rPr>
                <w:color w:val="7F7F7F" w:themeColor="text1" w:themeTint="80"/>
                <w:sz w:val="14"/>
                <w:szCs w:val="14"/>
              </w:rPr>
              <w:t>Buuren et al. 2016</w:t>
            </w:r>
            <w:r w:rsidRPr="005C56D1">
              <w:rPr>
                <w:sz w:val="14"/>
                <w:szCs w:val="14"/>
              </w:rPr>
              <w:t>).</w:t>
            </w:r>
          </w:p>
          <w:p w14:paraId="3B55D3C3" w14:textId="77777777" w:rsidR="00ED6053" w:rsidRPr="005C56D1" w:rsidRDefault="00ED6053" w:rsidP="00ED6053">
            <w:pPr>
              <w:pStyle w:val="CORPOTEXTO"/>
              <w:numPr>
                <w:ilvl w:val="0"/>
                <w:numId w:val="42"/>
              </w:numPr>
              <w:spacing w:afterLines="40" w:after="96"/>
              <w:ind w:left="194" w:hanging="142"/>
              <w:jc w:val="left"/>
              <w:rPr>
                <w:b/>
                <w:bCs/>
                <w:sz w:val="14"/>
                <w:szCs w:val="14"/>
              </w:rPr>
            </w:pPr>
            <w:r w:rsidRPr="005C56D1">
              <w:rPr>
                <w:sz w:val="14"/>
                <w:szCs w:val="14"/>
                <w:u w:val="single"/>
              </w:rPr>
              <w:t>Difficulty in mobilizing enough impetus and resources at the right time for ML FRM</w:t>
            </w:r>
            <w:r w:rsidRPr="005C56D1">
              <w:rPr>
                <w:sz w:val="14"/>
                <w:szCs w:val="14"/>
              </w:rPr>
              <w:t>. The DP created a momentum for a radical policy change, but, despite the introduction of the Multi-layered FRM concept, most efforts were directed to setting the new protection standards and defining strategies to achieve them (</w:t>
            </w:r>
            <w:r w:rsidRPr="005C56D1">
              <w:rPr>
                <w:color w:val="7F7F7F" w:themeColor="text1" w:themeTint="80"/>
                <w:sz w:val="14"/>
                <w:szCs w:val="14"/>
              </w:rPr>
              <w:t>Buuren et al. 2016; Klijn et al. 2016</w:t>
            </w:r>
            <w:r w:rsidRPr="005C56D1">
              <w:rPr>
                <w:sz w:val="14"/>
                <w:szCs w:val="14"/>
              </w:rPr>
              <w:t xml:space="preserve">). Proponents of the traditional approach exaggerated the complexity of the Multi-layered FRM, argue that the government is responsible for preventing floods (as the public expects), and emphasize the potential disastrous consequences if prevention is underestimated. Moreover, the adoption of the ML FRM approach was hindered </w:t>
            </w:r>
            <w:proofErr w:type="gramStart"/>
            <w:r w:rsidRPr="005C56D1">
              <w:rPr>
                <w:sz w:val="14"/>
                <w:szCs w:val="14"/>
              </w:rPr>
              <w:t>by</w:t>
            </w:r>
            <w:r w:rsidRPr="005C56D1">
              <w:rPr>
                <w:bCs/>
                <w:sz w:val="14"/>
                <w:szCs w:val="14"/>
              </w:rPr>
              <w:t>:</w:t>
            </w:r>
            <w:proofErr w:type="gramEnd"/>
            <w:r w:rsidRPr="005C56D1">
              <w:rPr>
                <w:bCs/>
                <w:sz w:val="14"/>
                <w:szCs w:val="14"/>
              </w:rPr>
              <w:t xml:space="preserve"> </w:t>
            </w:r>
            <w:r w:rsidRPr="005C56D1">
              <w:rPr>
                <w:sz w:val="14"/>
                <w:szCs w:val="14"/>
              </w:rPr>
              <w:t>administrative restrictions on the use of budgets earmarked for flood prevention (Layer 1) for spatial planning measures (Layer 2); lack of proper instruments to attribute a legal status to measures of Layers 2 and 3; and difficulty in persuading agencies about the feasibility and added value of Layers 2 and 3 (</w:t>
            </w:r>
            <w:r w:rsidRPr="005C56D1">
              <w:rPr>
                <w:color w:val="7F7F7F" w:themeColor="text1" w:themeTint="80"/>
                <w:sz w:val="14"/>
                <w:szCs w:val="14"/>
              </w:rPr>
              <w:t>Buuren et al. 2016</w:t>
            </w:r>
            <w:r w:rsidRPr="005C56D1">
              <w:rPr>
                <w:bCs/>
                <w:sz w:val="14"/>
                <w:szCs w:val="14"/>
              </w:rPr>
              <w:t xml:space="preserve">). </w:t>
            </w:r>
            <w:bookmarkEnd w:id="147"/>
            <w:r w:rsidRPr="005C56D1">
              <w:rPr>
                <w:sz w:val="14"/>
                <w:szCs w:val="14"/>
              </w:rPr>
              <w:t>Though the DP includes spatial adaptation measures, almost no budget is earmarked in the Delta Fund for spatial adaptation measures (the Delta Fund is mostly earmarked for protection); this shows a continuation of past practices that calls into question the strength of public support and the room for manoeuvre allowed in terms of moving away from previous practices (</w:t>
            </w:r>
            <w:proofErr w:type="spellStart"/>
            <w:r w:rsidRPr="005C56D1">
              <w:rPr>
                <w:color w:val="7F7F7F" w:themeColor="text1" w:themeTint="80"/>
                <w:sz w:val="14"/>
                <w:szCs w:val="14"/>
              </w:rPr>
              <w:t>Seijger</w:t>
            </w:r>
            <w:proofErr w:type="spellEnd"/>
            <w:r w:rsidRPr="005C56D1">
              <w:rPr>
                <w:color w:val="7F7F7F" w:themeColor="text1" w:themeTint="80"/>
                <w:sz w:val="14"/>
                <w:szCs w:val="14"/>
              </w:rPr>
              <w:t xml:space="preserve"> et al. 2017</w:t>
            </w:r>
            <w:r w:rsidRPr="005C56D1">
              <w:rPr>
                <w:sz w:val="14"/>
                <w:szCs w:val="14"/>
              </w:rPr>
              <w:t xml:space="preserve">). </w:t>
            </w:r>
          </w:p>
          <w:p w14:paraId="66A9C0CC" w14:textId="77777777" w:rsidR="00ED6053" w:rsidRPr="005C56D1" w:rsidRDefault="00ED6053" w:rsidP="00FF4124">
            <w:pPr>
              <w:pStyle w:val="CORPOTEXTO"/>
              <w:spacing w:afterLines="40" w:after="96"/>
              <w:jc w:val="left"/>
              <w:rPr>
                <w:sz w:val="14"/>
                <w:szCs w:val="14"/>
              </w:rPr>
            </w:pPr>
            <w:r w:rsidRPr="005C56D1">
              <w:rPr>
                <w:sz w:val="14"/>
                <w:szCs w:val="14"/>
              </w:rPr>
              <w:t>Despite these path-dependencies, the Dutch FRM system has gradually changed, as the limitations of the prior approach become salient (higher costs, increasing implementation problems) and climate change effects emerge on political agendas. Path-dependencies have not completely precluded that an adaptive approach slowly gains ground (</w:t>
            </w:r>
            <w:r w:rsidRPr="005C56D1">
              <w:rPr>
                <w:color w:val="7F7F7F" w:themeColor="text1" w:themeTint="80"/>
                <w:sz w:val="14"/>
                <w:szCs w:val="14"/>
              </w:rPr>
              <w:t>Buuren et al. 2016</w:t>
            </w:r>
            <w:r w:rsidRPr="005C56D1">
              <w:rPr>
                <w:sz w:val="14"/>
                <w:szCs w:val="14"/>
              </w:rPr>
              <w:t xml:space="preserve">). </w:t>
            </w:r>
          </w:p>
        </w:tc>
        <w:tc>
          <w:tcPr>
            <w:tcW w:w="708" w:type="dxa"/>
            <w:tcBorders>
              <w:left w:val="nil"/>
              <w:right w:val="nil"/>
            </w:tcBorders>
          </w:tcPr>
          <w:p w14:paraId="19562D99"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lastRenderedPageBreak/>
              <w:t>DP2014</w:t>
            </w:r>
          </w:p>
        </w:tc>
        <w:tc>
          <w:tcPr>
            <w:tcW w:w="792" w:type="dxa"/>
            <w:tcBorders>
              <w:left w:val="nil"/>
            </w:tcBorders>
          </w:tcPr>
          <w:p w14:paraId="1A20181B"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K3 + K5</w:t>
            </w:r>
          </w:p>
        </w:tc>
      </w:tr>
      <w:tr w:rsidR="00ED6053" w:rsidRPr="005C56D1" w14:paraId="5EC82FCD" w14:textId="77777777" w:rsidTr="00FF4124">
        <w:trPr>
          <w:trHeight w:val="416"/>
        </w:trPr>
        <w:tc>
          <w:tcPr>
            <w:tcW w:w="8364" w:type="dxa"/>
            <w:tcBorders>
              <w:left w:val="nil"/>
              <w:right w:val="nil"/>
            </w:tcBorders>
          </w:tcPr>
          <w:p w14:paraId="0D09D3CF" w14:textId="77777777" w:rsidR="00ED6053" w:rsidRPr="005C56D1" w:rsidRDefault="00ED6053" w:rsidP="00FF4124">
            <w:pPr>
              <w:pStyle w:val="CORPOTEXTO"/>
              <w:spacing w:afterLines="40" w:after="96"/>
              <w:jc w:val="left"/>
              <w:rPr>
                <w:sz w:val="14"/>
                <w:szCs w:val="14"/>
              </w:rPr>
            </w:pPr>
            <w:r w:rsidRPr="005C56D1">
              <w:rPr>
                <w:b/>
                <w:bCs/>
                <w:sz w:val="14"/>
                <w:szCs w:val="14"/>
              </w:rPr>
              <w:t xml:space="preserve">Difficulty in articulating the new flood protection standards with ADM. </w:t>
            </w:r>
            <w:r w:rsidRPr="005C56D1">
              <w:rPr>
                <w:sz w:val="14"/>
                <w:szCs w:val="14"/>
              </w:rPr>
              <w:t>Although the DP worked with the four Delta Scenarios, the new protection standards were defined based on the analysis of a single, relatively pessimistic, scenario for 2050 (such scenario assumes ‘</w:t>
            </w:r>
            <w:r w:rsidRPr="005C56D1">
              <w:rPr>
                <w:i/>
                <w:sz w:val="14"/>
                <w:szCs w:val="14"/>
              </w:rPr>
              <w:t>the strictest of the outcomes</w:t>
            </w:r>
            <w:r w:rsidRPr="005C56D1">
              <w:rPr>
                <w:sz w:val="14"/>
                <w:szCs w:val="14"/>
              </w:rPr>
              <w:t>’), and for some stretches, the proposed standards were even stricter due to potential societal disruption.</w:t>
            </w:r>
            <w:r w:rsidRPr="005C56D1">
              <w:rPr>
                <w:b/>
                <w:sz w:val="14"/>
                <w:szCs w:val="14"/>
              </w:rPr>
              <w:t xml:space="preserve"> </w:t>
            </w:r>
            <w:r w:rsidRPr="005C56D1">
              <w:rPr>
                <w:sz w:val="14"/>
                <w:szCs w:val="14"/>
              </w:rPr>
              <w:t>This scenario was useful for exploring how big the problem might be, but it is quite challenging to match the new standards (based on such single scenario) with the Government’s claims of having adopted ‘</w:t>
            </w:r>
            <w:r w:rsidRPr="005C56D1">
              <w:rPr>
                <w:i/>
                <w:iCs/>
                <w:sz w:val="14"/>
                <w:szCs w:val="14"/>
              </w:rPr>
              <w:t>a policy of Adaptive Planning and Management</w:t>
            </w:r>
            <w:r w:rsidRPr="005C56D1">
              <w:rPr>
                <w:sz w:val="14"/>
                <w:szCs w:val="14"/>
              </w:rPr>
              <w:t>’ (</w:t>
            </w:r>
            <w:r w:rsidRPr="005C56D1">
              <w:rPr>
                <w:color w:val="7F7F7F" w:themeColor="text1" w:themeTint="80"/>
                <w:sz w:val="14"/>
                <w:szCs w:val="14"/>
              </w:rPr>
              <w:t>Klijn et al. 2016</w:t>
            </w:r>
            <w:r w:rsidRPr="005C56D1">
              <w:rPr>
                <w:sz w:val="14"/>
                <w:szCs w:val="14"/>
              </w:rPr>
              <w:t>). In 2016-2017, the new standards were adopted, and gradually, the implications of adopting them have become clearer. Due to the new standards, hundreds of km of primary defences will need to be reinforced or raised.</w:t>
            </w:r>
            <w:r w:rsidRPr="005C56D1">
              <w:rPr>
                <w:b/>
                <w:sz w:val="14"/>
                <w:szCs w:val="14"/>
              </w:rPr>
              <w:t xml:space="preserve"> </w:t>
            </w:r>
            <w:r w:rsidRPr="005C56D1">
              <w:rPr>
                <w:sz w:val="14"/>
                <w:szCs w:val="14"/>
              </w:rPr>
              <w:t>Though the ADM principles seem straightforward, their practical application in DP’s policy for FRM was not without complications (</w:t>
            </w:r>
            <w:r w:rsidRPr="005C56D1">
              <w:rPr>
                <w:color w:val="7F7F7F" w:themeColor="text1" w:themeTint="80"/>
                <w:sz w:val="14"/>
                <w:szCs w:val="14"/>
              </w:rPr>
              <w:t>Klijn et al. 2016</w:t>
            </w:r>
            <w:r w:rsidRPr="005C56D1">
              <w:rPr>
                <w:sz w:val="14"/>
                <w:szCs w:val="14"/>
              </w:rPr>
              <w:t>):</w:t>
            </w:r>
          </w:p>
          <w:p w14:paraId="4D0F7734" w14:textId="77777777" w:rsidR="00ED6053" w:rsidRPr="005C56D1" w:rsidRDefault="00ED6053" w:rsidP="00ED6053">
            <w:pPr>
              <w:pStyle w:val="CORPOTEXTO"/>
              <w:numPr>
                <w:ilvl w:val="0"/>
                <w:numId w:val="44"/>
              </w:numPr>
              <w:spacing w:afterLines="40" w:after="96"/>
              <w:ind w:left="194" w:hanging="142"/>
              <w:jc w:val="left"/>
              <w:rPr>
                <w:sz w:val="14"/>
                <w:szCs w:val="14"/>
              </w:rPr>
            </w:pPr>
            <w:r w:rsidRPr="005C56D1">
              <w:rPr>
                <w:sz w:val="14"/>
                <w:szCs w:val="14"/>
              </w:rPr>
              <w:t xml:space="preserve">First, the adoption of the new flood protection standards brought problems. The prioritization of measures and defence works became very difficult (especially in the </w:t>
            </w:r>
            <w:r w:rsidRPr="005C56D1">
              <w:rPr>
                <w:i/>
                <w:iCs/>
                <w:sz w:val="14"/>
                <w:szCs w:val="14"/>
              </w:rPr>
              <w:t>Flood Protection programme</w:t>
            </w:r>
            <w:r w:rsidRPr="005C56D1">
              <w:rPr>
                <w:i/>
                <w:sz w:val="14"/>
                <w:szCs w:val="14"/>
              </w:rPr>
              <w:t xml:space="preserve">, </w:t>
            </w:r>
            <w:r w:rsidRPr="005C56D1">
              <w:rPr>
                <w:sz w:val="14"/>
                <w:szCs w:val="14"/>
              </w:rPr>
              <w:t>HWBP). In 2015, defence reinforcements were being analysed by the order they ‘come on the list’: the first reinforcements may spend much time and money while other locations may be delayed, thus, risk might not be addressed in the most effective way in the various areas. The decision-making on dyke reinforcement projects (in 2016), were marked by multiple uncertainties about future: 1) how to balance ‘</w:t>
            </w:r>
            <w:r w:rsidRPr="005C56D1">
              <w:rPr>
                <w:i/>
                <w:iCs/>
                <w:sz w:val="14"/>
                <w:szCs w:val="14"/>
              </w:rPr>
              <w:t>what is optimal from a national perspective with what is practical from a local and regional perspective’</w:t>
            </w:r>
            <w:r w:rsidRPr="005C56D1">
              <w:rPr>
                <w:sz w:val="14"/>
                <w:szCs w:val="14"/>
              </w:rPr>
              <w:t>; 2) whether one should immediately meet the new standard in each site or gradually grow towards it; 3) should one invest in cost-effective probability reduction measures or keep other options open (</w:t>
            </w:r>
            <w:r w:rsidRPr="005C56D1">
              <w:rPr>
                <w:color w:val="7F7F7F" w:themeColor="text1" w:themeTint="80"/>
                <w:sz w:val="14"/>
                <w:szCs w:val="14"/>
              </w:rPr>
              <w:t>Klijn et al. 2016</w:t>
            </w:r>
            <w:r w:rsidRPr="005C56D1">
              <w:rPr>
                <w:sz w:val="14"/>
                <w:szCs w:val="14"/>
              </w:rPr>
              <w:t>).</w:t>
            </w:r>
            <w:r w:rsidRPr="005C56D1">
              <w:rPr>
                <w:b/>
                <w:sz w:val="14"/>
                <w:szCs w:val="14"/>
              </w:rPr>
              <w:t xml:space="preserve"> </w:t>
            </w:r>
            <w:r w:rsidRPr="005C56D1">
              <w:rPr>
                <w:sz w:val="14"/>
                <w:szCs w:val="14"/>
              </w:rPr>
              <w:t>Optimization (i.e. implementing now the most cost-effective measure) may not always be the most useful answer to the problem.</w:t>
            </w:r>
          </w:p>
          <w:p w14:paraId="655CD8E9" w14:textId="77777777" w:rsidR="00ED6053" w:rsidRPr="005C56D1" w:rsidRDefault="00ED6053" w:rsidP="00ED6053">
            <w:pPr>
              <w:pStyle w:val="CORPOTEXTO"/>
              <w:numPr>
                <w:ilvl w:val="0"/>
                <w:numId w:val="44"/>
              </w:numPr>
              <w:spacing w:afterLines="40" w:after="96"/>
              <w:ind w:left="194" w:hanging="142"/>
              <w:jc w:val="left"/>
              <w:rPr>
                <w:sz w:val="14"/>
                <w:szCs w:val="14"/>
              </w:rPr>
            </w:pPr>
            <w:r w:rsidRPr="005C56D1">
              <w:rPr>
                <w:sz w:val="14"/>
                <w:szCs w:val="14"/>
              </w:rPr>
              <w:t xml:space="preserve">Second, there are </w:t>
            </w:r>
            <w:r w:rsidRPr="005C56D1">
              <w:rPr>
                <w:sz w:val="14"/>
                <w:szCs w:val="14"/>
                <w:u w:val="single"/>
              </w:rPr>
              <w:t xml:space="preserve">tensions between ADM and existing rules, regulations and legal procedures </w:t>
            </w:r>
            <w:r w:rsidRPr="005C56D1">
              <w:rPr>
                <w:sz w:val="14"/>
                <w:szCs w:val="14"/>
              </w:rPr>
              <w:t>(e.g. the traditional engineering practice of designing protection measures that ‘last’). The adoption of the new standards raised a dilemma between ADM (and its emphasis on the possibility of shifting to other measures or strategies as conditions change over time), and the traditional engineering practice that relies on a ‘</w:t>
            </w:r>
            <w:r w:rsidRPr="005C56D1">
              <w:rPr>
                <w:i/>
                <w:iCs/>
                <w:sz w:val="14"/>
                <w:szCs w:val="14"/>
              </w:rPr>
              <w:t>better safe than sorry</w:t>
            </w:r>
            <w:r w:rsidRPr="005C56D1">
              <w:rPr>
                <w:sz w:val="14"/>
                <w:szCs w:val="14"/>
              </w:rPr>
              <w:t>’ approach and designs defence reinforcement works that last (i.e. the most cost-effective measure for a given scenario). ADM calls for prudency regarding the speed, timing, and amount, of measures: ‘</w:t>
            </w:r>
            <w:r w:rsidRPr="005C56D1">
              <w:rPr>
                <w:i/>
                <w:iCs/>
                <w:sz w:val="14"/>
                <w:szCs w:val="14"/>
              </w:rPr>
              <w:t xml:space="preserve">not too early </w:t>
            </w:r>
            <w:r w:rsidRPr="005C56D1">
              <w:rPr>
                <w:sz w:val="14"/>
                <w:szCs w:val="14"/>
              </w:rPr>
              <w:t>/</w:t>
            </w:r>
            <w:r w:rsidRPr="005C56D1">
              <w:rPr>
                <w:i/>
                <w:iCs/>
                <w:sz w:val="14"/>
                <w:szCs w:val="14"/>
              </w:rPr>
              <w:t xml:space="preserve"> late’</w:t>
            </w:r>
            <w:r w:rsidRPr="005C56D1">
              <w:rPr>
                <w:sz w:val="14"/>
                <w:szCs w:val="14"/>
              </w:rPr>
              <w:t>, nor</w:t>
            </w:r>
            <w:r w:rsidRPr="005C56D1">
              <w:rPr>
                <w:i/>
                <w:iCs/>
                <w:sz w:val="14"/>
                <w:szCs w:val="14"/>
              </w:rPr>
              <w:t xml:space="preserve"> too much</w:t>
            </w:r>
            <w:r w:rsidRPr="005C56D1">
              <w:rPr>
                <w:sz w:val="14"/>
                <w:szCs w:val="14"/>
              </w:rPr>
              <w:t xml:space="preserve"> / </w:t>
            </w:r>
            <w:r w:rsidRPr="005C56D1">
              <w:rPr>
                <w:i/>
                <w:iCs/>
                <w:sz w:val="14"/>
                <w:szCs w:val="14"/>
              </w:rPr>
              <w:t>little</w:t>
            </w:r>
            <w:r w:rsidRPr="005C56D1">
              <w:rPr>
                <w:sz w:val="14"/>
                <w:szCs w:val="14"/>
              </w:rPr>
              <w:t>. Somehow, it demands a new variant of the precautionary principle, as the future effects of measures are unknown.</w:t>
            </w:r>
            <w:r w:rsidRPr="005C56D1">
              <w:rPr>
                <w:b/>
                <w:bCs/>
                <w:sz w:val="14"/>
                <w:szCs w:val="14"/>
              </w:rPr>
              <w:t xml:space="preserve"> </w:t>
            </w:r>
            <w:r w:rsidRPr="005C56D1">
              <w:rPr>
                <w:sz w:val="14"/>
                <w:szCs w:val="14"/>
              </w:rPr>
              <w:t>On the other hand, the engineering practice of designing defences calls for prudency regarding performance, i.e. a ‘</w:t>
            </w:r>
            <w:r w:rsidRPr="005C56D1">
              <w:rPr>
                <w:i/>
                <w:iCs/>
                <w:sz w:val="14"/>
                <w:szCs w:val="14"/>
              </w:rPr>
              <w:t>better safe than sorry</w:t>
            </w:r>
            <w:r w:rsidRPr="005C56D1">
              <w:rPr>
                <w:sz w:val="14"/>
                <w:szCs w:val="14"/>
              </w:rPr>
              <w:t xml:space="preserve">’ approach, even if it is more expensive. It is common practice to build for several decades in advance (and avoid undertaking large renewals or upgrades), thus, the initial costs of defences are usually high (there is a preference for major </w:t>
            </w:r>
            <w:r w:rsidRPr="005C56D1">
              <w:rPr>
                <w:i/>
                <w:sz w:val="14"/>
                <w:szCs w:val="14"/>
              </w:rPr>
              <w:t>‘maintenance-free constructions</w:t>
            </w:r>
            <w:r w:rsidRPr="005C56D1">
              <w:rPr>
                <w:sz w:val="14"/>
                <w:szCs w:val="14"/>
              </w:rPr>
              <w:t>’ and a ‘</w:t>
            </w:r>
            <w:r w:rsidRPr="005C56D1">
              <w:rPr>
                <w:i/>
                <w:sz w:val="14"/>
                <w:szCs w:val="14"/>
              </w:rPr>
              <w:t>tendency to negligence afterwards’</w:t>
            </w:r>
            <w:r w:rsidRPr="005C56D1">
              <w:rPr>
                <w:sz w:val="14"/>
                <w:szCs w:val="14"/>
              </w:rPr>
              <w:t xml:space="preserve"> (</w:t>
            </w:r>
            <w:r w:rsidRPr="005C56D1">
              <w:rPr>
                <w:color w:val="7F7F7F" w:themeColor="text1" w:themeTint="80"/>
                <w:sz w:val="14"/>
                <w:szCs w:val="14"/>
              </w:rPr>
              <w:t>Klijn et al. 2016</w:t>
            </w:r>
            <w:r w:rsidRPr="005C56D1">
              <w:rPr>
                <w:sz w:val="14"/>
                <w:szCs w:val="14"/>
              </w:rPr>
              <w:t>).</w:t>
            </w:r>
            <w:r w:rsidRPr="005C56D1">
              <w:rPr>
                <w:rStyle w:val="Refdenotaderodap"/>
                <w:rFonts w:eastAsiaTheme="majorEastAsia"/>
                <w:sz w:val="14"/>
                <w:szCs w:val="14"/>
                <w:highlight w:val="lightGray"/>
              </w:rPr>
              <w:footnoteReference w:id="154"/>
            </w:r>
            <w:r w:rsidRPr="005C56D1">
              <w:rPr>
                <w:b/>
                <w:bCs/>
                <w:sz w:val="14"/>
                <w:szCs w:val="14"/>
              </w:rPr>
              <w:t xml:space="preserve"> </w:t>
            </w:r>
            <w:r w:rsidRPr="005C56D1">
              <w:rPr>
                <w:sz w:val="14"/>
                <w:szCs w:val="14"/>
              </w:rPr>
              <w:t>The two approaches can conflict with each other due to environmental side-effects of hard defences, and the influence of reinforcement works on the possibility to apply and switch to other measures advocated in ADM. This raised a dilemma: if dykes were reinforced to the standards required for 2050, the</w:t>
            </w:r>
            <w:r w:rsidRPr="005C56D1">
              <w:rPr>
                <w:i/>
                <w:iCs/>
                <w:sz w:val="14"/>
                <w:szCs w:val="14"/>
              </w:rPr>
              <w:t xml:space="preserve"> </w:t>
            </w:r>
            <w:r w:rsidRPr="005C56D1">
              <w:rPr>
                <w:sz w:val="14"/>
                <w:szCs w:val="14"/>
              </w:rPr>
              <w:t>rationale for certain measures</w:t>
            </w:r>
            <w:r w:rsidRPr="005C56D1">
              <w:rPr>
                <w:iCs/>
                <w:sz w:val="14"/>
                <w:szCs w:val="14"/>
              </w:rPr>
              <w:t xml:space="preserve"> (e.g.</w:t>
            </w:r>
            <w:r w:rsidRPr="005C56D1">
              <w:rPr>
                <w:i/>
                <w:sz w:val="14"/>
                <w:szCs w:val="14"/>
              </w:rPr>
              <w:t xml:space="preserve"> making room for river</w:t>
            </w:r>
            <w:r w:rsidRPr="005C56D1">
              <w:rPr>
                <w:iCs/>
                <w:sz w:val="14"/>
                <w:szCs w:val="14"/>
              </w:rPr>
              <w:t>)</w:t>
            </w:r>
            <w:r w:rsidRPr="005C56D1">
              <w:rPr>
                <w:i/>
                <w:sz w:val="14"/>
                <w:szCs w:val="14"/>
              </w:rPr>
              <w:t xml:space="preserve"> </w:t>
            </w:r>
            <w:r w:rsidRPr="005C56D1">
              <w:rPr>
                <w:iCs/>
                <w:sz w:val="14"/>
                <w:szCs w:val="14"/>
              </w:rPr>
              <w:t>is undermined</w:t>
            </w:r>
            <w:r w:rsidRPr="005C56D1">
              <w:rPr>
                <w:sz w:val="14"/>
                <w:szCs w:val="14"/>
              </w:rPr>
              <w:t xml:space="preserve"> (their benefit-cost is low in comparison to reinforcements); conversely, if dykes were reinforced to the old standards (pre-2017), it would be logic to take other measures to achieve the objectives in the long-term. In either case, it was crucial to avoid spending money twice or unwisely. Thus, </w:t>
            </w:r>
            <w:r w:rsidRPr="005C56D1">
              <w:rPr>
                <w:bCs/>
                <w:sz w:val="14"/>
                <w:szCs w:val="14"/>
              </w:rPr>
              <w:t>lawfulness (working according to rules and laws) may undermine the intentions of ADM (</w:t>
            </w:r>
            <w:r w:rsidRPr="005C56D1">
              <w:rPr>
                <w:bCs/>
                <w:color w:val="7F7F7F" w:themeColor="text1" w:themeTint="80"/>
                <w:sz w:val="14"/>
                <w:szCs w:val="14"/>
              </w:rPr>
              <w:t>Klijn et al. 2016</w:t>
            </w:r>
            <w:r w:rsidRPr="005C56D1">
              <w:rPr>
                <w:bCs/>
                <w:sz w:val="14"/>
                <w:szCs w:val="14"/>
              </w:rPr>
              <w:t xml:space="preserve">). </w:t>
            </w:r>
          </w:p>
        </w:tc>
        <w:tc>
          <w:tcPr>
            <w:tcW w:w="708" w:type="dxa"/>
            <w:tcBorders>
              <w:left w:val="nil"/>
              <w:right w:val="nil"/>
            </w:tcBorders>
          </w:tcPr>
          <w:p w14:paraId="35FA4660"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DP2014</w:t>
            </w:r>
          </w:p>
        </w:tc>
        <w:tc>
          <w:tcPr>
            <w:tcW w:w="792" w:type="dxa"/>
            <w:tcBorders>
              <w:left w:val="nil"/>
            </w:tcBorders>
          </w:tcPr>
          <w:p w14:paraId="5D6AA1A5"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K2 + ADM</w:t>
            </w:r>
          </w:p>
        </w:tc>
      </w:tr>
      <w:tr w:rsidR="00ED6053" w:rsidRPr="005C56D1" w14:paraId="4E36916D" w14:textId="77777777" w:rsidTr="00FF4124">
        <w:trPr>
          <w:trHeight w:val="416"/>
        </w:trPr>
        <w:tc>
          <w:tcPr>
            <w:tcW w:w="8364" w:type="dxa"/>
            <w:tcBorders>
              <w:left w:val="nil"/>
              <w:right w:val="nil"/>
            </w:tcBorders>
          </w:tcPr>
          <w:p w14:paraId="40DEA4CA" w14:textId="77777777" w:rsidR="00ED6053" w:rsidRPr="005C56D1" w:rsidRDefault="00ED6053" w:rsidP="00FF4124">
            <w:pPr>
              <w:pStyle w:val="CORPOTEXTO"/>
              <w:spacing w:afterLines="40" w:after="96"/>
              <w:jc w:val="left"/>
              <w:rPr>
                <w:b/>
                <w:bCs/>
                <w:sz w:val="14"/>
                <w:szCs w:val="14"/>
              </w:rPr>
            </w:pPr>
            <w:r w:rsidRPr="005C56D1">
              <w:rPr>
                <w:b/>
                <w:bCs/>
                <w:sz w:val="14"/>
                <w:szCs w:val="14"/>
              </w:rPr>
              <w:t xml:space="preserve">Dilemma between ‘adaptability’ and the ‘urge-to-control’. </w:t>
            </w:r>
            <w:r w:rsidRPr="005C56D1">
              <w:rPr>
                <w:sz w:val="14"/>
                <w:szCs w:val="14"/>
              </w:rPr>
              <w:t>The Netherlands was pioneer in the adoption of an adaptive planning approach (ADM) to an entire country, not only a region or city, but policymakers faced a dilemma between ‘</w:t>
            </w:r>
            <w:r w:rsidRPr="005C56D1">
              <w:rPr>
                <w:i/>
                <w:sz w:val="14"/>
                <w:szCs w:val="14"/>
              </w:rPr>
              <w:t>adaptability</w:t>
            </w:r>
            <w:r w:rsidRPr="005C56D1">
              <w:rPr>
                <w:sz w:val="14"/>
                <w:szCs w:val="14"/>
              </w:rPr>
              <w:t>’ and ‘</w:t>
            </w:r>
            <w:r w:rsidRPr="005C56D1">
              <w:rPr>
                <w:i/>
                <w:sz w:val="14"/>
                <w:szCs w:val="14"/>
              </w:rPr>
              <w:t>the urge-to-control</w:t>
            </w:r>
            <w:r w:rsidRPr="005C56D1">
              <w:rPr>
                <w:sz w:val="14"/>
                <w:szCs w:val="14"/>
              </w:rPr>
              <w:t>’ (</w:t>
            </w:r>
            <w:proofErr w:type="spellStart"/>
            <w:r w:rsidRPr="005C56D1">
              <w:rPr>
                <w:color w:val="7F7F7F" w:themeColor="text1" w:themeTint="80"/>
                <w:sz w:val="14"/>
                <w:szCs w:val="14"/>
              </w:rPr>
              <w:t>Restemeyer</w:t>
            </w:r>
            <w:proofErr w:type="spellEnd"/>
            <w:r w:rsidRPr="005C56D1">
              <w:rPr>
                <w:color w:val="7F7F7F" w:themeColor="text1" w:themeTint="80"/>
                <w:sz w:val="14"/>
                <w:szCs w:val="14"/>
              </w:rPr>
              <w:t xml:space="preserve"> et al. 2017</w:t>
            </w:r>
            <w:r w:rsidRPr="005C56D1">
              <w:rPr>
                <w:sz w:val="14"/>
                <w:szCs w:val="14"/>
              </w:rPr>
              <w:t>), e.g. in the elaboration of the Preferential Strategy of the RE-D. The idea of adaptability was adopted, but partially. A major dilemma existed between the aspired ‘</w:t>
            </w:r>
            <w:r w:rsidRPr="005C56D1">
              <w:rPr>
                <w:i/>
                <w:sz w:val="14"/>
                <w:szCs w:val="14"/>
              </w:rPr>
              <w:t>adaptability’</w:t>
            </w:r>
            <w:r w:rsidRPr="005C56D1">
              <w:rPr>
                <w:sz w:val="14"/>
                <w:szCs w:val="14"/>
              </w:rPr>
              <w:t xml:space="preserve"> and the traditional ‘</w:t>
            </w:r>
            <w:r w:rsidRPr="005C56D1">
              <w:rPr>
                <w:i/>
                <w:sz w:val="14"/>
                <w:szCs w:val="14"/>
              </w:rPr>
              <w:t>urge-to-control’</w:t>
            </w:r>
            <w:r w:rsidRPr="005C56D1">
              <w:rPr>
                <w:sz w:val="14"/>
                <w:szCs w:val="14"/>
              </w:rPr>
              <w:t>: the DP shows signs of an ‘</w:t>
            </w:r>
            <w:r w:rsidRPr="005C56D1">
              <w:rPr>
                <w:i/>
                <w:iCs/>
                <w:sz w:val="14"/>
                <w:szCs w:val="14"/>
              </w:rPr>
              <w:t>integrated and</w:t>
            </w:r>
            <w:r w:rsidRPr="005C56D1">
              <w:rPr>
                <w:sz w:val="14"/>
                <w:szCs w:val="14"/>
              </w:rPr>
              <w:t xml:space="preserve"> </w:t>
            </w:r>
            <w:r w:rsidRPr="005C56D1">
              <w:rPr>
                <w:i/>
                <w:iCs/>
                <w:sz w:val="14"/>
                <w:szCs w:val="14"/>
              </w:rPr>
              <w:t xml:space="preserve">adaptive </w:t>
            </w:r>
            <w:r w:rsidRPr="005C56D1">
              <w:rPr>
                <w:i/>
                <w:iCs/>
                <w:sz w:val="14"/>
                <w:szCs w:val="14"/>
              </w:rPr>
              <w:lastRenderedPageBreak/>
              <w:t xml:space="preserve">approach’ </w:t>
            </w:r>
            <w:r w:rsidRPr="005C56D1">
              <w:rPr>
                <w:sz w:val="14"/>
                <w:szCs w:val="14"/>
              </w:rPr>
              <w:t>that seeks to deal with uncertain future change, and, on the other hand,</w:t>
            </w:r>
            <w:r w:rsidRPr="005C56D1">
              <w:rPr>
                <w:i/>
                <w:iCs/>
                <w:sz w:val="14"/>
                <w:szCs w:val="14"/>
              </w:rPr>
              <w:t xml:space="preserve"> </w:t>
            </w:r>
            <w:r w:rsidRPr="005C56D1">
              <w:rPr>
                <w:sz w:val="14"/>
                <w:szCs w:val="14"/>
              </w:rPr>
              <w:t>it shows traces of a more ‘predict-and-control’ approach that subsists in the Dutch FRM culture resultant from centuries of ‘</w:t>
            </w:r>
            <w:r w:rsidRPr="005C56D1">
              <w:rPr>
                <w:i/>
                <w:iCs/>
                <w:sz w:val="14"/>
                <w:szCs w:val="14"/>
              </w:rPr>
              <w:t>more</w:t>
            </w:r>
            <w:r w:rsidRPr="005C56D1">
              <w:rPr>
                <w:sz w:val="14"/>
                <w:szCs w:val="14"/>
              </w:rPr>
              <w:t xml:space="preserve"> </w:t>
            </w:r>
            <w:r w:rsidRPr="005C56D1">
              <w:rPr>
                <w:i/>
                <w:iCs/>
                <w:sz w:val="14"/>
                <w:szCs w:val="14"/>
              </w:rPr>
              <w:t>technocratic-inspired policies’</w:t>
            </w:r>
            <w:r w:rsidRPr="005C56D1">
              <w:rPr>
                <w:sz w:val="14"/>
                <w:szCs w:val="14"/>
              </w:rPr>
              <w:t xml:space="preserve"> (</w:t>
            </w:r>
            <w:proofErr w:type="spellStart"/>
            <w:r w:rsidRPr="005C56D1">
              <w:rPr>
                <w:color w:val="7F7F7F" w:themeColor="text1" w:themeTint="80"/>
                <w:sz w:val="14"/>
                <w:szCs w:val="14"/>
              </w:rPr>
              <w:t>Restemeyer</w:t>
            </w:r>
            <w:proofErr w:type="spellEnd"/>
            <w:r w:rsidRPr="005C56D1">
              <w:rPr>
                <w:color w:val="7F7F7F" w:themeColor="text1" w:themeTint="80"/>
                <w:sz w:val="14"/>
                <w:szCs w:val="14"/>
              </w:rPr>
              <w:t xml:space="preserve"> et al. 2017, p.920, 935</w:t>
            </w:r>
            <w:r w:rsidRPr="005C56D1">
              <w:rPr>
                <w:sz w:val="14"/>
                <w:szCs w:val="14"/>
              </w:rPr>
              <w:t xml:space="preserve">). ADM reflects the </w:t>
            </w:r>
            <w:proofErr w:type="gramStart"/>
            <w:r w:rsidRPr="005C56D1">
              <w:rPr>
                <w:sz w:val="14"/>
                <w:szCs w:val="14"/>
              </w:rPr>
              <w:t>particular way</w:t>
            </w:r>
            <w:proofErr w:type="gramEnd"/>
            <w:r w:rsidRPr="005C56D1">
              <w:rPr>
                <w:sz w:val="14"/>
                <w:szCs w:val="14"/>
              </w:rPr>
              <w:t xml:space="preserve"> in which the Dutch interpret ‘adaptability’: ‘</w:t>
            </w:r>
            <w:r w:rsidRPr="005C56D1">
              <w:rPr>
                <w:i/>
                <w:sz w:val="14"/>
                <w:szCs w:val="14"/>
              </w:rPr>
              <w:t>with a strong reliance on governments, experts, techniques and tools’</w:t>
            </w:r>
            <w:r w:rsidRPr="005C56D1">
              <w:rPr>
                <w:sz w:val="14"/>
                <w:szCs w:val="14"/>
              </w:rPr>
              <w:t>, and based on their past. Continuing with the traditional practice may be advantageous (continuing something that they are good at) or disadvantageous (being tied to old patterns or dismiss the need to increase adaptability on land) (</w:t>
            </w:r>
            <w:proofErr w:type="spellStart"/>
            <w:r w:rsidRPr="005C56D1">
              <w:rPr>
                <w:color w:val="7F7F7F" w:themeColor="text1" w:themeTint="80"/>
                <w:sz w:val="14"/>
                <w:szCs w:val="14"/>
              </w:rPr>
              <w:t>Restemeyer</w:t>
            </w:r>
            <w:proofErr w:type="spellEnd"/>
            <w:r w:rsidRPr="005C56D1">
              <w:rPr>
                <w:color w:val="7F7F7F" w:themeColor="text1" w:themeTint="80"/>
                <w:sz w:val="14"/>
                <w:szCs w:val="14"/>
              </w:rPr>
              <w:t xml:space="preserve"> et al. 2017</w:t>
            </w:r>
            <w:r w:rsidRPr="005C56D1">
              <w:rPr>
                <w:sz w:val="14"/>
                <w:szCs w:val="14"/>
              </w:rPr>
              <w:t>)</w:t>
            </w:r>
          </w:p>
        </w:tc>
        <w:tc>
          <w:tcPr>
            <w:tcW w:w="708" w:type="dxa"/>
            <w:tcBorders>
              <w:left w:val="nil"/>
              <w:right w:val="nil"/>
            </w:tcBorders>
          </w:tcPr>
          <w:p w14:paraId="3864A0A4"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lastRenderedPageBreak/>
              <w:t>DP2014</w:t>
            </w:r>
          </w:p>
        </w:tc>
        <w:tc>
          <w:tcPr>
            <w:tcW w:w="792" w:type="dxa"/>
            <w:tcBorders>
              <w:left w:val="nil"/>
            </w:tcBorders>
          </w:tcPr>
          <w:p w14:paraId="07738375"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ADM,</w:t>
            </w:r>
          </w:p>
          <w:p w14:paraId="7586C4BE" w14:textId="77777777" w:rsidR="00ED6053" w:rsidRPr="005C56D1" w:rsidRDefault="00ED6053" w:rsidP="00FF4124">
            <w:pPr>
              <w:pStyle w:val="tablecontenttext"/>
              <w:spacing w:line="240" w:lineRule="auto"/>
              <w:contextualSpacing/>
              <w:rPr>
                <w:rFonts w:ascii="Times New Roman" w:hAnsi="Times New Roman" w:cs="Times New Roman"/>
                <w:bCs w:val="0"/>
                <w:sz w:val="14"/>
                <w:szCs w:val="14"/>
              </w:rPr>
            </w:pPr>
            <w:r w:rsidRPr="005C56D1">
              <w:rPr>
                <w:rFonts w:ascii="Times New Roman" w:hAnsi="Times New Roman" w:cs="Times New Roman"/>
                <w:bCs w:val="0"/>
                <w:sz w:val="14"/>
                <w:szCs w:val="14"/>
              </w:rPr>
              <w:t xml:space="preserve">Dynamic robustness </w:t>
            </w:r>
          </w:p>
        </w:tc>
      </w:tr>
    </w:tbl>
    <w:p w14:paraId="1E75EBB9" w14:textId="77777777" w:rsidR="00ED6053" w:rsidRDefault="00ED6053" w:rsidP="00ED6053">
      <w:pPr>
        <w:pStyle w:val="TEXTBODY"/>
      </w:pPr>
    </w:p>
    <w:p w14:paraId="5135220A" w14:textId="463696C4" w:rsidR="000E7FEF" w:rsidRDefault="000E7FEF" w:rsidP="000E7FEF">
      <w:pPr>
        <w:pStyle w:val="Ttulo5"/>
      </w:pPr>
      <w:r>
        <w:t xml:space="preserve">E. </w:t>
      </w:r>
      <w:r w:rsidRPr="00D567C9">
        <w:t>Gaps, needs, and issues for further research and work on APs-based AP&amp;M approaches and their applicability for coastal climate adaptation</w:t>
      </w:r>
      <w:r>
        <w:t>, drawing on the two cases</w:t>
      </w:r>
    </w:p>
    <w:p w14:paraId="45B40880" w14:textId="152B2EBC" w:rsidR="000E7FEF" w:rsidRPr="00336A37" w:rsidRDefault="000E7FEF" w:rsidP="00ED6053">
      <w:pPr>
        <w:pStyle w:val="TEXTBODY"/>
        <w:rPr>
          <w:sz w:val="16"/>
          <w:szCs w:val="18"/>
        </w:rPr>
      </w:pPr>
      <w:r w:rsidRPr="00ED6053">
        <w:rPr>
          <w:sz w:val="20"/>
          <w:szCs w:val="24"/>
        </w:rPr>
        <w:t xml:space="preserve">Drawing on the analysis of the practical applications of an APs-based AP&amp;M approach in the two studied cases, and the literature review conducted on this topic, the following challenges and issues for further research and work </w:t>
      </w:r>
      <w:r>
        <w:rPr>
          <w:sz w:val="20"/>
          <w:szCs w:val="24"/>
        </w:rPr>
        <w:t>have been</w:t>
      </w:r>
      <w:r w:rsidRPr="00ED6053">
        <w:rPr>
          <w:sz w:val="20"/>
          <w:szCs w:val="24"/>
        </w:rPr>
        <w:t xml:space="preserve"> identified for the future advancement of this approach and to improve their applicability in real-world planning and policy-making practices and instruments</w:t>
      </w:r>
      <w:r w:rsidR="00336A37">
        <w:rPr>
          <w:sz w:val="20"/>
          <w:szCs w:val="24"/>
        </w:rPr>
        <w:t>.</w:t>
      </w:r>
    </w:p>
    <w:tbl>
      <w:tblPr>
        <w:tblStyle w:val="TabelacomGrelha"/>
        <w:tblW w:w="5000" w:type="pct"/>
        <w:tblBorders>
          <w:left w:val="none" w:sz="0" w:space="0" w:color="auto"/>
          <w:right w:val="none" w:sz="0" w:space="0" w:color="auto"/>
        </w:tblBorders>
        <w:tblLayout w:type="fixed"/>
        <w:tblCellMar>
          <w:left w:w="85" w:type="dxa"/>
          <w:right w:w="85" w:type="dxa"/>
        </w:tblCellMar>
        <w:tblLook w:val="04A0" w:firstRow="1" w:lastRow="0" w:firstColumn="1" w:lastColumn="0" w:noHBand="0" w:noVBand="1"/>
      </w:tblPr>
      <w:tblGrid>
        <w:gridCol w:w="8364"/>
        <w:gridCol w:w="708"/>
        <w:gridCol w:w="792"/>
      </w:tblGrid>
      <w:tr w:rsidR="00ED6053" w:rsidRPr="000E7FEF" w14:paraId="01ACD967" w14:textId="77777777" w:rsidTr="00FF4124">
        <w:tc>
          <w:tcPr>
            <w:tcW w:w="8364" w:type="dxa"/>
            <w:tcBorders>
              <w:left w:val="nil"/>
              <w:right w:val="nil"/>
            </w:tcBorders>
          </w:tcPr>
          <w:p w14:paraId="13F8999C" w14:textId="0105C390" w:rsidR="00ED6053" w:rsidRPr="000E7FEF" w:rsidRDefault="000E7FEF" w:rsidP="00FF4124">
            <w:pPr>
              <w:pStyle w:val="tablecontenttext"/>
              <w:spacing w:line="240" w:lineRule="auto"/>
              <w:rPr>
                <w:rFonts w:ascii="Times New Roman" w:hAnsi="Times New Roman" w:cs="Times New Roman"/>
                <w:sz w:val="14"/>
                <w:szCs w:val="14"/>
              </w:rPr>
            </w:pPr>
            <w:r w:rsidRPr="000E7FEF">
              <w:rPr>
                <w:rFonts w:ascii="Times New Roman" w:hAnsi="Times New Roman" w:cs="Times New Roman"/>
                <w:b/>
                <w:bCs w:val="0"/>
                <w:sz w:val="14"/>
                <w:szCs w:val="14"/>
              </w:rPr>
              <w:t>Table E. Gaps, needs, and issues for further research and work on APs-based AP&amp;M approaches and their applicability for coastal climate adaptation</w:t>
            </w:r>
          </w:p>
        </w:tc>
        <w:tc>
          <w:tcPr>
            <w:tcW w:w="708" w:type="dxa"/>
            <w:tcBorders>
              <w:left w:val="nil"/>
              <w:right w:val="nil"/>
            </w:tcBorders>
          </w:tcPr>
          <w:p w14:paraId="4329AED8" w14:textId="77777777" w:rsidR="00ED6053" w:rsidRPr="000E7FEF" w:rsidRDefault="00ED6053" w:rsidP="00FF4124">
            <w:pPr>
              <w:pStyle w:val="tablecontenttext"/>
              <w:spacing w:line="240" w:lineRule="auto"/>
              <w:rPr>
                <w:rFonts w:ascii="Times New Roman" w:hAnsi="Times New Roman" w:cs="Times New Roman"/>
                <w:b/>
                <w:bCs w:val="0"/>
                <w:sz w:val="14"/>
                <w:szCs w:val="14"/>
              </w:rPr>
            </w:pPr>
            <w:r w:rsidRPr="000E7FEF">
              <w:rPr>
                <w:rFonts w:ascii="Times New Roman" w:hAnsi="Times New Roman" w:cs="Times New Roman"/>
                <w:b/>
                <w:bCs w:val="0"/>
                <w:sz w:val="14"/>
                <w:szCs w:val="14"/>
              </w:rPr>
              <w:t>Sources of info.</w:t>
            </w:r>
          </w:p>
        </w:tc>
        <w:tc>
          <w:tcPr>
            <w:tcW w:w="792" w:type="dxa"/>
            <w:tcBorders>
              <w:left w:val="nil"/>
            </w:tcBorders>
          </w:tcPr>
          <w:p w14:paraId="31255EA6" w14:textId="77777777" w:rsidR="00ED6053" w:rsidRPr="000E7FEF" w:rsidRDefault="00ED6053" w:rsidP="00FF4124">
            <w:pPr>
              <w:pStyle w:val="tablecontenttext"/>
              <w:spacing w:line="240" w:lineRule="auto"/>
              <w:rPr>
                <w:rFonts w:ascii="Times New Roman" w:hAnsi="Times New Roman" w:cs="Times New Roman"/>
                <w:b/>
                <w:bCs w:val="0"/>
                <w:sz w:val="14"/>
                <w:szCs w:val="14"/>
              </w:rPr>
            </w:pPr>
            <w:r w:rsidRPr="000E7FEF">
              <w:rPr>
                <w:rFonts w:ascii="Times New Roman" w:hAnsi="Times New Roman" w:cs="Times New Roman"/>
                <w:b/>
                <w:bCs w:val="0"/>
                <w:sz w:val="14"/>
                <w:szCs w:val="14"/>
              </w:rPr>
              <w:t>Relation w/ key-elements</w:t>
            </w:r>
          </w:p>
        </w:tc>
      </w:tr>
      <w:tr w:rsidR="00ED6053" w:rsidRPr="000E7FEF" w14:paraId="588B0619" w14:textId="77777777" w:rsidTr="00FF4124">
        <w:tc>
          <w:tcPr>
            <w:tcW w:w="8364" w:type="dxa"/>
            <w:tcBorders>
              <w:left w:val="nil"/>
              <w:right w:val="nil"/>
            </w:tcBorders>
          </w:tcPr>
          <w:p w14:paraId="5F1D08C0" w14:textId="77777777" w:rsidR="00ED6053" w:rsidRPr="000E7FEF" w:rsidRDefault="00ED6053" w:rsidP="00FF4124">
            <w:pPr>
              <w:pStyle w:val="tablecontenttext"/>
              <w:spacing w:line="240" w:lineRule="auto"/>
              <w:rPr>
                <w:rFonts w:ascii="Times New Roman" w:hAnsi="Times New Roman" w:cs="Times New Roman"/>
                <w:sz w:val="14"/>
                <w:szCs w:val="14"/>
              </w:rPr>
            </w:pPr>
            <w:r w:rsidRPr="000E7FEF">
              <w:rPr>
                <w:rFonts w:ascii="Times New Roman" w:hAnsi="Times New Roman" w:cs="Times New Roman"/>
                <w:i/>
                <w:sz w:val="14"/>
                <w:szCs w:val="14"/>
              </w:rPr>
              <w:t>Foster ‘free thinking space’</w:t>
            </w:r>
            <w:r w:rsidRPr="000E7FEF">
              <w:rPr>
                <w:rFonts w:ascii="Times New Roman" w:hAnsi="Times New Roman" w:cs="Times New Roman"/>
                <w:sz w:val="14"/>
                <w:szCs w:val="14"/>
              </w:rPr>
              <w:t>; Create an environment that encourages open-minded thinking, allowing for the exploration of actions that may not be politically or financially feasible in the short term (</w:t>
            </w:r>
            <w:r w:rsidRPr="000E7FEF">
              <w:rPr>
                <w:rFonts w:ascii="Times New Roman" w:hAnsi="Times New Roman" w:cs="Times New Roman"/>
                <w:color w:val="7F7F7F" w:themeColor="text1" w:themeTint="80"/>
                <w:sz w:val="14"/>
                <w:szCs w:val="14"/>
              </w:rPr>
              <w:t>Bloemen et al. 2018</w:t>
            </w:r>
            <w:r w:rsidRPr="000E7FEF">
              <w:rPr>
                <w:rFonts w:ascii="Times New Roman" w:hAnsi="Times New Roman" w:cs="Times New Roman"/>
                <w:sz w:val="14"/>
                <w:szCs w:val="14"/>
              </w:rPr>
              <w:t>).</w:t>
            </w:r>
          </w:p>
          <w:p w14:paraId="77E5A0C4" w14:textId="77777777" w:rsidR="00ED6053" w:rsidRPr="000E7FEF" w:rsidRDefault="00ED6053" w:rsidP="00FF4124">
            <w:pPr>
              <w:pStyle w:val="tablecontenttext"/>
              <w:spacing w:line="240" w:lineRule="auto"/>
              <w:rPr>
                <w:rFonts w:ascii="Times New Roman" w:hAnsi="Times New Roman" w:cs="Times New Roman"/>
                <w:b/>
                <w:sz w:val="14"/>
                <w:szCs w:val="14"/>
              </w:rPr>
            </w:pPr>
            <w:r w:rsidRPr="000E7FEF">
              <w:rPr>
                <w:rFonts w:ascii="Times New Roman" w:hAnsi="Times New Roman" w:cs="Times New Roman"/>
                <w:sz w:val="14"/>
                <w:szCs w:val="14"/>
              </w:rPr>
              <w:t>Creating a maquette of adaptation pathway diagrams early in the planning process is helpful for conveying ideas and gaining support from stakeholders (</w:t>
            </w:r>
            <w:r w:rsidRPr="000E7FEF">
              <w:rPr>
                <w:rFonts w:ascii="Times New Roman" w:hAnsi="Times New Roman" w:cs="Times New Roman"/>
                <w:color w:val="7F7F7F" w:themeColor="text1" w:themeTint="80"/>
                <w:sz w:val="14"/>
                <w:szCs w:val="14"/>
              </w:rPr>
              <w:t>Bloemen et al. 2018</w:t>
            </w:r>
            <w:r w:rsidRPr="000E7FEF">
              <w:rPr>
                <w:rFonts w:ascii="Times New Roman" w:hAnsi="Times New Roman" w:cs="Times New Roman"/>
                <w:sz w:val="14"/>
                <w:szCs w:val="14"/>
              </w:rPr>
              <w:t>).</w:t>
            </w:r>
          </w:p>
        </w:tc>
        <w:tc>
          <w:tcPr>
            <w:tcW w:w="708" w:type="dxa"/>
            <w:tcBorders>
              <w:left w:val="nil"/>
              <w:right w:val="nil"/>
            </w:tcBorders>
          </w:tcPr>
          <w:p w14:paraId="3F556914" w14:textId="77777777" w:rsidR="00ED6053" w:rsidRPr="000E7FEF" w:rsidRDefault="00ED6053" w:rsidP="00FF4124">
            <w:pPr>
              <w:pStyle w:val="CORPOTEXTO"/>
              <w:spacing w:after="60"/>
              <w:jc w:val="left"/>
              <w:rPr>
                <w:sz w:val="14"/>
                <w:szCs w:val="14"/>
              </w:rPr>
            </w:pPr>
            <w:r w:rsidRPr="000E7FEF">
              <w:rPr>
                <w:sz w:val="14"/>
                <w:szCs w:val="14"/>
              </w:rPr>
              <w:t>TE2100+</w:t>
            </w:r>
          </w:p>
          <w:p w14:paraId="4AACF111" w14:textId="77777777" w:rsidR="00ED6053" w:rsidRPr="000E7FEF" w:rsidRDefault="00ED6053" w:rsidP="00FF4124">
            <w:pPr>
              <w:pStyle w:val="CORPOTEXTO"/>
              <w:spacing w:after="60"/>
              <w:jc w:val="left"/>
              <w:rPr>
                <w:sz w:val="14"/>
                <w:szCs w:val="14"/>
              </w:rPr>
            </w:pPr>
            <w:r w:rsidRPr="000E7FEF">
              <w:rPr>
                <w:sz w:val="14"/>
                <w:szCs w:val="14"/>
              </w:rPr>
              <w:t>DP2014</w:t>
            </w:r>
          </w:p>
        </w:tc>
        <w:tc>
          <w:tcPr>
            <w:tcW w:w="792" w:type="dxa"/>
            <w:tcBorders>
              <w:left w:val="nil"/>
            </w:tcBorders>
          </w:tcPr>
          <w:p w14:paraId="67A8F9FB" w14:textId="77777777" w:rsidR="00ED6053" w:rsidRPr="000E7FEF" w:rsidRDefault="00ED6053" w:rsidP="00FF4124">
            <w:pPr>
              <w:pStyle w:val="tablecontenttext"/>
              <w:spacing w:line="240" w:lineRule="auto"/>
              <w:rPr>
                <w:rFonts w:ascii="Times New Roman" w:hAnsi="Times New Roman" w:cs="Times New Roman"/>
                <w:bCs w:val="0"/>
                <w:sz w:val="14"/>
                <w:szCs w:val="14"/>
              </w:rPr>
            </w:pPr>
            <w:r w:rsidRPr="000E7FEF">
              <w:rPr>
                <w:rFonts w:ascii="Times New Roman" w:hAnsi="Times New Roman" w:cs="Times New Roman"/>
                <w:bCs w:val="0"/>
                <w:sz w:val="14"/>
                <w:szCs w:val="14"/>
              </w:rPr>
              <w:t>K3</w:t>
            </w:r>
          </w:p>
        </w:tc>
      </w:tr>
      <w:tr w:rsidR="00ED6053" w:rsidRPr="000E7FEF" w14:paraId="687C2A95" w14:textId="77777777" w:rsidTr="00FF4124">
        <w:tc>
          <w:tcPr>
            <w:tcW w:w="8364" w:type="dxa"/>
            <w:tcBorders>
              <w:left w:val="nil"/>
              <w:right w:val="nil"/>
            </w:tcBorders>
          </w:tcPr>
          <w:p w14:paraId="6875C6D8" w14:textId="77777777" w:rsidR="00ED6053" w:rsidRPr="000E7FEF" w:rsidRDefault="00ED6053" w:rsidP="00FF4124">
            <w:pPr>
              <w:pStyle w:val="tablecontenttext"/>
              <w:spacing w:line="240" w:lineRule="auto"/>
              <w:rPr>
                <w:rFonts w:ascii="Times New Roman" w:hAnsi="Times New Roman" w:cs="Times New Roman"/>
                <w:sz w:val="14"/>
                <w:szCs w:val="14"/>
              </w:rPr>
            </w:pPr>
            <w:r w:rsidRPr="000E7FEF">
              <w:rPr>
                <w:rFonts w:ascii="Times New Roman" w:hAnsi="Times New Roman" w:cs="Times New Roman"/>
                <w:sz w:val="14"/>
                <w:szCs w:val="14"/>
              </w:rPr>
              <w:t>Identifying tipping points in situations in which there are no clearly defined policy objectives, for inherently flexible strategies, and in contexts of high natural variability (</w:t>
            </w:r>
            <w:r w:rsidRPr="000E7FEF">
              <w:rPr>
                <w:rFonts w:ascii="Times New Roman" w:hAnsi="Times New Roman" w:cs="Times New Roman"/>
                <w:color w:val="7F7F7F" w:themeColor="text1" w:themeTint="80"/>
                <w:sz w:val="14"/>
                <w:szCs w:val="14"/>
              </w:rPr>
              <w:t xml:space="preserve">Bloemen et al. 2018; </w:t>
            </w:r>
            <w:proofErr w:type="spellStart"/>
            <w:r w:rsidRPr="000E7FEF">
              <w:rPr>
                <w:rFonts w:ascii="Times New Roman" w:hAnsi="Times New Roman" w:cs="Times New Roman"/>
                <w:color w:val="7F7F7F" w:themeColor="text1" w:themeTint="80"/>
                <w:sz w:val="14"/>
                <w:szCs w:val="14"/>
              </w:rPr>
              <w:t>Gersonius</w:t>
            </w:r>
            <w:proofErr w:type="spellEnd"/>
            <w:r w:rsidRPr="000E7FEF">
              <w:rPr>
                <w:rFonts w:ascii="Times New Roman" w:hAnsi="Times New Roman" w:cs="Times New Roman"/>
                <w:color w:val="7F7F7F" w:themeColor="text1" w:themeTint="80"/>
                <w:sz w:val="14"/>
                <w:szCs w:val="14"/>
              </w:rPr>
              <w:t xml:space="preserve"> et al. 2013; </w:t>
            </w:r>
            <w:proofErr w:type="spellStart"/>
            <w:r w:rsidRPr="000E7FEF">
              <w:rPr>
                <w:rFonts w:ascii="Times New Roman" w:hAnsi="Times New Roman" w:cs="Times New Roman"/>
                <w:color w:val="7F7F7F" w:themeColor="text1" w:themeTint="80"/>
                <w:sz w:val="14"/>
                <w:szCs w:val="14"/>
              </w:rPr>
              <w:t>Restemeyer</w:t>
            </w:r>
            <w:proofErr w:type="spellEnd"/>
            <w:r w:rsidRPr="000E7FEF">
              <w:rPr>
                <w:rFonts w:ascii="Times New Roman" w:hAnsi="Times New Roman" w:cs="Times New Roman"/>
                <w:color w:val="7F7F7F" w:themeColor="text1" w:themeTint="80"/>
                <w:sz w:val="14"/>
                <w:szCs w:val="14"/>
              </w:rPr>
              <w:t xml:space="preserve"> et al. 2017</w:t>
            </w:r>
            <w:r w:rsidRPr="000E7FEF">
              <w:rPr>
                <w:rFonts w:ascii="Times New Roman" w:hAnsi="Times New Roman" w:cs="Times New Roman"/>
                <w:sz w:val="14"/>
                <w:szCs w:val="14"/>
              </w:rPr>
              <w:t>).</w:t>
            </w:r>
          </w:p>
          <w:p w14:paraId="095A3D8A" w14:textId="77777777" w:rsidR="00ED6053" w:rsidRPr="000E7FEF" w:rsidRDefault="00ED6053" w:rsidP="00FF4124">
            <w:pPr>
              <w:pStyle w:val="tablecontenttext"/>
              <w:spacing w:line="240" w:lineRule="auto"/>
              <w:rPr>
                <w:rFonts w:ascii="Times New Roman" w:hAnsi="Times New Roman" w:cs="Times New Roman"/>
                <w:sz w:val="14"/>
                <w:szCs w:val="14"/>
              </w:rPr>
            </w:pPr>
            <w:r w:rsidRPr="000E7FEF">
              <w:rPr>
                <w:rFonts w:ascii="Times New Roman" w:hAnsi="Times New Roman" w:cs="Times New Roman"/>
                <w:sz w:val="14"/>
                <w:szCs w:val="14"/>
              </w:rPr>
              <w:t xml:space="preserve">Need to further improve the specification and determination, but also the detection of ATPs/critical thresholds, namely in contexts of high natural variability, where inherently flexible measures are envisioned (e.g. coastal sand nourishments). This can be facilitated </w:t>
            </w:r>
            <w:proofErr w:type="gramStart"/>
            <w:r w:rsidRPr="000E7FEF">
              <w:rPr>
                <w:rFonts w:ascii="Times New Roman" w:hAnsi="Times New Roman" w:cs="Times New Roman"/>
                <w:sz w:val="14"/>
                <w:szCs w:val="14"/>
              </w:rPr>
              <w:t>by the use of</w:t>
            </w:r>
            <w:proofErr w:type="gramEnd"/>
            <w:r w:rsidRPr="000E7FEF">
              <w:rPr>
                <w:rFonts w:ascii="Times New Roman" w:hAnsi="Times New Roman" w:cs="Times New Roman"/>
                <w:sz w:val="14"/>
                <w:szCs w:val="14"/>
              </w:rPr>
              <w:t xml:space="preserve"> local “lived values” (</w:t>
            </w:r>
            <w:r w:rsidRPr="000E7FEF">
              <w:rPr>
                <w:rFonts w:ascii="Times New Roman" w:hAnsi="Times New Roman" w:cs="Times New Roman"/>
                <w:color w:val="7F7F7F" w:themeColor="text1" w:themeTint="80"/>
                <w:sz w:val="14"/>
                <w:szCs w:val="14"/>
              </w:rPr>
              <w:t>Barnett et al. 2014</w:t>
            </w:r>
            <w:r w:rsidRPr="000E7FEF">
              <w:rPr>
                <w:rFonts w:ascii="Times New Roman" w:hAnsi="Times New Roman" w:cs="Times New Roman"/>
                <w:sz w:val="14"/>
                <w:szCs w:val="14"/>
              </w:rPr>
              <w:t>); It is also important to connect this literature to the literature on “soft” and “hard” adaptation limits (</w:t>
            </w:r>
            <w:r w:rsidRPr="000E7FEF">
              <w:rPr>
                <w:rFonts w:ascii="Times New Roman" w:hAnsi="Times New Roman" w:cs="Times New Roman"/>
                <w:color w:val="7F7F7F" w:themeColor="text1" w:themeTint="80"/>
                <w:sz w:val="14"/>
                <w:szCs w:val="14"/>
              </w:rPr>
              <w:t>New et al. 2022</w:t>
            </w:r>
            <w:r w:rsidRPr="000E7FEF">
              <w:rPr>
                <w:rFonts w:ascii="Times New Roman" w:hAnsi="Times New Roman" w:cs="Times New Roman"/>
                <w:sz w:val="14"/>
                <w:szCs w:val="14"/>
              </w:rPr>
              <w:t>)</w:t>
            </w:r>
          </w:p>
        </w:tc>
        <w:tc>
          <w:tcPr>
            <w:tcW w:w="708" w:type="dxa"/>
            <w:tcBorders>
              <w:left w:val="nil"/>
              <w:right w:val="nil"/>
            </w:tcBorders>
          </w:tcPr>
          <w:p w14:paraId="65F78E47" w14:textId="77777777" w:rsidR="00ED6053" w:rsidRPr="000E7FEF" w:rsidRDefault="00ED6053" w:rsidP="00FF4124">
            <w:pPr>
              <w:pStyle w:val="CORPOTEXTO"/>
              <w:spacing w:after="60"/>
              <w:jc w:val="left"/>
              <w:rPr>
                <w:sz w:val="14"/>
                <w:szCs w:val="14"/>
              </w:rPr>
            </w:pPr>
            <w:r w:rsidRPr="000E7FEF">
              <w:rPr>
                <w:sz w:val="14"/>
                <w:szCs w:val="14"/>
              </w:rPr>
              <w:t>TE2100+</w:t>
            </w:r>
          </w:p>
          <w:p w14:paraId="651A2E01" w14:textId="77777777" w:rsidR="00ED6053" w:rsidRPr="000E7FEF" w:rsidRDefault="00ED6053" w:rsidP="00FF4124">
            <w:pPr>
              <w:pStyle w:val="CORPOTEXTO"/>
              <w:spacing w:after="60"/>
              <w:jc w:val="left"/>
              <w:rPr>
                <w:sz w:val="14"/>
                <w:szCs w:val="14"/>
              </w:rPr>
            </w:pPr>
            <w:r w:rsidRPr="000E7FEF">
              <w:rPr>
                <w:sz w:val="14"/>
                <w:szCs w:val="14"/>
              </w:rPr>
              <w:t>DP2014</w:t>
            </w:r>
          </w:p>
        </w:tc>
        <w:tc>
          <w:tcPr>
            <w:tcW w:w="792" w:type="dxa"/>
            <w:tcBorders>
              <w:left w:val="nil"/>
            </w:tcBorders>
          </w:tcPr>
          <w:p w14:paraId="3863D200" w14:textId="77777777" w:rsidR="00ED6053" w:rsidRPr="000E7FEF" w:rsidRDefault="00ED6053" w:rsidP="00FF4124">
            <w:pPr>
              <w:pStyle w:val="tablecontenttext"/>
              <w:spacing w:line="240" w:lineRule="auto"/>
              <w:rPr>
                <w:rFonts w:ascii="Times New Roman" w:hAnsi="Times New Roman" w:cs="Times New Roman"/>
                <w:bCs w:val="0"/>
                <w:sz w:val="14"/>
                <w:szCs w:val="14"/>
              </w:rPr>
            </w:pPr>
            <w:r w:rsidRPr="000E7FEF">
              <w:rPr>
                <w:rFonts w:ascii="Times New Roman" w:hAnsi="Times New Roman" w:cs="Times New Roman"/>
                <w:bCs w:val="0"/>
                <w:sz w:val="14"/>
                <w:szCs w:val="14"/>
              </w:rPr>
              <w:t>K2</w:t>
            </w:r>
          </w:p>
        </w:tc>
      </w:tr>
      <w:tr w:rsidR="00ED6053" w:rsidRPr="000E7FEF" w14:paraId="17F6F685" w14:textId="77777777" w:rsidTr="00FF4124">
        <w:tc>
          <w:tcPr>
            <w:tcW w:w="8364" w:type="dxa"/>
            <w:tcBorders>
              <w:left w:val="nil"/>
              <w:right w:val="nil"/>
            </w:tcBorders>
          </w:tcPr>
          <w:p w14:paraId="7E7A7522" w14:textId="77777777" w:rsidR="00ED6053" w:rsidRPr="000E7FEF" w:rsidRDefault="00ED6053" w:rsidP="00FF4124">
            <w:pPr>
              <w:pStyle w:val="tablecontenttext"/>
              <w:spacing w:line="240" w:lineRule="auto"/>
              <w:rPr>
                <w:rFonts w:ascii="Times New Roman" w:hAnsi="Times New Roman" w:cs="Times New Roman"/>
                <w:b/>
                <w:bCs w:val="0"/>
                <w:sz w:val="14"/>
                <w:szCs w:val="14"/>
              </w:rPr>
            </w:pPr>
            <w:r w:rsidRPr="000E7FEF">
              <w:rPr>
                <w:rFonts w:ascii="Times New Roman" w:hAnsi="Times New Roman" w:cs="Times New Roman"/>
                <w:sz w:val="14"/>
                <w:szCs w:val="14"/>
              </w:rPr>
              <w:t>Need to improve APs-based AP&amp;M approaches to better prepare the needed shifts from incremental to transformational measures</w:t>
            </w:r>
            <w:r w:rsidRPr="000E7FEF">
              <w:rPr>
                <w:rFonts w:ascii="Times New Roman" w:hAnsi="Times New Roman" w:cs="Times New Roman"/>
                <w:b/>
                <w:sz w:val="14"/>
                <w:szCs w:val="14"/>
              </w:rPr>
              <w:t>. Need to prepare and make shifts from incremental to transformational measures</w:t>
            </w:r>
            <w:r w:rsidRPr="000E7FEF">
              <w:rPr>
                <w:rFonts w:ascii="Times New Roman" w:hAnsi="Times New Roman" w:cs="Times New Roman"/>
                <w:sz w:val="14"/>
                <w:szCs w:val="14"/>
              </w:rPr>
              <w:t xml:space="preserve">. Both the TE2100 and the DP sought to secure the possibility to shift from incremental to transformational measures, however, this point could be further improved and contribute to improve the APs approach, by clarifying how such shifts can be enabled. Further research is needed on this issue, </w:t>
            </w:r>
            <w:proofErr w:type="gramStart"/>
            <w:r w:rsidRPr="000E7FEF">
              <w:rPr>
                <w:rFonts w:ascii="Times New Roman" w:hAnsi="Times New Roman" w:cs="Times New Roman"/>
                <w:sz w:val="14"/>
                <w:szCs w:val="14"/>
              </w:rPr>
              <w:t>namely</w:t>
            </w:r>
            <w:proofErr w:type="gramEnd"/>
            <w:r w:rsidRPr="000E7FEF">
              <w:rPr>
                <w:rFonts w:ascii="Times New Roman" w:hAnsi="Times New Roman" w:cs="Times New Roman"/>
                <w:sz w:val="14"/>
                <w:szCs w:val="14"/>
              </w:rPr>
              <w:t xml:space="preserve"> to compare alternative pathways in a cost-benefit analysis that covers the entire period of the pathways, sunk and transfer costs. Under climate change, a shift to more transformational measures will be required at some point. The difficulties of making such shift in a planned way must be tackled (</w:t>
            </w:r>
            <w:r w:rsidRPr="000E7FEF">
              <w:rPr>
                <w:rFonts w:ascii="Times New Roman" w:hAnsi="Times New Roman" w:cs="Times New Roman"/>
                <w:color w:val="7F7F7F" w:themeColor="text1" w:themeTint="80"/>
                <w:sz w:val="14"/>
                <w:szCs w:val="14"/>
              </w:rPr>
              <w:t>Bloemen et al. 2018, p.17</w:t>
            </w:r>
            <w:r w:rsidRPr="000E7FEF">
              <w:rPr>
                <w:rFonts w:ascii="Times New Roman" w:hAnsi="Times New Roman" w:cs="Times New Roman"/>
                <w:sz w:val="14"/>
                <w:szCs w:val="14"/>
              </w:rPr>
              <w:t>).</w:t>
            </w:r>
          </w:p>
        </w:tc>
        <w:tc>
          <w:tcPr>
            <w:tcW w:w="708" w:type="dxa"/>
            <w:tcBorders>
              <w:left w:val="nil"/>
              <w:right w:val="nil"/>
            </w:tcBorders>
          </w:tcPr>
          <w:p w14:paraId="3AECA5D8" w14:textId="77777777" w:rsidR="00ED6053" w:rsidRPr="000E7FEF" w:rsidRDefault="00ED6053" w:rsidP="00FF4124">
            <w:pPr>
              <w:pStyle w:val="CORPOTEXTO"/>
              <w:spacing w:after="60"/>
              <w:jc w:val="left"/>
              <w:rPr>
                <w:sz w:val="14"/>
                <w:szCs w:val="14"/>
              </w:rPr>
            </w:pPr>
            <w:proofErr w:type="gramStart"/>
            <w:r w:rsidRPr="000E7FEF">
              <w:rPr>
                <w:sz w:val="14"/>
                <w:szCs w:val="14"/>
              </w:rPr>
              <w:t>TE2100;</w:t>
            </w:r>
            <w:proofErr w:type="gramEnd"/>
          </w:p>
          <w:p w14:paraId="23A31920" w14:textId="77777777" w:rsidR="00ED6053" w:rsidRPr="000E7FEF" w:rsidRDefault="00ED6053" w:rsidP="00FF4124">
            <w:pPr>
              <w:pStyle w:val="tablecontenttext"/>
              <w:spacing w:line="240" w:lineRule="auto"/>
              <w:rPr>
                <w:rFonts w:ascii="Times New Roman" w:hAnsi="Times New Roman" w:cs="Times New Roman"/>
                <w:b/>
                <w:bCs w:val="0"/>
                <w:sz w:val="14"/>
                <w:szCs w:val="14"/>
              </w:rPr>
            </w:pPr>
            <w:r w:rsidRPr="000E7FEF">
              <w:rPr>
                <w:rFonts w:ascii="Times New Roman" w:hAnsi="Times New Roman" w:cs="Times New Roman"/>
                <w:sz w:val="14"/>
                <w:szCs w:val="14"/>
              </w:rPr>
              <w:t>DP2014; literature review</w:t>
            </w:r>
          </w:p>
        </w:tc>
        <w:tc>
          <w:tcPr>
            <w:tcW w:w="792" w:type="dxa"/>
            <w:tcBorders>
              <w:left w:val="nil"/>
            </w:tcBorders>
          </w:tcPr>
          <w:p w14:paraId="4307A94E" w14:textId="77777777" w:rsidR="00ED6053" w:rsidRPr="000E7FEF" w:rsidRDefault="00ED6053" w:rsidP="00FF4124">
            <w:pPr>
              <w:pStyle w:val="tablecontenttext"/>
              <w:spacing w:line="240" w:lineRule="auto"/>
              <w:rPr>
                <w:rFonts w:ascii="Times New Roman" w:hAnsi="Times New Roman" w:cs="Times New Roman"/>
                <w:sz w:val="14"/>
                <w:szCs w:val="14"/>
              </w:rPr>
            </w:pPr>
            <w:r w:rsidRPr="000E7FEF">
              <w:rPr>
                <w:rFonts w:ascii="Times New Roman" w:hAnsi="Times New Roman" w:cs="Times New Roman"/>
                <w:bCs w:val="0"/>
                <w:sz w:val="14"/>
                <w:szCs w:val="14"/>
              </w:rPr>
              <w:t>K3</w:t>
            </w:r>
          </w:p>
        </w:tc>
      </w:tr>
      <w:tr w:rsidR="00ED6053" w:rsidRPr="000E7FEF" w14:paraId="07A15443" w14:textId="77777777" w:rsidTr="00FF4124">
        <w:tc>
          <w:tcPr>
            <w:tcW w:w="8364" w:type="dxa"/>
            <w:tcBorders>
              <w:left w:val="nil"/>
              <w:right w:val="nil"/>
            </w:tcBorders>
          </w:tcPr>
          <w:p w14:paraId="785C1658" w14:textId="77777777" w:rsidR="00ED6053" w:rsidRPr="000E7FEF" w:rsidRDefault="00ED6053" w:rsidP="00FF4124">
            <w:pPr>
              <w:pStyle w:val="tablecontenttext"/>
              <w:spacing w:line="240" w:lineRule="auto"/>
              <w:rPr>
                <w:rFonts w:ascii="Times New Roman" w:hAnsi="Times New Roman" w:cs="Times New Roman"/>
                <w:b/>
                <w:bCs w:val="0"/>
                <w:sz w:val="14"/>
                <w:szCs w:val="14"/>
              </w:rPr>
            </w:pPr>
            <w:r w:rsidRPr="000E7FEF">
              <w:rPr>
                <w:rFonts w:ascii="Times New Roman" w:hAnsi="Times New Roman" w:cs="Times New Roman"/>
                <w:b/>
                <w:sz w:val="14"/>
                <w:szCs w:val="14"/>
              </w:rPr>
              <w:t>A key challenge in the ‘APs approach’ is to detect eventual increases in path-dependency and increases in the ‘transfer costs’</w:t>
            </w:r>
            <w:r w:rsidRPr="000E7FEF">
              <w:rPr>
                <w:rFonts w:ascii="Times New Roman" w:hAnsi="Times New Roman" w:cs="Times New Roman"/>
                <w:sz w:val="14"/>
                <w:szCs w:val="14"/>
              </w:rPr>
              <w:t xml:space="preserve"> (costs of switching from one measure to another, in the same pathway or in a different one). </w:t>
            </w:r>
            <w:r w:rsidRPr="000E7FEF">
              <w:rPr>
                <w:rFonts w:ascii="Times New Roman" w:hAnsi="Times New Roman" w:cs="Times New Roman"/>
                <w:color w:val="131413"/>
                <w:sz w:val="14"/>
                <w:szCs w:val="14"/>
              </w:rPr>
              <w:t>There are ‘</w:t>
            </w:r>
            <w:r w:rsidRPr="000E7FEF">
              <w:rPr>
                <w:rFonts w:ascii="Times New Roman" w:hAnsi="Times New Roman" w:cs="Times New Roman"/>
                <w:i/>
                <w:color w:val="131413"/>
                <w:sz w:val="14"/>
                <w:szCs w:val="14"/>
              </w:rPr>
              <w:t>mechanisms of path-dependency’</w:t>
            </w:r>
            <w:r w:rsidRPr="000E7FEF">
              <w:rPr>
                <w:rFonts w:ascii="Times New Roman" w:hAnsi="Times New Roman" w:cs="Times New Roman"/>
                <w:color w:val="131413"/>
                <w:sz w:val="14"/>
                <w:szCs w:val="14"/>
              </w:rPr>
              <w:t xml:space="preserve"> that hinder shifts from incremental to more transformational measures, or block transformational pathways (</w:t>
            </w:r>
            <w:r w:rsidRPr="000E7FEF">
              <w:rPr>
                <w:rFonts w:ascii="Times New Roman" w:hAnsi="Times New Roman" w:cs="Times New Roman"/>
                <w:color w:val="7F7F7F" w:themeColor="text1" w:themeTint="80"/>
                <w:sz w:val="14"/>
                <w:szCs w:val="14"/>
              </w:rPr>
              <w:t>Bloemen et al. 2018, p.17</w:t>
            </w:r>
            <w:r w:rsidRPr="000E7FEF">
              <w:rPr>
                <w:rFonts w:ascii="Times New Roman" w:hAnsi="Times New Roman" w:cs="Times New Roman"/>
                <w:sz w:val="14"/>
                <w:szCs w:val="14"/>
              </w:rPr>
              <w:t>), but it is difficult to notice them. The necessary shifts from incremental to transformational measures must be prepared, which implies the identification and avoidance of situations where incremental measures increase path-dependency or hinder the transition to transformational measures (</w:t>
            </w:r>
            <w:r w:rsidRPr="000E7FEF">
              <w:rPr>
                <w:rFonts w:ascii="Times New Roman" w:hAnsi="Times New Roman" w:cs="Times New Roman"/>
                <w:color w:val="7F7F7F" w:themeColor="text1" w:themeTint="80"/>
                <w:sz w:val="14"/>
                <w:szCs w:val="14"/>
              </w:rPr>
              <w:t>Bloemen et al. 2018</w:t>
            </w:r>
            <w:r w:rsidRPr="000E7FEF">
              <w:rPr>
                <w:rFonts w:ascii="Times New Roman" w:hAnsi="Times New Roman" w:cs="Times New Roman"/>
                <w:color w:val="131413"/>
                <w:sz w:val="14"/>
                <w:szCs w:val="14"/>
              </w:rPr>
              <w:t>).</w:t>
            </w:r>
            <w:r w:rsidRPr="000E7FEF">
              <w:rPr>
                <w:rFonts w:ascii="Times New Roman" w:hAnsi="Times New Roman" w:cs="Times New Roman"/>
                <w:sz w:val="14"/>
                <w:szCs w:val="14"/>
              </w:rPr>
              <w:t xml:space="preserve"> Often, structural flood protection measures carried out in the past do constrain future options (</w:t>
            </w:r>
            <w:proofErr w:type="spellStart"/>
            <w:r w:rsidRPr="000E7FEF">
              <w:rPr>
                <w:rFonts w:ascii="Times New Roman" w:hAnsi="Times New Roman" w:cs="Times New Roman"/>
                <w:color w:val="7F7F7F" w:themeColor="text1" w:themeTint="80"/>
                <w:sz w:val="14"/>
                <w:szCs w:val="14"/>
              </w:rPr>
              <w:t>Jeuken</w:t>
            </w:r>
            <w:proofErr w:type="spellEnd"/>
            <w:r w:rsidRPr="000E7FEF">
              <w:rPr>
                <w:rFonts w:ascii="Times New Roman" w:hAnsi="Times New Roman" w:cs="Times New Roman"/>
                <w:color w:val="7F7F7F" w:themeColor="text1" w:themeTint="80"/>
                <w:sz w:val="14"/>
                <w:szCs w:val="14"/>
              </w:rPr>
              <w:t xml:space="preserve"> et al. 2014, p.1</w:t>
            </w:r>
            <w:r w:rsidRPr="000E7FEF">
              <w:rPr>
                <w:rFonts w:ascii="Times New Roman" w:hAnsi="Times New Roman" w:cs="Times New Roman"/>
                <w:sz w:val="14"/>
                <w:szCs w:val="14"/>
              </w:rPr>
              <w:t>). Moreover, certain investments or autonomous developments can hamper / lock out future measures, e.g. some past spatial developments contributed to narrow down possible options (by attracting economic activity to low lying areas). Some developments ‘</w:t>
            </w:r>
            <w:r w:rsidRPr="000E7FEF">
              <w:rPr>
                <w:rFonts w:ascii="Times New Roman" w:hAnsi="Times New Roman" w:cs="Times New Roman"/>
                <w:i/>
                <w:sz w:val="14"/>
                <w:szCs w:val="14"/>
              </w:rPr>
              <w:t>may make it difficult to switch to pathways that promote substantial different solutions</w:t>
            </w:r>
            <w:r w:rsidRPr="000E7FEF">
              <w:rPr>
                <w:rFonts w:ascii="Times New Roman" w:hAnsi="Times New Roman" w:cs="Times New Roman"/>
                <w:sz w:val="14"/>
                <w:szCs w:val="14"/>
              </w:rPr>
              <w:t>’ (</w:t>
            </w:r>
            <w:proofErr w:type="spellStart"/>
            <w:r w:rsidRPr="000E7FEF">
              <w:rPr>
                <w:rFonts w:ascii="Times New Roman" w:hAnsi="Times New Roman" w:cs="Times New Roman"/>
                <w:color w:val="7F7F7F" w:themeColor="text1" w:themeTint="80"/>
                <w:sz w:val="14"/>
                <w:szCs w:val="14"/>
              </w:rPr>
              <w:t>Jeuken</w:t>
            </w:r>
            <w:proofErr w:type="spellEnd"/>
            <w:r w:rsidRPr="000E7FEF">
              <w:rPr>
                <w:rFonts w:ascii="Times New Roman" w:hAnsi="Times New Roman" w:cs="Times New Roman"/>
                <w:color w:val="7F7F7F" w:themeColor="text1" w:themeTint="80"/>
                <w:sz w:val="14"/>
                <w:szCs w:val="14"/>
              </w:rPr>
              <w:t xml:space="preserve"> et al. 2014, p.21</w:t>
            </w:r>
            <w:r w:rsidRPr="000E7FEF">
              <w:rPr>
                <w:rFonts w:ascii="Times New Roman" w:hAnsi="Times New Roman" w:cs="Times New Roman"/>
                <w:sz w:val="14"/>
                <w:szCs w:val="14"/>
              </w:rPr>
              <w:t>). It is important to build an evidence base with examples of overcoming lock-ins and of transformative and radical adaptation of the physical environment (e.g. small-scale pilots and experiments) (</w:t>
            </w:r>
            <w:proofErr w:type="spellStart"/>
            <w:r w:rsidRPr="000E7FEF">
              <w:rPr>
                <w:rFonts w:ascii="Times New Roman" w:hAnsi="Times New Roman" w:cs="Times New Roman"/>
                <w:color w:val="7F7F7F" w:themeColor="text1" w:themeTint="80"/>
                <w:sz w:val="14"/>
                <w:szCs w:val="14"/>
              </w:rPr>
              <w:t>Restemeyer</w:t>
            </w:r>
            <w:proofErr w:type="spellEnd"/>
            <w:r w:rsidRPr="000E7FEF">
              <w:rPr>
                <w:rFonts w:ascii="Times New Roman" w:hAnsi="Times New Roman" w:cs="Times New Roman"/>
                <w:color w:val="7F7F7F" w:themeColor="text1" w:themeTint="80"/>
                <w:sz w:val="14"/>
                <w:szCs w:val="14"/>
              </w:rPr>
              <w:t xml:space="preserve"> et al. 2017, p. 936</w:t>
            </w:r>
            <w:r w:rsidRPr="000E7FEF">
              <w:rPr>
                <w:rFonts w:ascii="Times New Roman" w:hAnsi="Times New Roman" w:cs="Times New Roman"/>
                <w:sz w:val="14"/>
                <w:szCs w:val="14"/>
              </w:rPr>
              <w:t>).</w:t>
            </w:r>
          </w:p>
        </w:tc>
        <w:tc>
          <w:tcPr>
            <w:tcW w:w="708" w:type="dxa"/>
            <w:tcBorders>
              <w:left w:val="nil"/>
              <w:right w:val="nil"/>
            </w:tcBorders>
          </w:tcPr>
          <w:p w14:paraId="7FD2197D" w14:textId="77777777" w:rsidR="00ED6053" w:rsidRPr="000E7FEF" w:rsidRDefault="00ED6053" w:rsidP="00FF4124">
            <w:pPr>
              <w:pStyle w:val="CORPOTEXTO"/>
              <w:spacing w:after="60"/>
              <w:jc w:val="left"/>
              <w:rPr>
                <w:sz w:val="14"/>
                <w:szCs w:val="14"/>
              </w:rPr>
            </w:pPr>
            <w:r w:rsidRPr="000E7FEF">
              <w:rPr>
                <w:sz w:val="14"/>
                <w:szCs w:val="14"/>
              </w:rPr>
              <w:t>TE2100+</w:t>
            </w:r>
          </w:p>
          <w:p w14:paraId="3A28C36D" w14:textId="77777777" w:rsidR="00ED6053" w:rsidRPr="000E7FEF" w:rsidRDefault="00ED6053" w:rsidP="00FF4124">
            <w:pPr>
              <w:pStyle w:val="CORPOTEXTO"/>
              <w:spacing w:after="60"/>
              <w:jc w:val="left"/>
              <w:rPr>
                <w:sz w:val="14"/>
                <w:szCs w:val="14"/>
              </w:rPr>
            </w:pPr>
            <w:r w:rsidRPr="000E7FEF">
              <w:rPr>
                <w:sz w:val="14"/>
                <w:szCs w:val="14"/>
              </w:rPr>
              <w:t>DP2014</w:t>
            </w:r>
          </w:p>
        </w:tc>
        <w:tc>
          <w:tcPr>
            <w:tcW w:w="792" w:type="dxa"/>
            <w:tcBorders>
              <w:left w:val="nil"/>
            </w:tcBorders>
          </w:tcPr>
          <w:p w14:paraId="48DDFF8B" w14:textId="77777777" w:rsidR="00ED6053" w:rsidRPr="000E7FEF" w:rsidRDefault="00ED6053" w:rsidP="00FF4124">
            <w:pPr>
              <w:pStyle w:val="tablecontenttext"/>
              <w:spacing w:line="240" w:lineRule="auto"/>
              <w:rPr>
                <w:rFonts w:ascii="Times New Roman" w:hAnsi="Times New Roman" w:cs="Times New Roman"/>
                <w:sz w:val="14"/>
                <w:szCs w:val="14"/>
              </w:rPr>
            </w:pPr>
            <w:r w:rsidRPr="000E7FEF">
              <w:rPr>
                <w:rFonts w:ascii="Times New Roman" w:hAnsi="Times New Roman" w:cs="Times New Roman"/>
                <w:bCs w:val="0"/>
                <w:sz w:val="14"/>
                <w:szCs w:val="14"/>
              </w:rPr>
              <w:t>K3</w:t>
            </w:r>
          </w:p>
        </w:tc>
      </w:tr>
      <w:tr w:rsidR="00ED6053" w:rsidRPr="000E7FEF" w14:paraId="2B021F4D" w14:textId="77777777" w:rsidTr="00FF4124">
        <w:tc>
          <w:tcPr>
            <w:tcW w:w="8364" w:type="dxa"/>
            <w:tcBorders>
              <w:left w:val="nil"/>
              <w:right w:val="nil"/>
            </w:tcBorders>
          </w:tcPr>
          <w:p w14:paraId="532A3CDF" w14:textId="77777777" w:rsidR="00ED6053" w:rsidRPr="000E7FEF" w:rsidRDefault="00ED6053" w:rsidP="00FF4124">
            <w:pPr>
              <w:pStyle w:val="tablecontenttext"/>
              <w:spacing w:line="240" w:lineRule="auto"/>
              <w:rPr>
                <w:rFonts w:ascii="Times New Roman" w:hAnsi="Times New Roman" w:cs="Times New Roman"/>
                <w:b/>
                <w:sz w:val="14"/>
                <w:szCs w:val="14"/>
              </w:rPr>
            </w:pPr>
            <w:r w:rsidRPr="000E7FEF">
              <w:rPr>
                <w:rFonts w:ascii="Times New Roman" w:hAnsi="Times New Roman" w:cs="Times New Roman"/>
                <w:sz w:val="14"/>
                <w:szCs w:val="14"/>
              </w:rPr>
              <w:t>Understanding the relations and interconnections between parallel measures (concurrent strategies) implemented at the same time (</w:t>
            </w:r>
            <w:r w:rsidRPr="000E7FEF">
              <w:rPr>
                <w:rFonts w:ascii="Times New Roman" w:hAnsi="Times New Roman" w:cs="Times New Roman"/>
                <w:color w:val="7F7F7F" w:themeColor="text1" w:themeTint="80"/>
                <w:sz w:val="14"/>
                <w:szCs w:val="14"/>
              </w:rPr>
              <w:t>Bloemen et al. 2018</w:t>
            </w:r>
            <w:r w:rsidRPr="000E7FEF">
              <w:rPr>
                <w:rFonts w:ascii="Times New Roman" w:hAnsi="Times New Roman" w:cs="Times New Roman"/>
                <w:sz w:val="14"/>
                <w:szCs w:val="14"/>
              </w:rPr>
              <w:t>).</w:t>
            </w:r>
          </w:p>
        </w:tc>
        <w:tc>
          <w:tcPr>
            <w:tcW w:w="708" w:type="dxa"/>
            <w:tcBorders>
              <w:left w:val="nil"/>
              <w:right w:val="nil"/>
            </w:tcBorders>
          </w:tcPr>
          <w:p w14:paraId="166E0923" w14:textId="77777777" w:rsidR="00ED6053" w:rsidRPr="000E7FEF" w:rsidRDefault="00ED6053" w:rsidP="00FF4124">
            <w:pPr>
              <w:pStyle w:val="CORPOTEXTO"/>
              <w:spacing w:after="60"/>
              <w:jc w:val="left"/>
              <w:rPr>
                <w:sz w:val="14"/>
                <w:szCs w:val="14"/>
              </w:rPr>
            </w:pPr>
            <w:r w:rsidRPr="000E7FEF">
              <w:rPr>
                <w:sz w:val="14"/>
                <w:szCs w:val="14"/>
              </w:rPr>
              <w:t>DP2014</w:t>
            </w:r>
          </w:p>
        </w:tc>
        <w:tc>
          <w:tcPr>
            <w:tcW w:w="792" w:type="dxa"/>
            <w:tcBorders>
              <w:left w:val="nil"/>
            </w:tcBorders>
          </w:tcPr>
          <w:p w14:paraId="16613A31" w14:textId="77777777" w:rsidR="00ED6053" w:rsidRPr="000E7FEF" w:rsidRDefault="00ED6053" w:rsidP="00FF4124">
            <w:pPr>
              <w:pStyle w:val="tablecontenttext"/>
              <w:spacing w:line="240" w:lineRule="auto"/>
              <w:rPr>
                <w:rFonts w:ascii="Times New Roman" w:hAnsi="Times New Roman" w:cs="Times New Roman"/>
                <w:bCs w:val="0"/>
                <w:sz w:val="14"/>
                <w:szCs w:val="14"/>
              </w:rPr>
            </w:pPr>
            <w:r w:rsidRPr="000E7FEF">
              <w:rPr>
                <w:rFonts w:ascii="Times New Roman" w:hAnsi="Times New Roman" w:cs="Times New Roman"/>
                <w:bCs w:val="0"/>
                <w:sz w:val="14"/>
                <w:szCs w:val="14"/>
              </w:rPr>
              <w:t>K3</w:t>
            </w:r>
          </w:p>
        </w:tc>
      </w:tr>
      <w:tr w:rsidR="00ED6053" w:rsidRPr="000E7FEF" w14:paraId="4BDC4235" w14:textId="77777777" w:rsidTr="00FF4124">
        <w:tc>
          <w:tcPr>
            <w:tcW w:w="8364" w:type="dxa"/>
            <w:tcBorders>
              <w:left w:val="nil"/>
              <w:right w:val="nil"/>
            </w:tcBorders>
          </w:tcPr>
          <w:p w14:paraId="0B779AFA" w14:textId="77777777" w:rsidR="00ED6053" w:rsidRPr="000E7FEF" w:rsidRDefault="00ED6053" w:rsidP="00FF4124">
            <w:pPr>
              <w:rPr>
                <w:rFonts w:ascii="Times New Roman" w:hAnsi="Times New Roman"/>
                <w:sz w:val="14"/>
                <w:szCs w:val="14"/>
              </w:rPr>
            </w:pPr>
            <w:r w:rsidRPr="000E7FEF">
              <w:rPr>
                <w:rFonts w:ascii="Times New Roman" w:hAnsi="Times New Roman"/>
                <w:sz w:val="14"/>
                <w:szCs w:val="14"/>
              </w:rPr>
              <w:t>Need to improve APs method to explore and assess (ex-ante and ex-post) the potential / risk of maladaptation / successful adaptation of diverse pathways (New et al. 2022)</w:t>
            </w:r>
          </w:p>
          <w:p w14:paraId="06811FAC" w14:textId="77777777" w:rsidR="00ED6053" w:rsidRPr="000E7FEF" w:rsidRDefault="00ED6053" w:rsidP="00FF4124">
            <w:pPr>
              <w:pStyle w:val="tablecontenttext"/>
              <w:spacing w:line="240" w:lineRule="auto"/>
              <w:jc w:val="both"/>
              <w:rPr>
                <w:rFonts w:ascii="Times New Roman" w:hAnsi="Times New Roman" w:cs="Times New Roman"/>
                <w:sz w:val="14"/>
                <w:szCs w:val="14"/>
              </w:rPr>
            </w:pPr>
          </w:p>
        </w:tc>
        <w:tc>
          <w:tcPr>
            <w:tcW w:w="708" w:type="dxa"/>
            <w:tcBorders>
              <w:left w:val="nil"/>
              <w:right w:val="nil"/>
            </w:tcBorders>
          </w:tcPr>
          <w:p w14:paraId="22A8BB77" w14:textId="77777777" w:rsidR="00ED6053" w:rsidRPr="000E7FEF" w:rsidRDefault="00ED6053" w:rsidP="00FF4124">
            <w:pPr>
              <w:pStyle w:val="CORPOTEXTO"/>
              <w:spacing w:after="60"/>
              <w:rPr>
                <w:sz w:val="14"/>
                <w:szCs w:val="14"/>
              </w:rPr>
            </w:pPr>
            <w:r w:rsidRPr="000E7FEF">
              <w:rPr>
                <w:sz w:val="14"/>
                <w:szCs w:val="14"/>
              </w:rPr>
              <w:t xml:space="preserve">TE2100; DP2014; </w:t>
            </w:r>
            <w:proofErr w:type="spellStart"/>
            <w:proofErr w:type="gramStart"/>
            <w:r w:rsidRPr="000E7FEF">
              <w:rPr>
                <w:sz w:val="14"/>
                <w:szCs w:val="14"/>
              </w:rPr>
              <w:t>lit.review</w:t>
            </w:r>
            <w:proofErr w:type="spellEnd"/>
            <w:proofErr w:type="gramEnd"/>
          </w:p>
        </w:tc>
        <w:tc>
          <w:tcPr>
            <w:tcW w:w="792" w:type="dxa"/>
            <w:tcBorders>
              <w:left w:val="nil"/>
            </w:tcBorders>
          </w:tcPr>
          <w:p w14:paraId="3E2C7DA0" w14:textId="77777777" w:rsidR="00ED6053" w:rsidRPr="000E7FEF" w:rsidRDefault="00ED6053" w:rsidP="00FF4124">
            <w:pPr>
              <w:pStyle w:val="tablecontenttext"/>
              <w:spacing w:line="240" w:lineRule="auto"/>
              <w:jc w:val="both"/>
              <w:rPr>
                <w:rFonts w:ascii="Times New Roman" w:hAnsi="Times New Roman" w:cs="Times New Roman"/>
                <w:bCs w:val="0"/>
                <w:sz w:val="14"/>
                <w:szCs w:val="14"/>
              </w:rPr>
            </w:pPr>
            <w:r w:rsidRPr="000E7FEF">
              <w:rPr>
                <w:rFonts w:ascii="Times New Roman" w:hAnsi="Times New Roman" w:cs="Times New Roman"/>
                <w:bCs w:val="0"/>
                <w:sz w:val="14"/>
                <w:szCs w:val="14"/>
              </w:rPr>
              <w:t>K3</w:t>
            </w:r>
          </w:p>
        </w:tc>
      </w:tr>
      <w:tr w:rsidR="00ED6053" w:rsidRPr="000E7FEF" w14:paraId="3E045955" w14:textId="77777777" w:rsidTr="00FF4124">
        <w:tc>
          <w:tcPr>
            <w:tcW w:w="8364" w:type="dxa"/>
            <w:tcBorders>
              <w:left w:val="nil"/>
              <w:right w:val="nil"/>
            </w:tcBorders>
          </w:tcPr>
          <w:p w14:paraId="5BE4D859" w14:textId="77777777" w:rsidR="00ED6053" w:rsidRPr="000E7FEF" w:rsidRDefault="00ED6053" w:rsidP="00FF4124">
            <w:pPr>
              <w:rPr>
                <w:rFonts w:ascii="Times New Roman" w:hAnsi="Times New Roman"/>
                <w:sz w:val="14"/>
                <w:szCs w:val="14"/>
              </w:rPr>
            </w:pPr>
            <w:r w:rsidRPr="000E7FEF">
              <w:rPr>
                <w:rFonts w:ascii="Times New Roman" w:hAnsi="Times New Roman"/>
                <w:sz w:val="14"/>
                <w:szCs w:val="14"/>
              </w:rPr>
              <w:t>Need for a more integrated risk management, that addressed multiple, interacting, cascading and compounding risks (multi-risks) (New et al. 2022; Portner et al. 2022; Oppenheimer et al. 2022)</w:t>
            </w:r>
          </w:p>
        </w:tc>
        <w:tc>
          <w:tcPr>
            <w:tcW w:w="708" w:type="dxa"/>
            <w:tcBorders>
              <w:left w:val="nil"/>
              <w:right w:val="nil"/>
            </w:tcBorders>
          </w:tcPr>
          <w:p w14:paraId="754CBA27" w14:textId="77777777" w:rsidR="00ED6053" w:rsidRPr="000E7FEF" w:rsidRDefault="00ED6053" w:rsidP="00FF4124">
            <w:pPr>
              <w:pStyle w:val="CORPOTEXTO"/>
              <w:spacing w:after="60"/>
              <w:rPr>
                <w:sz w:val="14"/>
                <w:szCs w:val="14"/>
              </w:rPr>
            </w:pPr>
            <w:r w:rsidRPr="000E7FEF">
              <w:rPr>
                <w:sz w:val="14"/>
                <w:szCs w:val="14"/>
              </w:rPr>
              <w:t xml:space="preserve">TE2100; DP2014; </w:t>
            </w:r>
            <w:proofErr w:type="spellStart"/>
            <w:proofErr w:type="gramStart"/>
            <w:r w:rsidRPr="000E7FEF">
              <w:rPr>
                <w:sz w:val="14"/>
                <w:szCs w:val="14"/>
              </w:rPr>
              <w:t>lit.review</w:t>
            </w:r>
            <w:proofErr w:type="spellEnd"/>
            <w:proofErr w:type="gramEnd"/>
          </w:p>
        </w:tc>
        <w:tc>
          <w:tcPr>
            <w:tcW w:w="792" w:type="dxa"/>
            <w:tcBorders>
              <w:left w:val="nil"/>
            </w:tcBorders>
          </w:tcPr>
          <w:p w14:paraId="1B8E529F" w14:textId="77777777" w:rsidR="00ED6053" w:rsidRPr="000E7FEF" w:rsidRDefault="00ED6053" w:rsidP="00FF4124">
            <w:pPr>
              <w:pStyle w:val="tablecontenttext"/>
              <w:spacing w:line="240" w:lineRule="auto"/>
              <w:jc w:val="both"/>
              <w:rPr>
                <w:rFonts w:ascii="Times New Roman" w:hAnsi="Times New Roman" w:cs="Times New Roman"/>
                <w:bCs w:val="0"/>
                <w:sz w:val="14"/>
                <w:szCs w:val="14"/>
              </w:rPr>
            </w:pPr>
            <w:r w:rsidRPr="000E7FEF">
              <w:rPr>
                <w:rFonts w:ascii="Times New Roman" w:hAnsi="Times New Roman" w:cs="Times New Roman"/>
                <w:bCs w:val="0"/>
                <w:sz w:val="14"/>
                <w:szCs w:val="14"/>
              </w:rPr>
              <w:t>K3</w:t>
            </w:r>
          </w:p>
        </w:tc>
      </w:tr>
      <w:tr w:rsidR="00ED6053" w:rsidRPr="000E7FEF" w14:paraId="4885085A" w14:textId="77777777" w:rsidTr="00FF4124">
        <w:tc>
          <w:tcPr>
            <w:tcW w:w="8364" w:type="dxa"/>
            <w:tcBorders>
              <w:left w:val="nil"/>
              <w:right w:val="nil"/>
            </w:tcBorders>
          </w:tcPr>
          <w:p w14:paraId="47E3D4DD" w14:textId="77777777" w:rsidR="00ED6053" w:rsidRPr="000E7FEF" w:rsidRDefault="00ED6053" w:rsidP="00FF4124">
            <w:pPr>
              <w:spacing w:after="60"/>
              <w:rPr>
                <w:rFonts w:ascii="Times New Roman" w:hAnsi="Times New Roman"/>
                <w:sz w:val="14"/>
                <w:szCs w:val="14"/>
              </w:rPr>
            </w:pPr>
            <w:r w:rsidRPr="000E7FEF">
              <w:rPr>
                <w:rFonts w:ascii="Times New Roman" w:hAnsi="Times New Roman"/>
                <w:b/>
                <w:bCs/>
                <w:sz w:val="14"/>
                <w:szCs w:val="14"/>
              </w:rPr>
              <w:t>Little attention has been paid to the institutional and governance issues surrounding adaptation planning and decision-making, and to the political and sociocultural conditions required for the implementation of certain measures</w:t>
            </w:r>
            <w:r w:rsidRPr="000E7FEF">
              <w:rPr>
                <w:rFonts w:ascii="Times New Roman" w:hAnsi="Times New Roman"/>
                <w:sz w:val="14"/>
                <w:szCs w:val="14"/>
              </w:rPr>
              <w:t>. In adaptation realms, it is often assumed that decision-making is a more-or-less rational, scientific data-driven process, however, real-life decision-making is often marked by institutional and political considerations and power issues</w:t>
            </w:r>
            <w:r w:rsidRPr="000E7FEF">
              <w:rPr>
                <w:rFonts w:ascii="Times New Roman" w:hAnsi="Times New Roman"/>
                <w:iCs/>
                <w:sz w:val="14"/>
                <w:szCs w:val="14"/>
              </w:rPr>
              <w:t xml:space="preserve"> </w:t>
            </w:r>
            <w:r w:rsidRPr="000E7FEF">
              <w:rPr>
                <w:rFonts w:ascii="Times New Roman" w:hAnsi="Times New Roman"/>
                <w:sz w:val="14"/>
                <w:szCs w:val="14"/>
              </w:rPr>
              <w:t>(</w:t>
            </w:r>
            <w:r w:rsidRPr="000E7FEF">
              <w:rPr>
                <w:rFonts w:ascii="Times New Roman" w:hAnsi="Times New Roman"/>
                <w:color w:val="7F7F7F" w:themeColor="text1" w:themeTint="80"/>
                <w:sz w:val="14"/>
                <w:szCs w:val="14"/>
              </w:rPr>
              <w:t>Bloemen et al. 2018, p.17</w:t>
            </w:r>
            <w:r w:rsidRPr="000E7FEF">
              <w:rPr>
                <w:rFonts w:ascii="Times New Roman" w:hAnsi="Times New Roman"/>
                <w:sz w:val="14"/>
                <w:szCs w:val="14"/>
              </w:rPr>
              <w:t xml:space="preserve">). </w:t>
            </w:r>
            <w:bookmarkStart w:id="148" w:name="_Hlk36051079"/>
            <w:r w:rsidRPr="000E7FEF">
              <w:rPr>
                <w:rFonts w:ascii="Times New Roman" w:hAnsi="Times New Roman"/>
                <w:sz w:val="14"/>
                <w:szCs w:val="14"/>
              </w:rPr>
              <w:t>Although decisions to implement a given measure or pathway are substantiated on a cost-benefit analysis of measures, political considerations can lead, for example, to decisions to implement measures with low benefit-cost (</w:t>
            </w:r>
            <w:r w:rsidRPr="000E7FEF">
              <w:rPr>
                <w:rFonts w:ascii="Times New Roman" w:hAnsi="Times New Roman"/>
                <w:color w:val="7F7F7F" w:themeColor="text1" w:themeTint="80"/>
                <w:sz w:val="14"/>
                <w:szCs w:val="14"/>
              </w:rPr>
              <w:t>ibid, p.5</w:t>
            </w:r>
            <w:bookmarkEnd w:id="148"/>
            <w:r w:rsidRPr="000E7FEF">
              <w:rPr>
                <w:rFonts w:ascii="Times New Roman" w:hAnsi="Times New Roman"/>
                <w:sz w:val="14"/>
                <w:szCs w:val="14"/>
              </w:rPr>
              <w:t xml:space="preserve">). </w:t>
            </w:r>
            <w:r w:rsidRPr="000E7FEF">
              <w:rPr>
                <w:rFonts w:ascii="Times New Roman" w:hAnsi="Times New Roman"/>
                <w:iCs/>
                <w:sz w:val="14"/>
                <w:szCs w:val="14"/>
              </w:rPr>
              <w:t>The APs approach (like other approaches that seek to rationalize decision-making in the face of uncertainty) does not explicitly address the political aspects of decision-making</w:t>
            </w:r>
            <w:r w:rsidRPr="000E7FEF">
              <w:rPr>
                <w:rFonts w:ascii="Times New Roman" w:hAnsi="Times New Roman"/>
                <w:sz w:val="14"/>
                <w:szCs w:val="14"/>
              </w:rPr>
              <w:t xml:space="preserve">. </w:t>
            </w:r>
            <w:r w:rsidRPr="000E7FEF">
              <w:rPr>
                <w:rFonts w:ascii="Times New Roman" w:hAnsi="Times New Roman"/>
                <w:bCs/>
                <w:sz w:val="14"/>
                <w:szCs w:val="14"/>
              </w:rPr>
              <w:t>Moreover, the institutional and sociocultural conditions can be critical constraining factors, especially in situations of transfer that entail larger changes. ‘Resistance to change’ in the social-technical system should not be disregarded</w:t>
            </w:r>
            <w:r w:rsidRPr="000E7FEF">
              <w:rPr>
                <w:rFonts w:ascii="Times New Roman" w:hAnsi="Times New Roman"/>
                <w:sz w:val="14"/>
                <w:szCs w:val="14"/>
              </w:rPr>
              <w:t xml:space="preserve"> (</w:t>
            </w:r>
            <w:r w:rsidRPr="000E7FEF">
              <w:rPr>
                <w:rFonts w:ascii="Times New Roman" w:hAnsi="Times New Roman"/>
                <w:color w:val="7F7F7F" w:themeColor="text1" w:themeTint="80"/>
                <w:sz w:val="14"/>
                <w:szCs w:val="14"/>
              </w:rPr>
              <w:t>Bloemen et al. 2018</w:t>
            </w:r>
            <w:r w:rsidRPr="000E7FEF">
              <w:rPr>
                <w:rFonts w:ascii="Times New Roman" w:hAnsi="Times New Roman"/>
                <w:sz w:val="14"/>
                <w:szCs w:val="14"/>
              </w:rPr>
              <w:t xml:space="preserve">). Certain measures or pathways will require institutional changes (as the climatic and socioeconomic scenarios that favour a given measure may not necessarily contain the sociocultural and institutional conditions required for its implementation); and </w:t>
            </w:r>
            <w:r w:rsidRPr="000E7FEF">
              <w:rPr>
                <w:rFonts w:ascii="Times New Roman" w:hAnsi="Times New Roman"/>
                <w:bCs/>
                <w:sz w:val="14"/>
                <w:szCs w:val="14"/>
              </w:rPr>
              <w:t xml:space="preserve">governance challenges will have to be addressed ‘to keep options open for future’ (a sub-element of the APs of the DP). </w:t>
            </w:r>
            <w:r w:rsidRPr="000E7FEF">
              <w:rPr>
                <w:rFonts w:ascii="Times New Roman" w:hAnsi="Times New Roman"/>
                <w:sz w:val="14"/>
                <w:szCs w:val="14"/>
              </w:rPr>
              <w:t>Hence, it is necessary to analyse the institutional and political issues that plague transformational pathways. The APs should stimulate a ‘free-thinking space’ that does not restrict measures, including measures that are not politically or financially acceptable in the short-term and innovative solutions (</w:t>
            </w:r>
            <w:r w:rsidRPr="000E7FEF">
              <w:rPr>
                <w:rFonts w:ascii="Times New Roman" w:hAnsi="Times New Roman"/>
                <w:color w:val="7F7F7F" w:themeColor="text1" w:themeTint="80"/>
                <w:sz w:val="14"/>
                <w:szCs w:val="14"/>
              </w:rPr>
              <w:t>Bloemen et al. 2018</w:t>
            </w:r>
            <w:r w:rsidRPr="000E7FEF">
              <w:rPr>
                <w:rFonts w:ascii="Times New Roman" w:hAnsi="Times New Roman"/>
                <w:sz w:val="14"/>
                <w:szCs w:val="14"/>
              </w:rPr>
              <w:t>).</w:t>
            </w:r>
          </w:p>
        </w:tc>
        <w:tc>
          <w:tcPr>
            <w:tcW w:w="708" w:type="dxa"/>
            <w:tcBorders>
              <w:left w:val="nil"/>
              <w:right w:val="nil"/>
            </w:tcBorders>
          </w:tcPr>
          <w:p w14:paraId="0A6A0AF7" w14:textId="77777777" w:rsidR="00ED6053" w:rsidRPr="000E7FEF" w:rsidRDefault="00ED6053" w:rsidP="00FF4124">
            <w:pPr>
              <w:pStyle w:val="CORPOTEXTO"/>
              <w:spacing w:after="60"/>
              <w:jc w:val="left"/>
              <w:rPr>
                <w:bCs/>
                <w:sz w:val="14"/>
                <w:szCs w:val="14"/>
              </w:rPr>
            </w:pPr>
            <w:r w:rsidRPr="000E7FEF">
              <w:rPr>
                <w:sz w:val="14"/>
                <w:szCs w:val="14"/>
              </w:rPr>
              <w:t xml:space="preserve">TE2100; DP2014; </w:t>
            </w:r>
            <w:proofErr w:type="spellStart"/>
            <w:proofErr w:type="gramStart"/>
            <w:r w:rsidRPr="000E7FEF">
              <w:rPr>
                <w:sz w:val="14"/>
                <w:szCs w:val="14"/>
              </w:rPr>
              <w:t>lit.review</w:t>
            </w:r>
            <w:proofErr w:type="spellEnd"/>
            <w:proofErr w:type="gramEnd"/>
          </w:p>
        </w:tc>
        <w:tc>
          <w:tcPr>
            <w:tcW w:w="792" w:type="dxa"/>
            <w:tcBorders>
              <w:left w:val="nil"/>
            </w:tcBorders>
          </w:tcPr>
          <w:p w14:paraId="21334FB1" w14:textId="77777777" w:rsidR="00ED6053" w:rsidRPr="000E7FEF" w:rsidRDefault="00ED6053" w:rsidP="00FF4124">
            <w:pPr>
              <w:pStyle w:val="tablecontenttext"/>
              <w:spacing w:line="240" w:lineRule="auto"/>
              <w:rPr>
                <w:rFonts w:ascii="Times New Roman" w:hAnsi="Times New Roman" w:cs="Times New Roman"/>
                <w:sz w:val="14"/>
                <w:szCs w:val="14"/>
              </w:rPr>
            </w:pPr>
            <w:r w:rsidRPr="000E7FEF">
              <w:rPr>
                <w:rFonts w:ascii="Times New Roman" w:hAnsi="Times New Roman" w:cs="Times New Roman"/>
                <w:bCs w:val="0"/>
                <w:sz w:val="14"/>
                <w:szCs w:val="14"/>
              </w:rPr>
              <w:t>K5</w:t>
            </w:r>
          </w:p>
        </w:tc>
      </w:tr>
      <w:tr w:rsidR="00ED6053" w:rsidRPr="000E7FEF" w14:paraId="278F7ACF" w14:textId="77777777" w:rsidTr="00FF4124">
        <w:tc>
          <w:tcPr>
            <w:tcW w:w="8364" w:type="dxa"/>
            <w:tcBorders>
              <w:left w:val="nil"/>
              <w:right w:val="nil"/>
            </w:tcBorders>
          </w:tcPr>
          <w:p w14:paraId="329E3060" w14:textId="77777777" w:rsidR="00ED6053" w:rsidRPr="000E7FEF" w:rsidRDefault="00ED6053" w:rsidP="00FF4124">
            <w:pPr>
              <w:pStyle w:val="tablecontenttext"/>
              <w:spacing w:line="240" w:lineRule="auto"/>
              <w:rPr>
                <w:rFonts w:ascii="Times New Roman" w:hAnsi="Times New Roman" w:cs="Times New Roman"/>
                <w:sz w:val="14"/>
                <w:szCs w:val="14"/>
              </w:rPr>
            </w:pPr>
            <w:r w:rsidRPr="000E7FEF">
              <w:rPr>
                <w:rFonts w:ascii="Times New Roman" w:hAnsi="Times New Roman" w:cs="Times New Roman"/>
                <w:sz w:val="14"/>
                <w:szCs w:val="14"/>
              </w:rPr>
              <w:t>Improve the usefulness of APs approach to minimize regret and maladaptation stemming from over- / under-investment; and to provide other benefits (than adaptation), e.g. increased biodiversity, liveability, etc. (</w:t>
            </w:r>
            <w:proofErr w:type="spellStart"/>
            <w:r w:rsidRPr="000E7FEF">
              <w:rPr>
                <w:rFonts w:ascii="Times New Roman" w:hAnsi="Times New Roman" w:cs="Times New Roman"/>
                <w:color w:val="7F7F7F" w:themeColor="text1" w:themeTint="80"/>
                <w:sz w:val="14"/>
                <w:szCs w:val="14"/>
              </w:rPr>
              <w:t>Gersonius</w:t>
            </w:r>
            <w:proofErr w:type="spellEnd"/>
            <w:r w:rsidRPr="000E7FEF">
              <w:rPr>
                <w:rFonts w:ascii="Times New Roman" w:hAnsi="Times New Roman" w:cs="Times New Roman"/>
                <w:color w:val="7F7F7F" w:themeColor="text1" w:themeTint="80"/>
                <w:sz w:val="14"/>
                <w:szCs w:val="14"/>
              </w:rPr>
              <w:t xml:space="preserve"> et al. 2016</w:t>
            </w:r>
            <w:r w:rsidRPr="000E7FEF">
              <w:rPr>
                <w:rFonts w:ascii="Times New Roman" w:hAnsi="Times New Roman" w:cs="Times New Roman"/>
                <w:sz w:val="14"/>
                <w:szCs w:val="14"/>
              </w:rPr>
              <w:t xml:space="preserve">). </w:t>
            </w:r>
          </w:p>
        </w:tc>
        <w:tc>
          <w:tcPr>
            <w:tcW w:w="708" w:type="dxa"/>
            <w:tcBorders>
              <w:left w:val="nil"/>
              <w:right w:val="nil"/>
            </w:tcBorders>
          </w:tcPr>
          <w:p w14:paraId="79B297E1" w14:textId="77777777" w:rsidR="00ED6053" w:rsidRPr="000E7FEF" w:rsidRDefault="00ED6053" w:rsidP="00FF4124">
            <w:pPr>
              <w:pStyle w:val="CORPOTEXTO"/>
              <w:spacing w:after="60"/>
              <w:jc w:val="left"/>
              <w:rPr>
                <w:sz w:val="14"/>
                <w:szCs w:val="14"/>
              </w:rPr>
            </w:pPr>
            <w:r w:rsidRPr="000E7FEF">
              <w:rPr>
                <w:sz w:val="14"/>
                <w:szCs w:val="14"/>
              </w:rPr>
              <w:t>TE2100+</w:t>
            </w:r>
          </w:p>
          <w:p w14:paraId="53799E1B" w14:textId="77777777" w:rsidR="00ED6053" w:rsidRPr="000E7FEF" w:rsidRDefault="00ED6053" w:rsidP="00FF4124">
            <w:pPr>
              <w:pStyle w:val="CORPOTEXTO"/>
              <w:spacing w:after="60"/>
              <w:jc w:val="left"/>
              <w:rPr>
                <w:sz w:val="14"/>
                <w:szCs w:val="14"/>
              </w:rPr>
            </w:pPr>
            <w:r w:rsidRPr="000E7FEF">
              <w:rPr>
                <w:sz w:val="14"/>
                <w:szCs w:val="14"/>
              </w:rPr>
              <w:t>DP2014</w:t>
            </w:r>
          </w:p>
        </w:tc>
        <w:tc>
          <w:tcPr>
            <w:tcW w:w="792" w:type="dxa"/>
            <w:tcBorders>
              <w:left w:val="nil"/>
            </w:tcBorders>
          </w:tcPr>
          <w:p w14:paraId="7BB345F3" w14:textId="77777777" w:rsidR="00ED6053" w:rsidRPr="000E7FEF" w:rsidRDefault="00ED6053" w:rsidP="00FF4124">
            <w:pPr>
              <w:pStyle w:val="tablecontenttext"/>
              <w:spacing w:line="240" w:lineRule="auto"/>
              <w:rPr>
                <w:rFonts w:ascii="Times New Roman" w:hAnsi="Times New Roman" w:cs="Times New Roman"/>
                <w:sz w:val="14"/>
                <w:szCs w:val="14"/>
              </w:rPr>
            </w:pPr>
            <w:r w:rsidRPr="000E7FEF">
              <w:rPr>
                <w:rFonts w:ascii="Times New Roman" w:hAnsi="Times New Roman" w:cs="Times New Roman"/>
                <w:bCs w:val="0"/>
                <w:sz w:val="14"/>
                <w:szCs w:val="14"/>
              </w:rPr>
              <w:t>K3</w:t>
            </w:r>
          </w:p>
        </w:tc>
      </w:tr>
      <w:tr w:rsidR="00ED6053" w:rsidRPr="000E7FEF" w14:paraId="26F7A947" w14:textId="77777777" w:rsidTr="00FF4124">
        <w:tc>
          <w:tcPr>
            <w:tcW w:w="8364" w:type="dxa"/>
            <w:tcBorders>
              <w:left w:val="nil"/>
              <w:right w:val="nil"/>
            </w:tcBorders>
          </w:tcPr>
          <w:p w14:paraId="466710AB" w14:textId="77777777" w:rsidR="00ED6053" w:rsidRPr="000E7FEF" w:rsidRDefault="00ED6053" w:rsidP="00FF4124">
            <w:pPr>
              <w:pStyle w:val="tablecontenttext"/>
              <w:spacing w:line="240" w:lineRule="auto"/>
              <w:rPr>
                <w:rFonts w:ascii="Times New Roman" w:hAnsi="Times New Roman" w:cs="Times New Roman"/>
                <w:sz w:val="14"/>
                <w:szCs w:val="14"/>
              </w:rPr>
            </w:pPr>
            <w:r w:rsidRPr="000E7FEF">
              <w:rPr>
                <w:rFonts w:ascii="Times New Roman" w:hAnsi="Times New Roman" w:cs="Times New Roman"/>
                <w:sz w:val="14"/>
                <w:szCs w:val="14"/>
              </w:rPr>
              <w:t>“</w:t>
            </w:r>
            <w:r w:rsidRPr="000E7FEF">
              <w:rPr>
                <w:rFonts w:ascii="Times New Roman" w:hAnsi="Times New Roman" w:cs="Times New Roman"/>
                <w:i/>
                <w:sz w:val="14"/>
                <w:szCs w:val="14"/>
              </w:rPr>
              <w:t>Incorporate local information in the design of the adaptation pathways. Organize stakeholder participation in pathway development</w:t>
            </w:r>
            <w:r w:rsidRPr="000E7FEF">
              <w:rPr>
                <w:rFonts w:ascii="Times New Roman" w:hAnsi="Times New Roman" w:cs="Times New Roman"/>
                <w:sz w:val="14"/>
                <w:szCs w:val="14"/>
              </w:rPr>
              <w:t>”, and “</w:t>
            </w:r>
            <w:r w:rsidRPr="000E7FEF">
              <w:rPr>
                <w:rFonts w:ascii="Times New Roman" w:hAnsi="Times New Roman" w:cs="Times New Roman"/>
                <w:i/>
                <w:sz w:val="14"/>
                <w:szCs w:val="14"/>
              </w:rPr>
              <w:t>Organize coordination at a higher level to ensure consistency</w:t>
            </w:r>
            <w:r w:rsidRPr="000E7FEF">
              <w:rPr>
                <w:rFonts w:ascii="Times New Roman" w:hAnsi="Times New Roman" w:cs="Times New Roman"/>
                <w:sz w:val="14"/>
                <w:szCs w:val="14"/>
              </w:rPr>
              <w:t>”.  i.e. Integrate local knowledge into the design of adaptation pathways and ensure active stakeholder involvement in the development process (</w:t>
            </w:r>
            <w:r w:rsidRPr="000E7FEF">
              <w:rPr>
                <w:rFonts w:ascii="Times New Roman" w:hAnsi="Times New Roman" w:cs="Times New Roman"/>
                <w:color w:val="7F7F7F" w:themeColor="text1" w:themeTint="80"/>
                <w:sz w:val="14"/>
                <w:szCs w:val="14"/>
              </w:rPr>
              <w:t>Bloemen et al. 2018</w:t>
            </w:r>
            <w:r w:rsidRPr="000E7FEF">
              <w:rPr>
                <w:rFonts w:ascii="Times New Roman" w:hAnsi="Times New Roman" w:cs="Times New Roman"/>
                <w:sz w:val="14"/>
                <w:szCs w:val="14"/>
              </w:rPr>
              <w:t>). Inclusion of different types of knowledge, including local, indigenous, scientific (expert-), and practitioner knowledges (</w:t>
            </w:r>
            <w:r w:rsidRPr="000E7FEF">
              <w:rPr>
                <w:rFonts w:ascii="Times New Roman" w:hAnsi="Times New Roman" w:cs="Times New Roman"/>
                <w:color w:val="7F7F7F" w:themeColor="text1" w:themeTint="80"/>
                <w:sz w:val="14"/>
                <w:szCs w:val="14"/>
              </w:rPr>
              <w:t>New et al. 2022</w:t>
            </w:r>
            <w:r w:rsidRPr="000E7FEF">
              <w:rPr>
                <w:rFonts w:ascii="Times New Roman" w:hAnsi="Times New Roman" w:cs="Times New Roman"/>
                <w:sz w:val="14"/>
                <w:szCs w:val="14"/>
              </w:rPr>
              <w:t xml:space="preserve">). </w:t>
            </w:r>
          </w:p>
        </w:tc>
        <w:tc>
          <w:tcPr>
            <w:tcW w:w="708" w:type="dxa"/>
            <w:tcBorders>
              <w:left w:val="nil"/>
              <w:right w:val="nil"/>
            </w:tcBorders>
          </w:tcPr>
          <w:p w14:paraId="7AF7562C" w14:textId="77777777" w:rsidR="00ED6053" w:rsidRPr="000E7FEF" w:rsidRDefault="00ED6053" w:rsidP="00FF4124">
            <w:pPr>
              <w:pStyle w:val="CORPOTEXTO"/>
              <w:spacing w:after="60"/>
              <w:jc w:val="left"/>
              <w:rPr>
                <w:sz w:val="14"/>
                <w:szCs w:val="14"/>
              </w:rPr>
            </w:pPr>
            <w:r w:rsidRPr="000E7FEF">
              <w:rPr>
                <w:sz w:val="14"/>
                <w:szCs w:val="14"/>
              </w:rPr>
              <w:t xml:space="preserve">TE2100; DP2014; </w:t>
            </w:r>
            <w:proofErr w:type="spellStart"/>
            <w:proofErr w:type="gramStart"/>
            <w:r w:rsidRPr="000E7FEF">
              <w:rPr>
                <w:sz w:val="14"/>
                <w:szCs w:val="14"/>
              </w:rPr>
              <w:t>lit.review</w:t>
            </w:r>
            <w:proofErr w:type="spellEnd"/>
            <w:proofErr w:type="gramEnd"/>
          </w:p>
        </w:tc>
        <w:tc>
          <w:tcPr>
            <w:tcW w:w="792" w:type="dxa"/>
            <w:tcBorders>
              <w:left w:val="nil"/>
            </w:tcBorders>
          </w:tcPr>
          <w:p w14:paraId="7DB1BEF5" w14:textId="77777777" w:rsidR="00ED6053" w:rsidRPr="000E7FEF" w:rsidRDefault="00ED6053" w:rsidP="00FF4124">
            <w:pPr>
              <w:pStyle w:val="tablecontenttext"/>
              <w:spacing w:line="240" w:lineRule="auto"/>
              <w:rPr>
                <w:rFonts w:ascii="Times New Roman" w:hAnsi="Times New Roman" w:cs="Times New Roman"/>
                <w:sz w:val="14"/>
                <w:szCs w:val="14"/>
              </w:rPr>
            </w:pPr>
            <w:r w:rsidRPr="000E7FEF">
              <w:rPr>
                <w:rFonts w:ascii="Times New Roman" w:hAnsi="Times New Roman" w:cs="Times New Roman"/>
                <w:bCs w:val="0"/>
                <w:sz w:val="14"/>
                <w:szCs w:val="14"/>
              </w:rPr>
              <w:t>K5</w:t>
            </w:r>
          </w:p>
        </w:tc>
      </w:tr>
      <w:tr w:rsidR="00ED6053" w:rsidRPr="000E7FEF" w14:paraId="3B113D33" w14:textId="77777777" w:rsidTr="00FF4124">
        <w:tc>
          <w:tcPr>
            <w:tcW w:w="8364" w:type="dxa"/>
            <w:tcBorders>
              <w:left w:val="nil"/>
              <w:right w:val="nil"/>
            </w:tcBorders>
          </w:tcPr>
          <w:p w14:paraId="0625CE68" w14:textId="77777777" w:rsidR="00ED6053" w:rsidRPr="000E7FEF" w:rsidRDefault="00ED6053" w:rsidP="00FF4124">
            <w:pPr>
              <w:pStyle w:val="tablecontenttext"/>
              <w:spacing w:line="240" w:lineRule="auto"/>
              <w:rPr>
                <w:rFonts w:ascii="Times New Roman" w:hAnsi="Times New Roman" w:cs="Times New Roman"/>
                <w:sz w:val="14"/>
                <w:szCs w:val="14"/>
              </w:rPr>
            </w:pPr>
            <w:r w:rsidRPr="000E7FEF">
              <w:rPr>
                <w:rFonts w:ascii="Times New Roman" w:hAnsi="Times New Roman" w:cs="Times New Roman"/>
                <w:sz w:val="14"/>
                <w:szCs w:val="14"/>
              </w:rPr>
              <w:lastRenderedPageBreak/>
              <w:t>Regularly updating the adaptation pathways (</w:t>
            </w:r>
            <w:r w:rsidRPr="000E7FEF">
              <w:rPr>
                <w:rFonts w:ascii="Times New Roman" w:hAnsi="Times New Roman" w:cs="Times New Roman"/>
                <w:color w:val="7F7F7F" w:themeColor="text1" w:themeTint="80"/>
                <w:sz w:val="14"/>
                <w:szCs w:val="14"/>
              </w:rPr>
              <w:t>Bloemen et al. 2018</w:t>
            </w:r>
            <w:r w:rsidRPr="000E7FEF">
              <w:rPr>
                <w:rFonts w:ascii="Times New Roman" w:hAnsi="Times New Roman" w:cs="Times New Roman"/>
                <w:sz w:val="14"/>
                <w:szCs w:val="14"/>
              </w:rPr>
              <w:t>).</w:t>
            </w:r>
          </w:p>
        </w:tc>
        <w:tc>
          <w:tcPr>
            <w:tcW w:w="708" w:type="dxa"/>
            <w:tcBorders>
              <w:left w:val="nil"/>
              <w:right w:val="nil"/>
            </w:tcBorders>
          </w:tcPr>
          <w:p w14:paraId="736C1570" w14:textId="77777777" w:rsidR="00ED6053" w:rsidRPr="000E7FEF" w:rsidRDefault="00ED6053" w:rsidP="00FF4124">
            <w:pPr>
              <w:pStyle w:val="CORPOTEXTO"/>
              <w:spacing w:after="60"/>
              <w:jc w:val="left"/>
              <w:rPr>
                <w:sz w:val="14"/>
                <w:szCs w:val="14"/>
              </w:rPr>
            </w:pPr>
            <w:r w:rsidRPr="000E7FEF">
              <w:rPr>
                <w:sz w:val="14"/>
                <w:szCs w:val="14"/>
              </w:rPr>
              <w:t>TE2100+</w:t>
            </w:r>
          </w:p>
          <w:p w14:paraId="147F6998" w14:textId="77777777" w:rsidR="00ED6053" w:rsidRPr="000E7FEF" w:rsidRDefault="00ED6053" w:rsidP="00FF4124">
            <w:pPr>
              <w:pStyle w:val="CORPOTEXTO"/>
              <w:spacing w:after="60"/>
              <w:jc w:val="left"/>
              <w:rPr>
                <w:sz w:val="14"/>
                <w:szCs w:val="14"/>
              </w:rPr>
            </w:pPr>
            <w:r w:rsidRPr="000E7FEF">
              <w:rPr>
                <w:sz w:val="14"/>
                <w:szCs w:val="14"/>
              </w:rPr>
              <w:t>DP2014</w:t>
            </w:r>
          </w:p>
        </w:tc>
        <w:tc>
          <w:tcPr>
            <w:tcW w:w="792" w:type="dxa"/>
            <w:tcBorders>
              <w:left w:val="nil"/>
            </w:tcBorders>
          </w:tcPr>
          <w:p w14:paraId="7702A217" w14:textId="77777777" w:rsidR="00ED6053" w:rsidRPr="000E7FEF" w:rsidRDefault="00ED6053" w:rsidP="00FF4124">
            <w:pPr>
              <w:pStyle w:val="tablecontenttext"/>
              <w:spacing w:line="240" w:lineRule="auto"/>
              <w:rPr>
                <w:rFonts w:ascii="Times New Roman" w:hAnsi="Times New Roman" w:cs="Times New Roman"/>
                <w:sz w:val="14"/>
                <w:szCs w:val="14"/>
              </w:rPr>
            </w:pPr>
            <w:r w:rsidRPr="000E7FEF">
              <w:rPr>
                <w:rFonts w:ascii="Times New Roman" w:hAnsi="Times New Roman" w:cs="Times New Roman"/>
                <w:bCs w:val="0"/>
                <w:sz w:val="14"/>
                <w:szCs w:val="14"/>
              </w:rPr>
              <w:t>K5</w:t>
            </w:r>
          </w:p>
        </w:tc>
      </w:tr>
      <w:tr w:rsidR="00ED6053" w:rsidRPr="000E7FEF" w14:paraId="486D8235" w14:textId="77777777" w:rsidTr="00FF4124">
        <w:tc>
          <w:tcPr>
            <w:tcW w:w="8364" w:type="dxa"/>
            <w:tcBorders>
              <w:left w:val="nil"/>
              <w:right w:val="nil"/>
            </w:tcBorders>
          </w:tcPr>
          <w:p w14:paraId="1F659649" w14:textId="77777777" w:rsidR="00ED6053" w:rsidRPr="000E7FEF" w:rsidRDefault="00ED6053" w:rsidP="00FF4124">
            <w:pPr>
              <w:jc w:val="left"/>
              <w:rPr>
                <w:rFonts w:ascii="Times New Roman" w:hAnsi="Times New Roman"/>
                <w:sz w:val="14"/>
                <w:szCs w:val="14"/>
              </w:rPr>
            </w:pPr>
            <w:r w:rsidRPr="000E7FEF">
              <w:rPr>
                <w:rFonts w:ascii="Times New Roman" w:hAnsi="Times New Roman"/>
                <w:sz w:val="14"/>
                <w:szCs w:val="14"/>
              </w:rPr>
              <w:t>Need to embed / incorporate AP&amp;M approaches into local coastal contexts, and their governance, institutional specific conditions, and thus, the need of tailoring these approaches to the local contexts (</w:t>
            </w:r>
            <w:r w:rsidRPr="000E7FEF">
              <w:rPr>
                <w:rFonts w:ascii="Times New Roman" w:hAnsi="Times New Roman"/>
                <w:color w:val="7F7F7F" w:themeColor="text1" w:themeTint="80"/>
                <w:sz w:val="14"/>
                <w:szCs w:val="14"/>
              </w:rPr>
              <w:t>Oppenheimer et al. 2019; Portner et al. 2022</w:t>
            </w:r>
            <w:r w:rsidRPr="000E7FEF">
              <w:rPr>
                <w:rFonts w:ascii="Times New Roman" w:hAnsi="Times New Roman"/>
                <w:sz w:val="14"/>
                <w:szCs w:val="14"/>
              </w:rPr>
              <w:t xml:space="preserve">). </w:t>
            </w:r>
          </w:p>
        </w:tc>
        <w:tc>
          <w:tcPr>
            <w:tcW w:w="708" w:type="dxa"/>
            <w:tcBorders>
              <w:left w:val="nil"/>
              <w:right w:val="nil"/>
            </w:tcBorders>
          </w:tcPr>
          <w:p w14:paraId="1743304F" w14:textId="77777777" w:rsidR="00ED6053" w:rsidRPr="000E7FEF" w:rsidRDefault="00ED6053" w:rsidP="00FF4124">
            <w:pPr>
              <w:pStyle w:val="CORPOTEXTO"/>
              <w:spacing w:after="60"/>
              <w:jc w:val="left"/>
              <w:rPr>
                <w:sz w:val="14"/>
                <w:szCs w:val="14"/>
              </w:rPr>
            </w:pPr>
            <w:r w:rsidRPr="000E7FEF">
              <w:rPr>
                <w:sz w:val="14"/>
                <w:szCs w:val="14"/>
              </w:rPr>
              <w:t xml:space="preserve">TE2100; DP2014; </w:t>
            </w:r>
            <w:proofErr w:type="spellStart"/>
            <w:proofErr w:type="gramStart"/>
            <w:r w:rsidRPr="000E7FEF">
              <w:rPr>
                <w:sz w:val="14"/>
                <w:szCs w:val="14"/>
              </w:rPr>
              <w:t>lit.review</w:t>
            </w:r>
            <w:proofErr w:type="spellEnd"/>
            <w:proofErr w:type="gramEnd"/>
          </w:p>
        </w:tc>
        <w:tc>
          <w:tcPr>
            <w:tcW w:w="792" w:type="dxa"/>
            <w:tcBorders>
              <w:left w:val="nil"/>
            </w:tcBorders>
          </w:tcPr>
          <w:p w14:paraId="07A10C9C" w14:textId="77777777" w:rsidR="00ED6053" w:rsidRPr="000E7FEF" w:rsidRDefault="00ED6053" w:rsidP="00FF4124">
            <w:pPr>
              <w:pStyle w:val="tablecontenttext"/>
              <w:spacing w:line="240" w:lineRule="auto"/>
              <w:rPr>
                <w:rFonts w:ascii="Times New Roman" w:hAnsi="Times New Roman" w:cs="Times New Roman"/>
                <w:sz w:val="14"/>
                <w:szCs w:val="14"/>
              </w:rPr>
            </w:pPr>
            <w:r w:rsidRPr="000E7FEF">
              <w:rPr>
                <w:rFonts w:ascii="Times New Roman" w:hAnsi="Times New Roman" w:cs="Times New Roman"/>
                <w:sz w:val="14"/>
                <w:szCs w:val="14"/>
              </w:rPr>
              <w:t>AP&amp;M approach</w:t>
            </w:r>
          </w:p>
        </w:tc>
      </w:tr>
      <w:tr w:rsidR="00ED6053" w:rsidRPr="00D567C9" w14:paraId="2EF6E7A7" w14:textId="77777777" w:rsidTr="00FF4124">
        <w:tc>
          <w:tcPr>
            <w:tcW w:w="8364" w:type="dxa"/>
            <w:tcBorders>
              <w:left w:val="nil"/>
              <w:right w:val="nil"/>
            </w:tcBorders>
          </w:tcPr>
          <w:p w14:paraId="2C28F44F" w14:textId="77777777" w:rsidR="00ED6053" w:rsidRPr="000E7FEF" w:rsidRDefault="00ED6053" w:rsidP="00FF4124">
            <w:pPr>
              <w:jc w:val="left"/>
              <w:rPr>
                <w:rFonts w:ascii="Times New Roman" w:hAnsi="Times New Roman"/>
                <w:sz w:val="14"/>
                <w:szCs w:val="14"/>
              </w:rPr>
            </w:pPr>
            <w:r w:rsidRPr="000E7FEF">
              <w:rPr>
                <w:rFonts w:ascii="Times New Roman" w:hAnsi="Times New Roman"/>
                <w:sz w:val="14"/>
                <w:szCs w:val="14"/>
              </w:rPr>
              <w:t>Need to develop guidance on how to apply AP&amp;M approaches, namely in contexts marked by complex (wicked) problems, ambiguity, conflict and contentiousness around coastal adaptation issues (</w:t>
            </w:r>
            <w:r w:rsidRPr="000E7FEF">
              <w:rPr>
                <w:rFonts w:ascii="Times New Roman" w:hAnsi="Times New Roman"/>
                <w:color w:val="7F7F7F" w:themeColor="text1" w:themeTint="80"/>
                <w:sz w:val="14"/>
                <w:szCs w:val="14"/>
              </w:rPr>
              <w:t>Wise et al. 2014; Oppenheimer et al. 2019; Bosomworth and Gaillard 2019</w:t>
            </w:r>
            <w:r w:rsidRPr="000E7FEF">
              <w:rPr>
                <w:rFonts w:ascii="Times New Roman" w:hAnsi="Times New Roman"/>
                <w:sz w:val="14"/>
                <w:szCs w:val="14"/>
              </w:rPr>
              <w:t>). In designing (charting) adaptation pathways, a key priority is to reconcile divergent values, interests and preferences</w:t>
            </w:r>
            <w:r w:rsidRPr="000E7FEF">
              <w:rPr>
                <w:rFonts w:ascii="Times New Roman" w:hAnsi="Times New Roman"/>
                <w:b/>
                <w:bCs/>
                <w:sz w:val="14"/>
                <w:szCs w:val="14"/>
              </w:rPr>
              <w:t xml:space="preserve"> </w:t>
            </w:r>
            <w:r w:rsidRPr="000E7FEF">
              <w:rPr>
                <w:rFonts w:ascii="Times New Roman" w:hAnsi="Times New Roman"/>
                <w:sz w:val="14"/>
                <w:szCs w:val="14"/>
              </w:rPr>
              <w:t>(</w:t>
            </w:r>
            <w:r w:rsidRPr="000E7FEF">
              <w:rPr>
                <w:rFonts w:ascii="Times New Roman" w:hAnsi="Times New Roman"/>
                <w:color w:val="7F7F7F" w:themeColor="text1" w:themeTint="80"/>
                <w:sz w:val="14"/>
                <w:szCs w:val="14"/>
              </w:rPr>
              <w:t>Portner et al. 2022, p.94</w:t>
            </w:r>
            <w:r w:rsidRPr="000E7FEF">
              <w:rPr>
                <w:rFonts w:ascii="Times New Roman" w:hAnsi="Times New Roman"/>
                <w:sz w:val="14"/>
                <w:szCs w:val="14"/>
              </w:rPr>
              <w:t>).</w:t>
            </w:r>
          </w:p>
        </w:tc>
        <w:tc>
          <w:tcPr>
            <w:tcW w:w="708" w:type="dxa"/>
            <w:tcBorders>
              <w:left w:val="nil"/>
              <w:right w:val="nil"/>
            </w:tcBorders>
          </w:tcPr>
          <w:p w14:paraId="3A31585C" w14:textId="77777777" w:rsidR="00ED6053" w:rsidRPr="000E7FEF" w:rsidRDefault="00ED6053" w:rsidP="00FF4124">
            <w:pPr>
              <w:pStyle w:val="CORPOTEXTO"/>
              <w:spacing w:after="60"/>
              <w:jc w:val="left"/>
              <w:rPr>
                <w:sz w:val="14"/>
                <w:szCs w:val="14"/>
              </w:rPr>
            </w:pPr>
            <w:r w:rsidRPr="000E7FEF">
              <w:rPr>
                <w:sz w:val="14"/>
                <w:szCs w:val="14"/>
              </w:rPr>
              <w:t xml:space="preserve">TE2100; DP2014; </w:t>
            </w:r>
            <w:proofErr w:type="spellStart"/>
            <w:proofErr w:type="gramStart"/>
            <w:r w:rsidRPr="000E7FEF">
              <w:rPr>
                <w:sz w:val="14"/>
                <w:szCs w:val="14"/>
              </w:rPr>
              <w:t>lit.review</w:t>
            </w:r>
            <w:proofErr w:type="spellEnd"/>
            <w:proofErr w:type="gramEnd"/>
          </w:p>
        </w:tc>
        <w:tc>
          <w:tcPr>
            <w:tcW w:w="792" w:type="dxa"/>
            <w:tcBorders>
              <w:left w:val="nil"/>
            </w:tcBorders>
          </w:tcPr>
          <w:p w14:paraId="12179D36" w14:textId="77777777" w:rsidR="00ED6053" w:rsidRPr="00D567C9" w:rsidRDefault="00ED6053" w:rsidP="00FF4124">
            <w:pPr>
              <w:pStyle w:val="tablecontenttext"/>
              <w:spacing w:line="240" w:lineRule="auto"/>
              <w:rPr>
                <w:rFonts w:ascii="Times New Roman" w:hAnsi="Times New Roman" w:cs="Times New Roman"/>
                <w:sz w:val="14"/>
                <w:szCs w:val="14"/>
              </w:rPr>
            </w:pPr>
            <w:r w:rsidRPr="000E7FEF">
              <w:rPr>
                <w:rFonts w:ascii="Times New Roman" w:hAnsi="Times New Roman" w:cs="Times New Roman"/>
                <w:sz w:val="14"/>
                <w:szCs w:val="14"/>
              </w:rPr>
              <w:t>AP&amp;M approach</w:t>
            </w:r>
            <w:r w:rsidRPr="00D567C9">
              <w:rPr>
                <w:rFonts w:ascii="Times New Roman" w:hAnsi="Times New Roman" w:cs="Times New Roman"/>
                <w:sz w:val="14"/>
                <w:szCs w:val="14"/>
              </w:rPr>
              <w:t xml:space="preserve"> </w:t>
            </w:r>
          </w:p>
        </w:tc>
      </w:tr>
    </w:tbl>
    <w:p w14:paraId="4EC86B3E" w14:textId="5FEBDD30" w:rsidR="00ED6053" w:rsidRDefault="00ED6053" w:rsidP="00A119C8">
      <w:pPr>
        <w:pStyle w:val="TEXTBODY"/>
        <w:rPr>
          <w:sz w:val="20"/>
          <w:szCs w:val="24"/>
        </w:rPr>
      </w:pPr>
    </w:p>
    <w:p w14:paraId="27F62FEA" w14:textId="77777777" w:rsidR="000E7FEF" w:rsidRPr="00ED2E64" w:rsidRDefault="000E7FEF" w:rsidP="000E7FEF">
      <w:pPr>
        <w:pStyle w:val="TEXTBODY"/>
      </w:pPr>
      <w:r w:rsidRPr="00ED2E64">
        <w:t xml:space="preserve">Despite the recent </w:t>
      </w:r>
      <w:r>
        <w:t xml:space="preserve">efforts to transition to </w:t>
      </w:r>
      <w:r w:rsidRPr="00ED2E64">
        <w:t>more adaptive planning approaches (and ongoing steps towards more adaptive forms of planning and management of coastal zones</w:t>
      </w:r>
      <w:r>
        <w:t xml:space="preserve"> and deltas</w:t>
      </w:r>
      <w:r w:rsidRPr="00ED2E64">
        <w:t xml:space="preserve">), with </w:t>
      </w:r>
      <w:r>
        <w:t>new cases</w:t>
      </w:r>
      <w:r w:rsidRPr="00ED2E64">
        <w:t xml:space="preserve"> inspired by the TE2100 and DP </w:t>
      </w:r>
      <w:r>
        <w:t>emerging in several coastal zones worldwide</w:t>
      </w:r>
      <w:r w:rsidRPr="00ED2E64">
        <w:t xml:space="preserve">, the practical implementation of </w:t>
      </w:r>
      <w:r>
        <w:t>AP&amp;M</w:t>
      </w:r>
      <w:r w:rsidRPr="00ED2E64">
        <w:t xml:space="preserve"> approaches requires much more effort to realize a shift to a new paradigm </w:t>
      </w:r>
      <w:r>
        <w:t>of “monitoring and adapting”</w:t>
      </w:r>
      <w:r w:rsidRPr="00ED2E64">
        <w:t xml:space="preserve">. There are still several difficulties in applying </w:t>
      </w:r>
      <w:r>
        <w:t>AP&amp;M</w:t>
      </w:r>
      <w:r w:rsidRPr="00ED2E64">
        <w:t xml:space="preserve"> approach</w:t>
      </w:r>
      <w:r>
        <w:t xml:space="preserve">es including </w:t>
      </w:r>
      <w:r w:rsidRPr="00ED2E64">
        <w:t xml:space="preserve">shortcomings / gaps </w:t>
      </w:r>
      <w:r>
        <w:t>in</w:t>
      </w:r>
      <w:r w:rsidRPr="00ED2E64">
        <w:t xml:space="preserve"> the </w:t>
      </w:r>
      <w:r>
        <w:t>methods themselves,</w:t>
      </w:r>
      <w:r w:rsidRPr="00ED2E64">
        <w:t xml:space="preserve"> </w:t>
      </w:r>
      <w:r>
        <w:t xml:space="preserve">but also </w:t>
      </w:r>
      <w:r w:rsidRPr="00ED2E64">
        <w:t xml:space="preserve">barriers </w:t>
      </w:r>
      <w:r>
        <w:t>to their implementation</w:t>
      </w:r>
      <w:bookmarkStart w:id="149" w:name="_Hlk36056055"/>
      <w:r>
        <w:t>, which</w:t>
      </w:r>
      <w:r w:rsidRPr="00ED2E64">
        <w:t xml:space="preserve"> require further research</w:t>
      </w:r>
      <w:r>
        <w:t xml:space="preserve">. </w:t>
      </w:r>
      <w:r w:rsidRPr="00ED2E64">
        <w:t xml:space="preserve">There is a great potential to learn more from the analysis of other cases of </w:t>
      </w:r>
      <w:r>
        <w:t>AP&amp;M</w:t>
      </w:r>
      <w:r w:rsidRPr="00ED2E64">
        <w:t xml:space="preserve"> in coastal regions </w:t>
      </w:r>
      <w:r>
        <w:t>with</w:t>
      </w:r>
      <w:r w:rsidRPr="00ED2E64">
        <w:t xml:space="preserve"> different sociocultural and governance contexts</w:t>
      </w:r>
      <w:r>
        <w:t>, and thus</w:t>
      </w:r>
      <w:r w:rsidRPr="00ED2E64">
        <w:t xml:space="preserve"> generate a wider body of knowledge on adaptive coastal planning and management (</w:t>
      </w:r>
      <w:r w:rsidRPr="00ED2E64">
        <w:rPr>
          <w:color w:val="7F7F7F" w:themeColor="text1" w:themeTint="80"/>
        </w:rPr>
        <w:t>Marchand and Ludwig 2014</w:t>
      </w:r>
      <w:r w:rsidRPr="00ED2E64">
        <w:t xml:space="preserve">). </w:t>
      </w:r>
      <w:bookmarkEnd w:id="149"/>
    </w:p>
    <w:p w14:paraId="62743CFB" w14:textId="77777777" w:rsidR="00ED6053" w:rsidRDefault="00ED6053" w:rsidP="00A119C8">
      <w:pPr>
        <w:pStyle w:val="TEXTBODY"/>
        <w:rPr>
          <w:sz w:val="20"/>
          <w:szCs w:val="24"/>
        </w:rPr>
      </w:pPr>
    </w:p>
    <w:p w14:paraId="7FDDFF6A" w14:textId="77777777" w:rsidR="00A119C8" w:rsidRDefault="00A119C8" w:rsidP="004E5214">
      <w:pPr>
        <w:pStyle w:val="TEXTBODY"/>
        <w:spacing w:line="276" w:lineRule="auto"/>
        <w:rPr>
          <w:bCs/>
        </w:rPr>
      </w:pPr>
    </w:p>
    <w:p w14:paraId="4683AE50" w14:textId="77777777" w:rsidR="00A119C8" w:rsidRDefault="00A119C8" w:rsidP="004E5214">
      <w:pPr>
        <w:pStyle w:val="TEXTBODY"/>
        <w:spacing w:line="276" w:lineRule="auto"/>
        <w:rPr>
          <w:bCs/>
        </w:rPr>
      </w:pPr>
    </w:p>
    <w:p w14:paraId="0C1A6858" w14:textId="012C67AF" w:rsidR="00A119C8" w:rsidRPr="004E5214" w:rsidRDefault="00A119C8" w:rsidP="004E5214">
      <w:pPr>
        <w:pStyle w:val="TEXTBODY"/>
        <w:spacing w:line="276" w:lineRule="auto"/>
        <w:rPr>
          <w:bCs/>
        </w:rPr>
      </w:pPr>
    </w:p>
    <w:sectPr w:rsidR="00A119C8" w:rsidRPr="004E5214" w:rsidSect="007466CF">
      <w:headerReference w:type="even" r:id="rId18"/>
      <w:headerReference w:type="default" r:id="rId19"/>
      <w:footerReference w:type="even" r:id="rId20"/>
      <w:footerReference w:type="default" r:id="rId21"/>
      <w:pgSz w:w="11906" w:h="16838" w:code="9"/>
      <w:pgMar w:top="1814" w:right="1021" w:bottom="1758" w:left="1021" w:header="851"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F2EF4" w14:textId="77777777" w:rsidR="00981036" w:rsidRDefault="00981036">
      <w:r>
        <w:separator/>
      </w:r>
    </w:p>
  </w:endnote>
  <w:endnote w:type="continuationSeparator" w:id="0">
    <w:p w14:paraId="4A4BE25E" w14:textId="77777777" w:rsidR="00981036" w:rsidRDefault="009810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ohit Hindi">
    <w:altName w:val="Yu Gothic"/>
    <w:charset w:val="80"/>
    <w:family w:val="auto"/>
    <w:pitch w:val="variable"/>
  </w:font>
  <w:font w:name="Minion Pro">
    <w:panose1 w:val="02040503050306020203"/>
    <w:charset w:val="00"/>
    <w:family w:val="roman"/>
    <w:notTrueType/>
    <w:pitch w:val="variable"/>
    <w:sig w:usb0="60000287" w:usb1="00000001" w:usb2="00000000" w:usb3="00000000" w:csb0="0000019F" w:csb1="00000000"/>
  </w:font>
  <w:font w:name="Frutiger-Roman">
    <w:altName w:val="Malgun Gothic"/>
    <w:panose1 w:val="00000000000000000000"/>
    <w:charset w:val="81"/>
    <w:family w:val="swiss"/>
    <w:notTrueType/>
    <w:pitch w:val="default"/>
    <w:sig w:usb0="00000003" w:usb1="09060000" w:usb2="00000010" w:usb3="00000000" w:csb0="00080001" w:csb1="00000000"/>
  </w:font>
  <w:font w:name="AdvOT3c2d9f11">
    <w:altName w:val="Cambria"/>
    <w:panose1 w:val="00000000000000000000"/>
    <w:charset w:val="00"/>
    <w:family w:val="roman"/>
    <w:notTrueType/>
    <w:pitch w:val="default"/>
    <w:sig w:usb0="00000003" w:usb1="00000000" w:usb2="00000000" w:usb3="00000000" w:csb0="00000001" w:csb1="00000000"/>
  </w:font>
  <w:font w:name="RijksoverheidSansText-Regular">
    <w:altName w:val="Yu Gothic"/>
    <w:panose1 w:val="00000000000000000000"/>
    <w:charset w:val="80"/>
    <w:family w:val="swiss"/>
    <w:notTrueType/>
    <w:pitch w:val="default"/>
    <w:sig w:usb0="00000003" w:usb1="08070000" w:usb2="00000010" w:usb3="00000000" w:csb0="00020001" w:csb1="00000000"/>
  </w:font>
  <w:font w:name="RijksoverheidSerif-Regular">
    <w:altName w:val="Batang"/>
    <w:panose1 w:val="00000000000000000000"/>
    <w:charset w:val="81"/>
    <w:family w:val="roman"/>
    <w:notTrueType/>
    <w:pitch w:val="default"/>
    <w:sig w:usb0="00000003" w:usb1="09060000" w:usb2="00000010" w:usb3="00000000" w:csb0="00080001" w:csb1="00000000"/>
  </w:font>
  <w:font w:name="AdvPTimes">
    <w:altName w:val="Cambria"/>
    <w:panose1 w:val="00000000000000000000"/>
    <w:charset w:val="00"/>
    <w:family w:val="roman"/>
    <w:notTrueType/>
    <w:pitch w:val="default"/>
    <w:sig w:usb0="00000003" w:usb1="00000000" w:usb2="00000000" w:usb3="00000000" w:csb0="00000001" w:csb1="00000000"/>
  </w:font>
  <w:font w:name="AdvP7B6C">
    <w:altName w:val="Cambria"/>
    <w:panose1 w:val="00000000000000000000"/>
    <w:charset w:val="00"/>
    <w:family w:val="roman"/>
    <w:notTrueType/>
    <w:pitch w:val="default"/>
    <w:sig w:usb0="00000003" w:usb1="00000000" w:usb2="00000000" w:usb3="00000000" w:csb0="00000001" w:csb1="00000000"/>
  </w:font>
  <w:font w:name="Times-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CE108" w14:textId="602AB556" w:rsidR="00A519F0" w:rsidRPr="00ED635A" w:rsidRDefault="00A519F0" w:rsidP="004C543A">
    <w:pPr>
      <w:pStyle w:val="Rodap"/>
      <w:rPr>
        <w:rStyle w:val="Nmerodepgina"/>
      </w:rPr>
    </w:pPr>
    <w:r w:rsidRPr="00ED635A">
      <w:rPr>
        <w:rStyle w:val="Nmerodepgina"/>
      </w:rPr>
      <w:fldChar w:fldCharType="begin"/>
    </w:r>
    <w:r w:rsidRPr="00ED635A">
      <w:rPr>
        <w:rStyle w:val="Nmerodepgina"/>
      </w:rPr>
      <w:instrText xml:space="preserve"> PAGE </w:instrText>
    </w:r>
    <w:r w:rsidRPr="00ED635A">
      <w:rPr>
        <w:rStyle w:val="Nmerodepgina"/>
      </w:rPr>
      <w:fldChar w:fldCharType="separate"/>
    </w:r>
    <w:r>
      <w:rPr>
        <w:rStyle w:val="Nmerodepgina"/>
        <w:noProof/>
      </w:rPr>
      <w:t>42</w:t>
    </w:r>
    <w:r w:rsidRPr="00ED635A">
      <w:rPr>
        <w:rStyle w:val="Nmerodepgin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B107E" w14:textId="24E52AD8" w:rsidR="008B7255" w:rsidRPr="00ED635A" w:rsidRDefault="00A519F0" w:rsidP="008B7255">
    <w:pPr>
      <w:pStyle w:val="Rodap"/>
      <w:jc w:val="right"/>
      <w:rPr>
        <w:rStyle w:val="Nmerodepgina"/>
      </w:rPr>
    </w:pPr>
    <w:r w:rsidRPr="00ED635A">
      <w:rPr>
        <w:rStyle w:val="Nmerodepgina"/>
      </w:rPr>
      <w:fldChar w:fldCharType="begin"/>
    </w:r>
    <w:r w:rsidRPr="00ED635A">
      <w:rPr>
        <w:rStyle w:val="Nmerodepgina"/>
      </w:rPr>
      <w:instrText xml:space="preserve"> PAGE </w:instrText>
    </w:r>
    <w:r w:rsidRPr="00ED635A">
      <w:rPr>
        <w:rStyle w:val="Nmerodepgina"/>
      </w:rPr>
      <w:fldChar w:fldCharType="separate"/>
    </w:r>
    <w:r>
      <w:rPr>
        <w:rStyle w:val="Nmerodepgina"/>
        <w:noProof/>
      </w:rPr>
      <w:t>41</w:t>
    </w:r>
    <w:r w:rsidRPr="00ED635A">
      <w:rPr>
        <w:rStyle w:val="Nmerodepgin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6C2CE" w14:textId="77777777" w:rsidR="00981036" w:rsidRDefault="00981036">
      <w:r>
        <w:separator/>
      </w:r>
    </w:p>
  </w:footnote>
  <w:footnote w:type="continuationSeparator" w:id="0">
    <w:p w14:paraId="4EB95D92" w14:textId="77777777" w:rsidR="00981036" w:rsidRDefault="00981036">
      <w:r>
        <w:continuationSeparator/>
      </w:r>
    </w:p>
  </w:footnote>
  <w:footnote w:id="1">
    <w:p w14:paraId="7DF9B212" w14:textId="77777777" w:rsidR="00BB05C5" w:rsidRPr="00995F3E" w:rsidRDefault="00BB05C5" w:rsidP="00BB05C5">
      <w:pPr>
        <w:pStyle w:val="TEXTBODY"/>
        <w:spacing w:after="0" w:line="240" w:lineRule="auto"/>
        <w:rPr>
          <w:sz w:val="14"/>
          <w:szCs w:val="14"/>
        </w:rPr>
      </w:pPr>
      <w:r w:rsidRPr="00995F3E">
        <w:rPr>
          <w:rStyle w:val="Refdenotaderodap"/>
          <w:sz w:val="14"/>
          <w:szCs w:val="14"/>
        </w:rPr>
        <w:footnoteRef/>
      </w:r>
      <w:r w:rsidRPr="00995F3E">
        <w:rPr>
          <w:rStyle w:val="Refdenotaderodap"/>
          <w:sz w:val="14"/>
          <w:szCs w:val="14"/>
        </w:rPr>
        <w:t xml:space="preserve"> </w:t>
      </w:r>
      <w:r w:rsidRPr="00995F3E">
        <w:rPr>
          <w:color w:val="7F7F7F" w:themeColor="text1" w:themeTint="80"/>
          <w:sz w:val="14"/>
          <w:szCs w:val="14"/>
        </w:rPr>
        <w:t xml:space="preserve">Ranger et al. (2010; 2013) </w:t>
      </w:r>
      <w:r w:rsidRPr="00995F3E">
        <w:rPr>
          <w:sz w:val="14"/>
          <w:szCs w:val="14"/>
        </w:rPr>
        <w:t>and</w:t>
      </w:r>
      <w:r w:rsidRPr="00995F3E">
        <w:rPr>
          <w:color w:val="0070C0"/>
          <w:sz w:val="14"/>
          <w:szCs w:val="14"/>
        </w:rPr>
        <w:t xml:space="preserve"> </w:t>
      </w:r>
      <w:r w:rsidRPr="00995F3E">
        <w:rPr>
          <w:color w:val="7F7F7F" w:themeColor="text1" w:themeTint="80"/>
          <w:sz w:val="14"/>
          <w:szCs w:val="14"/>
        </w:rPr>
        <w:t xml:space="preserve">Reeder and Ranger (2011) </w:t>
      </w:r>
      <w:r w:rsidRPr="00995F3E">
        <w:rPr>
          <w:sz w:val="14"/>
          <w:szCs w:val="14"/>
        </w:rPr>
        <w:t xml:space="preserve">provide an example of a </w:t>
      </w:r>
      <w:r w:rsidRPr="00995F3E">
        <w:rPr>
          <w:i/>
          <w:iCs/>
          <w:sz w:val="14"/>
          <w:szCs w:val="14"/>
        </w:rPr>
        <w:t xml:space="preserve">decision-centred process </w:t>
      </w:r>
      <w:r w:rsidRPr="00995F3E">
        <w:rPr>
          <w:sz w:val="14"/>
          <w:szCs w:val="14"/>
        </w:rPr>
        <w:t xml:space="preserve">to FRM planning, which is based on the framework developed by </w:t>
      </w:r>
      <w:r w:rsidRPr="00995F3E">
        <w:rPr>
          <w:color w:val="7F7F7F" w:themeColor="text1" w:themeTint="80"/>
          <w:sz w:val="14"/>
          <w:szCs w:val="14"/>
        </w:rPr>
        <w:t xml:space="preserve">Willows and Connell (2003) </w:t>
      </w:r>
      <w:r w:rsidRPr="00995F3E">
        <w:rPr>
          <w:sz w:val="14"/>
          <w:szCs w:val="14"/>
        </w:rPr>
        <w:t>and refined by ESPACE programme (</w:t>
      </w:r>
      <w:r w:rsidRPr="00995F3E">
        <w:rPr>
          <w:i/>
          <w:iCs/>
          <w:sz w:val="14"/>
          <w:szCs w:val="14"/>
        </w:rPr>
        <w:t xml:space="preserve">in </w:t>
      </w:r>
      <w:r w:rsidRPr="00995F3E">
        <w:rPr>
          <w:color w:val="7F7F7F" w:themeColor="text1" w:themeTint="80"/>
          <w:sz w:val="14"/>
          <w:szCs w:val="14"/>
        </w:rPr>
        <w:t>Reeder and Ranger 2011</w:t>
      </w:r>
      <w:r w:rsidRPr="00995F3E">
        <w:rPr>
          <w:sz w:val="14"/>
          <w:szCs w:val="14"/>
        </w:rPr>
        <w:t xml:space="preserve">). The </w:t>
      </w:r>
      <w:r w:rsidRPr="00995F3E">
        <w:rPr>
          <w:color w:val="000000"/>
          <w:sz w:val="14"/>
          <w:szCs w:val="14"/>
        </w:rPr>
        <w:t xml:space="preserve">TE2100’s </w:t>
      </w:r>
      <w:r w:rsidRPr="00995F3E">
        <w:rPr>
          <w:i/>
          <w:iCs/>
          <w:color w:val="000000"/>
          <w:sz w:val="14"/>
          <w:szCs w:val="14"/>
        </w:rPr>
        <w:t>decision-centred</w:t>
      </w:r>
      <w:r w:rsidRPr="00995F3E">
        <w:rPr>
          <w:color w:val="000000"/>
          <w:sz w:val="14"/>
          <w:szCs w:val="14"/>
        </w:rPr>
        <w:t xml:space="preserve"> </w:t>
      </w:r>
      <w:r w:rsidRPr="00995F3E">
        <w:rPr>
          <w:i/>
          <w:iCs/>
          <w:color w:val="000000"/>
          <w:sz w:val="14"/>
          <w:szCs w:val="14"/>
        </w:rPr>
        <w:t>planning process</w:t>
      </w:r>
      <w:r w:rsidRPr="00995F3E">
        <w:rPr>
          <w:color w:val="000000"/>
          <w:sz w:val="14"/>
          <w:szCs w:val="14"/>
        </w:rPr>
        <w:t xml:space="preserve">, differs from the traditional </w:t>
      </w:r>
      <w:r w:rsidRPr="00995F3E">
        <w:rPr>
          <w:i/>
          <w:iCs/>
          <w:color w:val="000000"/>
          <w:sz w:val="14"/>
          <w:szCs w:val="14"/>
        </w:rPr>
        <w:t>science-first process</w:t>
      </w:r>
      <w:r w:rsidRPr="00995F3E">
        <w:rPr>
          <w:color w:val="000000"/>
          <w:sz w:val="14"/>
          <w:szCs w:val="14"/>
        </w:rPr>
        <w:t xml:space="preserve"> </w:t>
      </w:r>
      <w:r w:rsidRPr="00995F3E">
        <w:rPr>
          <w:sz w:val="14"/>
          <w:szCs w:val="14"/>
        </w:rPr>
        <w:t>(</w:t>
      </w:r>
      <w:r w:rsidRPr="00995F3E">
        <w:rPr>
          <w:bCs/>
          <w:color w:val="7F7F7F" w:themeColor="text1" w:themeTint="80"/>
          <w:sz w:val="14"/>
          <w:szCs w:val="14"/>
        </w:rPr>
        <w:t xml:space="preserve">Ranger et al. 2013; </w:t>
      </w:r>
      <w:r w:rsidRPr="00995F3E">
        <w:rPr>
          <w:color w:val="7F7F7F" w:themeColor="text1" w:themeTint="80"/>
          <w:sz w:val="14"/>
          <w:szCs w:val="14"/>
        </w:rPr>
        <w:t>Reeder and Ranger 2011; Ranger et al. 2010</w:t>
      </w:r>
      <w:r w:rsidRPr="00995F3E">
        <w:rPr>
          <w:bCs/>
          <w:sz w:val="14"/>
          <w:szCs w:val="14"/>
        </w:rPr>
        <w:t>).</w:t>
      </w:r>
      <w:r w:rsidRPr="00995F3E">
        <w:rPr>
          <w:color w:val="000000"/>
          <w:sz w:val="14"/>
          <w:szCs w:val="14"/>
        </w:rPr>
        <w:t xml:space="preserve"> </w:t>
      </w:r>
      <w:r w:rsidRPr="00995F3E">
        <w:rPr>
          <w:sz w:val="14"/>
          <w:szCs w:val="14"/>
        </w:rPr>
        <w:t xml:space="preserve">In a </w:t>
      </w:r>
      <w:r w:rsidRPr="00995F3E">
        <w:rPr>
          <w:i/>
          <w:iCs/>
          <w:sz w:val="14"/>
          <w:szCs w:val="14"/>
        </w:rPr>
        <w:t>decision-centred process</w:t>
      </w:r>
      <w:r w:rsidRPr="00995F3E">
        <w:rPr>
          <w:sz w:val="14"/>
          <w:szCs w:val="14"/>
        </w:rPr>
        <w:t xml:space="preserve">, planners start from the adaptation problem itself (need to reduce flood risk) rather than with climate projections, then define objectives and constraints, identify possible measures and assess their effectiveness under a range </w:t>
      </w:r>
      <w:r w:rsidRPr="00995F3E">
        <w:rPr>
          <w:color w:val="000000" w:themeColor="text1"/>
          <w:sz w:val="14"/>
          <w:szCs w:val="14"/>
        </w:rPr>
        <w:t xml:space="preserve">of plausible scenarios </w:t>
      </w:r>
      <w:r w:rsidRPr="00995F3E">
        <w:rPr>
          <w:sz w:val="14"/>
          <w:szCs w:val="14"/>
        </w:rPr>
        <w:t>(</w:t>
      </w:r>
      <w:r w:rsidRPr="00995F3E">
        <w:rPr>
          <w:color w:val="7F7F7F" w:themeColor="text1" w:themeTint="80"/>
          <w:sz w:val="14"/>
          <w:szCs w:val="14"/>
        </w:rPr>
        <w:t>Reeder and Ranger 2011</w:t>
      </w:r>
      <w:r w:rsidRPr="00995F3E">
        <w:rPr>
          <w:sz w:val="14"/>
          <w:szCs w:val="14"/>
        </w:rPr>
        <w:t>). This</w:t>
      </w:r>
      <w:r w:rsidRPr="00995F3E">
        <w:rPr>
          <w:color w:val="000000"/>
          <w:sz w:val="14"/>
          <w:szCs w:val="14"/>
        </w:rPr>
        <w:t xml:space="preserve"> stimulates decision-makers to focus on the decision problem and its characteristics (objectives, actors’ interests, constraints, system’s vulnerability, decision criteria) and on the solutions (measures to reduce risk) – in-depth understanding of the problem</w:t>
      </w:r>
      <w:r w:rsidRPr="00995F3E">
        <w:rPr>
          <w:sz w:val="14"/>
          <w:szCs w:val="14"/>
        </w:rPr>
        <w:t xml:space="preserve"> – instead of focusing on </w:t>
      </w:r>
      <w:r w:rsidRPr="00995F3E">
        <w:rPr>
          <w:color w:val="000000"/>
          <w:sz w:val="14"/>
          <w:szCs w:val="14"/>
        </w:rPr>
        <w:t>future climate projections. In</w:t>
      </w:r>
      <w:r w:rsidRPr="00995F3E">
        <w:rPr>
          <w:sz w:val="14"/>
          <w:szCs w:val="14"/>
        </w:rPr>
        <w:t xml:space="preserve"> the TE2100, climate projections entered in the planning process at a later stage than in a science-first approach (</w:t>
      </w:r>
      <w:r w:rsidRPr="00995F3E">
        <w:rPr>
          <w:color w:val="7F7F7F" w:themeColor="text1" w:themeTint="80"/>
          <w:sz w:val="14"/>
          <w:szCs w:val="14"/>
        </w:rPr>
        <w:t>Ranger et al. 2013</w:t>
      </w:r>
      <w:r w:rsidRPr="00995F3E">
        <w:rPr>
          <w:sz w:val="14"/>
          <w:szCs w:val="14"/>
        </w:rPr>
        <w:t>).</w:t>
      </w:r>
      <w:r w:rsidRPr="00995F3E">
        <w:rPr>
          <w:strike/>
          <w:sz w:val="14"/>
          <w:szCs w:val="14"/>
        </w:rPr>
        <w:t xml:space="preserve"> </w:t>
      </w:r>
    </w:p>
  </w:footnote>
  <w:footnote w:id="2">
    <w:p w14:paraId="600CD9BC" w14:textId="77777777" w:rsidR="00F77E53" w:rsidRPr="00C34F71" w:rsidRDefault="00F77E53" w:rsidP="00F77E53">
      <w:pPr>
        <w:pStyle w:val="Textodenotaderodap"/>
      </w:pPr>
      <w:r w:rsidRPr="00995F3E">
        <w:rPr>
          <w:rStyle w:val="Refdenotaderodap"/>
          <w:sz w:val="14"/>
          <w:szCs w:val="14"/>
        </w:rPr>
        <w:footnoteRef/>
      </w:r>
      <w:r w:rsidRPr="00995F3E">
        <w:rPr>
          <w:sz w:val="14"/>
          <w:szCs w:val="14"/>
        </w:rPr>
        <w:t xml:space="preserve"> </w:t>
      </w:r>
      <w:r w:rsidRPr="00995F3E">
        <w:rPr>
          <w:color w:val="7F7F7F" w:themeColor="text1" w:themeTint="80"/>
          <w:sz w:val="14"/>
          <w:szCs w:val="14"/>
        </w:rPr>
        <w:t xml:space="preserve">David Ramsbottom </w:t>
      </w:r>
      <w:r w:rsidRPr="00995F3E">
        <w:rPr>
          <w:sz w:val="14"/>
          <w:szCs w:val="14"/>
        </w:rPr>
        <w:t>was the Environment Agency’s technical leader for the development of the TE2100.</w:t>
      </w:r>
      <w:r w:rsidRPr="00995F3E">
        <w:rPr>
          <w:rFonts w:ascii="AdvOT3c2d9f11" w:hAnsi="AdvOT3c2d9f11" w:cs="AdvOT3c2d9f11"/>
          <w:sz w:val="14"/>
          <w:szCs w:val="14"/>
        </w:rPr>
        <w:t xml:space="preserve"> </w:t>
      </w:r>
    </w:p>
  </w:footnote>
  <w:footnote w:id="3">
    <w:p w14:paraId="595D3D09" w14:textId="45830217" w:rsidR="00C04B00" w:rsidRPr="00722E16" w:rsidRDefault="00C04B00" w:rsidP="00C04B00">
      <w:pPr>
        <w:pStyle w:val="Textodenotaderodap"/>
        <w:rPr>
          <w:color w:val="C00000"/>
          <w:sz w:val="14"/>
          <w:szCs w:val="14"/>
        </w:rPr>
      </w:pPr>
      <w:r w:rsidRPr="00722E16">
        <w:rPr>
          <w:rStyle w:val="Refdenotaderodap"/>
          <w:sz w:val="14"/>
          <w:szCs w:val="14"/>
        </w:rPr>
        <w:footnoteRef/>
      </w:r>
      <w:r w:rsidRPr="00722E16">
        <w:rPr>
          <w:sz w:val="14"/>
          <w:szCs w:val="14"/>
        </w:rPr>
        <w:t xml:space="preserve"> </w:t>
      </w:r>
      <w:proofErr w:type="spellStart"/>
      <w:r w:rsidRPr="00722E16">
        <w:rPr>
          <w:iCs/>
          <w:sz w:val="14"/>
          <w:szCs w:val="14"/>
        </w:rPr>
        <w:t>Pending</w:t>
      </w:r>
      <w:proofErr w:type="spellEnd"/>
      <w:r w:rsidRPr="00722E16">
        <w:rPr>
          <w:iCs/>
          <w:sz w:val="14"/>
          <w:szCs w:val="14"/>
        </w:rPr>
        <w:t xml:space="preserve"> on research work that was being conducted</w:t>
      </w:r>
      <w:r w:rsidRPr="00722E16">
        <w:rPr>
          <w:sz w:val="14"/>
          <w:szCs w:val="14"/>
        </w:rPr>
        <w:t>, the TE2100 Team developed four interim future scenarios of plausible water level rise</w:t>
      </w:r>
      <w:r w:rsidRPr="00722E16">
        <w:rPr>
          <w:rFonts w:eastAsia="Frutiger-Roman"/>
          <w:color w:val="00B0F0"/>
          <w:sz w:val="14"/>
          <w:szCs w:val="14"/>
        </w:rPr>
        <w:t xml:space="preserve"> </w:t>
      </w:r>
      <w:r w:rsidRPr="00722E16">
        <w:rPr>
          <w:rFonts w:eastAsia="Frutiger-Roman"/>
          <w:sz w:val="14"/>
          <w:szCs w:val="14"/>
        </w:rPr>
        <w:t>(</w:t>
      </w:r>
      <w:r w:rsidRPr="00722E16">
        <w:rPr>
          <w:rFonts w:eastAsia="Frutiger-Roman"/>
          <w:color w:val="7F7F7F" w:themeColor="text1" w:themeTint="80"/>
          <w:sz w:val="14"/>
          <w:szCs w:val="14"/>
        </w:rPr>
        <w:t xml:space="preserve">Lowe et al. 2009, p.88; </w:t>
      </w:r>
      <w:r w:rsidR="00C87D9F">
        <w:rPr>
          <w:color w:val="7F7F7F" w:themeColor="text1" w:themeTint="80"/>
          <w:sz w:val="14"/>
          <w:szCs w:val="14"/>
        </w:rPr>
        <w:t xml:space="preserve">EA </w:t>
      </w:r>
      <w:r w:rsidRPr="00722E16">
        <w:rPr>
          <w:color w:val="7F7F7F" w:themeColor="text1" w:themeTint="80"/>
          <w:sz w:val="14"/>
          <w:szCs w:val="14"/>
        </w:rPr>
        <w:t>2009</w:t>
      </w:r>
      <w:r w:rsidR="00C87D9F">
        <w:rPr>
          <w:color w:val="7F7F7F" w:themeColor="text1" w:themeTint="80"/>
          <w:sz w:val="14"/>
          <w:szCs w:val="14"/>
        </w:rPr>
        <w:t>b</w:t>
      </w:r>
      <w:r w:rsidRPr="00722E16">
        <w:rPr>
          <w:sz w:val="14"/>
          <w:szCs w:val="14"/>
        </w:rPr>
        <w:t>).</w:t>
      </w:r>
    </w:p>
  </w:footnote>
  <w:footnote w:id="4">
    <w:p w14:paraId="68FB77AE" w14:textId="77777777" w:rsidR="00C04B00" w:rsidRPr="00722E16" w:rsidRDefault="00C04B00" w:rsidP="00C04B00">
      <w:pPr>
        <w:pStyle w:val="TEXTBODY"/>
        <w:spacing w:after="0" w:line="240" w:lineRule="auto"/>
        <w:jc w:val="left"/>
        <w:rPr>
          <w:sz w:val="14"/>
          <w:szCs w:val="14"/>
        </w:rPr>
      </w:pPr>
      <w:r w:rsidRPr="00722E16">
        <w:rPr>
          <w:rStyle w:val="Refdenotaderodap"/>
          <w:sz w:val="14"/>
          <w:szCs w:val="14"/>
        </w:rPr>
        <w:footnoteRef/>
      </w:r>
      <w:r w:rsidRPr="00722E16">
        <w:rPr>
          <w:sz w:val="14"/>
          <w:szCs w:val="14"/>
        </w:rPr>
        <w:t xml:space="preserve"> In the following sub-steps of identification of measures (conceptual analysis) and development of </w:t>
      </w:r>
      <w:r w:rsidRPr="00722E16">
        <w:rPr>
          <w:i/>
          <w:iCs/>
          <w:sz w:val="14"/>
          <w:szCs w:val="14"/>
        </w:rPr>
        <w:t>HLOs</w:t>
      </w:r>
      <w:r w:rsidRPr="00722E16">
        <w:rPr>
          <w:sz w:val="14"/>
          <w:szCs w:val="14"/>
        </w:rPr>
        <w:t xml:space="preserve">, possible measures were </w:t>
      </w:r>
      <w:proofErr w:type="gramStart"/>
      <w:r w:rsidRPr="00722E16">
        <w:rPr>
          <w:sz w:val="14"/>
          <w:szCs w:val="14"/>
        </w:rPr>
        <w:t>identified</w:t>
      </w:r>
      <w:proofErr w:type="gramEnd"/>
      <w:r w:rsidRPr="00722E16">
        <w:rPr>
          <w:sz w:val="14"/>
          <w:szCs w:val="14"/>
        </w:rPr>
        <w:t xml:space="preserve"> and Options were designed</w:t>
      </w:r>
      <w:r w:rsidRPr="00722E16">
        <w:rPr>
          <w:color w:val="C00000"/>
          <w:sz w:val="14"/>
          <w:szCs w:val="14"/>
        </w:rPr>
        <w:t xml:space="preserve">, </w:t>
      </w:r>
      <w:r w:rsidRPr="00722E16">
        <w:rPr>
          <w:sz w:val="14"/>
          <w:szCs w:val="14"/>
        </w:rPr>
        <w:t xml:space="preserve">based on the initial range of SLR considered (the </w:t>
      </w:r>
      <w:r w:rsidRPr="00722E16">
        <w:rPr>
          <w:i/>
          <w:iCs/>
          <w:sz w:val="14"/>
          <w:szCs w:val="14"/>
        </w:rPr>
        <w:t>High++ (first guess)</w:t>
      </w:r>
      <w:r w:rsidRPr="00722E16">
        <w:rPr>
          <w:sz w:val="14"/>
          <w:szCs w:val="14"/>
        </w:rPr>
        <w:t>) (</w:t>
      </w:r>
      <w:r w:rsidRPr="00722E16">
        <w:rPr>
          <w:color w:val="7F7F7F" w:themeColor="text1" w:themeTint="80"/>
          <w:sz w:val="14"/>
          <w:szCs w:val="14"/>
        </w:rPr>
        <w:t>Ranger et al. 2013, p.242</w:t>
      </w:r>
      <w:r w:rsidRPr="00722E16">
        <w:rPr>
          <w:sz w:val="14"/>
          <w:szCs w:val="14"/>
        </w:rPr>
        <w:t xml:space="preserve">). Moreover, for </w:t>
      </w:r>
      <w:r w:rsidRPr="00722E16">
        <w:rPr>
          <w:i/>
          <w:iCs/>
          <w:sz w:val="14"/>
          <w:szCs w:val="14"/>
        </w:rPr>
        <w:t>sensitivity testing</w:t>
      </w:r>
      <w:r w:rsidRPr="00722E16">
        <w:rPr>
          <w:sz w:val="14"/>
          <w:szCs w:val="14"/>
        </w:rPr>
        <w:t>, it was used ‘</w:t>
      </w:r>
      <w:r w:rsidRPr="00722E16">
        <w:rPr>
          <w:i/>
          <w:iCs/>
          <w:sz w:val="14"/>
          <w:szCs w:val="14"/>
        </w:rPr>
        <w:t xml:space="preserve">an upper-bound of 4,2’ </w:t>
      </w:r>
      <w:r w:rsidRPr="00722E16">
        <w:rPr>
          <w:sz w:val="14"/>
          <w:szCs w:val="14"/>
        </w:rPr>
        <w:t>that represented a</w:t>
      </w:r>
      <w:r w:rsidRPr="00722E16">
        <w:rPr>
          <w:i/>
          <w:iCs/>
          <w:sz w:val="14"/>
          <w:szCs w:val="14"/>
        </w:rPr>
        <w:t xml:space="preserve"> catastrophic SLR scenario (intentionally pessimistic </w:t>
      </w:r>
      <w:r w:rsidRPr="00722E16">
        <w:rPr>
          <w:sz w:val="14"/>
          <w:szCs w:val="14"/>
        </w:rPr>
        <w:t>and that took into account</w:t>
      </w:r>
      <w:r w:rsidRPr="00722E16">
        <w:rPr>
          <w:i/>
          <w:iCs/>
          <w:sz w:val="14"/>
          <w:szCs w:val="14"/>
        </w:rPr>
        <w:t xml:space="preserve"> </w:t>
      </w:r>
      <w:r w:rsidRPr="00722E16">
        <w:rPr>
          <w:sz w:val="14"/>
          <w:szCs w:val="14"/>
        </w:rPr>
        <w:t>most known sources)’, and which was used for assessing</w:t>
      </w:r>
      <w:r w:rsidRPr="00722E16">
        <w:rPr>
          <w:i/>
          <w:iCs/>
          <w:sz w:val="14"/>
          <w:szCs w:val="14"/>
        </w:rPr>
        <w:t xml:space="preserve"> known or estimated key thresholds in between now and this upper-bound figure in terms of vulnerability to impacts, i.e. key thresholds for sensitivity in the system) </w:t>
      </w:r>
      <w:r w:rsidRPr="00722E16">
        <w:rPr>
          <w:sz w:val="14"/>
          <w:szCs w:val="14"/>
        </w:rPr>
        <w:t>(</w:t>
      </w:r>
      <w:r w:rsidRPr="00722E16">
        <w:rPr>
          <w:color w:val="7F7F7F" w:themeColor="text1" w:themeTint="80"/>
          <w:sz w:val="14"/>
          <w:szCs w:val="14"/>
        </w:rPr>
        <w:t>Reeder and Ranger 2011, p.6</w:t>
      </w:r>
      <w:r w:rsidRPr="00722E16">
        <w:rPr>
          <w:sz w:val="14"/>
          <w:szCs w:val="14"/>
        </w:rPr>
        <w:t>).</w:t>
      </w:r>
    </w:p>
    <w:p w14:paraId="122B4041" w14:textId="342668F7" w:rsidR="00C04B00" w:rsidRPr="003A7FAF" w:rsidRDefault="00C04B00" w:rsidP="00C04B00">
      <w:pPr>
        <w:pStyle w:val="TEXTBODY"/>
        <w:spacing w:after="0" w:line="240" w:lineRule="auto"/>
        <w:rPr>
          <w:i/>
          <w:iCs/>
          <w:sz w:val="14"/>
          <w:szCs w:val="14"/>
        </w:rPr>
      </w:pPr>
      <w:bookmarkStart w:id="4" w:name="_Hlk125026171"/>
      <w:r w:rsidRPr="00722E16">
        <w:rPr>
          <w:sz w:val="14"/>
          <w:szCs w:val="14"/>
        </w:rPr>
        <w:t>In the TE2100, CC projections entered the planning and decision-making process at a later stage: firstly, a preliminary ‘worst-case’ scenario of future water level rise was developed [</w:t>
      </w:r>
      <w:r w:rsidRPr="00722E16">
        <w:rPr>
          <w:i/>
          <w:iCs/>
          <w:sz w:val="14"/>
          <w:szCs w:val="14"/>
        </w:rPr>
        <w:t>High++ (first guess)</w:t>
      </w:r>
      <w:r w:rsidRPr="00722E16">
        <w:rPr>
          <w:sz w:val="14"/>
          <w:szCs w:val="14"/>
        </w:rPr>
        <w:t>], which was used in Step 2a, to inform the identification of possible measures, and in Step 2b, to inform the design of HLOs, creating boundaries on the route-map; subsequently, in Step 2c, a ‘central’ scenario [</w:t>
      </w:r>
      <w:r w:rsidRPr="00722E16">
        <w:rPr>
          <w:i/>
          <w:iCs/>
          <w:sz w:val="14"/>
          <w:szCs w:val="14"/>
        </w:rPr>
        <w:t>Defra06</w:t>
      </w:r>
      <w:r w:rsidRPr="00722E16">
        <w:rPr>
          <w:sz w:val="14"/>
          <w:szCs w:val="14"/>
        </w:rPr>
        <w:t xml:space="preserve">] was used in the CBA and MCDA and a set of refined scenarios was then used to explore the sensitivity of the results of the CBA and MCDA to deep uncertainties around CC; and later, these refined scenarios were also used to estimate the timing of relevant </w:t>
      </w:r>
      <w:r w:rsidRPr="00722E16">
        <w:rPr>
          <w:i/>
          <w:iCs/>
          <w:sz w:val="14"/>
          <w:szCs w:val="14"/>
        </w:rPr>
        <w:t>decision-points</w:t>
      </w:r>
      <w:r w:rsidRPr="00722E16">
        <w:rPr>
          <w:sz w:val="14"/>
          <w:szCs w:val="14"/>
        </w:rPr>
        <w:t xml:space="preserve"> (</w:t>
      </w:r>
      <w:r w:rsidRPr="00722E16">
        <w:rPr>
          <w:color w:val="7F7F7F" w:themeColor="text1" w:themeTint="80"/>
          <w:sz w:val="14"/>
          <w:szCs w:val="14"/>
        </w:rPr>
        <w:t>Ranger et al. 2013, p.243</w:t>
      </w:r>
      <w:r w:rsidRPr="00722E16">
        <w:rPr>
          <w:sz w:val="14"/>
          <w:szCs w:val="14"/>
        </w:rPr>
        <w:t xml:space="preserve">). </w:t>
      </w:r>
      <w:bookmarkEnd w:id="4"/>
    </w:p>
  </w:footnote>
  <w:footnote w:id="5">
    <w:p w14:paraId="204CC2A0" w14:textId="305CA1B6" w:rsidR="00C04B00" w:rsidRPr="00722E16" w:rsidRDefault="00C04B00" w:rsidP="00C04B00">
      <w:pPr>
        <w:pStyle w:val="Textodenotaderodap"/>
        <w:rPr>
          <w:sz w:val="14"/>
          <w:szCs w:val="14"/>
        </w:rPr>
      </w:pPr>
      <w:r w:rsidRPr="00722E16">
        <w:rPr>
          <w:rStyle w:val="Refdenotaderodap"/>
          <w:sz w:val="14"/>
          <w:szCs w:val="14"/>
        </w:rPr>
        <w:footnoteRef/>
      </w:r>
      <w:r w:rsidRPr="00722E16">
        <w:rPr>
          <w:sz w:val="14"/>
          <w:szCs w:val="14"/>
        </w:rPr>
        <w:t xml:space="preserve"> The Early Conceptual Options study report was issued in April 2006 (</w:t>
      </w:r>
      <w:r w:rsidR="00F77E53" w:rsidRPr="00722E16">
        <w:rPr>
          <w:color w:val="7F7F7F" w:themeColor="text1" w:themeTint="80"/>
          <w:sz w:val="14"/>
          <w:szCs w:val="14"/>
        </w:rPr>
        <w:t>EA 2009A</w:t>
      </w:r>
      <w:r w:rsidRPr="00722E16">
        <w:rPr>
          <w:color w:val="7F7F7F" w:themeColor="text1" w:themeTint="80"/>
          <w:sz w:val="14"/>
          <w:szCs w:val="14"/>
        </w:rPr>
        <w:t>, p.141</w:t>
      </w:r>
      <w:r w:rsidRPr="00722E16">
        <w:rPr>
          <w:sz w:val="14"/>
          <w:szCs w:val="14"/>
        </w:rPr>
        <w:t xml:space="preserve">). </w:t>
      </w:r>
    </w:p>
  </w:footnote>
  <w:footnote w:id="6">
    <w:p w14:paraId="3BD332C4" w14:textId="77777777" w:rsidR="00C04B00" w:rsidRPr="007D026F" w:rsidRDefault="00C04B00" w:rsidP="00C04B00">
      <w:pPr>
        <w:pStyle w:val="TEXTBODY"/>
        <w:spacing w:after="0" w:line="240" w:lineRule="auto"/>
        <w:jc w:val="left"/>
        <w:rPr>
          <w:color w:val="C00000"/>
          <w:szCs w:val="16"/>
        </w:rPr>
      </w:pPr>
      <w:r w:rsidRPr="00722E16">
        <w:rPr>
          <w:rStyle w:val="Refdenotaderodap"/>
          <w:sz w:val="14"/>
          <w:szCs w:val="14"/>
        </w:rPr>
        <w:footnoteRef/>
      </w:r>
      <w:r w:rsidRPr="00722E16">
        <w:rPr>
          <w:sz w:val="14"/>
          <w:szCs w:val="14"/>
        </w:rPr>
        <w:t xml:space="preserve"> Estuary-wide measures are, e.g.: improving existing defences, constructing a new flood barrier / barrier with locks, or convert the TB to a barrier with locks (</w:t>
      </w:r>
      <w:r w:rsidRPr="00722E16">
        <w:rPr>
          <w:color w:val="7F7F7F" w:themeColor="text1" w:themeTint="80"/>
          <w:sz w:val="14"/>
          <w:szCs w:val="14"/>
        </w:rPr>
        <w:t>EA 2012, p.31; HM Treasury 2009, p.23</w:t>
      </w:r>
      <w:r w:rsidRPr="00722E16">
        <w:rPr>
          <w:sz w:val="14"/>
          <w:szCs w:val="14"/>
        </w:rPr>
        <w:t>)</w:t>
      </w:r>
      <w:r w:rsidRPr="00722E16">
        <w:rPr>
          <w:color w:val="C00000"/>
          <w:sz w:val="14"/>
          <w:szCs w:val="14"/>
        </w:rPr>
        <w:t>.</w:t>
      </w:r>
    </w:p>
  </w:footnote>
  <w:footnote w:id="7">
    <w:p w14:paraId="304F5D59" w14:textId="77777777" w:rsidR="00C04B00" w:rsidRPr="00722E16" w:rsidRDefault="00C04B00" w:rsidP="00C04B00">
      <w:pPr>
        <w:pStyle w:val="Textodenotaderodap"/>
        <w:rPr>
          <w:sz w:val="14"/>
          <w:szCs w:val="14"/>
        </w:rPr>
      </w:pPr>
      <w:r w:rsidRPr="00722E16">
        <w:rPr>
          <w:rStyle w:val="Refdenotaderodap"/>
          <w:sz w:val="14"/>
          <w:szCs w:val="14"/>
        </w:rPr>
        <w:footnoteRef/>
      </w:r>
      <w:r w:rsidRPr="00722E16">
        <w:rPr>
          <w:sz w:val="14"/>
          <w:szCs w:val="14"/>
        </w:rPr>
        <w:t xml:space="preserve"> In the route-map, </w:t>
      </w:r>
      <w:r w:rsidRPr="00722E16">
        <w:rPr>
          <w:sz w:val="14"/>
          <w:szCs w:val="14"/>
          <w:lang w:val="en-US"/>
        </w:rPr>
        <w:t xml:space="preserve">each box represents a </w:t>
      </w:r>
      <w:r w:rsidRPr="00722E16">
        <w:rPr>
          <w:i/>
          <w:iCs/>
          <w:sz w:val="14"/>
          <w:szCs w:val="14"/>
          <w:lang w:val="en-US"/>
        </w:rPr>
        <w:t>portfolio</w:t>
      </w:r>
      <w:r w:rsidRPr="00722E16">
        <w:rPr>
          <w:sz w:val="14"/>
          <w:szCs w:val="14"/>
          <w:lang w:val="en-US"/>
        </w:rPr>
        <w:t xml:space="preserve">, and sequences of </w:t>
      </w:r>
      <w:r w:rsidRPr="00722E16">
        <w:rPr>
          <w:i/>
          <w:iCs/>
          <w:sz w:val="14"/>
          <w:szCs w:val="14"/>
          <w:lang w:val="en-US"/>
        </w:rPr>
        <w:t>portfolios</w:t>
      </w:r>
      <w:r w:rsidRPr="00722E16">
        <w:rPr>
          <w:sz w:val="14"/>
          <w:szCs w:val="14"/>
          <w:lang w:val="en-US"/>
        </w:rPr>
        <w:t xml:space="preserve"> were assembled to produce the HLOs 1-4; the SLR scenarios were introduced in the map later to determine which Options </w:t>
      </w:r>
      <w:proofErr w:type="gramStart"/>
      <w:r w:rsidRPr="00722E16">
        <w:rPr>
          <w:sz w:val="14"/>
          <w:szCs w:val="14"/>
          <w:lang w:val="en-US"/>
        </w:rPr>
        <w:t>are able to</w:t>
      </w:r>
      <w:proofErr w:type="gramEnd"/>
      <w:r w:rsidRPr="00722E16">
        <w:rPr>
          <w:sz w:val="14"/>
          <w:szCs w:val="14"/>
          <w:lang w:val="en-US"/>
        </w:rPr>
        <w:t xml:space="preserve"> deal with which scenario</w:t>
      </w:r>
      <w:r w:rsidRPr="00722E16">
        <w:rPr>
          <w:rFonts w:eastAsiaTheme="minorHAnsi"/>
          <w:sz w:val="14"/>
          <w:szCs w:val="14"/>
          <w:lang w:val="en-US"/>
        </w:rPr>
        <w:t xml:space="preserve"> (</w:t>
      </w:r>
      <w:r w:rsidRPr="00722E16">
        <w:rPr>
          <w:bCs/>
          <w:iCs/>
          <w:color w:val="7F7F7F" w:themeColor="text1" w:themeTint="80"/>
          <w:sz w:val="14"/>
          <w:szCs w:val="14"/>
        </w:rPr>
        <w:t>HM Treasury 2009, p.23</w:t>
      </w:r>
      <w:r w:rsidRPr="00722E16">
        <w:rPr>
          <w:bCs/>
          <w:iCs/>
          <w:sz w:val="14"/>
          <w:szCs w:val="14"/>
        </w:rPr>
        <w:t>).</w:t>
      </w:r>
    </w:p>
  </w:footnote>
  <w:footnote w:id="8">
    <w:p w14:paraId="6FBCF87E" w14:textId="47BCAAE6" w:rsidR="00C04B00" w:rsidRPr="00722E16" w:rsidRDefault="00C04B00" w:rsidP="00C04B00">
      <w:pPr>
        <w:pStyle w:val="Textodenotaderodap"/>
        <w:rPr>
          <w:sz w:val="14"/>
          <w:szCs w:val="14"/>
        </w:rPr>
      </w:pPr>
      <w:r w:rsidRPr="00722E16">
        <w:rPr>
          <w:rStyle w:val="Refdenotaderodap"/>
          <w:sz w:val="14"/>
          <w:szCs w:val="14"/>
        </w:rPr>
        <w:footnoteRef/>
      </w:r>
      <w:r w:rsidRPr="00722E16">
        <w:rPr>
          <w:sz w:val="14"/>
          <w:szCs w:val="14"/>
        </w:rPr>
        <w:t xml:space="preserve"> The HLOs (pathways) were developed in an iterative process, in which the measures identified were tested (to detect thresholds, through a </w:t>
      </w:r>
      <w:r w:rsidRPr="00722E16">
        <w:rPr>
          <w:i/>
          <w:iCs/>
          <w:sz w:val="14"/>
          <w:szCs w:val="14"/>
        </w:rPr>
        <w:t>threshold analysis</w:t>
      </w:r>
      <w:r w:rsidRPr="00722E16">
        <w:rPr>
          <w:sz w:val="14"/>
          <w:szCs w:val="14"/>
        </w:rPr>
        <w:t>) and used to assemble several pathways, which were progressively assessed on several criteria and refined and, subsequently, tested under different SLR scenarios (</w:t>
      </w:r>
      <w:r w:rsidR="00C87D9F" w:rsidRPr="00722E16">
        <w:rPr>
          <w:color w:val="7F7F7F" w:themeColor="text1" w:themeTint="80"/>
          <w:sz w:val="14"/>
          <w:szCs w:val="14"/>
        </w:rPr>
        <w:t>EA 200</w:t>
      </w:r>
      <w:r w:rsidR="00C87D9F">
        <w:rPr>
          <w:color w:val="7F7F7F" w:themeColor="text1" w:themeTint="80"/>
          <w:sz w:val="14"/>
          <w:szCs w:val="14"/>
        </w:rPr>
        <w:t>9a</w:t>
      </w:r>
      <w:r w:rsidR="00C87D9F" w:rsidRPr="00722E16">
        <w:rPr>
          <w:color w:val="7F7F7F" w:themeColor="text1" w:themeTint="80"/>
          <w:sz w:val="14"/>
          <w:szCs w:val="14"/>
        </w:rPr>
        <w:t xml:space="preserve">, </w:t>
      </w:r>
      <w:proofErr w:type="spellStart"/>
      <w:r w:rsidR="00C87D9F" w:rsidRPr="00722E16">
        <w:rPr>
          <w:color w:val="7F7F7F" w:themeColor="text1" w:themeTint="80"/>
          <w:sz w:val="14"/>
          <w:szCs w:val="14"/>
        </w:rPr>
        <w:t>p.x</w:t>
      </w:r>
      <w:proofErr w:type="spellEnd"/>
      <w:r w:rsidR="00C87D9F" w:rsidRPr="00722E16">
        <w:rPr>
          <w:color w:val="7F7F7F" w:themeColor="text1" w:themeTint="80"/>
          <w:sz w:val="14"/>
          <w:szCs w:val="14"/>
        </w:rPr>
        <w:t>-xii</w:t>
      </w:r>
      <w:r w:rsidR="00C87D9F">
        <w:rPr>
          <w:color w:val="7F7F7F" w:themeColor="text1" w:themeTint="80"/>
          <w:sz w:val="14"/>
          <w:szCs w:val="14"/>
        </w:rPr>
        <w:t xml:space="preserve">; </w:t>
      </w:r>
      <w:r w:rsidRPr="00722E16">
        <w:rPr>
          <w:color w:val="7F7F7F" w:themeColor="text1" w:themeTint="80"/>
          <w:sz w:val="14"/>
          <w:szCs w:val="14"/>
        </w:rPr>
        <w:t>2009</w:t>
      </w:r>
      <w:r w:rsidR="00C87D9F">
        <w:rPr>
          <w:color w:val="7F7F7F" w:themeColor="text1" w:themeTint="80"/>
          <w:sz w:val="14"/>
          <w:szCs w:val="14"/>
        </w:rPr>
        <w:t>b</w:t>
      </w:r>
      <w:r w:rsidRPr="00722E16">
        <w:rPr>
          <w:color w:val="7F7F7F" w:themeColor="text1" w:themeTint="80"/>
          <w:sz w:val="14"/>
          <w:szCs w:val="14"/>
        </w:rPr>
        <w:t>, p.3, 1; Lowe et al. 2009, p.86</w:t>
      </w:r>
      <w:r w:rsidRPr="00722E16">
        <w:rPr>
          <w:sz w:val="14"/>
          <w:szCs w:val="14"/>
        </w:rPr>
        <w:t>).</w:t>
      </w:r>
    </w:p>
  </w:footnote>
  <w:footnote w:id="9">
    <w:p w14:paraId="3F95FFD2" w14:textId="6586349D" w:rsidR="00C04B00" w:rsidRPr="006D630A" w:rsidRDefault="00C04B00" w:rsidP="006D630A">
      <w:pPr>
        <w:spacing w:after="0" w:line="240" w:lineRule="auto"/>
        <w:rPr>
          <w:rFonts w:ascii="Times New Roman" w:hAnsi="Times New Roman"/>
          <w:color w:val="C00000"/>
          <w:sz w:val="14"/>
          <w:szCs w:val="14"/>
        </w:rPr>
      </w:pPr>
      <w:r w:rsidRPr="006D630A">
        <w:rPr>
          <w:rStyle w:val="Refdenotaderodap"/>
          <w:rFonts w:ascii="Times New Roman" w:hAnsi="Times New Roman"/>
          <w:sz w:val="14"/>
          <w:szCs w:val="14"/>
        </w:rPr>
        <w:footnoteRef/>
      </w:r>
      <w:r w:rsidRPr="006D630A">
        <w:rPr>
          <w:rFonts w:ascii="Times New Roman" w:hAnsi="Times New Roman"/>
          <w:sz w:val="14"/>
          <w:szCs w:val="14"/>
        </w:rPr>
        <w:t xml:space="preserve"> </w:t>
      </w:r>
      <w:bookmarkStart w:id="11" w:name="_Hlk123304795"/>
      <w:r w:rsidRPr="006D630A">
        <w:rPr>
          <w:rFonts w:ascii="Times New Roman" w:hAnsi="Times New Roman"/>
          <w:sz w:val="14"/>
          <w:szCs w:val="14"/>
        </w:rPr>
        <w:t>The Options consist of</w:t>
      </w:r>
      <w:r w:rsidRPr="006D630A">
        <w:rPr>
          <w:rFonts w:ascii="Times New Roman" w:hAnsi="Times New Roman"/>
          <w:i/>
          <w:iCs/>
          <w:sz w:val="14"/>
          <w:szCs w:val="14"/>
        </w:rPr>
        <w:t xml:space="preserve"> alternative ways of managing flood risk on the TE</w:t>
      </w:r>
      <w:r w:rsidRPr="006D630A">
        <w:rPr>
          <w:rFonts w:ascii="Times New Roman" w:hAnsi="Times New Roman"/>
          <w:sz w:val="14"/>
          <w:szCs w:val="14"/>
        </w:rPr>
        <w:t>, and</w:t>
      </w:r>
      <w:r w:rsidRPr="006D630A">
        <w:rPr>
          <w:rFonts w:ascii="Times New Roman" w:hAnsi="Times New Roman"/>
          <w:i/>
          <w:iCs/>
          <w:sz w:val="14"/>
          <w:szCs w:val="14"/>
        </w:rPr>
        <w:t xml:space="preserve"> </w:t>
      </w:r>
      <w:bookmarkStart w:id="12" w:name="_Hlk123304089"/>
      <w:r w:rsidRPr="006D630A">
        <w:rPr>
          <w:rFonts w:ascii="Times New Roman" w:hAnsi="Times New Roman"/>
          <w:i/>
          <w:iCs/>
          <w:sz w:val="14"/>
          <w:szCs w:val="14"/>
        </w:rPr>
        <w:t>alternative ways of delivering the FRM policies</w:t>
      </w:r>
      <w:bookmarkEnd w:id="12"/>
      <w:r w:rsidRPr="006D630A">
        <w:rPr>
          <w:rFonts w:ascii="Times New Roman" w:hAnsi="Times New Roman"/>
          <w:sz w:val="14"/>
          <w:szCs w:val="14"/>
        </w:rPr>
        <w:t>; each Option is</w:t>
      </w:r>
      <w:r w:rsidRPr="006D630A">
        <w:rPr>
          <w:rFonts w:ascii="Times New Roman" w:hAnsi="Times New Roman"/>
          <w:i/>
          <w:iCs/>
          <w:sz w:val="14"/>
          <w:szCs w:val="14"/>
        </w:rPr>
        <w:t xml:space="preserve"> </w:t>
      </w:r>
      <w:proofErr w:type="gramStart"/>
      <w:r w:rsidRPr="006D630A">
        <w:rPr>
          <w:rFonts w:ascii="Times New Roman" w:hAnsi="Times New Roman"/>
          <w:i/>
          <w:iCs/>
          <w:sz w:val="14"/>
          <w:szCs w:val="14"/>
        </w:rPr>
        <w:t>a number of</w:t>
      </w:r>
      <w:proofErr w:type="gramEnd"/>
      <w:r w:rsidRPr="006D630A">
        <w:rPr>
          <w:rFonts w:ascii="Times New Roman" w:hAnsi="Times New Roman"/>
          <w:i/>
          <w:iCs/>
          <w:sz w:val="14"/>
          <w:szCs w:val="14"/>
        </w:rPr>
        <w:t xml:space="preserve"> portfolios which, when implemented in sequence, provide a complete FRM solution for the next 100 years </w:t>
      </w:r>
      <w:r w:rsidRPr="006D630A">
        <w:rPr>
          <w:rFonts w:ascii="Times New Roman" w:hAnsi="Times New Roman"/>
          <w:sz w:val="14"/>
          <w:szCs w:val="14"/>
        </w:rPr>
        <w:t>(</w:t>
      </w:r>
      <w:r w:rsidR="00F77E53" w:rsidRPr="006D630A">
        <w:rPr>
          <w:rFonts w:ascii="Times New Roman" w:hAnsi="Times New Roman"/>
          <w:color w:val="7F7F7F" w:themeColor="text1" w:themeTint="80"/>
          <w:sz w:val="14"/>
          <w:szCs w:val="14"/>
        </w:rPr>
        <w:t>EA 2009A</w:t>
      </w:r>
      <w:r w:rsidRPr="006D630A">
        <w:rPr>
          <w:rFonts w:ascii="Times New Roman" w:hAnsi="Times New Roman"/>
          <w:color w:val="7F7F7F" w:themeColor="text1" w:themeTint="80"/>
          <w:sz w:val="14"/>
          <w:szCs w:val="14"/>
        </w:rPr>
        <w:t>, p.138</w:t>
      </w:r>
      <w:r w:rsidRPr="006D630A">
        <w:rPr>
          <w:rFonts w:ascii="Times New Roman" w:hAnsi="Times New Roman"/>
          <w:sz w:val="14"/>
          <w:szCs w:val="14"/>
        </w:rPr>
        <w:t>).</w:t>
      </w:r>
      <w:r w:rsidRPr="006D630A">
        <w:rPr>
          <w:rFonts w:ascii="Times New Roman" w:hAnsi="Times New Roman"/>
          <w:i/>
          <w:iCs/>
          <w:sz w:val="14"/>
          <w:szCs w:val="14"/>
        </w:rPr>
        <w:t xml:space="preserve"> Each option consists of a sequence of portfolios of responses </w:t>
      </w:r>
      <w:r w:rsidRPr="006D630A">
        <w:rPr>
          <w:rFonts w:ascii="Times New Roman" w:hAnsi="Times New Roman"/>
          <w:sz w:val="14"/>
          <w:szCs w:val="14"/>
        </w:rPr>
        <w:t>(</w:t>
      </w:r>
      <w:r w:rsidR="00F77E53" w:rsidRPr="006D630A">
        <w:rPr>
          <w:rFonts w:ascii="Times New Roman" w:hAnsi="Times New Roman"/>
          <w:color w:val="7F7F7F" w:themeColor="text1" w:themeTint="80"/>
          <w:sz w:val="14"/>
          <w:szCs w:val="14"/>
        </w:rPr>
        <w:t>EA 2009A</w:t>
      </w:r>
      <w:r w:rsidRPr="006D630A">
        <w:rPr>
          <w:rFonts w:ascii="Times New Roman" w:hAnsi="Times New Roman"/>
          <w:color w:val="7F7F7F" w:themeColor="text1" w:themeTint="80"/>
          <w:sz w:val="14"/>
          <w:szCs w:val="14"/>
        </w:rPr>
        <w:t>, p.150-151</w:t>
      </w:r>
      <w:r w:rsidRPr="006D630A">
        <w:rPr>
          <w:rFonts w:ascii="Times New Roman" w:hAnsi="Times New Roman"/>
          <w:sz w:val="14"/>
          <w:szCs w:val="14"/>
        </w:rPr>
        <w:t xml:space="preserve">). </w:t>
      </w:r>
      <w:r w:rsidRPr="006D630A">
        <w:rPr>
          <w:rFonts w:ascii="Times New Roman" w:hAnsi="Times New Roman"/>
          <w:i/>
          <w:iCs/>
          <w:sz w:val="14"/>
          <w:szCs w:val="14"/>
        </w:rPr>
        <w:t xml:space="preserve">The Options are designed to achieve a range of different criteria </w:t>
      </w:r>
      <w:r w:rsidRPr="006D630A">
        <w:rPr>
          <w:rFonts w:ascii="Times New Roman" w:hAnsi="Times New Roman"/>
          <w:sz w:val="14"/>
          <w:szCs w:val="14"/>
        </w:rPr>
        <w:t xml:space="preserve">(namely the FRM policy </w:t>
      </w:r>
      <w:proofErr w:type="gramStart"/>
      <w:r w:rsidRPr="006D630A">
        <w:rPr>
          <w:rFonts w:ascii="Times New Roman" w:hAnsi="Times New Roman"/>
          <w:sz w:val="14"/>
          <w:szCs w:val="14"/>
        </w:rPr>
        <w:t>set</w:t>
      </w:r>
      <w:proofErr w:type="gramEnd"/>
      <w:r w:rsidRPr="006D630A">
        <w:rPr>
          <w:rFonts w:ascii="Times New Roman" w:hAnsi="Times New Roman"/>
          <w:sz w:val="14"/>
          <w:szCs w:val="14"/>
        </w:rPr>
        <w:t xml:space="preserve"> and the key-thresholds assumed) (</w:t>
      </w:r>
      <w:r w:rsidR="00F77E53" w:rsidRPr="006D630A">
        <w:rPr>
          <w:rFonts w:ascii="Times New Roman" w:hAnsi="Times New Roman"/>
          <w:color w:val="7F7F7F" w:themeColor="text1" w:themeTint="80"/>
          <w:sz w:val="14"/>
          <w:szCs w:val="14"/>
        </w:rPr>
        <w:t>EA 2009A</w:t>
      </w:r>
      <w:r w:rsidRPr="006D630A">
        <w:rPr>
          <w:rFonts w:ascii="Times New Roman" w:hAnsi="Times New Roman"/>
          <w:color w:val="7F7F7F" w:themeColor="text1" w:themeTint="80"/>
          <w:sz w:val="14"/>
          <w:szCs w:val="14"/>
        </w:rPr>
        <w:t>, p.150-151, 95, 116</w:t>
      </w:r>
      <w:r w:rsidRPr="006D630A">
        <w:rPr>
          <w:rFonts w:ascii="Times New Roman" w:hAnsi="Times New Roman"/>
          <w:sz w:val="14"/>
          <w:szCs w:val="14"/>
        </w:rPr>
        <w:t>). Each Option is made up of</w:t>
      </w:r>
      <w:r w:rsidRPr="006D630A">
        <w:rPr>
          <w:rFonts w:ascii="Times New Roman" w:hAnsi="Times New Roman"/>
          <w:i/>
          <w:iCs/>
          <w:sz w:val="14"/>
          <w:szCs w:val="14"/>
        </w:rPr>
        <w:t xml:space="preserve"> portfolios </w:t>
      </w:r>
      <w:r w:rsidRPr="006D630A">
        <w:rPr>
          <w:rFonts w:ascii="Times New Roman" w:hAnsi="Times New Roman"/>
          <w:sz w:val="14"/>
          <w:szCs w:val="14"/>
        </w:rPr>
        <w:t>that are</w:t>
      </w:r>
      <w:r w:rsidRPr="006D630A">
        <w:rPr>
          <w:rFonts w:ascii="Times New Roman" w:hAnsi="Times New Roman"/>
          <w:i/>
          <w:iCs/>
          <w:sz w:val="14"/>
          <w:szCs w:val="14"/>
        </w:rPr>
        <w:t xml:space="preserve"> </w:t>
      </w:r>
      <w:r w:rsidRPr="006D630A">
        <w:rPr>
          <w:rFonts w:ascii="Times New Roman" w:hAnsi="Times New Roman"/>
          <w:sz w:val="14"/>
          <w:szCs w:val="14"/>
        </w:rPr>
        <w:t>sequenced and implemented over time</w:t>
      </w:r>
      <w:r w:rsidRPr="006D630A">
        <w:rPr>
          <w:rFonts w:ascii="Times New Roman" w:hAnsi="Times New Roman"/>
          <w:i/>
          <w:iCs/>
          <w:sz w:val="14"/>
          <w:szCs w:val="14"/>
        </w:rPr>
        <w:t xml:space="preserve"> (each portfolio of responses reduces flood risk so that it stays below the target level) </w:t>
      </w:r>
      <w:r w:rsidRPr="006D630A">
        <w:rPr>
          <w:rFonts w:ascii="Times New Roman" w:hAnsi="Times New Roman"/>
          <w:sz w:val="14"/>
          <w:szCs w:val="14"/>
        </w:rPr>
        <w:t>(</w:t>
      </w:r>
      <w:r w:rsidR="00F77E53" w:rsidRPr="006D630A">
        <w:rPr>
          <w:rFonts w:ascii="Times New Roman" w:hAnsi="Times New Roman"/>
          <w:color w:val="7F7F7F" w:themeColor="text1" w:themeTint="80"/>
          <w:sz w:val="14"/>
          <w:szCs w:val="14"/>
        </w:rPr>
        <w:t>EA 2009A</w:t>
      </w:r>
      <w:r w:rsidRPr="006D630A">
        <w:rPr>
          <w:rFonts w:ascii="Times New Roman" w:hAnsi="Times New Roman"/>
          <w:color w:val="7F7F7F" w:themeColor="text1" w:themeTint="80"/>
          <w:sz w:val="14"/>
          <w:szCs w:val="14"/>
        </w:rPr>
        <w:t>, p.139</w:t>
      </w:r>
      <w:r w:rsidRPr="006D630A">
        <w:rPr>
          <w:rFonts w:ascii="Times New Roman" w:hAnsi="Times New Roman"/>
          <w:sz w:val="14"/>
          <w:szCs w:val="14"/>
        </w:rPr>
        <w:t>).</w:t>
      </w:r>
      <w:r w:rsidRPr="006D630A">
        <w:rPr>
          <w:rFonts w:ascii="Times New Roman" w:hAnsi="Times New Roman"/>
          <w:i/>
          <w:iCs/>
          <w:sz w:val="14"/>
          <w:szCs w:val="14"/>
        </w:rPr>
        <w:t xml:space="preserve"> The dates </w:t>
      </w:r>
      <w:r w:rsidRPr="006D630A">
        <w:rPr>
          <w:rFonts w:ascii="Times New Roman" w:hAnsi="Times New Roman"/>
          <w:sz w:val="14"/>
          <w:szCs w:val="14"/>
        </w:rPr>
        <w:t>(points)</w:t>
      </w:r>
      <w:r w:rsidRPr="006D630A">
        <w:rPr>
          <w:rFonts w:ascii="Times New Roman" w:hAnsi="Times New Roman"/>
          <w:i/>
          <w:iCs/>
          <w:sz w:val="14"/>
          <w:szCs w:val="14"/>
        </w:rPr>
        <w:t xml:space="preserve"> at which one portfolio changes to another portfolio depend on key thresholds for FRM assumed </w:t>
      </w:r>
      <w:r w:rsidRPr="006D630A">
        <w:rPr>
          <w:rFonts w:ascii="Times New Roman" w:hAnsi="Times New Roman"/>
          <w:sz w:val="14"/>
          <w:szCs w:val="14"/>
        </w:rPr>
        <w:t>(</w:t>
      </w:r>
      <w:r w:rsidR="00F77E53" w:rsidRPr="006D630A">
        <w:rPr>
          <w:rFonts w:ascii="Times New Roman" w:hAnsi="Times New Roman"/>
          <w:color w:val="7F7F7F" w:themeColor="text1" w:themeTint="80"/>
          <w:sz w:val="14"/>
          <w:szCs w:val="14"/>
        </w:rPr>
        <w:t>EA 2009A</w:t>
      </w:r>
      <w:r w:rsidRPr="006D630A">
        <w:rPr>
          <w:rFonts w:ascii="Times New Roman" w:hAnsi="Times New Roman"/>
          <w:color w:val="7F7F7F" w:themeColor="text1" w:themeTint="80"/>
          <w:sz w:val="14"/>
          <w:szCs w:val="14"/>
        </w:rPr>
        <w:t>, p.149-150</w:t>
      </w:r>
      <w:r w:rsidRPr="006D630A">
        <w:rPr>
          <w:rFonts w:ascii="Times New Roman" w:hAnsi="Times New Roman"/>
          <w:sz w:val="14"/>
          <w:szCs w:val="14"/>
        </w:rPr>
        <w:t>).</w:t>
      </w:r>
      <w:bookmarkEnd w:id="11"/>
      <w:r w:rsidRPr="006D630A">
        <w:rPr>
          <w:rFonts w:ascii="Times New Roman" w:hAnsi="Times New Roman"/>
          <w:sz w:val="14"/>
          <w:szCs w:val="14"/>
        </w:rPr>
        <w:t xml:space="preserve"> </w:t>
      </w:r>
      <w:bookmarkStart w:id="13" w:name="_Hlk123304935"/>
      <w:r w:rsidRPr="006D630A">
        <w:rPr>
          <w:rFonts w:ascii="Times New Roman" w:hAnsi="Times New Roman"/>
          <w:sz w:val="14"/>
          <w:szCs w:val="14"/>
        </w:rPr>
        <w:t xml:space="preserve">Thus, </w:t>
      </w:r>
      <w:r w:rsidRPr="006D630A">
        <w:rPr>
          <w:rFonts w:ascii="Times New Roman" w:hAnsi="Times New Roman"/>
          <w:i/>
          <w:iCs/>
          <w:sz w:val="14"/>
          <w:szCs w:val="14"/>
        </w:rPr>
        <w:t xml:space="preserve">FRM activities or interventions are sequenced through the century (the sequencing of these interventions) </w:t>
      </w:r>
      <w:r w:rsidRPr="006D630A">
        <w:rPr>
          <w:rFonts w:ascii="Times New Roman" w:hAnsi="Times New Roman"/>
          <w:sz w:val="14"/>
          <w:szCs w:val="14"/>
        </w:rPr>
        <w:t>(</w:t>
      </w:r>
      <w:r w:rsidR="00F77E53" w:rsidRPr="006D630A">
        <w:rPr>
          <w:rFonts w:ascii="Times New Roman" w:hAnsi="Times New Roman"/>
          <w:color w:val="7F7F7F" w:themeColor="text1" w:themeTint="80"/>
          <w:sz w:val="14"/>
          <w:szCs w:val="14"/>
        </w:rPr>
        <w:t>EA 2009A</w:t>
      </w:r>
      <w:r w:rsidRPr="006D630A">
        <w:rPr>
          <w:rFonts w:ascii="Times New Roman" w:hAnsi="Times New Roman"/>
          <w:color w:val="7F7F7F" w:themeColor="text1" w:themeTint="80"/>
          <w:sz w:val="14"/>
          <w:szCs w:val="14"/>
        </w:rPr>
        <w:t>, p.262</w:t>
      </w:r>
      <w:r w:rsidRPr="006D630A">
        <w:rPr>
          <w:rFonts w:ascii="Times New Roman" w:hAnsi="Times New Roman"/>
          <w:sz w:val="14"/>
          <w:szCs w:val="14"/>
        </w:rPr>
        <w:t>).</w:t>
      </w:r>
      <w:bookmarkEnd w:id="13"/>
      <w:r w:rsidRPr="006D630A">
        <w:rPr>
          <w:rFonts w:ascii="Times New Roman" w:hAnsi="Times New Roman"/>
          <w:sz w:val="14"/>
          <w:szCs w:val="14"/>
        </w:rPr>
        <w:t xml:space="preserve"> </w:t>
      </w:r>
      <w:bookmarkStart w:id="14" w:name="_Hlk123309623"/>
      <w:r w:rsidRPr="006D630A">
        <w:rPr>
          <w:rFonts w:ascii="Times New Roman" w:hAnsi="Times New Roman"/>
          <w:i/>
          <w:iCs/>
          <w:sz w:val="14"/>
          <w:szCs w:val="14"/>
        </w:rPr>
        <w:t xml:space="preserve">Each Option includes a sequence of interventions over the next 100 years </w:t>
      </w:r>
      <w:r w:rsidRPr="006D630A">
        <w:rPr>
          <w:rFonts w:ascii="Times New Roman" w:hAnsi="Times New Roman"/>
          <w:sz w:val="14"/>
          <w:szCs w:val="14"/>
        </w:rPr>
        <w:t>(</w:t>
      </w:r>
      <w:r w:rsidR="00F77E53" w:rsidRPr="006D630A">
        <w:rPr>
          <w:rFonts w:ascii="Times New Roman" w:hAnsi="Times New Roman"/>
          <w:color w:val="7F7F7F" w:themeColor="text1" w:themeTint="80"/>
          <w:sz w:val="14"/>
          <w:szCs w:val="14"/>
        </w:rPr>
        <w:t>EA 2009A</w:t>
      </w:r>
      <w:r w:rsidRPr="006D630A">
        <w:rPr>
          <w:rFonts w:ascii="Times New Roman" w:hAnsi="Times New Roman"/>
          <w:color w:val="7F7F7F" w:themeColor="text1" w:themeTint="80"/>
          <w:sz w:val="14"/>
          <w:szCs w:val="14"/>
        </w:rPr>
        <w:t>, p.277</w:t>
      </w:r>
      <w:r w:rsidRPr="006D630A">
        <w:rPr>
          <w:rFonts w:ascii="Times New Roman" w:hAnsi="Times New Roman"/>
          <w:sz w:val="14"/>
          <w:szCs w:val="14"/>
        </w:rPr>
        <w:t xml:space="preserve">). </w:t>
      </w:r>
      <w:r w:rsidRPr="006D630A">
        <w:rPr>
          <w:rFonts w:ascii="Times New Roman" w:hAnsi="Times New Roman"/>
          <w:i/>
          <w:iCs/>
          <w:sz w:val="14"/>
          <w:szCs w:val="14"/>
        </w:rPr>
        <w:t xml:space="preserve">Each Estuary-wide Option comprises a sequence of ‘portfolios of responses’ over the next 100 years </w:t>
      </w:r>
      <w:r w:rsidRPr="006D630A">
        <w:rPr>
          <w:rFonts w:ascii="Times New Roman" w:hAnsi="Times New Roman"/>
          <w:sz w:val="14"/>
          <w:szCs w:val="14"/>
        </w:rPr>
        <w:t>(</w:t>
      </w:r>
      <w:r w:rsidR="00F77E53" w:rsidRPr="006D630A">
        <w:rPr>
          <w:rFonts w:ascii="Times New Roman" w:hAnsi="Times New Roman"/>
          <w:color w:val="7F7F7F" w:themeColor="text1" w:themeTint="80"/>
          <w:sz w:val="14"/>
          <w:szCs w:val="14"/>
        </w:rPr>
        <w:t>EA 2009A</w:t>
      </w:r>
      <w:r w:rsidRPr="006D630A">
        <w:rPr>
          <w:rFonts w:ascii="Times New Roman" w:hAnsi="Times New Roman"/>
          <w:color w:val="7F7F7F" w:themeColor="text1" w:themeTint="80"/>
          <w:sz w:val="14"/>
          <w:szCs w:val="14"/>
        </w:rPr>
        <w:t>, p.297</w:t>
      </w:r>
      <w:r w:rsidRPr="006D630A">
        <w:rPr>
          <w:rFonts w:ascii="Times New Roman" w:hAnsi="Times New Roman"/>
          <w:sz w:val="14"/>
          <w:szCs w:val="14"/>
        </w:rPr>
        <w:t>).</w:t>
      </w:r>
      <w:r w:rsidRPr="006D630A">
        <w:rPr>
          <w:rFonts w:ascii="Times New Roman" w:hAnsi="Times New Roman"/>
          <w:color w:val="C00000"/>
          <w:sz w:val="14"/>
          <w:szCs w:val="14"/>
        </w:rPr>
        <w:t xml:space="preserve"> </w:t>
      </w:r>
      <w:bookmarkEnd w:id="14"/>
    </w:p>
  </w:footnote>
  <w:footnote w:id="10">
    <w:p w14:paraId="7883F37A" w14:textId="31F923B4" w:rsidR="00C04B00" w:rsidRPr="006D630A" w:rsidRDefault="00C04B00" w:rsidP="006D630A">
      <w:pPr>
        <w:pStyle w:val="Textodenotaderodap"/>
        <w:rPr>
          <w:sz w:val="14"/>
          <w:szCs w:val="14"/>
        </w:rPr>
      </w:pPr>
      <w:r w:rsidRPr="006D630A">
        <w:rPr>
          <w:rStyle w:val="Refdenotaderodap"/>
          <w:sz w:val="14"/>
          <w:szCs w:val="14"/>
        </w:rPr>
        <w:footnoteRef/>
      </w:r>
      <w:r w:rsidRPr="006D630A">
        <w:rPr>
          <w:rStyle w:val="Refdenotaderodap"/>
          <w:sz w:val="14"/>
          <w:szCs w:val="14"/>
        </w:rPr>
        <w:t xml:space="preserve"> </w:t>
      </w:r>
      <w:r w:rsidRPr="006D630A">
        <w:rPr>
          <w:sz w:val="14"/>
          <w:szCs w:val="14"/>
        </w:rPr>
        <w:t xml:space="preserve">The </w:t>
      </w:r>
      <w:r w:rsidRPr="006D630A">
        <w:rPr>
          <w:i/>
          <w:iCs/>
          <w:sz w:val="14"/>
          <w:szCs w:val="14"/>
        </w:rPr>
        <w:t>Estuary-wide</w:t>
      </w:r>
      <w:r w:rsidRPr="006D630A">
        <w:rPr>
          <w:sz w:val="14"/>
          <w:szCs w:val="14"/>
        </w:rPr>
        <w:t xml:space="preserve"> </w:t>
      </w:r>
      <w:r w:rsidRPr="006D630A">
        <w:rPr>
          <w:i/>
          <w:iCs/>
          <w:sz w:val="14"/>
          <w:szCs w:val="14"/>
        </w:rPr>
        <w:t>Options</w:t>
      </w:r>
      <w:r w:rsidRPr="006D630A">
        <w:rPr>
          <w:sz w:val="14"/>
          <w:szCs w:val="14"/>
        </w:rPr>
        <w:t xml:space="preserve"> were elaborated based on the</w:t>
      </w:r>
      <w:r w:rsidRPr="006D630A">
        <w:rPr>
          <w:color w:val="C00000"/>
          <w:sz w:val="14"/>
          <w:szCs w:val="14"/>
        </w:rPr>
        <w:t xml:space="preserve"> </w:t>
      </w:r>
      <w:r w:rsidRPr="006D630A">
        <w:rPr>
          <w:sz w:val="14"/>
          <w:szCs w:val="14"/>
        </w:rPr>
        <w:t xml:space="preserve">HLOs, which were further refined and detailed assuming the </w:t>
      </w:r>
      <w:r w:rsidRPr="006D630A">
        <w:rPr>
          <w:i/>
          <w:iCs/>
          <w:sz w:val="14"/>
          <w:szCs w:val="14"/>
        </w:rPr>
        <w:t>Defra06 scenario</w:t>
      </w:r>
      <w:r w:rsidRPr="006D630A">
        <w:rPr>
          <w:sz w:val="14"/>
          <w:szCs w:val="14"/>
        </w:rPr>
        <w:t xml:space="preserve"> (as the </w:t>
      </w:r>
      <w:r w:rsidRPr="006D630A">
        <w:rPr>
          <w:i/>
          <w:iCs/>
          <w:sz w:val="14"/>
          <w:szCs w:val="14"/>
        </w:rPr>
        <w:t>most likely</w:t>
      </w:r>
      <w:r w:rsidRPr="006D630A">
        <w:rPr>
          <w:sz w:val="14"/>
          <w:szCs w:val="14"/>
        </w:rPr>
        <w:t xml:space="preserve"> scenario) (</w:t>
      </w:r>
      <w:r w:rsidR="00C87D9F" w:rsidRPr="006D630A">
        <w:rPr>
          <w:color w:val="7F7F7F" w:themeColor="text1" w:themeTint="80"/>
          <w:sz w:val="14"/>
          <w:szCs w:val="14"/>
        </w:rPr>
        <w:t>EA</w:t>
      </w:r>
      <w:r w:rsidRPr="006D630A">
        <w:rPr>
          <w:color w:val="7F7F7F" w:themeColor="text1" w:themeTint="80"/>
          <w:sz w:val="14"/>
          <w:szCs w:val="14"/>
        </w:rPr>
        <w:t xml:space="preserve"> 2009</w:t>
      </w:r>
      <w:r w:rsidR="00C87D9F" w:rsidRPr="006D630A">
        <w:rPr>
          <w:color w:val="7F7F7F" w:themeColor="text1" w:themeTint="80"/>
          <w:sz w:val="14"/>
          <w:szCs w:val="14"/>
        </w:rPr>
        <w:t>b</w:t>
      </w:r>
      <w:r w:rsidRPr="006D630A">
        <w:rPr>
          <w:color w:val="7F7F7F" w:themeColor="text1" w:themeTint="80"/>
          <w:sz w:val="14"/>
          <w:szCs w:val="14"/>
        </w:rPr>
        <w:t>, p.4; Ramsbottom and Sheppard 2017, p.6, 8, 10</w:t>
      </w:r>
      <w:r w:rsidRPr="006D630A">
        <w:rPr>
          <w:sz w:val="14"/>
          <w:szCs w:val="14"/>
        </w:rPr>
        <w:t xml:space="preserve">). These </w:t>
      </w:r>
      <w:r w:rsidRPr="006D630A">
        <w:rPr>
          <w:i/>
          <w:iCs/>
          <w:sz w:val="14"/>
          <w:szCs w:val="14"/>
        </w:rPr>
        <w:t>Options</w:t>
      </w:r>
      <w:r w:rsidRPr="006D630A">
        <w:rPr>
          <w:sz w:val="14"/>
          <w:szCs w:val="14"/>
        </w:rPr>
        <w:t xml:space="preserve"> were derived from (and correspond to) the HLOs developed in Step 2b, which were refined for the </w:t>
      </w:r>
      <w:r w:rsidRPr="006D630A">
        <w:rPr>
          <w:i/>
          <w:iCs/>
          <w:sz w:val="14"/>
          <w:szCs w:val="14"/>
        </w:rPr>
        <w:t>Defra06 scenario</w:t>
      </w:r>
      <w:r w:rsidRPr="006D630A">
        <w:rPr>
          <w:sz w:val="14"/>
          <w:szCs w:val="14"/>
        </w:rPr>
        <w:t xml:space="preserve"> (i.e. the HLOs were further developed into generic </w:t>
      </w:r>
      <w:r w:rsidRPr="006D630A">
        <w:rPr>
          <w:i/>
          <w:iCs/>
          <w:sz w:val="14"/>
          <w:szCs w:val="14"/>
        </w:rPr>
        <w:t>Estuary-wide options</w:t>
      </w:r>
      <w:r w:rsidRPr="006D630A">
        <w:rPr>
          <w:color w:val="C00000"/>
          <w:sz w:val="14"/>
          <w:szCs w:val="14"/>
        </w:rPr>
        <w:t xml:space="preserve"> </w:t>
      </w:r>
      <w:r w:rsidRPr="006D630A">
        <w:rPr>
          <w:sz w:val="14"/>
          <w:szCs w:val="14"/>
        </w:rPr>
        <w:t>(</w:t>
      </w:r>
      <w:r w:rsidRPr="006D630A">
        <w:rPr>
          <w:color w:val="7F7F7F" w:themeColor="text1" w:themeTint="80"/>
          <w:sz w:val="14"/>
          <w:szCs w:val="14"/>
        </w:rPr>
        <w:t>EA 2012, p.35</w:t>
      </w:r>
      <w:r w:rsidRPr="006D630A">
        <w:rPr>
          <w:sz w:val="14"/>
          <w:szCs w:val="14"/>
        </w:rPr>
        <w:t xml:space="preserve">). These </w:t>
      </w:r>
      <w:r w:rsidRPr="006D630A">
        <w:rPr>
          <w:i/>
          <w:iCs/>
          <w:sz w:val="14"/>
          <w:szCs w:val="14"/>
        </w:rPr>
        <w:t xml:space="preserve">Options </w:t>
      </w:r>
      <w:r w:rsidRPr="006D630A">
        <w:rPr>
          <w:sz w:val="14"/>
          <w:szCs w:val="14"/>
        </w:rPr>
        <w:t xml:space="preserve">are </w:t>
      </w:r>
      <w:r w:rsidRPr="006D630A">
        <w:rPr>
          <w:i/>
          <w:sz w:val="14"/>
          <w:szCs w:val="14"/>
        </w:rPr>
        <w:t>tangible ways of delivering the assigned policies</w:t>
      </w:r>
      <w:r w:rsidRPr="006D630A">
        <w:rPr>
          <w:sz w:val="14"/>
          <w:szCs w:val="14"/>
        </w:rPr>
        <w:t xml:space="preserve"> with different costs and levels of complexity (</w:t>
      </w:r>
      <w:r w:rsidRPr="006D630A">
        <w:rPr>
          <w:color w:val="7F7F7F" w:themeColor="text1" w:themeTint="80"/>
          <w:sz w:val="14"/>
          <w:szCs w:val="14"/>
        </w:rPr>
        <w:t>Penning-Rowsell et al. 2013</w:t>
      </w:r>
      <w:r w:rsidRPr="006D630A">
        <w:rPr>
          <w:sz w:val="14"/>
          <w:szCs w:val="14"/>
        </w:rPr>
        <w:t>), and they also consider other objectives of the TE2100 beyond FRM, e.g.: the need to maintain the existing defence system, habitat creation requirements, links with riverside developments, etc. (</w:t>
      </w:r>
      <w:r w:rsidRPr="006D630A">
        <w:rPr>
          <w:color w:val="7F7F7F" w:themeColor="text1" w:themeTint="80"/>
          <w:sz w:val="14"/>
          <w:szCs w:val="14"/>
        </w:rPr>
        <w:t>Ramsbottom and Sheppard 2017, p.11</w:t>
      </w:r>
      <w:r w:rsidRPr="006D630A">
        <w:rPr>
          <w:sz w:val="14"/>
          <w:szCs w:val="14"/>
        </w:rPr>
        <w:t xml:space="preserve">). These </w:t>
      </w:r>
      <w:r w:rsidRPr="006D630A">
        <w:rPr>
          <w:i/>
          <w:iCs/>
          <w:sz w:val="14"/>
          <w:szCs w:val="14"/>
        </w:rPr>
        <w:t>Options</w:t>
      </w:r>
      <w:r w:rsidRPr="006D630A">
        <w:rPr>
          <w:sz w:val="14"/>
          <w:szCs w:val="14"/>
        </w:rPr>
        <w:t xml:space="preserve"> (presented in the</w:t>
      </w:r>
      <w:r w:rsidR="00EB63A1" w:rsidRPr="006D630A">
        <w:rPr>
          <w:sz w:val="14"/>
          <w:szCs w:val="14"/>
        </w:rPr>
        <w:t xml:space="preserve"> </w:t>
      </w:r>
      <w:r w:rsidR="00EB63A1" w:rsidRPr="006D630A">
        <w:rPr>
          <w:i/>
          <w:iCs/>
          <w:sz w:val="14"/>
          <w:szCs w:val="14"/>
        </w:rPr>
        <w:t>Technical Report</w:t>
      </w:r>
      <w:r w:rsidRPr="006D630A">
        <w:rPr>
          <w:sz w:val="14"/>
          <w:szCs w:val="14"/>
        </w:rPr>
        <w:t>) were derived from the HLOs and detailed assuming a 0,9m rise by 2100</w:t>
      </w:r>
      <w:r w:rsidRPr="006D630A">
        <w:rPr>
          <w:color w:val="00B050"/>
          <w:sz w:val="14"/>
          <w:szCs w:val="14"/>
        </w:rPr>
        <w:t xml:space="preserve">; </w:t>
      </w:r>
      <w:r w:rsidRPr="006D630A">
        <w:rPr>
          <w:sz w:val="14"/>
          <w:szCs w:val="14"/>
        </w:rPr>
        <w:t>under this scenario, it will not be necessary to build a new barrier, or rebuild the TB, until 2070 (</w:t>
      </w:r>
      <w:proofErr w:type="spellStart"/>
      <w:r w:rsidRPr="006D630A">
        <w:rPr>
          <w:color w:val="7F7F7F" w:themeColor="text1" w:themeTint="80"/>
          <w:sz w:val="14"/>
          <w:szCs w:val="14"/>
        </w:rPr>
        <w:t>Jeuken</w:t>
      </w:r>
      <w:proofErr w:type="spellEnd"/>
      <w:r w:rsidRPr="006D630A">
        <w:rPr>
          <w:color w:val="7F7F7F" w:themeColor="text1" w:themeTint="80"/>
          <w:sz w:val="14"/>
          <w:szCs w:val="14"/>
        </w:rPr>
        <w:t xml:space="preserve"> et al. 2014, p.6</w:t>
      </w:r>
      <w:r w:rsidRPr="006D630A">
        <w:rPr>
          <w:sz w:val="14"/>
          <w:szCs w:val="14"/>
        </w:rPr>
        <w:t>).</w:t>
      </w:r>
    </w:p>
  </w:footnote>
  <w:footnote w:id="11">
    <w:p w14:paraId="79208781" w14:textId="7678FF3F" w:rsidR="00C04B00" w:rsidRPr="006D630A" w:rsidRDefault="00C04B00" w:rsidP="006D630A">
      <w:pPr>
        <w:spacing w:after="0" w:line="240" w:lineRule="auto"/>
        <w:jc w:val="left"/>
        <w:rPr>
          <w:rFonts w:ascii="Times New Roman" w:hAnsi="Times New Roman"/>
          <w:bCs/>
          <w:sz w:val="14"/>
          <w:szCs w:val="14"/>
        </w:rPr>
      </w:pPr>
      <w:r w:rsidRPr="006D630A">
        <w:rPr>
          <w:rStyle w:val="Refdenotaderodap"/>
          <w:rFonts w:ascii="Times New Roman" w:hAnsi="Times New Roman"/>
          <w:sz w:val="14"/>
          <w:szCs w:val="14"/>
        </w:rPr>
        <w:footnoteRef/>
      </w:r>
      <w:r w:rsidRPr="006D630A">
        <w:rPr>
          <w:rFonts w:ascii="Times New Roman" w:hAnsi="Times New Roman"/>
          <w:sz w:val="14"/>
          <w:szCs w:val="14"/>
        </w:rPr>
        <w:t xml:space="preserve"> </w:t>
      </w:r>
      <w:proofErr w:type="gramStart"/>
      <w:r w:rsidRPr="006D630A">
        <w:rPr>
          <w:rFonts w:ascii="Times New Roman" w:hAnsi="Times New Roman"/>
          <w:i/>
          <w:iCs/>
          <w:sz w:val="14"/>
          <w:szCs w:val="14"/>
        </w:rPr>
        <w:t>In order to</w:t>
      </w:r>
      <w:proofErr w:type="gramEnd"/>
      <w:r w:rsidRPr="006D630A">
        <w:rPr>
          <w:rFonts w:ascii="Times New Roman" w:hAnsi="Times New Roman"/>
          <w:i/>
          <w:iCs/>
          <w:sz w:val="14"/>
          <w:szCs w:val="14"/>
        </w:rPr>
        <w:t xml:space="preserve"> decide on the Plan, the Team had to understand and assess the impacts of all Options (including all Estuary-wide Options) and has used two main methods– economic appraisal and strategic environmental assessment </w:t>
      </w:r>
      <w:r w:rsidRPr="006D630A">
        <w:rPr>
          <w:rFonts w:ascii="Times New Roman" w:hAnsi="Times New Roman"/>
          <w:sz w:val="14"/>
          <w:szCs w:val="14"/>
        </w:rPr>
        <w:t>(</w:t>
      </w:r>
      <w:r w:rsidRPr="006D630A">
        <w:rPr>
          <w:rFonts w:ascii="Times New Roman" w:hAnsi="Times New Roman"/>
          <w:color w:val="7F7F7F" w:themeColor="text1" w:themeTint="80"/>
          <w:sz w:val="14"/>
          <w:szCs w:val="14"/>
        </w:rPr>
        <w:t>EA 2012, p.40</w:t>
      </w:r>
      <w:r w:rsidRPr="006D630A">
        <w:rPr>
          <w:rFonts w:ascii="Times New Roman" w:hAnsi="Times New Roman"/>
          <w:sz w:val="14"/>
          <w:szCs w:val="14"/>
        </w:rPr>
        <w:t xml:space="preserve">). </w:t>
      </w:r>
      <w:bookmarkStart w:id="16" w:name="_Hlk122971810"/>
      <w:r w:rsidRPr="006D630A">
        <w:rPr>
          <w:rFonts w:ascii="Times New Roman" w:hAnsi="Times New Roman"/>
          <w:bCs/>
          <w:i/>
          <w:iCs/>
          <w:sz w:val="14"/>
          <w:szCs w:val="14"/>
          <w:lang w:val="en-US"/>
        </w:rPr>
        <w:t xml:space="preserve">SEA was carried out at the same time as developing and drafting the Plan; it helped us develop and assess strategic alternatives and identify opportunities for policy amendments and environmental mitigation, while shaping our early thoughts on the content of the Plan </w:t>
      </w:r>
      <w:r w:rsidRPr="006D630A">
        <w:rPr>
          <w:rFonts w:ascii="Times New Roman" w:hAnsi="Times New Roman"/>
          <w:bCs/>
          <w:sz w:val="14"/>
          <w:szCs w:val="14"/>
        </w:rPr>
        <w:t>(</w:t>
      </w:r>
      <w:r w:rsidR="00F77E53" w:rsidRPr="006D630A">
        <w:rPr>
          <w:rFonts w:ascii="Times New Roman" w:hAnsi="Times New Roman"/>
          <w:bCs/>
          <w:color w:val="7F7F7F" w:themeColor="text1" w:themeTint="80"/>
          <w:sz w:val="14"/>
          <w:szCs w:val="14"/>
        </w:rPr>
        <w:t>EA 2009A</w:t>
      </w:r>
      <w:r w:rsidRPr="006D630A">
        <w:rPr>
          <w:rFonts w:ascii="Times New Roman" w:hAnsi="Times New Roman"/>
          <w:bCs/>
          <w:color w:val="7F7F7F" w:themeColor="text1" w:themeTint="80"/>
          <w:sz w:val="14"/>
          <w:szCs w:val="14"/>
        </w:rPr>
        <w:t xml:space="preserve">, </w:t>
      </w:r>
      <w:proofErr w:type="spellStart"/>
      <w:r w:rsidRPr="006D630A">
        <w:rPr>
          <w:rFonts w:ascii="Times New Roman" w:hAnsi="Times New Roman"/>
          <w:bCs/>
          <w:color w:val="7F7F7F" w:themeColor="text1" w:themeTint="80"/>
          <w:sz w:val="14"/>
          <w:szCs w:val="14"/>
        </w:rPr>
        <w:t>p.xx</w:t>
      </w:r>
      <w:proofErr w:type="spellEnd"/>
      <w:r w:rsidRPr="006D630A">
        <w:rPr>
          <w:rFonts w:ascii="Times New Roman" w:hAnsi="Times New Roman"/>
          <w:bCs/>
          <w:sz w:val="14"/>
          <w:szCs w:val="14"/>
        </w:rPr>
        <w:t>).</w:t>
      </w:r>
      <w:bookmarkEnd w:id="16"/>
    </w:p>
    <w:p w14:paraId="6FFB4730" w14:textId="40FD1500" w:rsidR="00C04B00" w:rsidRPr="006D630A" w:rsidRDefault="00C04B00" w:rsidP="006D630A">
      <w:pPr>
        <w:spacing w:after="0" w:line="240" w:lineRule="auto"/>
        <w:jc w:val="left"/>
        <w:rPr>
          <w:rFonts w:ascii="Times New Roman" w:hAnsi="Times New Roman"/>
          <w:sz w:val="14"/>
          <w:szCs w:val="14"/>
        </w:rPr>
      </w:pPr>
      <w:r w:rsidRPr="006D630A">
        <w:rPr>
          <w:rFonts w:ascii="Times New Roman" w:hAnsi="Times New Roman"/>
          <w:sz w:val="14"/>
          <w:szCs w:val="14"/>
        </w:rPr>
        <w:t xml:space="preserve">The </w:t>
      </w:r>
      <w:r w:rsidRPr="006D630A">
        <w:rPr>
          <w:rFonts w:ascii="Times New Roman" w:hAnsi="Times New Roman"/>
          <w:i/>
          <w:iCs/>
          <w:sz w:val="14"/>
          <w:szCs w:val="14"/>
        </w:rPr>
        <w:t>Estuary-wide FRM Options</w:t>
      </w:r>
      <w:r w:rsidRPr="006D630A">
        <w:rPr>
          <w:rFonts w:ascii="Times New Roman" w:hAnsi="Times New Roman"/>
          <w:sz w:val="14"/>
          <w:szCs w:val="14"/>
        </w:rPr>
        <w:t xml:space="preserve"> were appraised to identify which Options have the highest ratio of benefits against costs (Options Appraisal described in Chapter 8)</w:t>
      </w:r>
      <w:r w:rsidRPr="006D630A">
        <w:rPr>
          <w:rFonts w:ascii="Times New Roman" w:hAnsi="Times New Roman"/>
          <w:b/>
          <w:bCs/>
          <w:sz w:val="14"/>
          <w:szCs w:val="14"/>
        </w:rPr>
        <w:t xml:space="preserve"> </w:t>
      </w:r>
      <w:r w:rsidRPr="006D630A">
        <w:rPr>
          <w:rFonts w:ascii="Times New Roman" w:hAnsi="Times New Roman"/>
          <w:sz w:val="14"/>
          <w:szCs w:val="14"/>
        </w:rPr>
        <w:t>(</w:t>
      </w:r>
      <w:r w:rsidR="00F77E53" w:rsidRPr="006D630A">
        <w:rPr>
          <w:rFonts w:ascii="Times New Roman" w:hAnsi="Times New Roman"/>
          <w:color w:val="7F7F7F" w:themeColor="text1" w:themeTint="80"/>
          <w:sz w:val="14"/>
          <w:szCs w:val="14"/>
        </w:rPr>
        <w:t>EA 2009A</w:t>
      </w:r>
      <w:r w:rsidRPr="006D630A">
        <w:rPr>
          <w:rFonts w:ascii="Times New Roman" w:hAnsi="Times New Roman"/>
          <w:color w:val="7F7F7F" w:themeColor="text1" w:themeTint="80"/>
          <w:sz w:val="14"/>
          <w:szCs w:val="14"/>
        </w:rPr>
        <w:t>, p.186, 188-189</w:t>
      </w:r>
      <w:r w:rsidRPr="006D630A">
        <w:rPr>
          <w:rFonts w:ascii="Times New Roman" w:hAnsi="Times New Roman"/>
          <w:sz w:val="14"/>
          <w:szCs w:val="14"/>
        </w:rPr>
        <w:t>). The appraisal period was extended up to 2169, to cover the full Options appraisal period and enable the long-term economic cost of the different Options to be analysed (</w:t>
      </w:r>
      <w:r w:rsidR="00F77E53" w:rsidRPr="006D630A">
        <w:rPr>
          <w:rFonts w:ascii="Times New Roman" w:hAnsi="Times New Roman"/>
          <w:color w:val="7F7F7F" w:themeColor="text1" w:themeTint="80"/>
          <w:sz w:val="14"/>
          <w:szCs w:val="14"/>
        </w:rPr>
        <w:t>EA 2009A</w:t>
      </w:r>
      <w:r w:rsidRPr="006D630A">
        <w:rPr>
          <w:rFonts w:ascii="Times New Roman" w:hAnsi="Times New Roman"/>
          <w:color w:val="7F7F7F" w:themeColor="text1" w:themeTint="80"/>
          <w:sz w:val="14"/>
          <w:szCs w:val="14"/>
        </w:rPr>
        <w:t>, p.190, 202</w:t>
      </w:r>
      <w:r w:rsidRPr="006D630A">
        <w:rPr>
          <w:rFonts w:ascii="Times New Roman" w:hAnsi="Times New Roman"/>
          <w:sz w:val="14"/>
          <w:szCs w:val="14"/>
        </w:rPr>
        <w:t>).</w:t>
      </w:r>
    </w:p>
  </w:footnote>
  <w:footnote w:id="12">
    <w:p w14:paraId="15E6E8DD" w14:textId="77777777" w:rsidR="00C04B00" w:rsidRPr="006D630A" w:rsidRDefault="00C04B00" w:rsidP="006D630A">
      <w:pPr>
        <w:pStyle w:val="Textodenotaderodap"/>
        <w:rPr>
          <w:sz w:val="14"/>
          <w:szCs w:val="14"/>
        </w:rPr>
      </w:pPr>
      <w:r w:rsidRPr="006D630A">
        <w:rPr>
          <w:rStyle w:val="Refdenotaderodap"/>
          <w:sz w:val="14"/>
          <w:szCs w:val="14"/>
        </w:rPr>
        <w:footnoteRef/>
      </w:r>
      <w:r w:rsidRPr="006D630A">
        <w:rPr>
          <w:sz w:val="14"/>
          <w:szCs w:val="14"/>
        </w:rPr>
        <w:t xml:space="preserve"> The CBA and MCA methods used in the </w:t>
      </w:r>
      <w:r w:rsidRPr="006D630A">
        <w:rPr>
          <w:i/>
          <w:iCs/>
          <w:sz w:val="14"/>
          <w:szCs w:val="14"/>
        </w:rPr>
        <w:t>Formal Options Appraisal</w:t>
      </w:r>
      <w:r w:rsidRPr="006D630A">
        <w:rPr>
          <w:sz w:val="14"/>
          <w:szCs w:val="14"/>
        </w:rPr>
        <w:t xml:space="preserve"> were consistent with the EA’s </w:t>
      </w:r>
      <w:r w:rsidRPr="006D630A">
        <w:rPr>
          <w:i/>
          <w:iCs/>
          <w:sz w:val="14"/>
          <w:szCs w:val="14"/>
        </w:rPr>
        <w:t>Flood and Coastal Risk Management Appraisal Guidance</w:t>
      </w:r>
      <w:r w:rsidRPr="006D630A">
        <w:rPr>
          <w:sz w:val="14"/>
          <w:szCs w:val="14"/>
        </w:rPr>
        <w:t xml:space="preserve"> (</w:t>
      </w:r>
      <w:r w:rsidRPr="006D630A">
        <w:rPr>
          <w:color w:val="7F7F7F" w:themeColor="text1" w:themeTint="80"/>
          <w:sz w:val="14"/>
          <w:szCs w:val="14"/>
        </w:rPr>
        <w:t>FCRM-AG</w:t>
      </w:r>
      <w:r w:rsidRPr="006D630A">
        <w:rPr>
          <w:sz w:val="14"/>
          <w:szCs w:val="14"/>
        </w:rPr>
        <w:t>) (</w:t>
      </w:r>
      <w:r w:rsidRPr="006D630A">
        <w:rPr>
          <w:color w:val="7F7F7F" w:themeColor="text1" w:themeTint="80"/>
          <w:sz w:val="14"/>
          <w:szCs w:val="14"/>
        </w:rPr>
        <w:t>EA 2012, p.46; Ranger et al. 2013, p.251</w:t>
      </w:r>
      <w:r w:rsidRPr="006D630A">
        <w:rPr>
          <w:sz w:val="14"/>
          <w:szCs w:val="14"/>
        </w:rPr>
        <w:t xml:space="preserve">). The appraisal was </w:t>
      </w:r>
      <w:proofErr w:type="gramStart"/>
      <w:r w:rsidRPr="006D630A">
        <w:rPr>
          <w:sz w:val="14"/>
          <w:szCs w:val="14"/>
        </w:rPr>
        <w:t>similar to</w:t>
      </w:r>
      <w:proofErr w:type="gramEnd"/>
      <w:r w:rsidRPr="006D630A">
        <w:rPr>
          <w:sz w:val="14"/>
          <w:szCs w:val="14"/>
        </w:rPr>
        <w:t xml:space="preserve"> a </w:t>
      </w:r>
      <w:r w:rsidRPr="006D630A">
        <w:rPr>
          <w:i/>
          <w:iCs/>
          <w:sz w:val="14"/>
          <w:szCs w:val="14"/>
        </w:rPr>
        <w:t>Real Options Analysis</w:t>
      </w:r>
      <w:r w:rsidRPr="006D630A">
        <w:rPr>
          <w:sz w:val="14"/>
          <w:szCs w:val="14"/>
        </w:rPr>
        <w:t xml:space="preserve"> (</w:t>
      </w:r>
      <w:r w:rsidRPr="006D630A">
        <w:rPr>
          <w:color w:val="7F7F7F" w:themeColor="text1" w:themeTint="80"/>
          <w:sz w:val="14"/>
          <w:szCs w:val="14"/>
        </w:rPr>
        <w:t>Reeder and Ranger 2011</w:t>
      </w:r>
      <w:r w:rsidRPr="006D630A">
        <w:rPr>
          <w:sz w:val="14"/>
          <w:szCs w:val="14"/>
        </w:rPr>
        <w:t>).</w:t>
      </w:r>
    </w:p>
  </w:footnote>
  <w:footnote w:id="13">
    <w:p w14:paraId="56801377" w14:textId="62808D8D" w:rsidR="00C04B00" w:rsidRPr="006D630A" w:rsidRDefault="00C04B00" w:rsidP="006D630A">
      <w:pPr>
        <w:pStyle w:val="TEXTBODY"/>
        <w:spacing w:after="0" w:line="240" w:lineRule="auto"/>
        <w:jc w:val="left"/>
        <w:rPr>
          <w:sz w:val="14"/>
          <w:szCs w:val="14"/>
        </w:rPr>
      </w:pPr>
      <w:r w:rsidRPr="006D630A">
        <w:rPr>
          <w:rStyle w:val="Refdenotaderodap"/>
          <w:sz w:val="14"/>
          <w:szCs w:val="14"/>
        </w:rPr>
        <w:footnoteRef/>
      </w:r>
      <w:r w:rsidRPr="006D630A">
        <w:rPr>
          <w:sz w:val="14"/>
          <w:szCs w:val="14"/>
        </w:rPr>
        <w:t xml:space="preserve"> The method of appraising Options implied: 1) the estimation of the </w:t>
      </w:r>
      <w:r w:rsidRPr="006D630A">
        <w:rPr>
          <w:b/>
          <w:bCs/>
          <w:sz w:val="14"/>
          <w:szCs w:val="14"/>
        </w:rPr>
        <w:t xml:space="preserve">cost </w:t>
      </w:r>
      <w:r w:rsidRPr="006D630A">
        <w:rPr>
          <w:sz w:val="14"/>
          <w:szCs w:val="14"/>
        </w:rPr>
        <w:t xml:space="preserve">of the different </w:t>
      </w:r>
      <w:r w:rsidRPr="006D630A">
        <w:rPr>
          <w:i/>
          <w:iCs/>
          <w:sz w:val="14"/>
          <w:szCs w:val="14"/>
        </w:rPr>
        <w:t>Options</w:t>
      </w:r>
      <w:r w:rsidRPr="006D630A">
        <w:rPr>
          <w:sz w:val="14"/>
          <w:szCs w:val="14"/>
        </w:rPr>
        <w:t xml:space="preserve"> (including capital, maintenance and GHG costs); 2) the estimation of benefits of </w:t>
      </w:r>
      <w:r w:rsidRPr="006D630A">
        <w:rPr>
          <w:i/>
          <w:iCs/>
          <w:sz w:val="14"/>
          <w:szCs w:val="14"/>
        </w:rPr>
        <w:t>Options</w:t>
      </w:r>
      <w:r w:rsidRPr="006D630A">
        <w:rPr>
          <w:sz w:val="14"/>
          <w:szCs w:val="14"/>
        </w:rPr>
        <w:t xml:space="preserve"> in terms of avoidance of flood damages to property and businesses, prevention of risk to life and losses, other economic, environmental and social benefits; 3) the estimation, in the MCA, of economic, social, environmental, and technical impacts of </w:t>
      </w:r>
      <w:r w:rsidRPr="006D630A">
        <w:rPr>
          <w:i/>
          <w:iCs/>
          <w:sz w:val="14"/>
          <w:szCs w:val="14"/>
        </w:rPr>
        <w:t>Options</w:t>
      </w:r>
      <w:r w:rsidRPr="006D630A">
        <w:rPr>
          <w:sz w:val="14"/>
          <w:szCs w:val="14"/>
        </w:rPr>
        <w:t xml:space="preserve">; 4) the comparison (weighting) of </w:t>
      </w:r>
      <w:r w:rsidRPr="006D630A">
        <w:rPr>
          <w:i/>
          <w:iCs/>
          <w:sz w:val="14"/>
          <w:szCs w:val="14"/>
        </w:rPr>
        <w:t>Options</w:t>
      </w:r>
      <w:r w:rsidRPr="006D630A">
        <w:rPr>
          <w:sz w:val="14"/>
          <w:szCs w:val="14"/>
        </w:rPr>
        <w:t xml:space="preserve"> (based on costs, benefits, and impacts previously calculated), 5 ) the elaboration of recommendations for the choice of Options based on the benefits-cost ratio (</w:t>
      </w:r>
      <w:r w:rsidRPr="006D630A">
        <w:rPr>
          <w:color w:val="7F7F7F" w:themeColor="text1" w:themeTint="80"/>
          <w:sz w:val="14"/>
          <w:szCs w:val="14"/>
        </w:rPr>
        <w:t xml:space="preserve">Penning-Rowsell et al. 2013, p.1387, 1395; </w:t>
      </w:r>
      <w:r w:rsidR="00F77E53" w:rsidRPr="006D630A">
        <w:rPr>
          <w:color w:val="7F7F7F" w:themeColor="text1" w:themeTint="80"/>
          <w:sz w:val="14"/>
          <w:szCs w:val="14"/>
        </w:rPr>
        <w:t>EA 2009A</w:t>
      </w:r>
      <w:r w:rsidRPr="006D630A">
        <w:rPr>
          <w:color w:val="7F7F7F" w:themeColor="text1" w:themeTint="80"/>
          <w:sz w:val="14"/>
          <w:szCs w:val="14"/>
        </w:rPr>
        <w:t>, P.200</w:t>
      </w:r>
      <w:r w:rsidRPr="006D630A">
        <w:rPr>
          <w:sz w:val="14"/>
          <w:szCs w:val="14"/>
        </w:rPr>
        <w:t>).</w:t>
      </w:r>
    </w:p>
    <w:p w14:paraId="0A77AA61" w14:textId="74D6C5B1" w:rsidR="00C04B00" w:rsidRPr="006D630A" w:rsidRDefault="00C04B00" w:rsidP="006D630A">
      <w:pPr>
        <w:pStyle w:val="Textodenotaderodap"/>
        <w:rPr>
          <w:sz w:val="14"/>
          <w:szCs w:val="14"/>
        </w:rPr>
      </w:pPr>
      <w:r w:rsidRPr="006D630A">
        <w:rPr>
          <w:sz w:val="14"/>
          <w:szCs w:val="14"/>
        </w:rPr>
        <w:t>Although the ‘value-for-money’ (cost-benefit ratio) was a central aspect to the Project, the Plan should satisfy economic, social, and environmental objectives that were addressed in the MCA and SEA (</w:t>
      </w:r>
      <w:r w:rsidRPr="006D630A">
        <w:rPr>
          <w:color w:val="7F7F7F" w:themeColor="text1" w:themeTint="80"/>
          <w:sz w:val="14"/>
          <w:szCs w:val="14"/>
        </w:rPr>
        <w:t>Ranger et al. 2013, p.239</w:t>
      </w:r>
      <w:r w:rsidRPr="006D630A">
        <w:rPr>
          <w:sz w:val="14"/>
          <w:szCs w:val="14"/>
        </w:rPr>
        <w:t>). The Appraisal considered monetised and non-monetised factors (</w:t>
      </w:r>
      <w:r w:rsidRPr="006D630A">
        <w:rPr>
          <w:color w:val="7F7F7F" w:themeColor="text1" w:themeTint="80"/>
          <w:sz w:val="14"/>
          <w:szCs w:val="14"/>
        </w:rPr>
        <w:t>Ranger et al. 2013, p.251</w:t>
      </w:r>
      <w:r w:rsidRPr="006D630A">
        <w:rPr>
          <w:sz w:val="14"/>
          <w:szCs w:val="14"/>
        </w:rPr>
        <w:t xml:space="preserve">). The TE2100 appraised the different HLOs using multiple criteria such as the </w:t>
      </w:r>
      <w:r w:rsidRPr="006D630A">
        <w:rPr>
          <w:i/>
          <w:iCs/>
          <w:sz w:val="14"/>
          <w:szCs w:val="14"/>
        </w:rPr>
        <w:t>net present value</w:t>
      </w:r>
      <w:r w:rsidRPr="006D630A">
        <w:rPr>
          <w:sz w:val="14"/>
          <w:szCs w:val="14"/>
        </w:rPr>
        <w:t xml:space="preserve"> of investments (from cost-benefit analysis) and environmental impact. The Options development and appraisal process</w:t>
      </w:r>
      <w:r w:rsidRPr="006D630A">
        <w:rPr>
          <w:i/>
          <w:iCs/>
          <w:sz w:val="14"/>
          <w:szCs w:val="14"/>
        </w:rPr>
        <w:t xml:space="preserve"> has in practice complied closely with a “Real Options” approach, deemed a useful appraisal method in situations of systematic uncertainty</w:t>
      </w:r>
      <w:r w:rsidRPr="006D630A">
        <w:rPr>
          <w:sz w:val="14"/>
          <w:szCs w:val="14"/>
        </w:rPr>
        <w:t xml:space="preserve"> (</w:t>
      </w:r>
      <w:r w:rsidRPr="006D630A">
        <w:rPr>
          <w:color w:val="7F7F7F" w:themeColor="text1" w:themeTint="80"/>
          <w:sz w:val="14"/>
          <w:szCs w:val="14"/>
        </w:rPr>
        <w:t>Reeder and Ranger 2011, p.11</w:t>
      </w:r>
      <w:r w:rsidRPr="006D630A">
        <w:rPr>
          <w:sz w:val="14"/>
          <w:szCs w:val="14"/>
        </w:rPr>
        <w:t>).</w:t>
      </w:r>
    </w:p>
  </w:footnote>
  <w:footnote w:id="14">
    <w:p w14:paraId="2BCFFF2A" w14:textId="74AE101A" w:rsidR="00C04B00" w:rsidRPr="004D3B3E" w:rsidRDefault="00C04B00" w:rsidP="006D630A">
      <w:pPr>
        <w:pStyle w:val="Textodenotaderodap"/>
      </w:pPr>
      <w:r w:rsidRPr="006D630A">
        <w:rPr>
          <w:rStyle w:val="Refdenotaderodap"/>
          <w:sz w:val="14"/>
          <w:szCs w:val="14"/>
        </w:rPr>
        <w:footnoteRef/>
      </w:r>
      <w:r w:rsidRPr="006D630A">
        <w:rPr>
          <w:sz w:val="14"/>
          <w:szCs w:val="14"/>
        </w:rPr>
        <w:t xml:space="preserve"> </w:t>
      </w:r>
      <w:r w:rsidRPr="006D630A">
        <w:rPr>
          <w:sz w:val="14"/>
          <w:szCs w:val="14"/>
          <w:lang w:val="en-US"/>
        </w:rPr>
        <w:t>The Options Appraisal was extended to the</w:t>
      </w:r>
      <w:r w:rsidRPr="006D630A">
        <w:rPr>
          <w:i/>
          <w:iCs/>
          <w:sz w:val="14"/>
          <w:szCs w:val="14"/>
          <w:lang w:val="en-US"/>
        </w:rPr>
        <w:t xml:space="preserve"> </w:t>
      </w:r>
      <w:r w:rsidRPr="006D630A">
        <w:rPr>
          <w:sz w:val="14"/>
          <w:szCs w:val="14"/>
          <w:lang w:val="en-US"/>
        </w:rPr>
        <w:t xml:space="preserve">year 2170 </w:t>
      </w:r>
      <w:r w:rsidRPr="006D630A">
        <w:rPr>
          <w:i/>
          <w:iCs/>
          <w:sz w:val="14"/>
          <w:szCs w:val="14"/>
          <w:lang w:val="en-US"/>
        </w:rPr>
        <w:t xml:space="preserve">to allow for a whole-life appraisal of these “end of the century” structures. (…) This will </w:t>
      </w:r>
      <w:proofErr w:type="gramStart"/>
      <w:r w:rsidRPr="006D630A">
        <w:rPr>
          <w:i/>
          <w:iCs/>
          <w:sz w:val="14"/>
          <w:szCs w:val="14"/>
          <w:lang w:val="en-US"/>
        </w:rPr>
        <w:t>be helpful in understanding</w:t>
      </w:r>
      <w:proofErr w:type="gramEnd"/>
      <w:r w:rsidRPr="006D630A">
        <w:rPr>
          <w:i/>
          <w:iCs/>
          <w:sz w:val="14"/>
          <w:szCs w:val="14"/>
          <w:lang w:val="en-US"/>
        </w:rPr>
        <w:t xml:space="preserve"> the consequence of major decision-making during this century </w:t>
      </w:r>
      <w:r w:rsidRPr="006D630A">
        <w:rPr>
          <w:bCs/>
          <w:sz w:val="14"/>
          <w:szCs w:val="14"/>
        </w:rPr>
        <w:t>(</w:t>
      </w:r>
      <w:r w:rsidR="00F77E53" w:rsidRPr="006D630A">
        <w:rPr>
          <w:bCs/>
          <w:color w:val="7F7F7F" w:themeColor="text1" w:themeTint="80"/>
          <w:sz w:val="14"/>
          <w:szCs w:val="14"/>
        </w:rPr>
        <w:t>EA 2009A</w:t>
      </w:r>
      <w:r w:rsidRPr="006D630A">
        <w:rPr>
          <w:bCs/>
          <w:color w:val="7F7F7F" w:themeColor="text1" w:themeTint="80"/>
          <w:sz w:val="14"/>
          <w:szCs w:val="14"/>
        </w:rPr>
        <w:t xml:space="preserve">, </w:t>
      </w:r>
      <w:proofErr w:type="spellStart"/>
      <w:r w:rsidRPr="006D630A">
        <w:rPr>
          <w:bCs/>
          <w:color w:val="7F7F7F" w:themeColor="text1" w:themeTint="80"/>
          <w:sz w:val="14"/>
          <w:szCs w:val="14"/>
        </w:rPr>
        <w:t>p.xiii</w:t>
      </w:r>
      <w:proofErr w:type="spellEnd"/>
      <w:r w:rsidRPr="006D630A">
        <w:rPr>
          <w:bCs/>
          <w:sz w:val="14"/>
          <w:szCs w:val="14"/>
        </w:rPr>
        <w:t>).</w:t>
      </w:r>
    </w:p>
  </w:footnote>
  <w:footnote w:id="15">
    <w:p w14:paraId="657CC360" w14:textId="77777777" w:rsidR="00C04B00" w:rsidRPr="004D3B3E" w:rsidRDefault="00C04B00" w:rsidP="00C04B00">
      <w:pPr>
        <w:pStyle w:val="Textodenotaderodap"/>
      </w:pPr>
      <w:r w:rsidRPr="004D3B3E">
        <w:rPr>
          <w:rStyle w:val="Refdenotaderodap"/>
        </w:rPr>
        <w:footnoteRef/>
      </w:r>
      <w:r w:rsidRPr="004D3B3E">
        <w:t xml:space="preserve"> </w:t>
      </w:r>
      <w:r w:rsidRPr="004D3B3E">
        <w:rPr>
          <w:sz w:val="14"/>
          <w:szCs w:val="14"/>
        </w:rPr>
        <w:t xml:space="preserve">The Team ranked the </w:t>
      </w:r>
      <w:r w:rsidRPr="004D3B3E">
        <w:rPr>
          <w:i/>
          <w:sz w:val="14"/>
          <w:szCs w:val="14"/>
        </w:rPr>
        <w:t>Options</w:t>
      </w:r>
      <w:r w:rsidRPr="004D3B3E">
        <w:rPr>
          <w:sz w:val="14"/>
          <w:szCs w:val="14"/>
        </w:rPr>
        <w:t xml:space="preserve"> (based on decision-makers’ preferences) under the </w:t>
      </w:r>
      <w:r w:rsidRPr="004D3B3E">
        <w:rPr>
          <w:i/>
          <w:sz w:val="14"/>
          <w:szCs w:val="14"/>
        </w:rPr>
        <w:t xml:space="preserve">central </w:t>
      </w:r>
      <w:r w:rsidRPr="004D3B3E">
        <w:rPr>
          <w:sz w:val="14"/>
          <w:szCs w:val="14"/>
        </w:rPr>
        <w:t xml:space="preserve">and the other </w:t>
      </w:r>
      <w:proofErr w:type="gramStart"/>
      <w:r w:rsidRPr="004D3B3E">
        <w:rPr>
          <w:sz w:val="14"/>
          <w:szCs w:val="14"/>
        </w:rPr>
        <w:t>scenarios, and</w:t>
      </w:r>
      <w:proofErr w:type="gramEnd"/>
      <w:r w:rsidRPr="004D3B3E">
        <w:rPr>
          <w:sz w:val="14"/>
          <w:szCs w:val="14"/>
        </w:rPr>
        <w:t xml:space="preserve"> identified the ‘preferred route / pathway’ under the </w:t>
      </w:r>
      <w:r w:rsidRPr="004D3B3E">
        <w:rPr>
          <w:i/>
          <w:sz w:val="14"/>
          <w:szCs w:val="14"/>
        </w:rPr>
        <w:t xml:space="preserve">central </w:t>
      </w:r>
      <w:r w:rsidRPr="004D3B3E">
        <w:rPr>
          <w:sz w:val="14"/>
          <w:szCs w:val="14"/>
        </w:rPr>
        <w:t>and the other scenarios (</w:t>
      </w:r>
      <w:r w:rsidRPr="004D3B3E">
        <w:rPr>
          <w:color w:val="7F7F7F" w:themeColor="text1" w:themeTint="80"/>
          <w:sz w:val="14"/>
          <w:szCs w:val="14"/>
        </w:rPr>
        <w:t>Ranger et al. 2013, p.243</w:t>
      </w:r>
      <w:r w:rsidRPr="004D3B3E">
        <w:rPr>
          <w:sz w:val="14"/>
          <w:szCs w:val="14"/>
        </w:rPr>
        <w:t>).</w:t>
      </w:r>
    </w:p>
  </w:footnote>
  <w:footnote w:id="16">
    <w:p w14:paraId="7E6020E6" w14:textId="77777777" w:rsidR="00C04B00" w:rsidRPr="001522F8" w:rsidRDefault="00C04B00" w:rsidP="00C04B00">
      <w:pPr>
        <w:pStyle w:val="TEXTBODY"/>
        <w:spacing w:after="0" w:line="240" w:lineRule="auto"/>
        <w:jc w:val="left"/>
        <w:rPr>
          <w:sz w:val="14"/>
          <w:szCs w:val="14"/>
        </w:rPr>
      </w:pPr>
      <w:r w:rsidRPr="001522F8">
        <w:rPr>
          <w:rStyle w:val="Refdenotaderodap"/>
          <w:sz w:val="14"/>
          <w:szCs w:val="14"/>
        </w:rPr>
        <w:footnoteRef/>
      </w:r>
      <w:r w:rsidRPr="001522F8">
        <w:rPr>
          <w:sz w:val="14"/>
          <w:szCs w:val="14"/>
        </w:rPr>
        <w:t xml:space="preserve"> In sum, it is expected that a major intervention in the system will be required by 2070, and there are two ‘</w:t>
      </w:r>
      <w:r w:rsidRPr="001522F8">
        <w:rPr>
          <w:i/>
          <w:iCs/>
          <w:sz w:val="14"/>
          <w:szCs w:val="14"/>
        </w:rPr>
        <w:t>front-runner</w:t>
      </w:r>
      <w:r w:rsidRPr="001522F8">
        <w:rPr>
          <w:sz w:val="14"/>
          <w:szCs w:val="14"/>
        </w:rPr>
        <w:t>’ options</w:t>
      </w:r>
      <w:r w:rsidRPr="001522F8">
        <w:rPr>
          <w:iCs/>
          <w:sz w:val="14"/>
          <w:szCs w:val="14"/>
        </w:rPr>
        <w:t>: a</w:t>
      </w:r>
      <w:r w:rsidRPr="001522F8">
        <w:rPr>
          <w:sz w:val="14"/>
          <w:szCs w:val="14"/>
        </w:rPr>
        <w:t xml:space="preserve"> major upgrade of the TB (within Option 1.4 / HLO1), or a new barrier at Long Reach (within Option 3.2 / HLO3a); the design and construction of such intervention should start in 2050; but these dates may change if the SLR rate differs from the projection assumed in the Plan (</w:t>
      </w:r>
      <w:r w:rsidRPr="001522F8">
        <w:rPr>
          <w:color w:val="7F7F7F" w:themeColor="text1" w:themeTint="80"/>
          <w:sz w:val="14"/>
          <w:szCs w:val="14"/>
        </w:rPr>
        <w:t>Ramsbottom and Sheppard 2017, p.11</w:t>
      </w:r>
      <w:r w:rsidRPr="001522F8">
        <w:rPr>
          <w:sz w:val="14"/>
          <w:szCs w:val="14"/>
        </w:rPr>
        <w:t>).</w:t>
      </w:r>
    </w:p>
    <w:p w14:paraId="48DB0E64" w14:textId="77777777" w:rsidR="00C04B00" w:rsidRPr="001522F8" w:rsidRDefault="00C04B00" w:rsidP="00C04B00">
      <w:pPr>
        <w:pStyle w:val="TEXTBODY"/>
        <w:spacing w:after="0" w:line="240" w:lineRule="auto"/>
        <w:jc w:val="left"/>
        <w:rPr>
          <w:sz w:val="14"/>
          <w:szCs w:val="14"/>
        </w:rPr>
      </w:pPr>
      <w:r w:rsidRPr="001522F8">
        <w:rPr>
          <w:sz w:val="14"/>
          <w:szCs w:val="14"/>
        </w:rPr>
        <w:t>The Plan’s strategy</w:t>
      </w:r>
      <w:r w:rsidRPr="001522F8">
        <w:rPr>
          <w:strike/>
          <w:sz w:val="14"/>
          <w:szCs w:val="14"/>
        </w:rPr>
        <w:t xml:space="preserve"> </w:t>
      </w:r>
      <w:r w:rsidRPr="001522F8">
        <w:rPr>
          <w:sz w:val="14"/>
          <w:szCs w:val="14"/>
        </w:rPr>
        <w:t xml:space="preserve">to manage flood risk throughout this century provides two main alternative options for the long-term future: upgrading the TB (within </w:t>
      </w:r>
      <w:r w:rsidRPr="001522F8">
        <w:rPr>
          <w:i/>
          <w:iCs/>
          <w:sz w:val="14"/>
          <w:szCs w:val="14"/>
        </w:rPr>
        <w:t>Option 1.4</w:t>
      </w:r>
      <w:proofErr w:type="gramStart"/>
      <w:r w:rsidRPr="001522F8">
        <w:rPr>
          <w:sz w:val="14"/>
          <w:szCs w:val="14"/>
        </w:rPr>
        <w:t>), or</w:t>
      </w:r>
      <w:proofErr w:type="gramEnd"/>
      <w:r w:rsidRPr="001522F8">
        <w:rPr>
          <w:sz w:val="14"/>
          <w:szCs w:val="14"/>
        </w:rPr>
        <w:t xml:space="preserve"> replacing it with a new barrier (within </w:t>
      </w:r>
      <w:r w:rsidRPr="001522F8">
        <w:rPr>
          <w:i/>
          <w:iCs/>
          <w:sz w:val="14"/>
          <w:szCs w:val="14"/>
        </w:rPr>
        <w:t>Option 3.2</w:t>
      </w:r>
      <w:r w:rsidRPr="001522F8">
        <w:rPr>
          <w:sz w:val="14"/>
          <w:szCs w:val="14"/>
        </w:rPr>
        <w:t>) (</w:t>
      </w:r>
      <w:r w:rsidRPr="001522F8">
        <w:rPr>
          <w:color w:val="7F7F7F" w:themeColor="text1" w:themeTint="80"/>
          <w:sz w:val="14"/>
          <w:szCs w:val="14"/>
        </w:rPr>
        <w:t>Ranger et al. 2013, p.237</w:t>
      </w:r>
      <w:r w:rsidRPr="001522F8">
        <w:rPr>
          <w:sz w:val="14"/>
          <w:szCs w:val="14"/>
        </w:rPr>
        <w:t xml:space="preserve">). Given the uncertainty about future changes and conditions, it would be risky to commit to a given pathway based on the current best projection. </w:t>
      </w:r>
      <w:r w:rsidRPr="001522F8">
        <w:rPr>
          <w:rFonts w:eastAsiaTheme="minorHAnsi"/>
          <w:sz w:val="14"/>
          <w:szCs w:val="14"/>
        </w:rPr>
        <w:t xml:space="preserve">Until 2050, </w:t>
      </w:r>
      <w:r w:rsidRPr="001522F8">
        <w:rPr>
          <w:color w:val="000000"/>
          <w:sz w:val="14"/>
          <w:szCs w:val="14"/>
        </w:rPr>
        <w:t xml:space="preserve">all the four </w:t>
      </w:r>
      <w:r w:rsidRPr="001522F8">
        <w:rPr>
          <w:i/>
          <w:iCs/>
          <w:color w:val="000000"/>
          <w:sz w:val="14"/>
          <w:szCs w:val="14"/>
        </w:rPr>
        <w:t>Options</w:t>
      </w:r>
      <w:r w:rsidRPr="001522F8">
        <w:rPr>
          <w:color w:val="000000"/>
          <w:sz w:val="14"/>
          <w:szCs w:val="14"/>
        </w:rPr>
        <w:t xml:space="preserve"> (pathways) will be considered; a decision between them only needs to be made in the future, </w:t>
      </w:r>
      <w:proofErr w:type="gramStart"/>
      <w:r w:rsidRPr="001522F8">
        <w:rPr>
          <w:color w:val="000000"/>
          <w:sz w:val="14"/>
          <w:szCs w:val="14"/>
        </w:rPr>
        <w:t>and,</w:t>
      </w:r>
      <w:proofErr w:type="gramEnd"/>
      <w:r w:rsidRPr="001522F8">
        <w:rPr>
          <w:color w:val="000000"/>
          <w:sz w:val="14"/>
          <w:szCs w:val="14"/>
        </w:rPr>
        <w:t xml:space="preserve"> then, there will be more knowledge (monitoring and advancements in SLR modelling)</w:t>
      </w:r>
      <w:r w:rsidRPr="001522F8">
        <w:rPr>
          <w:sz w:val="14"/>
          <w:szCs w:val="14"/>
        </w:rPr>
        <w:t xml:space="preserve"> (</w:t>
      </w:r>
      <w:r w:rsidRPr="001522F8">
        <w:rPr>
          <w:color w:val="7F7F7F" w:themeColor="text1" w:themeTint="80"/>
          <w:sz w:val="14"/>
          <w:szCs w:val="14"/>
        </w:rPr>
        <w:t>Ranger et al. 2013, p.252</w:t>
      </w:r>
      <w:r w:rsidRPr="001522F8">
        <w:rPr>
          <w:sz w:val="14"/>
          <w:szCs w:val="14"/>
        </w:rPr>
        <w:t>).</w:t>
      </w:r>
    </w:p>
    <w:p w14:paraId="16C3EF78" w14:textId="4F34F208" w:rsidR="00C04B00" w:rsidRPr="001522F8" w:rsidRDefault="00C04B00" w:rsidP="00C04B00">
      <w:pPr>
        <w:spacing w:after="0" w:line="240" w:lineRule="auto"/>
        <w:rPr>
          <w:rFonts w:ascii="Times New Roman" w:hAnsi="Times New Roman"/>
          <w:sz w:val="14"/>
          <w:szCs w:val="14"/>
        </w:rPr>
      </w:pPr>
      <w:bookmarkStart w:id="21" w:name="_Hlk122972727"/>
      <w:r w:rsidRPr="001522F8">
        <w:rPr>
          <w:rFonts w:ascii="Times New Roman" w:hAnsi="Times New Roman"/>
          <w:i/>
          <w:iCs/>
          <w:sz w:val="14"/>
          <w:szCs w:val="14"/>
          <w:lang w:val="en-US"/>
        </w:rPr>
        <w:t xml:space="preserve">Assessing the ratio of benefits to costs for </w:t>
      </w:r>
      <w:proofErr w:type="gramStart"/>
      <w:r w:rsidRPr="001522F8">
        <w:rPr>
          <w:rFonts w:ascii="Times New Roman" w:hAnsi="Times New Roman"/>
          <w:i/>
          <w:iCs/>
          <w:sz w:val="14"/>
          <w:szCs w:val="14"/>
          <w:lang w:val="en-US"/>
        </w:rPr>
        <w:t>all of</w:t>
      </w:r>
      <w:proofErr w:type="gramEnd"/>
      <w:r w:rsidRPr="001522F8">
        <w:rPr>
          <w:rFonts w:ascii="Times New Roman" w:hAnsi="Times New Roman"/>
          <w:i/>
          <w:iCs/>
          <w:sz w:val="14"/>
          <w:szCs w:val="14"/>
          <w:lang w:val="en-US"/>
        </w:rPr>
        <w:t xml:space="preserve"> the Options considered in this stage (…) lead to our two “front runners” being determined: </w:t>
      </w:r>
      <w:proofErr w:type="spellStart"/>
      <w:r w:rsidRPr="001522F8">
        <w:rPr>
          <w:rFonts w:ascii="Times New Roman" w:hAnsi="Times New Roman"/>
          <w:i/>
          <w:iCs/>
          <w:sz w:val="14"/>
          <w:szCs w:val="14"/>
          <w:lang w:val="en-US"/>
        </w:rPr>
        <w:t>optimised</w:t>
      </w:r>
      <w:proofErr w:type="spellEnd"/>
      <w:r w:rsidRPr="001522F8">
        <w:rPr>
          <w:rFonts w:ascii="Times New Roman" w:hAnsi="Times New Roman"/>
          <w:i/>
          <w:iCs/>
          <w:sz w:val="14"/>
          <w:szCs w:val="14"/>
          <w:lang w:val="en-US"/>
        </w:rPr>
        <w:t xml:space="preserve"> maintenance and enhancement of the existing system with modifications made to the Thames Barrier post-2070 (Option 1.4), </w:t>
      </w:r>
      <w:r w:rsidRPr="001522F8">
        <w:rPr>
          <w:rFonts w:ascii="Times New Roman" w:hAnsi="Times New Roman"/>
          <w:sz w:val="14"/>
          <w:szCs w:val="14"/>
          <w:lang w:val="en-US"/>
        </w:rPr>
        <w:t>and</w:t>
      </w:r>
      <w:r w:rsidRPr="001522F8">
        <w:rPr>
          <w:rFonts w:ascii="Times New Roman" w:hAnsi="Times New Roman"/>
          <w:i/>
          <w:iCs/>
          <w:sz w:val="14"/>
          <w:szCs w:val="14"/>
          <w:lang w:val="en-US"/>
        </w:rPr>
        <w:t xml:space="preserve"> </w:t>
      </w:r>
      <w:proofErr w:type="spellStart"/>
      <w:r w:rsidRPr="001522F8">
        <w:rPr>
          <w:rFonts w:ascii="Times New Roman" w:hAnsi="Times New Roman"/>
          <w:i/>
          <w:iCs/>
          <w:sz w:val="14"/>
          <w:szCs w:val="14"/>
          <w:lang w:val="en-US"/>
        </w:rPr>
        <w:t>optimised</w:t>
      </w:r>
      <w:proofErr w:type="spellEnd"/>
      <w:r w:rsidRPr="001522F8">
        <w:rPr>
          <w:rFonts w:ascii="Times New Roman" w:hAnsi="Times New Roman"/>
          <w:i/>
          <w:iCs/>
          <w:sz w:val="14"/>
          <w:szCs w:val="14"/>
          <w:lang w:val="en-US"/>
        </w:rPr>
        <w:t xml:space="preserve"> maintenance and enhancement of the existing system to 2070 and building a new barrier at Long Reach post 2070 (Option 3.2). </w:t>
      </w:r>
      <w:r w:rsidRPr="001522F8">
        <w:rPr>
          <w:rFonts w:ascii="Times New Roman" w:hAnsi="Times New Roman"/>
          <w:sz w:val="14"/>
          <w:szCs w:val="14"/>
        </w:rPr>
        <w:t>(</w:t>
      </w:r>
      <w:r w:rsidR="00F77E53" w:rsidRPr="001522F8">
        <w:rPr>
          <w:rFonts w:ascii="Times New Roman" w:hAnsi="Times New Roman"/>
          <w:color w:val="7F7F7F" w:themeColor="text1" w:themeTint="80"/>
          <w:sz w:val="14"/>
          <w:szCs w:val="14"/>
        </w:rPr>
        <w:t>EA 2009A</w:t>
      </w:r>
      <w:r w:rsidRPr="001522F8">
        <w:rPr>
          <w:rFonts w:ascii="Times New Roman" w:hAnsi="Times New Roman"/>
          <w:color w:val="7F7F7F" w:themeColor="text1" w:themeTint="80"/>
          <w:sz w:val="14"/>
          <w:szCs w:val="14"/>
        </w:rPr>
        <w:t xml:space="preserve">, </w:t>
      </w:r>
      <w:proofErr w:type="spellStart"/>
      <w:r w:rsidRPr="001522F8">
        <w:rPr>
          <w:rFonts w:ascii="Times New Roman" w:hAnsi="Times New Roman"/>
          <w:color w:val="7F7F7F" w:themeColor="text1" w:themeTint="80"/>
          <w:sz w:val="14"/>
          <w:szCs w:val="14"/>
        </w:rPr>
        <w:t>p.xxi</w:t>
      </w:r>
      <w:proofErr w:type="spellEnd"/>
      <w:r w:rsidRPr="001522F8">
        <w:rPr>
          <w:rFonts w:ascii="Times New Roman" w:hAnsi="Times New Roman"/>
          <w:sz w:val="14"/>
          <w:szCs w:val="14"/>
        </w:rPr>
        <w:t>).</w:t>
      </w:r>
      <w:r w:rsidRPr="001522F8">
        <w:rPr>
          <w:rFonts w:ascii="Times New Roman" w:hAnsi="Times New Roman"/>
          <w:i/>
          <w:iCs/>
          <w:sz w:val="14"/>
          <w:szCs w:val="14"/>
          <w:lang w:val="en-US"/>
        </w:rPr>
        <w:t xml:space="preserve"> For the period up to 2070, maintaining and enhancing the current system is strongly preferred, regardless of the “end-of century” approach selected thereafter. Uncertainty in the assessment post-2070, and the absence of an immediate need to decide on the preferred strategy beyond that point, mean that a single preferred “end of century” Option is not being promoted at this time although we present a preferred Plan which will generate a preferred option at the right time </w:t>
      </w:r>
      <w:r w:rsidRPr="001522F8">
        <w:rPr>
          <w:rFonts w:ascii="Times New Roman" w:hAnsi="Times New Roman"/>
          <w:sz w:val="14"/>
          <w:szCs w:val="14"/>
        </w:rPr>
        <w:t>(</w:t>
      </w:r>
      <w:r w:rsidR="00F77E53" w:rsidRPr="001522F8">
        <w:rPr>
          <w:rFonts w:ascii="Times New Roman" w:hAnsi="Times New Roman"/>
          <w:color w:val="7F7F7F" w:themeColor="text1" w:themeTint="80"/>
          <w:sz w:val="14"/>
          <w:szCs w:val="14"/>
        </w:rPr>
        <w:t>EA 2009A</w:t>
      </w:r>
      <w:r w:rsidRPr="001522F8">
        <w:rPr>
          <w:rFonts w:ascii="Times New Roman" w:hAnsi="Times New Roman"/>
          <w:color w:val="7F7F7F" w:themeColor="text1" w:themeTint="80"/>
          <w:sz w:val="14"/>
          <w:szCs w:val="14"/>
        </w:rPr>
        <w:t xml:space="preserve">, </w:t>
      </w:r>
      <w:proofErr w:type="spellStart"/>
      <w:r w:rsidRPr="001522F8">
        <w:rPr>
          <w:rFonts w:ascii="Times New Roman" w:hAnsi="Times New Roman"/>
          <w:color w:val="7F7F7F" w:themeColor="text1" w:themeTint="80"/>
          <w:sz w:val="14"/>
          <w:szCs w:val="14"/>
        </w:rPr>
        <w:t>p.xxi</w:t>
      </w:r>
      <w:proofErr w:type="spellEnd"/>
      <w:r w:rsidRPr="001522F8">
        <w:rPr>
          <w:rFonts w:ascii="Times New Roman" w:hAnsi="Times New Roman"/>
          <w:sz w:val="14"/>
          <w:szCs w:val="14"/>
        </w:rPr>
        <w:t>).</w:t>
      </w:r>
    </w:p>
    <w:p w14:paraId="75C6799A" w14:textId="5864E4C9" w:rsidR="00C04B00" w:rsidRPr="001522F8" w:rsidRDefault="00C04B00" w:rsidP="00C04B00">
      <w:pPr>
        <w:spacing w:after="0" w:line="240" w:lineRule="auto"/>
        <w:rPr>
          <w:rFonts w:ascii="Times New Roman" w:hAnsi="Times New Roman"/>
          <w:sz w:val="14"/>
          <w:szCs w:val="14"/>
        </w:rPr>
      </w:pPr>
      <w:r w:rsidRPr="001522F8">
        <w:rPr>
          <w:rFonts w:ascii="Times New Roman" w:hAnsi="Times New Roman"/>
          <w:sz w:val="14"/>
          <w:szCs w:val="14"/>
        </w:rPr>
        <w:t>The Plan recommendations are the following:</w:t>
      </w:r>
      <w:r w:rsidRPr="001522F8">
        <w:rPr>
          <w:rFonts w:ascii="Times New Roman" w:hAnsi="Times New Roman"/>
          <w:i/>
          <w:iCs/>
          <w:sz w:val="14"/>
          <w:szCs w:val="14"/>
        </w:rPr>
        <w:t xml:space="preserve"> for the first 60 years of the Plan, the approach to FRM should be to maintain, adapt and improve the existing system including optimising repair and replacement of defences (Option 1.4). The estimated cost is £4.5bn excluding preparations for the major intervention in 2070; from 2070 the approach to FRM should be to adopt one of the two ‘front runners’ i.e. continuation of Option 1.4 or construction of a new barrier at Long Reach with associated </w:t>
      </w:r>
      <w:r w:rsidRPr="0051298E">
        <w:rPr>
          <w:rFonts w:ascii="Times New Roman" w:hAnsi="Times New Roman"/>
          <w:i/>
          <w:iCs/>
          <w:sz w:val="14"/>
          <w:szCs w:val="14"/>
        </w:rPr>
        <w:t xml:space="preserve">works (Option 3.2). </w:t>
      </w:r>
      <w:r w:rsidRPr="001522F8">
        <w:rPr>
          <w:rFonts w:ascii="Times New Roman" w:hAnsi="Times New Roman"/>
          <w:i/>
          <w:iCs/>
          <w:sz w:val="14"/>
          <w:szCs w:val="14"/>
        </w:rPr>
        <w:t xml:space="preserve">(…) This end of the century choice may be changed </w:t>
      </w:r>
      <w:proofErr w:type="gramStart"/>
      <w:r w:rsidRPr="001522F8">
        <w:rPr>
          <w:rFonts w:ascii="Times New Roman" w:hAnsi="Times New Roman"/>
          <w:i/>
          <w:iCs/>
          <w:sz w:val="14"/>
          <w:szCs w:val="14"/>
        </w:rPr>
        <w:t>as a result of</w:t>
      </w:r>
      <w:proofErr w:type="gramEnd"/>
      <w:r w:rsidRPr="001522F8">
        <w:rPr>
          <w:rFonts w:ascii="Times New Roman" w:hAnsi="Times New Roman"/>
          <w:i/>
          <w:iCs/>
          <w:sz w:val="14"/>
          <w:szCs w:val="14"/>
        </w:rPr>
        <w:t xml:space="preserve"> a Plan review based on changed conditions </w:t>
      </w:r>
      <w:r w:rsidRPr="001522F8">
        <w:rPr>
          <w:rFonts w:ascii="Times New Roman" w:hAnsi="Times New Roman"/>
          <w:sz w:val="14"/>
          <w:szCs w:val="14"/>
        </w:rPr>
        <w:t>(</w:t>
      </w:r>
      <w:r w:rsidR="00F77E53" w:rsidRPr="001522F8">
        <w:rPr>
          <w:rFonts w:ascii="Times New Roman" w:hAnsi="Times New Roman"/>
          <w:color w:val="7F7F7F" w:themeColor="text1" w:themeTint="80"/>
          <w:sz w:val="14"/>
          <w:szCs w:val="14"/>
        </w:rPr>
        <w:t>EA 2009A</w:t>
      </w:r>
      <w:r w:rsidRPr="001522F8">
        <w:rPr>
          <w:rFonts w:ascii="Times New Roman" w:hAnsi="Times New Roman"/>
          <w:color w:val="7F7F7F" w:themeColor="text1" w:themeTint="80"/>
          <w:sz w:val="14"/>
          <w:szCs w:val="14"/>
        </w:rPr>
        <w:t>, p.262</w:t>
      </w:r>
      <w:r w:rsidRPr="001522F8">
        <w:rPr>
          <w:rFonts w:ascii="Times New Roman" w:hAnsi="Times New Roman"/>
          <w:sz w:val="14"/>
          <w:szCs w:val="14"/>
        </w:rPr>
        <w:t>).</w:t>
      </w:r>
    </w:p>
    <w:p w14:paraId="5A33ECD3" w14:textId="5A58A344" w:rsidR="00C04B00" w:rsidRPr="001522F8" w:rsidRDefault="00C04B00" w:rsidP="00C04B00">
      <w:pPr>
        <w:spacing w:after="0" w:line="240" w:lineRule="auto"/>
        <w:rPr>
          <w:rFonts w:ascii="Times New Roman" w:hAnsi="Times New Roman"/>
          <w:i/>
          <w:iCs/>
          <w:sz w:val="14"/>
          <w:szCs w:val="14"/>
          <w:lang w:val="en-US"/>
        </w:rPr>
      </w:pPr>
      <w:r w:rsidRPr="001522F8">
        <w:rPr>
          <w:rFonts w:ascii="Times New Roman" w:hAnsi="Times New Roman"/>
          <w:sz w:val="14"/>
          <w:szCs w:val="14"/>
        </w:rPr>
        <w:t>The Plan contains</w:t>
      </w:r>
      <w:r w:rsidRPr="001522F8">
        <w:rPr>
          <w:rFonts w:ascii="Times New Roman" w:hAnsi="Times New Roman"/>
          <w:i/>
          <w:iCs/>
          <w:sz w:val="14"/>
          <w:szCs w:val="14"/>
        </w:rPr>
        <w:t xml:space="preserve"> two preferred Estuary-wide Options</w:t>
      </w:r>
      <w:r w:rsidRPr="001522F8">
        <w:rPr>
          <w:rFonts w:ascii="Times New Roman" w:hAnsi="Times New Roman"/>
          <w:sz w:val="14"/>
          <w:szCs w:val="14"/>
        </w:rPr>
        <w:t>, although the choice between Options does not have to be made immediately,</w:t>
      </w:r>
      <w:r w:rsidRPr="001522F8">
        <w:rPr>
          <w:rFonts w:ascii="Times New Roman" w:hAnsi="Times New Roman"/>
          <w:i/>
          <w:iCs/>
          <w:sz w:val="14"/>
          <w:szCs w:val="14"/>
        </w:rPr>
        <w:t xml:space="preserve"> because the interventions required for each of the preferred options over the next 60 years (covered by the short- and </w:t>
      </w:r>
      <w:proofErr w:type="gramStart"/>
      <w:r w:rsidRPr="001522F8">
        <w:rPr>
          <w:rFonts w:ascii="Times New Roman" w:hAnsi="Times New Roman"/>
          <w:i/>
          <w:iCs/>
          <w:sz w:val="14"/>
          <w:szCs w:val="14"/>
        </w:rPr>
        <w:t>medium term</w:t>
      </w:r>
      <w:proofErr w:type="gramEnd"/>
      <w:r w:rsidRPr="001522F8">
        <w:rPr>
          <w:rFonts w:ascii="Times New Roman" w:hAnsi="Times New Roman"/>
          <w:i/>
          <w:iCs/>
          <w:sz w:val="14"/>
          <w:szCs w:val="14"/>
        </w:rPr>
        <w:t xml:space="preserve"> investment plans) are identical. In addition, whilst the Plan includes major interventions that must be operational in 2070, the exact date when these major interventions are required will depend on the rate of climate and other change </w:t>
      </w:r>
      <w:r w:rsidRPr="001522F8">
        <w:rPr>
          <w:rFonts w:ascii="Times New Roman" w:hAnsi="Times New Roman"/>
          <w:sz w:val="14"/>
          <w:szCs w:val="14"/>
        </w:rPr>
        <w:t>(</w:t>
      </w:r>
      <w:r w:rsidR="00F77E53" w:rsidRPr="001522F8">
        <w:rPr>
          <w:rFonts w:ascii="Times New Roman" w:hAnsi="Times New Roman"/>
          <w:color w:val="7F7F7F" w:themeColor="text1" w:themeTint="80"/>
          <w:sz w:val="14"/>
          <w:szCs w:val="14"/>
        </w:rPr>
        <w:t>EA 2009A</w:t>
      </w:r>
      <w:r w:rsidRPr="001522F8">
        <w:rPr>
          <w:rFonts w:ascii="Times New Roman" w:hAnsi="Times New Roman"/>
          <w:color w:val="7F7F7F" w:themeColor="text1" w:themeTint="80"/>
          <w:sz w:val="14"/>
          <w:szCs w:val="14"/>
        </w:rPr>
        <w:t>, p.267</w:t>
      </w:r>
      <w:r w:rsidRPr="001522F8">
        <w:rPr>
          <w:rFonts w:ascii="Times New Roman" w:hAnsi="Times New Roman"/>
          <w:sz w:val="14"/>
          <w:szCs w:val="14"/>
        </w:rPr>
        <w:t xml:space="preserve">).  </w:t>
      </w:r>
    </w:p>
    <w:bookmarkEnd w:id="21"/>
  </w:footnote>
  <w:footnote w:id="17">
    <w:p w14:paraId="15113971" w14:textId="77777777" w:rsidR="00C04B00" w:rsidRPr="001522F8" w:rsidRDefault="00C04B00" w:rsidP="00C04B00">
      <w:pPr>
        <w:pStyle w:val="Textodenotaderodap"/>
        <w:rPr>
          <w:sz w:val="14"/>
          <w:szCs w:val="14"/>
        </w:rPr>
      </w:pPr>
      <w:r w:rsidRPr="001522F8">
        <w:rPr>
          <w:rStyle w:val="Refdenotaderodap"/>
          <w:sz w:val="14"/>
          <w:szCs w:val="14"/>
        </w:rPr>
        <w:footnoteRef/>
      </w:r>
      <w:r w:rsidRPr="001522F8">
        <w:rPr>
          <w:sz w:val="14"/>
          <w:szCs w:val="14"/>
        </w:rPr>
        <w:t xml:space="preserve"> The Options Appraisal has identified ‘</w:t>
      </w:r>
      <w:r w:rsidRPr="001522F8">
        <w:rPr>
          <w:i/>
          <w:iCs/>
          <w:sz w:val="14"/>
          <w:szCs w:val="14"/>
        </w:rPr>
        <w:t>Improving the existing defences’</w:t>
      </w:r>
      <w:r w:rsidRPr="001522F8">
        <w:rPr>
          <w:sz w:val="14"/>
          <w:szCs w:val="14"/>
        </w:rPr>
        <w:t xml:space="preserve"> (Option 1.4) and ‘</w:t>
      </w:r>
      <w:r w:rsidRPr="001522F8">
        <w:rPr>
          <w:i/>
          <w:iCs/>
          <w:sz w:val="14"/>
          <w:szCs w:val="14"/>
        </w:rPr>
        <w:t>a New barrier at Long Reach</w:t>
      </w:r>
      <w:r w:rsidRPr="001522F8">
        <w:rPr>
          <w:sz w:val="14"/>
          <w:szCs w:val="14"/>
        </w:rPr>
        <w:t>’ (Option 3.2) as ‘front runners’ for the period beyond 2070, with ‘Improving the existing system’ (Option 1.4) being recommended until 2070 (</w:t>
      </w:r>
      <w:r w:rsidRPr="001522F8">
        <w:rPr>
          <w:color w:val="7F7F7F" w:themeColor="text1" w:themeTint="80"/>
          <w:sz w:val="14"/>
          <w:szCs w:val="14"/>
        </w:rPr>
        <w:t>EA 2012, p.49</w:t>
      </w:r>
      <w:r w:rsidRPr="001522F8">
        <w:rPr>
          <w:sz w:val="14"/>
          <w:szCs w:val="14"/>
        </w:rPr>
        <w:t xml:space="preserve">). </w:t>
      </w:r>
    </w:p>
  </w:footnote>
  <w:footnote w:id="18">
    <w:p w14:paraId="50D54EE9" w14:textId="77777777" w:rsidR="00C04B00" w:rsidRPr="001522F8" w:rsidRDefault="00C04B00" w:rsidP="00C04B00">
      <w:pPr>
        <w:pStyle w:val="tablecontenttext"/>
        <w:spacing w:after="0" w:line="240" w:lineRule="auto"/>
        <w:rPr>
          <w:rFonts w:ascii="Times New Roman" w:hAnsi="Times New Roman" w:cs="Times New Roman"/>
          <w:bCs w:val="0"/>
          <w:sz w:val="14"/>
          <w:szCs w:val="14"/>
        </w:rPr>
      </w:pPr>
      <w:r w:rsidRPr="001522F8">
        <w:rPr>
          <w:rStyle w:val="Refdenotaderodap"/>
          <w:rFonts w:ascii="Times New Roman" w:hAnsi="Times New Roman" w:cs="Times New Roman"/>
          <w:bCs w:val="0"/>
          <w:sz w:val="14"/>
          <w:szCs w:val="14"/>
        </w:rPr>
        <w:footnoteRef/>
      </w:r>
      <w:r w:rsidRPr="001522F8">
        <w:rPr>
          <w:rFonts w:ascii="Times New Roman" w:hAnsi="Times New Roman" w:cs="Times New Roman"/>
          <w:bCs w:val="0"/>
          <w:sz w:val="14"/>
          <w:szCs w:val="14"/>
        </w:rPr>
        <w:t xml:space="preserve"> </w:t>
      </w:r>
      <w:r w:rsidRPr="001522F8">
        <w:rPr>
          <w:rFonts w:ascii="Times New Roman" w:hAnsi="Times New Roman" w:cs="Times New Roman"/>
          <w:bCs w:val="0"/>
          <w:iCs w:val="0"/>
          <w:sz w:val="14"/>
          <w:szCs w:val="14"/>
        </w:rPr>
        <w:t xml:space="preserve">The </w:t>
      </w:r>
      <w:r w:rsidRPr="001522F8">
        <w:rPr>
          <w:rFonts w:ascii="Times New Roman" w:hAnsi="Times New Roman" w:cs="Times New Roman"/>
          <w:bCs w:val="0"/>
          <w:i/>
          <w:sz w:val="14"/>
          <w:szCs w:val="14"/>
        </w:rPr>
        <w:t>Options Appraisal</w:t>
      </w:r>
      <w:r w:rsidRPr="001522F8">
        <w:rPr>
          <w:rFonts w:ascii="Times New Roman" w:hAnsi="Times New Roman" w:cs="Times New Roman"/>
          <w:bCs w:val="0"/>
          <w:iCs w:val="0"/>
          <w:sz w:val="14"/>
          <w:szCs w:val="14"/>
        </w:rPr>
        <w:t xml:space="preserve"> showed that taking no-regrets measures first would cost-effectively ‘buy-time’ before it was necessary to make more irreversible investments (e.g. a new barrier</w:t>
      </w:r>
      <w:proofErr w:type="gramStart"/>
      <w:r w:rsidRPr="001522F8">
        <w:rPr>
          <w:rFonts w:ascii="Times New Roman" w:hAnsi="Times New Roman" w:cs="Times New Roman"/>
          <w:bCs w:val="0"/>
          <w:iCs w:val="0"/>
          <w:sz w:val="14"/>
          <w:szCs w:val="14"/>
        </w:rPr>
        <w:t>), and</w:t>
      </w:r>
      <w:proofErr w:type="gramEnd"/>
      <w:r w:rsidRPr="001522F8">
        <w:rPr>
          <w:rFonts w:ascii="Times New Roman" w:hAnsi="Times New Roman" w:cs="Times New Roman"/>
          <w:bCs w:val="0"/>
          <w:iCs w:val="0"/>
          <w:sz w:val="14"/>
          <w:szCs w:val="14"/>
        </w:rPr>
        <w:t xml:space="preserve"> give time to monitor and gain additional knowledge to make better decisions </w:t>
      </w:r>
      <w:r w:rsidRPr="001522F8">
        <w:rPr>
          <w:rFonts w:ascii="Times New Roman" w:hAnsi="Times New Roman" w:cs="Times New Roman"/>
          <w:bCs w:val="0"/>
          <w:sz w:val="14"/>
          <w:szCs w:val="14"/>
        </w:rPr>
        <w:t>(</w:t>
      </w:r>
      <w:r w:rsidRPr="001522F8">
        <w:rPr>
          <w:rFonts w:ascii="Times New Roman" w:hAnsi="Times New Roman" w:cs="Times New Roman"/>
          <w:bCs w:val="0"/>
          <w:color w:val="7F7F7F" w:themeColor="text1" w:themeTint="80"/>
          <w:sz w:val="14"/>
          <w:szCs w:val="14"/>
        </w:rPr>
        <w:t>Reeder and Ranger 2011, p.11</w:t>
      </w:r>
      <w:r w:rsidRPr="001522F8">
        <w:rPr>
          <w:rFonts w:ascii="Times New Roman" w:hAnsi="Times New Roman" w:cs="Times New Roman"/>
          <w:bCs w:val="0"/>
          <w:sz w:val="14"/>
          <w:szCs w:val="14"/>
        </w:rPr>
        <w:t xml:space="preserve">). An investment in a new barrier was delayed, the Plan suggests 2070 as the date for such barrier to be operating under the </w:t>
      </w:r>
      <w:r w:rsidRPr="001522F8">
        <w:rPr>
          <w:rFonts w:ascii="Times New Roman" w:hAnsi="Times New Roman" w:cs="Times New Roman"/>
          <w:bCs w:val="0"/>
          <w:i/>
          <w:iCs w:val="0"/>
          <w:sz w:val="14"/>
          <w:szCs w:val="14"/>
        </w:rPr>
        <w:t>Defra06 central scenario</w:t>
      </w:r>
      <w:r w:rsidRPr="001522F8">
        <w:rPr>
          <w:rFonts w:ascii="Times New Roman" w:hAnsi="Times New Roman" w:cs="Times New Roman"/>
          <w:bCs w:val="0"/>
          <w:sz w:val="14"/>
          <w:szCs w:val="14"/>
        </w:rPr>
        <w:t xml:space="preserve"> (</w:t>
      </w:r>
      <w:r w:rsidRPr="001522F8">
        <w:rPr>
          <w:rFonts w:ascii="Times New Roman" w:hAnsi="Times New Roman" w:cs="Times New Roman"/>
          <w:bCs w:val="0"/>
          <w:color w:val="7F7F7F" w:themeColor="text1" w:themeTint="80"/>
          <w:sz w:val="14"/>
          <w:szCs w:val="14"/>
        </w:rPr>
        <w:t>Bloemen et al. 2018</w:t>
      </w:r>
      <w:r w:rsidRPr="001522F8">
        <w:rPr>
          <w:rFonts w:ascii="Times New Roman" w:hAnsi="Times New Roman" w:cs="Times New Roman"/>
          <w:bCs w:val="0"/>
          <w:sz w:val="14"/>
          <w:szCs w:val="14"/>
        </w:rPr>
        <w:t xml:space="preserve">).  </w:t>
      </w:r>
    </w:p>
  </w:footnote>
  <w:footnote w:id="19">
    <w:p w14:paraId="22411697" w14:textId="135D9BD0" w:rsidR="00C04B00" w:rsidRPr="001522F8" w:rsidRDefault="00C04B00" w:rsidP="00C04B00">
      <w:pPr>
        <w:pStyle w:val="tablecontenttext"/>
        <w:spacing w:after="0" w:line="240" w:lineRule="auto"/>
        <w:jc w:val="both"/>
        <w:rPr>
          <w:rFonts w:ascii="Times New Roman" w:hAnsi="Times New Roman" w:cs="Times New Roman"/>
          <w:bCs w:val="0"/>
          <w:sz w:val="14"/>
          <w:szCs w:val="14"/>
        </w:rPr>
      </w:pPr>
      <w:r w:rsidRPr="001522F8">
        <w:rPr>
          <w:rStyle w:val="Refdenotaderodap"/>
          <w:rFonts w:ascii="Times New Roman" w:hAnsi="Times New Roman" w:cs="Times New Roman"/>
          <w:bCs w:val="0"/>
          <w:sz w:val="14"/>
          <w:szCs w:val="14"/>
        </w:rPr>
        <w:footnoteRef/>
      </w:r>
      <w:r w:rsidRPr="001522F8">
        <w:rPr>
          <w:rFonts w:ascii="Times New Roman" w:hAnsi="Times New Roman" w:cs="Times New Roman"/>
          <w:bCs w:val="0"/>
          <w:sz w:val="14"/>
          <w:szCs w:val="14"/>
        </w:rPr>
        <w:t xml:space="preserve"> </w:t>
      </w:r>
      <w:r w:rsidRPr="001522F8">
        <w:rPr>
          <w:rFonts w:ascii="Times New Roman" w:hAnsi="Times New Roman" w:cs="Times New Roman"/>
          <w:bCs w:val="0"/>
          <w:iCs w:val="0"/>
          <w:sz w:val="14"/>
          <w:szCs w:val="14"/>
        </w:rPr>
        <w:t xml:space="preserve">The </w:t>
      </w:r>
      <w:r w:rsidRPr="001522F8">
        <w:rPr>
          <w:rFonts w:ascii="Times New Roman" w:hAnsi="Times New Roman" w:cs="Times New Roman"/>
          <w:bCs w:val="0"/>
          <w:i/>
          <w:sz w:val="14"/>
          <w:szCs w:val="14"/>
        </w:rPr>
        <w:t>Action Plan</w:t>
      </w:r>
      <w:r w:rsidRPr="001522F8">
        <w:rPr>
          <w:rFonts w:ascii="Times New Roman" w:hAnsi="Times New Roman" w:cs="Times New Roman"/>
          <w:bCs w:val="0"/>
          <w:iCs w:val="0"/>
          <w:sz w:val="14"/>
          <w:szCs w:val="14"/>
        </w:rPr>
        <w:t xml:space="preserve"> presents recommendations on how the TE2100 Plan must be implemented, what, where and when diverse actions and activities must take place, and who will be involved (</w:t>
      </w:r>
      <w:r w:rsidRPr="001522F8">
        <w:rPr>
          <w:rFonts w:ascii="Times New Roman" w:hAnsi="Times New Roman" w:cs="Times New Roman"/>
          <w:bCs w:val="0"/>
          <w:iCs w:val="0"/>
          <w:color w:val="7F7F7F" w:themeColor="text1" w:themeTint="80"/>
          <w:sz w:val="14"/>
          <w:szCs w:val="14"/>
        </w:rPr>
        <w:t>EA 2012, p.35</w:t>
      </w:r>
      <w:r w:rsidRPr="001522F8">
        <w:rPr>
          <w:rFonts w:ascii="Times New Roman" w:hAnsi="Times New Roman" w:cs="Times New Roman"/>
          <w:bCs w:val="0"/>
          <w:iCs w:val="0"/>
          <w:sz w:val="14"/>
          <w:szCs w:val="14"/>
        </w:rPr>
        <w:t>). The Action Plan describes the actions and activities required, their location in the TE (at estuary-wide level and local level), the time-horizon when these will be implemented (</w:t>
      </w:r>
      <w:r w:rsidRPr="001522F8">
        <w:rPr>
          <w:rFonts w:ascii="Times New Roman" w:hAnsi="Times New Roman" w:cs="Times New Roman"/>
          <w:bCs w:val="0"/>
          <w:sz w:val="14"/>
          <w:szCs w:val="14"/>
        </w:rPr>
        <w:t>short-, medium- or long-term), the nature of the proposed works</w:t>
      </w:r>
      <w:r w:rsidRPr="001522F8">
        <w:rPr>
          <w:rFonts w:ascii="Times New Roman" w:hAnsi="Times New Roman" w:cs="Times New Roman"/>
          <w:bCs w:val="0"/>
          <w:iCs w:val="0"/>
          <w:sz w:val="14"/>
          <w:szCs w:val="14"/>
        </w:rPr>
        <w:t>, and the actors involved (</w:t>
      </w:r>
      <w:r w:rsidRPr="001522F8">
        <w:rPr>
          <w:rFonts w:ascii="Times New Roman" w:hAnsi="Times New Roman" w:cs="Times New Roman"/>
          <w:bCs w:val="0"/>
          <w:i/>
          <w:sz w:val="14"/>
          <w:szCs w:val="14"/>
        </w:rPr>
        <w:t>implementation partners</w:t>
      </w:r>
      <w:r w:rsidRPr="001522F8">
        <w:rPr>
          <w:rFonts w:ascii="Times New Roman" w:hAnsi="Times New Roman" w:cs="Times New Roman"/>
          <w:bCs w:val="0"/>
          <w:sz w:val="14"/>
          <w:szCs w:val="14"/>
        </w:rPr>
        <w:t xml:space="preserve">, </w:t>
      </w:r>
      <w:r w:rsidRPr="001522F8">
        <w:rPr>
          <w:rFonts w:ascii="Times New Roman" w:hAnsi="Times New Roman" w:cs="Times New Roman"/>
          <w:bCs w:val="0"/>
          <w:iCs w:val="0"/>
          <w:sz w:val="14"/>
          <w:szCs w:val="14"/>
        </w:rPr>
        <w:t xml:space="preserve">their responsibilities, partnerships, and arrangements) </w:t>
      </w:r>
      <w:r w:rsidRPr="001522F8">
        <w:rPr>
          <w:rFonts w:ascii="Times New Roman" w:hAnsi="Times New Roman" w:cs="Times New Roman"/>
          <w:bCs w:val="0"/>
          <w:sz w:val="14"/>
          <w:szCs w:val="14"/>
        </w:rPr>
        <w:t>(</w:t>
      </w:r>
      <w:r w:rsidRPr="001522F8">
        <w:rPr>
          <w:rFonts w:ascii="Times New Roman" w:hAnsi="Times New Roman" w:cs="Times New Roman"/>
          <w:bCs w:val="0"/>
          <w:iCs w:val="0"/>
          <w:color w:val="7F7F7F" w:themeColor="text1" w:themeTint="80"/>
          <w:sz w:val="14"/>
          <w:szCs w:val="14"/>
        </w:rPr>
        <w:t>EA 2012, p.41</w:t>
      </w:r>
      <w:r w:rsidRPr="001522F8">
        <w:rPr>
          <w:rFonts w:ascii="Times New Roman" w:hAnsi="Times New Roman" w:cs="Times New Roman"/>
          <w:bCs w:val="0"/>
          <w:iCs w:val="0"/>
          <w:sz w:val="14"/>
          <w:szCs w:val="14"/>
        </w:rPr>
        <w:t xml:space="preserve">). Drawing on the </w:t>
      </w:r>
      <w:r w:rsidRPr="001522F8">
        <w:rPr>
          <w:rFonts w:ascii="Times New Roman" w:hAnsi="Times New Roman" w:cs="Times New Roman"/>
          <w:bCs w:val="0"/>
          <w:i/>
          <w:sz w:val="14"/>
          <w:szCs w:val="14"/>
        </w:rPr>
        <w:t>Estuary-wide Options</w:t>
      </w:r>
      <w:r w:rsidRPr="001522F8">
        <w:rPr>
          <w:rFonts w:ascii="Times New Roman" w:hAnsi="Times New Roman" w:cs="Times New Roman"/>
          <w:bCs w:val="0"/>
          <w:iCs w:val="0"/>
          <w:sz w:val="14"/>
          <w:szCs w:val="14"/>
        </w:rPr>
        <w:t>, the Action Plan specifies the actions that must be taken at local level, within each ‘policy-unit</w:t>
      </w:r>
      <w:proofErr w:type="gramStart"/>
      <w:r w:rsidRPr="001522F8">
        <w:rPr>
          <w:rFonts w:ascii="Times New Roman" w:hAnsi="Times New Roman" w:cs="Times New Roman"/>
          <w:bCs w:val="0"/>
          <w:iCs w:val="0"/>
          <w:sz w:val="14"/>
          <w:szCs w:val="14"/>
        </w:rPr>
        <w:t>’</w:t>
      </w:r>
      <w:r w:rsidR="001522F8">
        <w:rPr>
          <w:rFonts w:ascii="Times New Roman" w:hAnsi="Times New Roman" w:cs="Times New Roman"/>
          <w:bCs w:val="0"/>
          <w:iCs w:val="0"/>
          <w:color w:val="7F7F7F" w:themeColor="text1" w:themeTint="80"/>
          <w:sz w:val="14"/>
          <w:szCs w:val="14"/>
        </w:rPr>
        <w:t>(</w:t>
      </w:r>
      <w:proofErr w:type="gramEnd"/>
      <w:r w:rsidRPr="001522F8">
        <w:rPr>
          <w:rFonts w:ascii="Times New Roman" w:hAnsi="Times New Roman" w:cs="Times New Roman"/>
          <w:bCs w:val="0"/>
          <w:iCs w:val="0"/>
          <w:color w:val="7F7F7F" w:themeColor="text1" w:themeTint="80"/>
          <w:sz w:val="14"/>
          <w:szCs w:val="14"/>
        </w:rPr>
        <w:t>p.36</w:t>
      </w:r>
      <w:r w:rsidRPr="001522F8">
        <w:rPr>
          <w:rFonts w:ascii="Times New Roman" w:hAnsi="Times New Roman" w:cs="Times New Roman"/>
          <w:bCs w:val="0"/>
          <w:iCs w:val="0"/>
          <w:sz w:val="14"/>
          <w:szCs w:val="14"/>
        </w:rPr>
        <w:t xml:space="preserve">). </w:t>
      </w:r>
    </w:p>
  </w:footnote>
  <w:footnote w:id="20">
    <w:p w14:paraId="360C5F72" w14:textId="77777777" w:rsidR="00C04B00" w:rsidRPr="001522F8" w:rsidRDefault="00C04B00" w:rsidP="00C04B00">
      <w:pPr>
        <w:spacing w:after="0" w:line="240" w:lineRule="auto"/>
        <w:jc w:val="left"/>
        <w:rPr>
          <w:rFonts w:ascii="Times New Roman" w:hAnsi="Times New Roman"/>
          <w:sz w:val="14"/>
          <w:szCs w:val="14"/>
        </w:rPr>
      </w:pPr>
      <w:r w:rsidRPr="001522F8">
        <w:rPr>
          <w:rStyle w:val="Refdenotaderodap"/>
          <w:rFonts w:ascii="Times New Roman" w:hAnsi="Times New Roman"/>
          <w:sz w:val="14"/>
          <w:szCs w:val="14"/>
        </w:rPr>
        <w:footnoteRef/>
      </w:r>
      <w:r w:rsidRPr="001522F8">
        <w:rPr>
          <w:rFonts w:ascii="Times New Roman" w:hAnsi="Times New Roman"/>
          <w:sz w:val="14"/>
          <w:szCs w:val="14"/>
        </w:rPr>
        <w:t xml:space="preserve"> Together, the </w:t>
      </w:r>
      <w:r w:rsidRPr="001522F8">
        <w:rPr>
          <w:rFonts w:ascii="Times New Roman" w:hAnsi="Times New Roman"/>
          <w:i/>
          <w:iCs/>
          <w:sz w:val="14"/>
          <w:szCs w:val="14"/>
        </w:rPr>
        <w:t>route-map</w:t>
      </w:r>
      <w:r w:rsidRPr="001522F8">
        <w:rPr>
          <w:rFonts w:ascii="Times New Roman" w:hAnsi="Times New Roman"/>
          <w:sz w:val="14"/>
          <w:szCs w:val="14"/>
        </w:rPr>
        <w:t xml:space="preserve">, the </w:t>
      </w:r>
      <w:r w:rsidRPr="001522F8">
        <w:rPr>
          <w:rFonts w:ascii="Times New Roman" w:hAnsi="Times New Roman"/>
          <w:i/>
          <w:iCs/>
          <w:sz w:val="14"/>
          <w:szCs w:val="14"/>
        </w:rPr>
        <w:t>decision-points</w:t>
      </w:r>
      <w:r w:rsidRPr="001522F8">
        <w:rPr>
          <w:rFonts w:ascii="Times New Roman" w:hAnsi="Times New Roman"/>
          <w:sz w:val="14"/>
          <w:szCs w:val="14"/>
        </w:rPr>
        <w:t xml:space="preserve"> and the monitoring system, formed the basis of the first 40-year investment plan, which details the works needed for upgrading the FRM system (</w:t>
      </w:r>
      <w:r w:rsidRPr="001522F8">
        <w:rPr>
          <w:rFonts w:ascii="Times New Roman" w:hAnsi="Times New Roman"/>
          <w:color w:val="7F7F7F" w:themeColor="text1" w:themeTint="80"/>
          <w:sz w:val="14"/>
          <w:szCs w:val="14"/>
        </w:rPr>
        <w:t>Ranger et al. 2013, p.252</w:t>
      </w:r>
      <w:r w:rsidRPr="001522F8">
        <w:rPr>
          <w:rFonts w:ascii="Times New Roman" w:hAnsi="Times New Roman"/>
          <w:sz w:val="14"/>
          <w:szCs w:val="14"/>
        </w:rPr>
        <w:t>). The first 40-year investment plan outlines the actions to upgrade the existing flood defence system (</w:t>
      </w:r>
      <w:r w:rsidRPr="001522F8">
        <w:rPr>
          <w:rFonts w:ascii="Times New Roman" w:hAnsi="Times New Roman"/>
          <w:color w:val="7F7F7F" w:themeColor="text1" w:themeTint="80"/>
          <w:sz w:val="14"/>
          <w:szCs w:val="14"/>
        </w:rPr>
        <w:t>Ranger et al. 2013, p.252</w:t>
      </w:r>
      <w:r w:rsidRPr="001522F8">
        <w:rPr>
          <w:rFonts w:ascii="Times New Roman" w:hAnsi="Times New Roman"/>
          <w:sz w:val="14"/>
          <w:szCs w:val="14"/>
        </w:rPr>
        <w:t>), and it will guide the implementation of actions even under more extreme scenarios (</w:t>
      </w:r>
      <w:r w:rsidRPr="001522F8">
        <w:rPr>
          <w:rFonts w:ascii="Times New Roman" w:hAnsi="Times New Roman"/>
          <w:color w:val="7F7F7F" w:themeColor="text1" w:themeTint="80"/>
          <w:sz w:val="14"/>
          <w:szCs w:val="14"/>
        </w:rPr>
        <w:t>Reeder and Ranger 2011, p.10</w:t>
      </w:r>
      <w:r w:rsidRPr="001522F8">
        <w:rPr>
          <w:rFonts w:ascii="Times New Roman" w:hAnsi="Times New Roman"/>
          <w:sz w:val="14"/>
          <w:szCs w:val="14"/>
        </w:rPr>
        <w:t>).</w:t>
      </w:r>
    </w:p>
  </w:footnote>
  <w:footnote w:id="21">
    <w:p w14:paraId="13B661EC" w14:textId="0AFC1D09" w:rsidR="00C04B00" w:rsidRPr="001522F8" w:rsidRDefault="00C04B00" w:rsidP="00C04B00">
      <w:pPr>
        <w:autoSpaceDE w:val="0"/>
        <w:autoSpaceDN w:val="0"/>
        <w:adjustRightInd w:val="0"/>
        <w:spacing w:after="0" w:line="240" w:lineRule="auto"/>
        <w:jc w:val="left"/>
        <w:rPr>
          <w:rFonts w:ascii="Times New Roman" w:eastAsiaTheme="minorHAnsi" w:hAnsi="Times New Roman"/>
          <w:color w:val="000000"/>
          <w:sz w:val="14"/>
          <w:szCs w:val="14"/>
          <w:lang w:eastAsia="en-US"/>
        </w:rPr>
      </w:pPr>
      <w:r w:rsidRPr="001522F8">
        <w:rPr>
          <w:rStyle w:val="Refdenotaderodap"/>
          <w:rFonts w:ascii="Times New Roman" w:hAnsi="Times New Roman"/>
          <w:sz w:val="14"/>
          <w:szCs w:val="14"/>
        </w:rPr>
        <w:footnoteRef/>
      </w:r>
      <w:r w:rsidRPr="001522F8">
        <w:rPr>
          <w:rFonts w:ascii="Times New Roman" w:hAnsi="Times New Roman"/>
          <w:sz w:val="14"/>
          <w:szCs w:val="14"/>
        </w:rPr>
        <w:t xml:space="preserve"> </w:t>
      </w:r>
      <w:r w:rsidRPr="001522F8">
        <w:rPr>
          <w:rFonts w:ascii="Times New Roman" w:eastAsiaTheme="minorHAnsi" w:hAnsi="Times New Roman"/>
          <w:color w:val="000000"/>
          <w:sz w:val="14"/>
          <w:szCs w:val="14"/>
          <w:lang w:eastAsia="en-US"/>
        </w:rPr>
        <w:t xml:space="preserve">A decision will need to be made around 2050 (based on Government guidance) so that changes to the FRM system can be planned and ready for use by 2070. Although the climate and other conditions may change until the 2050 review, the Team had a high degree of certainty about FRM requirements for the next 40 years, hence, it prepared a detailed investment programme up to 2049, and a high-level programme up to 2100. The detailed planning for the next 40 years was based on </w:t>
      </w:r>
      <w:r w:rsidRPr="001522F8">
        <w:rPr>
          <w:rFonts w:ascii="Times New Roman" w:eastAsiaTheme="minorHAnsi" w:hAnsi="Times New Roman"/>
          <w:i/>
          <w:iCs/>
          <w:color w:val="000000"/>
          <w:sz w:val="14"/>
          <w:szCs w:val="14"/>
          <w:lang w:eastAsia="en-US"/>
        </w:rPr>
        <w:t>Option 1.4</w:t>
      </w:r>
      <w:r w:rsidRPr="001522F8">
        <w:rPr>
          <w:rFonts w:ascii="Times New Roman" w:eastAsiaTheme="minorHAnsi" w:hAnsi="Times New Roman"/>
          <w:color w:val="000000"/>
          <w:sz w:val="14"/>
          <w:szCs w:val="14"/>
          <w:lang w:eastAsia="en-US"/>
        </w:rPr>
        <w:t>.  (</w:t>
      </w:r>
      <w:r w:rsidRPr="001522F8">
        <w:rPr>
          <w:rFonts w:ascii="Times New Roman" w:eastAsiaTheme="minorHAnsi" w:hAnsi="Times New Roman"/>
          <w:color w:val="7F7F7F" w:themeColor="text1" w:themeTint="80"/>
          <w:sz w:val="14"/>
          <w:szCs w:val="14"/>
          <w:lang w:eastAsia="en-US"/>
        </w:rPr>
        <w:t>EA 2012, p.56</w:t>
      </w:r>
      <w:r w:rsidRPr="001522F8">
        <w:rPr>
          <w:rFonts w:ascii="Times New Roman" w:eastAsiaTheme="minorHAnsi" w:hAnsi="Times New Roman"/>
          <w:color w:val="000000"/>
          <w:sz w:val="14"/>
          <w:szCs w:val="14"/>
          <w:lang w:eastAsia="en-US"/>
        </w:rPr>
        <w:t xml:space="preserve">). The Team carried out a detailed planning for the next 40 years based on </w:t>
      </w:r>
      <w:r w:rsidRPr="001522F8">
        <w:rPr>
          <w:rFonts w:ascii="Times New Roman" w:eastAsiaTheme="minorHAnsi" w:hAnsi="Times New Roman"/>
          <w:i/>
          <w:iCs/>
          <w:color w:val="000000"/>
          <w:sz w:val="14"/>
          <w:szCs w:val="14"/>
          <w:lang w:eastAsia="en-US"/>
        </w:rPr>
        <w:t>Option 1.4</w:t>
      </w:r>
      <w:r w:rsidRPr="001522F8">
        <w:rPr>
          <w:rFonts w:ascii="Times New Roman" w:eastAsiaTheme="minorHAnsi" w:hAnsi="Times New Roman"/>
          <w:color w:val="000000"/>
          <w:sz w:val="14"/>
          <w:szCs w:val="14"/>
          <w:lang w:eastAsia="en-US"/>
        </w:rPr>
        <w:t xml:space="preserve"> (</w:t>
      </w:r>
      <w:r w:rsidRPr="001522F8">
        <w:rPr>
          <w:rFonts w:ascii="Times New Roman" w:eastAsiaTheme="minorHAnsi" w:hAnsi="Times New Roman"/>
          <w:color w:val="7F7F7F" w:themeColor="text1" w:themeTint="80"/>
          <w:sz w:val="14"/>
          <w:szCs w:val="14"/>
          <w:lang w:eastAsia="en-US"/>
        </w:rPr>
        <w:t>EA 2012, p.56</w:t>
      </w:r>
      <w:r w:rsidRPr="001522F8">
        <w:rPr>
          <w:rFonts w:ascii="Times New Roman" w:eastAsiaTheme="minorHAnsi" w:hAnsi="Times New Roman"/>
          <w:color w:val="000000"/>
          <w:sz w:val="14"/>
          <w:szCs w:val="14"/>
          <w:lang w:eastAsia="en-US"/>
        </w:rPr>
        <w:t xml:space="preserve">). </w:t>
      </w:r>
      <w:r w:rsidRPr="001522F8">
        <w:rPr>
          <w:rFonts w:ascii="Times New Roman" w:hAnsi="Times New Roman"/>
          <w:sz w:val="14"/>
          <w:szCs w:val="14"/>
        </w:rPr>
        <w:t>The Team had high confidence in the short- and medium-term programme (up to 2049), and it expected that, by 2070, a major intervention in the FRM system will be required (based on the scenario considered), such intervention (which will provide a FRM solution from 2070 up to the 22</w:t>
      </w:r>
      <w:r w:rsidRPr="001522F8">
        <w:rPr>
          <w:rFonts w:ascii="Times New Roman" w:hAnsi="Times New Roman"/>
          <w:sz w:val="14"/>
          <w:szCs w:val="14"/>
          <w:vertAlign w:val="superscript"/>
        </w:rPr>
        <w:t>nd</w:t>
      </w:r>
      <w:r w:rsidRPr="001522F8">
        <w:rPr>
          <w:rFonts w:ascii="Times New Roman" w:hAnsi="Times New Roman"/>
          <w:sz w:val="14"/>
          <w:szCs w:val="14"/>
        </w:rPr>
        <w:t xml:space="preserve"> century) will be chosen by 2050, and planned, designed, and built between 2050 and 2070 (</w:t>
      </w:r>
      <w:r w:rsidRPr="001522F8">
        <w:rPr>
          <w:rFonts w:ascii="Times New Roman" w:hAnsi="Times New Roman"/>
          <w:color w:val="7F7F7F" w:themeColor="text1" w:themeTint="80"/>
          <w:sz w:val="14"/>
          <w:szCs w:val="14"/>
        </w:rPr>
        <w:t>EA 2012, p.41</w:t>
      </w:r>
      <w:r w:rsidRPr="001522F8">
        <w:rPr>
          <w:rFonts w:ascii="Times New Roman" w:hAnsi="Times New Roman"/>
          <w:sz w:val="14"/>
          <w:szCs w:val="14"/>
        </w:rPr>
        <w:t xml:space="preserve">).  </w:t>
      </w:r>
    </w:p>
    <w:p w14:paraId="1DF712BF" w14:textId="092F3D07" w:rsidR="00C04B00" w:rsidRPr="001522F8" w:rsidRDefault="00C04B00" w:rsidP="00C04B00">
      <w:pPr>
        <w:autoSpaceDE w:val="0"/>
        <w:autoSpaceDN w:val="0"/>
        <w:adjustRightInd w:val="0"/>
        <w:spacing w:after="0" w:line="240" w:lineRule="auto"/>
        <w:jc w:val="left"/>
        <w:rPr>
          <w:rFonts w:ascii="Times New Roman" w:hAnsi="Times New Roman"/>
          <w:sz w:val="14"/>
          <w:szCs w:val="14"/>
        </w:rPr>
      </w:pPr>
      <w:r w:rsidRPr="001522F8">
        <w:rPr>
          <w:rFonts w:ascii="Times New Roman" w:hAnsi="Times New Roman"/>
          <w:sz w:val="14"/>
          <w:szCs w:val="14"/>
        </w:rPr>
        <w:t>It is expected that major interventions in the existing flood defence system will not be necessary until 2070, and that the TB, with some modifications, will continue to provide flood protection up to 2070 (</w:t>
      </w:r>
      <w:r w:rsidRPr="001522F8">
        <w:rPr>
          <w:rFonts w:ascii="Times New Roman" w:hAnsi="Times New Roman"/>
          <w:color w:val="7F7F7F" w:themeColor="text1" w:themeTint="80"/>
          <w:sz w:val="14"/>
          <w:szCs w:val="14"/>
        </w:rPr>
        <w:t>EA 2012, p.32, 5</w:t>
      </w:r>
      <w:r w:rsidRPr="001522F8">
        <w:rPr>
          <w:rFonts w:ascii="Times New Roman" w:hAnsi="Times New Roman"/>
          <w:sz w:val="14"/>
          <w:szCs w:val="14"/>
        </w:rPr>
        <w:t xml:space="preserve">), yet, it is necessary to maintain the high standards of operation and maintenance of, and also improve, the existing defence system. Substantial improvements in the existing system will be needed before 2070 (e.g. </w:t>
      </w:r>
      <w:r w:rsidRPr="001522F8">
        <w:rPr>
          <w:rFonts w:ascii="Times New Roman" w:hAnsi="Times New Roman"/>
          <w:i/>
          <w:iCs/>
          <w:sz w:val="14"/>
          <w:szCs w:val="14"/>
        </w:rPr>
        <w:t xml:space="preserve">raising the crest level of most flood </w:t>
      </w:r>
      <w:proofErr w:type="gramStart"/>
      <w:r w:rsidRPr="001522F8">
        <w:rPr>
          <w:rFonts w:ascii="Times New Roman" w:hAnsi="Times New Roman"/>
          <w:i/>
          <w:iCs/>
          <w:sz w:val="14"/>
          <w:szCs w:val="14"/>
        </w:rPr>
        <w:t>defences</w:t>
      </w:r>
      <w:r w:rsidRPr="001522F8">
        <w:rPr>
          <w:rFonts w:ascii="Times New Roman" w:hAnsi="Times New Roman"/>
          <w:sz w:val="14"/>
          <w:szCs w:val="14"/>
        </w:rPr>
        <w:t>, and</w:t>
      </w:r>
      <w:proofErr w:type="gramEnd"/>
      <w:r w:rsidRPr="001522F8">
        <w:rPr>
          <w:rFonts w:ascii="Times New Roman" w:hAnsi="Times New Roman"/>
          <w:sz w:val="14"/>
          <w:szCs w:val="14"/>
        </w:rPr>
        <w:t xml:space="preserve"> </w:t>
      </w:r>
      <w:r w:rsidRPr="001522F8">
        <w:rPr>
          <w:rFonts w:ascii="Times New Roman" w:hAnsi="Times New Roman"/>
          <w:i/>
          <w:iCs/>
          <w:sz w:val="14"/>
          <w:szCs w:val="14"/>
        </w:rPr>
        <w:t>replacing a large proportion of the defence structures as they reach the end of their lives</w:t>
      </w:r>
      <w:r w:rsidRPr="001522F8">
        <w:rPr>
          <w:rFonts w:ascii="Times New Roman" w:hAnsi="Times New Roman"/>
          <w:sz w:val="14"/>
          <w:szCs w:val="14"/>
        </w:rPr>
        <w:t>), thus, the Plan contains a programme of continual maintenance and improvement works needed in first 40 years (</w:t>
      </w:r>
      <w:r w:rsidRPr="001522F8">
        <w:rPr>
          <w:rFonts w:ascii="Times New Roman" w:hAnsi="Times New Roman"/>
          <w:color w:val="7F7F7F" w:themeColor="text1" w:themeTint="80"/>
          <w:sz w:val="14"/>
          <w:szCs w:val="14"/>
        </w:rPr>
        <w:t>EA 2012, p.32</w:t>
      </w:r>
      <w:r w:rsidRPr="001522F8">
        <w:rPr>
          <w:rFonts w:ascii="Times New Roman" w:hAnsi="Times New Roman"/>
          <w:sz w:val="14"/>
          <w:szCs w:val="14"/>
        </w:rPr>
        <w:t>). Regardless of the measure chosen for the ‘end of century’, until 2070 it will be necessary to raise defences upriver and downriver of TB (</w:t>
      </w:r>
      <w:r w:rsidRPr="001522F8">
        <w:rPr>
          <w:rFonts w:ascii="Times New Roman" w:hAnsi="Times New Roman"/>
          <w:color w:val="7F7F7F" w:themeColor="text1" w:themeTint="80"/>
          <w:sz w:val="14"/>
          <w:szCs w:val="14"/>
        </w:rPr>
        <w:t>Ramsbottom and Sheppard 2017, p.11</w:t>
      </w:r>
      <w:r w:rsidRPr="001522F8">
        <w:rPr>
          <w:rFonts w:ascii="Times New Roman" w:hAnsi="Times New Roman"/>
          <w:sz w:val="14"/>
          <w:szCs w:val="14"/>
        </w:rPr>
        <w:t xml:space="preserve">). </w:t>
      </w:r>
      <w:bookmarkStart w:id="23" w:name="_Hlk122968567"/>
      <w:r w:rsidRPr="004D3B3E">
        <w:rPr>
          <w:rFonts w:ascii="Times New Roman" w:eastAsiaTheme="minorHAnsi" w:hAnsi="Times New Roman"/>
          <w:i/>
          <w:iCs/>
          <w:color w:val="000000"/>
          <w:sz w:val="14"/>
          <w:szCs w:val="14"/>
          <w:lang w:val="en-US" w:eastAsia="en-US"/>
        </w:rPr>
        <w:t xml:space="preserve">Long term planning - looking beyond the year 2100: </w:t>
      </w:r>
      <w:r w:rsidRPr="004D3B3E">
        <w:rPr>
          <w:rFonts w:ascii="Times New Roman" w:eastAsiaTheme="minorHAnsi" w:hAnsi="Times New Roman"/>
          <w:color w:val="000000"/>
          <w:sz w:val="14"/>
          <w:szCs w:val="14"/>
          <w:lang w:val="en-US" w:eastAsia="en-US"/>
        </w:rPr>
        <w:t xml:space="preserve">The Plan includes </w:t>
      </w:r>
      <w:r w:rsidRPr="004D3B3E">
        <w:rPr>
          <w:rFonts w:ascii="Times New Roman" w:eastAsiaTheme="minorHAnsi" w:hAnsi="Times New Roman"/>
          <w:i/>
          <w:iCs/>
          <w:color w:val="000000"/>
          <w:sz w:val="14"/>
          <w:szCs w:val="14"/>
          <w:lang w:val="en-US" w:eastAsia="en-US"/>
        </w:rPr>
        <w:t xml:space="preserve">a continuous </w:t>
      </w:r>
      <w:proofErr w:type="spellStart"/>
      <w:r w:rsidRPr="004D3B3E">
        <w:rPr>
          <w:rFonts w:ascii="Times New Roman" w:eastAsiaTheme="minorHAnsi" w:hAnsi="Times New Roman"/>
          <w:i/>
          <w:iCs/>
          <w:color w:val="000000"/>
          <w:sz w:val="14"/>
          <w:szCs w:val="14"/>
          <w:lang w:val="en-US" w:eastAsia="en-US"/>
        </w:rPr>
        <w:t>programme</w:t>
      </w:r>
      <w:proofErr w:type="spellEnd"/>
      <w:r w:rsidRPr="004D3B3E">
        <w:rPr>
          <w:rFonts w:ascii="Times New Roman" w:eastAsiaTheme="minorHAnsi" w:hAnsi="Times New Roman"/>
          <w:i/>
          <w:iCs/>
          <w:color w:val="000000"/>
          <w:sz w:val="14"/>
          <w:szCs w:val="14"/>
          <w:lang w:val="en-US" w:eastAsia="en-US"/>
        </w:rPr>
        <w:t xml:space="preserve"> of activities and interventions from 2010 to 2069</w:t>
      </w:r>
      <w:r w:rsidRPr="004D3B3E">
        <w:rPr>
          <w:rFonts w:ascii="Times New Roman" w:eastAsiaTheme="minorHAnsi" w:hAnsi="Times New Roman"/>
          <w:color w:val="000000"/>
          <w:sz w:val="14"/>
          <w:szCs w:val="14"/>
          <w:lang w:val="en-US" w:eastAsia="en-US"/>
        </w:rPr>
        <w:t xml:space="preserve">, but </w:t>
      </w:r>
      <w:r w:rsidRPr="004D3B3E">
        <w:rPr>
          <w:rFonts w:ascii="Times New Roman" w:eastAsiaTheme="minorHAnsi" w:hAnsi="Times New Roman"/>
          <w:i/>
          <w:iCs/>
          <w:color w:val="000000"/>
          <w:sz w:val="14"/>
          <w:szCs w:val="14"/>
          <w:lang w:val="en-US" w:eastAsia="en-US"/>
        </w:rPr>
        <w:t xml:space="preserve">in 2070 a major change will be required, potentially requiring the construction of different flood </w:t>
      </w:r>
      <w:proofErr w:type="spellStart"/>
      <w:r w:rsidRPr="004D3B3E">
        <w:rPr>
          <w:rFonts w:ascii="Times New Roman" w:eastAsiaTheme="minorHAnsi" w:hAnsi="Times New Roman"/>
          <w:i/>
          <w:iCs/>
          <w:color w:val="000000"/>
          <w:sz w:val="14"/>
          <w:szCs w:val="14"/>
          <w:lang w:val="en-US" w:eastAsia="en-US"/>
        </w:rPr>
        <w:t>defence</w:t>
      </w:r>
      <w:proofErr w:type="spellEnd"/>
      <w:r w:rsidRPr="004D3B3E">
        <w:rPr>
          <w:rFonts w:ascii="Times New Roman" w:eastAsiaTheme="minorHAnsi" w:hAnsi="Times New Roman"/>
          <w:i/>
          <w:iCs/>
          <w:color w:val="000000"/>
          <w:sz w:val="14"/>
          <w:szCs w:val="14"/>
          <w:lang w:val="en-US" w:eastAsia="en-US"/>
        </w:rPr>
        <w:t xml:space="preserve"> structures </w:t>
      </w:r>
      <w:r w:rsidRPr="004D3B3E">
        <w:rPr>
          <w:rFonts w:ascii="Times New Roman" w:eastAsiaTheme="minorHAnsi" w:hAnsi="Times New Roman"/>
          <w:color w:val="000000"/>
          <w:sz w:val="14"/>
          <w:szCs w:val="14"/>
          <w:lang w:val="en-US" w:eastAsia="en-US"/>
        </w:rPr>
        <w:t>(</w:t>
      </w:r>
      <w:r w:rsidR="00F77E53" w:rsidRPr="004D3B3E">
        <w:rPr>
          <w:rFonts w:ascii="Times New Roman" w:eastAsiaTheme="minorHAnsi" w:hAnsi="Times New Roman"/>
          <w:color w:val="7F7F7F" w:themeColor="text1" w:themeTint="80"/>
          <w:sz w:val="14"/>
          <w:szCs w:val="14"/>
          <w:lang w:val="en-US" w:eastAsia="en-US"/>
        </w:rPr>
        <w:t>EA 2009A</w:t>
      </w:r>
      <w:r w:rsidRPr="004D3B3E">
        <w:rPr>
          <w:rFonts w:ascii="Times New Roman" w:eastAsiaTheme="minorHAnsi" w:hAnsi="Times New Roman"/>
          <w:color w:val="7F7F7F" w:themeColor="text1" w:themeTint="80"/>
          <w:sz w:val="14"/>
          <w:szCs w:val="14"/>
          <w:lang w:val="en-US" w:eastAsia="en-US"/>
        </w:rPr>
        <w:t xml:space="preserve">, </w:t>
      </w:r>
      <w:proofErr w:type="spellStart"/>
      <w:r w:rsidRPr="004D3B3E">
        <w:rPr>
          <w:rFonts w:ascii="Times New Roman" w:eastAsiaTheme="minorHAnsi" w:hAnsi="Times New Roman"/>
          <w:color w:val="7F7F7F" w:themeColor="text1" w:themeTint="80"/>
          <w:sz w:val="14"/>
          <w:szCs w:val="14"/>
          <w:lang w:val="en-US" w:eastAsia="en-US"/>
        </w:rPr>
        <w:t>p.xiii</w:t>
      </w:r>
      <w:proofErr w:type="spellEnd"/>
      <w:r w:rsidRPr="004D3B3E">
        <w:rPr>
          <w:rFonts w:ascii="Times New Roman" w:eastAsiaTheme="minorHAnsi" w:hAnsi="Times New Roman"/>
          <w:color w:val="000000"/>
          <w:sz w:val="14"/>
          <w:szCs w:val="14"/>
          <w:lang w:val="en-US" w:eastAsia="en-US"/>
        </w:rPr>
        <w:t xml:space="preserve">) </w:t>
      </w:r>
      <w:bookmarkEnd w:id="23"/>
    </w:p>
  </w:footnote>
  <w:footnote w:id="22">
    <w:p w14:paraId="7BE85652" w14:textId="688E86DB" w:rsidR="00C04B00" w:rsidRPr="008358C5" w:rsidRDefault="00C04B00" w:rsidP="00C04B00">
      <w:pPr>
        <w:pStyle w:val="TEXTBODY"/>
        <w:spacing w:after="0" w:line="240" w:lineRule="auto"/>
        <w:jc w:val="left"/>
        <w:rPr>
          <w:sz w:val="16"/>
          <w:szCs w:val="14"/>
        </w:rPr>
      </w:pPr>
      <w:r w:rsidRPr="004D3B3E">
        <w:rPr>
          <w:rStyle w:val="Refdenotaderodap"/>
          <w:sz w:val="16"/>
          <w:szCs w:val="14"/>
        </w:rPr>
        <w:footnoteRef/>
      </w:r>
      <w:r w:rsidRPr="004D3B3E">
        <w:rPr>
          <w:sz w:val="16"/>
          <w:szCs w:val="14"/>
        </w:rPr>
        <w:t xml:space="preserve"> </w:t>
      </w:r>
      <w:r w:rsidRPr="004D3B3E">
        <w:rPr>
          <w:rFonts w:eastAsiaTheme="minorHAnsi"/>
          <w:sz w:val="14"/>
          <w:szCs w:val="12"/>
        </w:rPr>
        <w:t xml:space="preserve">The final </w:t>
      </w:r>
      <w:r w:rsidRPr="004D3B3E">
        <w:rPr>
          <w:sz w:val="14"/>
          <w:szCs w:val="12"/>
        </w:rPr>
        <w:t xml:space="preserve">Plan (2012) defined the </w:t>
      </w:r>
      <w:r w:rsidRPr="004D3B3E">
        <w:rPr>
          <w:i/>
          <w:iCs/>
          <w:sz w:val="14"/>
          <w:szCs w:val="12"/>
        </w:rPr>
        <w:t>Options</w:t>
      </w:r>
      <w:r w:rsidRPr="004D3B3E">
        <w:rPr>
          <w:sz w:val="14"/>
          <w:szCs w:val="12"/>
        </w:rPr>
        <w:t xml:space="preserve"> (pathways) assuming the </w:t>
      </w:r>
      <w:r w:rsidRPr="004D3B3E">
        <w:rPr>
          <w:i/>
          <w:iCs/>
          <w:sz w:val="14"/>
          <w:szCs w:val="12"/>
        </w:rPr>
        <w:t>Defra06 scenario</w:t>
      </w:r>
      <w:r w:rsidRPr="004D3B3E">
        <w:rPr>
          <w:sz w:val="14"/>
          <w:szCs w:val="12"/>
        </w:rPr>
        <w:t xml:space="preserve"> (</w:t>
      </w:r>
      <w:r w:rsidRPr="004D3B3E">
        <w:rPr>
          <w:i/>
          <w:iCs/>
          <w:sz w:val="14"/>
          <w:szCs w:val="12"/>
        </w:rPr>
        <w:t>most likely</w:t>
      </w:r>
      <w:r w:rsidRPr="004D3B3E">
        <w:rPr>
          <w:sz w:val="14"/>
          <w:szCs w:val="12"/>
        </w:rPr>
        <w:t xml:space="preserve"> scenario), but it is </w:t>
      </w:r>
      <w:r w:rsidRPr="004D3B3E">
        <w:rPr>
          <w:b/>
          <w:bCs/>
          <w:i/>
          <w:iCs/>
          <w:sz w:val="14"/>
          <w:szCs w:val="12"/>
        </w:rPr>
        <w:t>flexible and adaptable</w:t>
      </w:r>
      <w:r w:rsidRPr="004D3B3E">
        <w:rPr>
          <w:sz w:val="14"/>
          <w:szCs w:val="12"/>
        </w:rPr>
        <w:t xml:space="preserve"> to change and uncertain future: the Team sought to ensure that options were not limited if the future evolves in different ways than expected when the Plan was developed (</w:t>
      </w:r>
      <w:r w:rsidR="00C87D9F">
        <w:rPr>
          <w:color w:val="7F7F7F" w:themeColor="text1" w:themeTint="80"/>
          <w:sz w:val="14"/>
          <w:szCs w:val="12"/>
        </w:rPr>
        <w:t>EA</w:t>
      </w:r>
      <w:r w:rsidRPr="004D3B3E">
        <w:rPr>
          <w:color w:val="7F7F7F" w:themeColor="text1" w:themeTint="80"/>
          <w:sz w:val="14"/>
          <w:szCs w:val="12"/>
        </w:rPr>
        <w:t xml:space="preserve"> 2009</w:t>
      </w:r>
      <w:r w:rsidR="00C87D9F">
        <w:rPr>
          <w:color w:val="7F7F7F" w:themeColor="text1" w:themeTint="80"/>
          <w:sz w:val="14"/>
          <w:szCs w:val="12"/>
        </w:rPr>
        <w:t>b</w:t>
      </w:r>
      <w:r w:rsidRPr="004D3B3E">
        <w:rPr>
          <w:color w:val="7F7F7F" w:themeColor="text1" w:themeTint="80"/>
          <w:sz w:val="14"/>
          <w:szCs w:val="12"/>
        </w:rPr>
        <w:t>, p.4</w:t>
      </w:r>
      <w:r w:rsidRPr="004D3B3E">
        <w:rPr>
          <w:sz w:val="14"/>
          <w:szCs w:val="12"/>
        </w:rPr>
        <w:t>).</w:t>
      </w:r>
      <w:r w:rsidRPr="008358C5">
        <w:rPr>
          <w:sz w:val="14"/>
          <w:szCs w:val="12"/>
          <w:u w:val="single"/>
        </w:rPr>
        <w:t xml:space="preserve"> </w:t>
      </w:r>
    </w:p>
  </w:footnote>
  <w:footnote w:id="23">
    <w:p w14:paraId="1B447D94" w14:textId="3AB8E0FE" w:rsidR="00C04B00" w:rsidRPr="004D3B3E" w:rsidRDefault="00C04B00" w:rsidP="00C04B00">
      <w:pPr>
        <w:spacing w:after="0" w:line="240" w:lineRule="auto"/>
        <w:jc w:val="left"/>
        <w:rPr>
          <w:rFonts w:ascii="Times New Roman" w:hAnsi="Times New Roman"/>
          <w:sz w:val="14"/>
          <w:szCs w:val="14"/>
        </w:rPr>
      </w:pPr>
      <w:r w:rsidRPr="004D3B3E">
        <w:rPr>
          <w:rStyle w:val="Refdenotaderodap"/>
          <w:sz w:val="14"/>
          <w:szCs w:val="14"/>
        </w:rPr>
        <w:footnoteRef/>
      </w:r>
      <w:r w:rsidRPr="004D3B3E">
        <w:rPr>
          <w:sz w:val="14"/>
          <w:szCs w:val="14"/>
        </w:rPr>
        <w:t xml:space="preserve"> </w:t>
      </w:r>
      <w:r w:rsidRPr="004D3B3E">
        <w:rPr>
          <w:rFonts w:ascii="Times New Roman" w:hAnsi="Times New Roman"/>
          <w:sz w:val="14"/>
          <w:szCs w:val="14"/>
        </w:rPr>
        <w:t xml:space="preserve">The horizontal bars in the route-map showed when an intervention (a measure or portfolio of measures) starts and when it ceases to be of value and a new intervention must be implemented, yet, the decision to implement it must be made years or decades earlier, in this way, it was possible to estimate the date of implementation-points and decision-points under the scenario used (based on Government guidance) </w:t>
      </w:r>
      <w:r w:rsidRPr="004D3B3E">
        <w:rPr>
          <w:rFonts w:ascii="Times New Roman" w:eastAsia="Calibri" w:hAnsi="Times New Roman"/>
          <w:sz w:val="14"/>
          <w:szCs w:val="14"/>
        </w:rPr>
        <w:t>(</w:t>
      </w:r>
      <w:r w:rsidRPr="004D3B3E">
        <w:rPr>
          <w:rFonts w:ascii="Times New Roman" w:eastAsia="Calibri" w:hAnsi="Times New Roman"/>
          <w:color w:val="7F7F7F" w:themeColor="text1" w:themeTint="80"/>
          <w:sz w:val="14"/>
          <w:szCs w:val="14"/>
        </w:rPr>
        <w:t xml:space="preserve">EA 2012, p.38; </w:t>
      </w:r>
      <w:r w:rsidR="00F77E53" w:rsidRPr="004D3B3E">
        <w:rPr>
          <w:rFonts w:ascii="Times New Roman" w:eastAsia="Calibri" w:hAnsi="Times New Roman"/>
          <w:color w:val="7F7F7F" w:themeColor="text1" w:themeTint="80"/>
          <w:sz w:val="14"/>
          <w:szCs w:val="14"/>
        </w:rPr>
        <w:t>EA 2009A</w:t>
      </w:r>
      <w:r w:rsidRPr="004D3B3E">
        <w:rPr>
          <w:rFonts w:ascii="Times New Roman" w:eastAsia="Calibri" w:hAnsi="Times New Roman"/>
          <w:color w:val="7F7F7F" w:themeColor="text1" w:themeTint="80"/>
          <w:sz w:val="14"/>
          <w:szCs w:val="14"/>
        </w:rPr>
        <w:t xml:space="preserve">, </w:t>
      </w:r>
      <w:proofErr w:type="spellStart"/>
      <w:r w:rsidRPr="004D3B3E">
        <w:rPr>
          <w:rFonts w:ascii="Times New Roman" w:eastAsia="Calibri" w:hAnsi="Times New Roman"/>
          <w:color w:val="7F7F7F" w:themeColor="text1" w:themeTint="80"/>
          <w:sz w:val="14"/>
          <w:szCs w:val="14"/>
        </w:rPr>
        <w:t>p.xiv</w:t>
      </w:r>
      <w:proofErr w:type="spellEnd"/>
      <w:r w:rsidRPr="004D3B3E">
        <w:rPr>
          <w:rFonts w:ascii="Times New Roman" w:hAnsi="Times New Roman"/>
          <w:sz w:val="14"/>
          <w:szCs w:val="14"/>
        </w:rPr>
        <w:t>). Many decisions should be made ahead of when measures are needed, as measures have a lead-time of years or decades (</w:t>
      </w:r>
      <w:r w:rsidRPr="004D3B3E">
        <w:rPr>
          <w:rFonts w:ascii="Times New Roman" w:hAnsi="Times New Roman"/>
          <w:color w:val="7F7F7F" w:themeColor="text1" w:themeTint="80"/>
          <w:sz w:val="14"/>
          <w:szCs w:val="14"/>
        </w:rPr>
        <w:t>EA 2012, p.34, 38</w:t>
      </w:r>
      <w:r w:rsidRPr="004D3B3E">
        <w:rPr>
          <w:rFonts w:ascii="Times New Roman" w:hAnsi="Times New Roman"/>
          <w:sz w:val="14"/>
          <w:szCs w:val="14"/>
        </w:rPr>
        <w:t>). The estimation of a decision-point considers the lead-time required for designing and constructing such action (</w:t>
      </w:r>
      <w:r w:rsidRPr="004D3B3E">
        <w:rPr>
          <w:rFonts w:ascii="Times New Roman" w:hAnsi="Times New Roman"/>
          <w:color w:val="7F7F7F" w:themeColor="text1" w:themeTint="80"/>
          <w:sz w:val="14"/>
          <w:szCs w:val="14"/>
        </w:rPr>
        <w:t>HM Treasury 2009, p.26</w:t>
      </w:r>
      <w:r w:rsidRPr="004D3B3E">
        <w:rPr>
          <w:rFonts w:ascii="Times New Roman" w:hAnsi="Times New Roman"/>
          <w:sz w:val="14"/>
          <w:szCs w:val="14"/>
        </w:rPr>
        <w:t>).</w:t>
      </w:r>
    </w:p>
    <w:p w14:paraId="2D925EEC" w14:textId="44300812" w:rsidR="00C04B00" w:rsidRPr="004D3B3E" w:rsidRDefault="00C04B00" w:rsidP="00C04B00">
      <w:pPr>
        <w:spacing w:after="0" w:line="240" w:lineRule="auto"/>
        <w:rPr>
          <w:rFonts w:ascii="Times New Roman" w:hAnsi="Times New Roman"/>
          <w:color w:val="C00000"/>
          <w:sz w:val="14"/>
          <w:szCs w:val="14"/>
        </w:rPr>
      </w:pPr>
      <w:bookmarkStart w:id="24" w:name="_Hlk123309967"/>
      <w:r w:rsidRPr="004D3B3E">
        <w:rPr>
          <w:rFonts w:ascii="Times New Roman" w:hAnsi="Times New Roman"/>
          <w:sz w:val="14"/>
          <w:szCs w:val="14"/>
        </w:rPr>
        <w:t>Each of the Estuary-wide FRM Options</w:t>
      </w:r>
      <w:bookmarkStart w:id="25" w:name="_Hlk123309531"/>
      <w:r w:rsidRPr="004D3B3E">
        <w:rPr>
          <w:rFonts w:ascii="Times New Roman" w:hAnsi="Times New Roman"/>
          <w:sz w:val="14"/>
          <w:szCs w:val="14"/>
        </w:rPr>
        <w:t xml:space="preserve"> contains a sequence of interventions over the next 100 years</w:t>
      </w:r>
      <w:bookmarkEnd w:id="25"/>
      <w:r w:rsidRPr="004D3B3E">
        <w:rPr>
          <w:rFonts w:ascii="Times New Roman" w:hAnsi="Times New Roman"/>
          <w:sz w:val="14"/>
          <w:szCs w:val="14"/>
        </w:rPr>
        <w:t>, and to develop the Plan and its associated investment plan, it was necessary to estimate the dates when these interventions must take place; however, in practice, the rate of future changes is unknown (it may be faster or slower than the rates assumed, and thus, the dates when interventions are required will change), therefore, an approach to estimating decision-points and implementation-points was needed which takes account of uncertainty in future change, and enabled decisions to be made based on actual rates of change (</w:t>
      </w:r>
      <w:r w:rsidR="00F77E53" w:rsidRPr="004D3B3E">
        <w:rPr>
          <w:rFonts w:ascii="Times New Roman" w:hAnsi="Times New Roman"/>
          <w:color w:val="7F7F7F" w:themeColor="text1" w:themeTint="80"/>
          <w:sz w:val="14"/>
          <w:szCs w:val="14"/>
        </w:rPr>
        <w:t>EA 2009A</w:t>
      </w:r>
      <w:r w:rsidRPr="004D3B3E">
        <w:rPr>
          <w:rFonts w:ascii="Times New Roman" w:hAnsi="Times New Roman"/>
          <w:color w:val="7F7F7F" w:themeColor="text1" w:themeTint="80"/>
          <w:sz w:val="14"/>
          <w:szCs w:val="14"/>
        </w:rPr>
        <w:t>, p.277</w:t>
      </w:r>
      <w:r w:rsidRPr="004D3B3E">
        <w:rPr>
          <w:rFonts w:ascii="Times New Roman" w:hAnsi="Times New Roman"/>
          <w:sz w:val="14"/>
          <w:szCs w:val="14"/>
        </w:rPr>
        <w:t xml:space="preserve">). </w:t>
      </w:r>
      <w:bookmarkEnd w:id="24"/>
    </w:p>
  </w:footnote>
  <w:footnote w:id="24">
    <w:p w14:paraId="63505A80" w14:textId="77777777" w:rsidR="00C04B00" w:rsidRPr="00EC5150" w:rsidRDefault="00C04B00" w:rsidP="00C04B00">
      <w:pPr>
        <w:spacing w:after="0" w:line="240" w:lineRule="auto"/>
        <w:jc w:val="left"/>
        <w:rPr>
          <w:rFonts w:ascii="Times New Roman" w:hAnsi="Times New Roman"/>
          <w:sz w:val="16"/>
          <w:szCs w:val="14"/>
        </w:rPr>
      </w:pPr>
      <w:r w:rsidRPr="004D3B3E">
        <w:rPr>
          <w:rStyle w:val="Refdenotaderodap"/>
          <w:sz w:val="14"/>
          <w:szCs w:val="14"/>
        </w:rPr>
        <w:footnoteRef/>
      </w:r>
      <w:r w:rsidRPr="004D3B3E">
        <w:rPr>
          <w:sz w:val="14"/>
          <w:szCs w:val="14"/>
        </w:rPr>
        <w:t xml:space="preserve"> </w:t>
      </w:r>
      <w:r w:rsidRPr="004D3B3E">
        <w:rPr>
          <w:rFonts w:ascii="Times New Roman" w:hAnsi="Times New Roman"/>
          <w:sz w:val="14"/>
          <w:szCs w:val="14"/>
        </w:rPr>
        <w:t>Relative SLR was a critical indicator, but other nine indicators were also considered (</w:t>
      </w:r>
      <w:r w:rsidRPr="004D3B3E">
        <w:rPr>
          <w:rFonts w:ascii="Times New Roman" w:hAnsi="Times New Roman"/>
          <w:color w:val="7F7F7F" w:themeColor="text1" w:themeTint="80"/>
          <w:sz w:val="14"/>
          <w:szCs w:val="14"/>
        </w:rPr>
        <w:t>Ranger et al. 2013, p.253</w:t>
      </w:r>
      <w:r w:rsidRPr="004D3B3E">
        <w:rPr>
          <w:rFonts w:ascii="Times New Roman" w:hAnsi="Times New Roman"/>
          <w:sz w:val="14"/>
          <w:szCs w:val="14"/>
        </w:rPr>
        <w:t>).</w:t>
      </w:r>
      <w:r w:rsidRPr="004D3B3E">
        <w:rPr>
          <w:rFonts w:ascii="Times New Roman" w:hAnsi="Times New Roman"/>
          <w:sz w:val="12"/>
          <w:szCs w:val="10"/>
        </w:rPr>
        <w:t xml:space="preserve"> </w:t>
      </w:r>
    </w:p>
  </w:footnote>
  <w:footnote w:id="25">
    <w:p w14:paraId="1CACC761" w14:textId="33925CA8" w:rsidR="00C04B00" w:rsidRPr="004D3B3E" w:rsidRDefault="00C04B00" w:rsidP="00C04B00">
      <w:pPr>
        <w:pStyle w:val="Textodenotaderodap"/>
        <w:rPr>
          <w:sz w:val="14"/>
          <w:szCs w:val="14"/>
        </w:rPr>
      </w:pPr>
      <w:r w:rsidRPr="004D3B3E">
        <w:rPr>
          <w:rStyle w:val="Refdenotaderodap"/>
          <w:sz w:val="14"/>
          <w:szCs w:val="14"/>
        </w:rPr>
        <w:footnoteRef/>
      </w:r>
      <w:r w:rsidRPr="004D3B3E">
        <w:rPr>
          <w:sz w:val="14"/>
          <w:szCs w:val="14"/>
        </w:rPr>
        <w:t xml:space="preserve"> If one or more indicators change significantly, this might trigger a movement of the implementation-point and decision-point of each intervention. Notwithstanding, there are several </w:t>
      </w:r>
      <w:r w:rsidRPr="001522F8">
        <w:rPr>
          <w:sz w:val="14"/>
          <w:szCs w:val="14"/>
        </w:rPr>
        <w:t>different ways through which the Plan can respond to changes identified each time the Plan is reviewed and updated, i.e. different ways through which the Plan is adaptable to change</w:t>
      </w:r>
      <w:r w:rsidRPr="004D3B3E">
        <w:rPr>
          <w:sz w:val="14"/>
          <w:szCs w:val="14"/>
        </w:rPr>
        <w:t xml:space="preserve"> (</w:t>
      </w:r>
      <w:r w:rsidRPr="004D3B3E">
        <w:rPr>
          <w:color w:val="7F7F7F" w:themeColor="text1" w:themeTint="80"/>
          <w:sz w:val="14"/>
          <w:szCs w:val="14"/>
        </w:rPr>
        <w:t xml:space="preserve">EA 2012, p.39; </w:t>
      </w:r>
      <w:r w:rsidR="00F77E53" w:rsidRPr="004D3B3E">
        <w:rPr>
          <w:color w:val="7F7F7F" w:themeColor="text1" w:themeTint="80"/>
          <w:sz w:val="14"/>
          <w:szCs w:val="14"/>
        </w:rPr>
        <w:t>EA 2009A</w:t>
      </w:r>
      <w:r w:rsidRPr="004D3B3E">
        <w:rPr>
          <w:color w:val="7F7F7F" w:themeColor="text1" w:themeTint="80"/>
          <w:sz w:val="14"/>
          <w:szCs w:val="14"/>
        </w:rPr>
        <w:t>, p.267, 278-279</w:t>
      </w:r>
      <w:r w:rsidRPr="004D3B3E">
        <w:rPr>
          <w:sz w:val="14"/>
          <w:szCs w:val="14"/>
        </w:rPr>
        <w:t xml:space="preserve">). </w:t>
      </w:r>
    </w:p>
    <w:p w14:paraId="2B6996C7" w14:textId="6A87CEC1" w:rsidR="00C04B00" w:rsidRPr="004D3B3E" w:rsidRDefault="00C04B00" w:rsidP="00C04B00">
      <w:pPr>
        <w:pStyle w:val="Textodenotaderodap"/>
        <w:rPr>
          <w:bCs/>
          <w:sz w:val="14"/>
          <w:szCs w:val="14"/>
        </w:rPr>
      </w:pPr>
      <w:bookmarkStart w:id="28" w:name="_Hlk123305574"/>
      <w:bookmarkStart w:id="29" w:name="_Hlk123317064"/>
      <w:r w:rsidRPr="004D3B3E">
        <w:rPr>
          <w:sz w:val="14"/>
          <w:szCs w:val="14"/>
          <w:lang w:val="en-US"/>
        </w:rPr>
        <w:t xml:space="preserve">The Plan’s recommendations were based on Government’s 2009 guidance on CC. If CC predictions (or other pressures) worsen, then the date of a major intervention might occur earlier than 2070 - this is allowed for in the Plan </w:t>
      </w:r>
      <w:r w:rsidRPr="004D3B3E">
        <w:rPr>
          <w:bCs/>
          <w:sz w:val="14"/>
          <w:szCs w:val="14"/>
        </w:rPr>
        <w:t>(</w:t>
      </w:r>
      <w:r w:rsidR="00F77E53" w:rsidRPr="004D3B3E">
        <w:rPr>
          <w:bCs/>
          <w:color w:val="7F7F7F" w:themeColor="text1" w:themeTint="80"/>
          <w:sz w:val="14"/>
          <w:szCs w:val="14"/>
        </w:rPr>
        <w:t>EA 2009A</w:t>
      </w:r>
      <w:r w:rsidRPr="004D3B3E">
        <w:rPr>
          <w:bCs/>
          <w:color w:val="7F7F7F" w:themeColor="text1" w:themeTint="80"/>
          <w:sz w:val="14"/>
          <w:szCs w:val="14"/>
        </w:rPr>
        <w:t xml:space="preserve">, </w:t>
      </w:r>
      <w:proofErr w:type="spellStart"/>
      <w:r w:rsidRPr="004D3B3E">
        <w:rPr>
          <w:bCs/>
          <w:color w:val="7F7F7F" w:themeColor="text1" w:themeTint="80"/>
          <w:sz w:val="14"/>
          <w:szCs w:val="14"/>
        </w:rPr>
        <w:t>p.xiii</w:t>
      </w:r>
      <w:proofErr w:type="spellEnd"/>
      <w:r w:rsidRPr="004D3B3E">
        <w:rPr>
          <w:bCs/>
          <w:sz w:val="14"/>
          <w:szCs w:val="14"/>
        </w:rPr>
        <w:t xml:space="preserve">). Moreover, </w:t>
      </w:r>
      <w:proofErr w:type="spellStart"/>
      <w:r w:rsidRPr="004D3B3E">
        <w:rPr>
          <w:bCs/>
          <w:sz w:val="14"/>
          <w:szCs w:val="14"/>
        </w:rPr>
        <w:t>i</w:t>
      </w:r>
      <w:proofErr w:type="spellEnd"/>
      <w:r w:rsidRPr="004D3B3E">
        <w:rPr>
          <w:bCs/>
          <w:sz w:val="14"/>
          <w:szCs w:val="14"/>
          <w:lang w:val="en-US"/>
        </w:rPr>
        <w:t xml:space="preserve">f a 10-yearly review of the Plan identifies that a different Option is then preferred, this is possible as long as the final decision is made with sufficient lead-in time to implement the recommendation (an act of parliament may be required, for instance); whatever the current end of the century recommendation, it is important to have a preferred Plan as basis from which stakeholders can plan for the future </w:t>
      </w:r>
      <w:r w:rsidRPr="004D3B3E">
        <w:rPr>
          <w:bCs/>
          <w:sz w:val="14"/>
          <w:szCs w:val="14"/>
        </w:rPr>
        <w:t>(</w:t>
      </w:r>
      <w:r w:rsidR="00F77E53" w:rsidRPr="004D3B3E">
        <w:rPr>
          <w:bCs/>
          <w:color w:val="7F7F7F" w:themeColor="text1" w:themeTint="80"/>
          <w:sz w:val="14"/>
          <w:szCs w:val="14"/>
        </w:rPr>
        <w:t>EA 2009A</w:t>
      </w:r>
      <w:r w:rsidRPr="004D3B3E">
        <w:rPr>
          <w:bCs/>
          <w:color w:val="7F7F7F" w:themeColor="text1" w:themeTint="80"/>
          <w:sz w:val="14"/>
          <w:szCs w:val="14"/>
        </w:rPr>
        <w:t xml:space="preserve">, </w:t>
      </w:r>
      <w:proofErr w:type="spellStart"/>
      <w:r w:rsidRPr="004D3B3E">
        <w:rPr>
          <w:bCs/>
          <w:color w:val="7F7F7F" w:themeColor="text1" w:themeTint="80"/>
          <w:sz w:val="14"/>
          <w:szCs w:val="14"/>
        </w:rPr>
        <w:t>p.xiii</w:t>
      </w:r>
      <w:proofErr w:type="spellEnd"/>
      <w:r w:rsidRPr="004D3B3E">
        <w:rPr>
          <w:bCs/>
          <w:sz w:val="14"/>
          <w:szCs w:val="14"/>
        </w:rPr>
        <w:t>).</w:t>
      </w:r>
    </w:p>
    <w:p w14:paraId="0CCA0F29" w14:textId="68521272" w:rsidR="00C04B00" w:rsidRPr="004D3B3E" w:rsidRDefault="00C04B00" w:rsidP="00C04B00">
      <w:pPr>
        <w:spacing w:after="0" w:line="240" w:lineRule="auto"/>
        <w:rPr>
          <w:rFonts w:ascii="Times New Roman" w:hAnsi="Times New Roman"/>
          <w:color w:val="C00000"/>
          <w:sz w:val="12"/>
          <w:szCs w:val="12"/>
        </w:rPr>
      </w:pPr>
      <w:r w:rsidRPr="004D3B3E">
        <w:rPr>
          <w:rFonts w:ascii="Times New Roman" w:hAnsi="Times New Roman"/>
          <w:bCs/>
          <w:i/>
          <w:iCs/>
          <w:sz w:val="14"/>
          <w:szCs w:val="14"/>
          <w:lang w:val="en-US"/>
        </w:rPr>
        <w:t xml:space="preserve">The TE2100 Plan </w:t>
      </w:r>
      <w:r w:rsidRPr="004D3B3E">
        <w:rPr>
          <w:rFonts w:ascii="Times New Roman" w:hAnsi="Times New Roman"/>
          <w:b/>
          <w:i/>
          <w:iCs/>
          <w:sz w:val="14"/>
          <w:szCs w:val="14"/>
          <w:lang w:val="en-US"/>
        </w:rPr>
        <w:t>will be reviewed every 10 years</w:t>
      </w:r>
      <w:r w:rsidRPr="004D3B3E">
        <w:rPr>
          <w:rFonts w:ascii="Times New Roman" w:hAnsi="Times New Roman"/>
          <w:bCs/>
          <w:i/>
          <w:iCs/>
          <w:sz w:val="14"/>
          <w:szCs w:val="14"/>
          <w:lang w:val="en-US"/>
        </w:rPr>
        <w:t xml:space="preserve"> so that it remains fit for purpose and</w:t>
      </w:r>
      <w:r w:rsidRPr="004D3B3E">
        <w:rPr>
          <w:rFonts w:ascii="Times New Roman" w:hAnsi="Times New Roman"/>
          <w:b/>
          <w:i/>
          <w:iCs/>
          <w:sz w:val="14"/>
          <w:szCs w:val="14"/>
          <w:lang w:val="en-US"/>
        </w:rPr>
        <w:t xml:space="preserve"> </w:t>
      </w:r>
      <w:r w:rsidRPr="004D3B3E">
        <w:rPr>
          <w:rFonts w:ascii="Times New Roman" w:hAnsi="Times New Roman"/>
          <w:bCs/>
          <w:i/>
          <w:iCs/>
          <w:sz w:val="14"/>
          <w:szCs w:val="14"/>
          <w:lang w:val="en-US"/>
        </w:rPr>
        <w:t xml:space="preserve">to review the strategic aims to ensure they remain relevant; the </w:t>
      </w:r>
      <w:r w:rsidRPr="004D3B3E">
        <w:rPr>
          <w:rFonts w:ascii="Times New Roman" w:hAnsi="Times New Roman"/>
          <w:b/>
          <w:i/>
          <w:iCs/>
          <w:sz w:val="14"/>
          <w:szCs w:val="14"/>
          <w:lang w:val="en-US"/>
        </w:rPr>
        <w:t>10 indicators will be monitored</w:t>
      </w:r>
      <w:r w:rsidRPr="004D3B3E">
        <w:rPr>
          <w:rFonts w:ascii="Times New Roman" w:hAnsi="Times New Roman"/>
          <w:bCs/>
          <w:i/>
          <w:iCs/>
          <w:sz w:val="14"/>
          <w:szCs w:val="14"/>
          <w:lang w:val="en-US"/>
        </w:rPr>
        <w:t xml:space="preserve"> through a formal </w:t>
      </w:r>
      <w:proofErr w:type="spellStart"/>
      <w:r w:rsidRPr="004D3B3E">
        <w:rPr>
          <w:rFonts w:ascii="Times New Roman" w:hAnsi="Times New Roman"/>
          <w:bCs/>
          <w:i/>
          <w:iCs/>
          <w:sz w:val="14"/>
          <w:szCs w:val="14"/>
          <w:lang w:val="en-US"/>
        </w:rPr>
        <w:t>programme</w:t>
      </w:r>
      <w:proofErr w:type="spellEnd"/>
      <w:r w:rsidRPr="004D3B3E">
        <w:rPr>
          <w:rFonts w:ascii="Times New Roman" w:hAnsi="Times New Roman"/>
          <w:bCs/>
          <w:i/>
          <w:iCs/>
          <w:sz w:val="14"/>
          <w:szCs w:val="14"/>
          <w:lang w:val="en-US"/>
        </w:rPr>
        <w:t xml:space="preserve"> and</w:t>
      </w:r>
      <w:r w:rsidRPr="004D3B3E">
        <w:rPr>
          <w:rFonts w:ascii="Times New Roman" w:hAnsi="Times New Roman"/>
          <w:b/>
          <w:i/>
          <w:iCs/>
          <w:sz w:val="14"/>
          <w:szCs w:val="14"/>
          <w:lang w:val="en-US"/>
        </w:rPr>
        <w:t xml:space="preserve"> </w:t>
      </w:r>
      <w:r w:rsidRPr="004D3B3E">
        <w:rPr>
          <w:rFonts w:ascii="Times New Roman" w:hAnsi="Times New Roman"/>
          <w:bCs/>
          <w:i/>
          <w:iCs/>
          <w:sz w:val="14"/>
          <w:szCs w:val="14"/>
          <w:lang w:val="en-US"/>
        </w:rPr>
        <w:t xml:space="preserve">reviewed against the Plan </w:t>
      </w:r>
      <w:r w:rsidRPr="004D3B3E">
        <w:rPr>
          <w:rFonts w:ascii="Times New Roman" w:hAnsi="Times New Roman"/>
          <w:bCs/>
          <w:sz w:val="14"/>
          <w:szCs w:val="14"/>
        </w:rPr>
        <w:t>(</w:t>
      </w:r>
      <w:r w:rsidR="00F77E53" w:rsidRPr="004D3B3E">
        <w:rPr>
          <w:rFonts w:ascii="Times New Roman" w:hAnsi="Times New Roman"/>
          <w:bCs/>
          <w:color w:val="7F7F7F" w:themeColor="text1" w:themeTint="80"/>
          <w:sz w:val="14"/>
          <w:szCs w:val="14"/>
        </w:rPr>
        <w:t>EA 2009A</w:t>
      </w:r>
      <w:r w:rsidRPr="004D3B3E">
        <w:rPr>
          <w:rFonts w:ascii="Times New Roman" w:hAnsi="Times New Roman"/>
          <w:bCs/>
          <w:color w:val="7F7F7F" w:themeColor="text1" w:themeTint="80"/>
          <w:sz w:val="14"/>
          <w:szCs w:val="14"/>
        </w:rPr>
        <w:t xml:space="preserve">, </w:t>
      </w:r>
      <w:proofErr w:type="spellStart"/>
      <w:r w:rsidRPr="004D3B3E">
        <w:rPr>
          <w:rFonts w:ascii="Times New Roman" w:hAnsi="Times New Roman"/>
          <w:bCs/>
          <w:color w:val="7F7F7F" w:themeColor="text1" w:themeTint="80"/>
          <w:sz w:val="14"/>
          <w:szCs w:val="14"/>
        </w:rPr>
        <w:t>p.xv</w:t>
      </w:r>
      <w:proofErr w:type="spellEnd"/>
      <w:r w:rsidRPr="004D3B3E">
        <w:rPr>
          <w:rFonts w:ascii="Times New Roman" w:hAnsi="Times New Roman"/>
          <w:bCs/>
          <w:sz w:val="14"/>
          <w:szCs w:val="14"/>
        </w:rPr>
        <w:t>).</w:t>
      </w:r>
      <w:bookmarkStart w:id="30" w:name="_Hlk122972974"/>
      <w:r w:rsidRPr="004D3B3E">
        <w:rPr>
          <w:rFonts w:ascii="Times New Roman" w:hAnsi="Times New Roman"/>
          <w:bCs/>
          <w:sz w:val="14"/>
          <w:szCs w:val="14"/>
        </w:rPr>
        <w:t xml:space="preserve"> </w:t>
      </w:r>
      <w:r w:rsidRPr="004D3B3E">
        <w:rPr>
          <w:rFonts w:ascii="Times New Roman" w:hAnsi="Times New Roman"/>
          <w:bCs/>
          <w:i/>
          <w:iCs/>
          <w:sz w:val="14"/>
          <w:szCs w:val="14"/>
          <w:lang w:val="en-US"/>
        </w:rPr>
        <w:t xml:space="preserve">At each 10-yearly review and update of the TE2100 Plan, the front runner(s) Options </w:t>
      </w:r>
      <w:r w:rsidRPr="004D3B3E">
        <w:rPr>
          <w:rFonts w:ascii="Times New Roman" w:hAnsi="Times New Roman"/>
          <w:bCs/>
          <w:sz w:val="14"/>
          <w:szCs w:val="14"/>
          <w:lang w:val="en-US"/>
        </w:rPr>
        <w:t>(for the period post-2070)</w:t>
      </w:r>
      <w:r w:rsidRPr="004D3B3E">
        <w:rPr>
          <w:rFonts w:ascii="Times New Roman" w:hAnsi="Times New Roman"/>
          <w:bCs/>
          <w:i/>
          <w:iCs/>
          <w:sz w:val="14"/>
          <w:szCs w:val="14"/>
          <w:lang w:val="en-US"/>
        </w:rPr>
        <w:t xml:space="preserve"> will be reviewed – up until the time (about 2050) when a firm decision must be made on the end of the century Option </w:t>
      </w:r>
      <w:r w:rsidRPr="004D3B3E">
        <w:rPr>
          <w:rFonts w:ascii="Times New Roman" w:hAnsi="Times New Roman"/>
          <w:bCs/>
          <w:sz w:val="14"/>
          <w:szCs w:val="14"/>
        </w:rPr>
        <w:t>(</w:t>
      </w:r>
      <w:r w:rsidR="00F77E53" w:rsidRPr="004D3B3E">
        <w:rPr>
          <w:rFonts w:ascii="Times New Roman" w:hAnsi="Times New Roman"/>
          <w:bCs/>
          <w:color w:val="7F7F7F" w:themeColor="text1" w:themeTint="80"/>
          <w:sz w:val="14"/>
          <w:szCs w:val="14"/>
        </w:rPr>
        <w:t>EA 2009A</w:t>
      </w:r>
      <w:r w:rsidRPr="004D3B3E">
        <w:rPr>
          <w:rFonts w:ascii="Times New Roman" w:hAnsi="Times New Roman"/>
          <w:bCs/>
          <w:color w:val="7F7F7F" w:themeColor="text1" w:themeTint="80"/>
          <w:sz w:val="14"/>
          <w:szCs w:val="14"/>
        </w:rPr>
        <w:t xml:space="preserve">, </w:t>
      </w:r>
      <w:proofErr w:type="spellStart"/>
      <w:r w:rsidRPr="004D3B3E">
        <w:rPr>
          <w:rFonts w:ascii="Times New Roman" w:hAnsi="Times New Roman"/>
          <w:bCs/>
          <w:color w:val="7F7F7F" w:themeColor="text1" w:themeTint="80"/>
          <w:sz w:val="14"/>
          <w:szCs w:val="14"/>
        </w:rPr>
        <w:t>p.xxi</w:t>
      </w:r>
      <w:proofErr w:type="spellEnd"/>
      <w:r w:rsidRPr="004D3B3E">
        <w:rPr>
          <w:rFonts w:ascii="Times New Roman" w:hAnsi="Times New Roman"/>
          <w:bCs/>
          <w:sz w:val="14"/>
          <w:szCs w:val="14"/>
        </w:rPr>
        <w:t>).</w:t>
      </w:r>
      <w:bookmarkEnd w:id="30"/>
      <w:r w:rsidRPr="004D3B3E">
        <w:rPr>
          <w:rFonts w:ascii="Times New Roman" w:hAnsi="Times New Roman"/>
          <w:bCs/>
          <w:sz w:val="14"/>
          <w:szCs w:val="14"/>
        </w:rPr>
        <w:t xml:space="preserve"> The monitoring of “triggers for change”, together with a programme of review and maintenance of the Plan itself was included in the Plan, to ensure it is fit for purpose during its life (</w:t>
      </w:r>
      <w:r w:rsidR="00F77E53" w:rsidRPr="004D3B3E">
        <w:rPr>
          <w:rFonts w:ascii="Times New Roman" w:hAnsi="Times New Roman"/>
          <w:bCs/>
          <w:color w:val="7F7F7F" w:themeColor="text1" w:themeTint="80"/>
          <w:sz w:val="14"/>
          <w:szCs w:val="14"/>
        </w:rPr>
        <w:t>EA 2009A</w:t>
      </w:r>
      <w:r w:rsidRPr="004D3B3E">
        <w:rPr>
          <w:rFonts w:ascii="Times New Roman" w:hAnsi="Times New Roman"/>
          <w:bCs/>
          <w:color w:val="7F7F7F" w:themeColor="text1" w:themeTint="80"/>
          <w:sz w:val="14"/>
          <w:szCs w:val="14"/>
        </w:rPr>
        <w:t>, p.262</w:t>
      </w:r>
      <w:r w:rsidRPr="004D3B3E">
        <w:rPr>
          <w:rFonts w:ascii="Times New Roman" w:hAnsi="Times New Roman"/>
          <w:bCs/>
          <w:sz w:val="14"/>
          <w:szCs w:val="14"/>
        </w:rPr>
        <w:t>).</w:t>
      </w:r>
      <w:bookmarkEnd w:id="28"/>
      <w:r w:rsidRPr="004D3B3E">
        <w:rPr>
          <w:rFonts w:ascii="Times New Roman" w:hAnsi="Times New Roman"/>
          <w:bCs/>
          <w:sz w:val="14"/>
          <w:szCs w:val="14"/>
        </w:rPr>
        <w:t xml:space="preserve"> </w:t>
      </w:r>
      <w:bookmarkStart w:id="31" w:name="_Hlk123306024"/>
      <w:r w:rsidRPr="004D3B3E">
        <w:rPr>
          <w:rFonts w:ascii="Times New Roman" w:hAnsi="Times New Roman"/>
          <w:i/>
          <w:iCs/>
          <w:sz w:val="14"/>
          <w:szCs w:val="14"/>
        </w:rPr>
        <w:t xml:space="preserve">The monitoring programme of indicators for change must be maintained, and the preferred approaches (Options) to FRM should be reviewed using the TE2100 indicators for change and the Plan should be updated every ten years (or more frequently if there is a major change in one or more of the indicators) </w:t>
      </w:r>
      <w:r w:rsidRPr="004D3B3E">
        <w:rPr>
          <w:rFonts w:ascii="Times New Roman" w:hAnsi="Times New Roman"/>
          <w:bCs/>
          <w:sz w:val="14"/>
          <w:szCs w:val="14"/>
        </w:rPr>
        <w:t>(</w:t>
      </w:r>
      <w:r w:rsidR="00F77E53" w:rsidRPr="004D3B3E">
        <w:rPr>
          <w:rFonts w:ascii="Times New Roman" w:hAnsi="Times New Roman"/>
          <w:bCs/>
          <w:color w:val="7F7F7F" w:themeColor="text1" w:themeTint="80"/>
          <w:sz w:val="14"/>
          <w:szCs w:val="14"/>
        </w:rPr>
        <w:t>EA 2009A</w:t>
      </w:r>
      <w:r w:rsidRPr="004D3B3E">
        <w:rPr>
          <w:rFonts w:ascii="Times New Roman" w:hAnsi="Times New Roman"/>
          <w:bCs/>
          <w:color w:val="7F7F7F" w:themeColor="text1" w:themeTint="80"/>
          <w:sz w:val="14"/>
          <w:szCs w:val="14"/>
        </w:rPr>
        <w:t>, p.263</w:t>
      </w:r>
      <w:r w:rsidRPr="004D3B3E">
        <w:rPr>
          <w:rFonts w:ascii="Times New Roman" w:hAnsi="Times New Roman"/>
          <w:bCs/>
          <w:sz w:val="14"/>
          <w:szCs w:val="14"/>
        </w:rPr>
        <w:t>).</w:t>
      </w:r>
      <w:bookmarkEnd w:id="31"/>
      <w:r w:rsidRPr="004D3B3E">
        <w:rPr>
          <w:rFonts w:ascii="Times New Roman" w:hAnsi="Times New Roman"/>
          <w:i/>
          <w:iCs/>
          <w:sz w:val="14"/>
          <w:szCs w:val="14"/>
        </w:rPr>
        <w:t xml:space="preserve"> </w:t>
      </w:r>
      <w:bookmarkStart w:id="32" w:name="_Hlk123309152"/>
      <w:r w:rsidRPr="004D3B3E">
        <w:rPr>
          <w:rFonts w:ascii="Times New Roman" w:hAnsi="Times New Roman"/>
          <w:bCs/>
          <w:sz w:val="14"/>
          <w:szCs w:val="14"/>
        </w:rPr>
        <w:t>Monitoring of key indicators (e.g. SLR) forms a vital component of the Plan; monitoring results must be used to update the Plan (e.g. the exact date when major interventions will be required will depend on the rate of CC and other changes as these are monitored) (</w:t>
      </w:r>
      <w:r w:rsidR="00F77E53" w:rsidRPr="004D3B3E">
        <w:rPr>
          <w:rFonts w:ascii="Times New Roman" w:hAnsi="Times New Roman"/>
          <w:bCs/>
          <w:color w:val="7F7F7F" w:themeColor="text1" w:themeTint="80"/>
          <w:sz w:val="14"/>
          <w:szCs w:val="14"/>
        </w:rPr>
        <w:t>EA 2009A</w:t>
      </w:r>
      <w:r w:rsidRPr="004D3B3E">
        <w:rPr>
          <w:rFonts w:ascii="Times New Roman" w:hAnsi="Times New Roman"/>
          <w:bCs/>
          <w:color w:val="7F7F7F" w:themeColor="text1" w:themeTint="80"/>
          <w:sz w:val="14"/>
          <w:szCs w:val="14"/>
        </w:rPr>
        <w:t>, p.267</w:t>
      </w:r>
      <w:r w:rsidRPr="004D3B3E">
        <w:rPr>
          <w:rFonts w:ascii="Times New Roman" w:hAnsi="Times New Roman"/>
          <w:bCs/>
          <w:sz w:val="14"/>
          <w:szCs w:val="14"/>
        </w:rPr>
        <w:t>).</w:t>
      </w:r>
      <w:r w:rsidRPr="004D3B3E">
        <w:rPr>
          <w:rFonts w:ascii="Times New Roman" w:hAnsi="Times New Roman"/>
          <w:i/>
          <w:iCs/>
          <w:sz w:val="14"/>
          <w:szCs w:val="14"/>
        </w:rPr>
        <w:t xml:space="preserve"> It is therefore essential that the Plan is adaptable, to take account of future change and to avoid commitment to a course of action that may be sub-optimal because future change differs from the assumptions made in the Plan </w:t>
      </w:r>
      <w:r w:rsidRPr="004D3B3E">
        <w:rPr>
          <w:rFonts w:ascii="Times New Roman" w:hAnsi="Times New Roman"/>
          <w:bCs/>
          <w:sz w:val="14"/>
          <w:szCs w:val="14"/>
        </w:rPr>
        <w:t>(</w:t>
      </w:r>
      <w:r w:rsidR="00F77E53" w:rsidRPr="004D3B3E">
        <w:rPr>
          <w:rFonts w:ascii="Times New Roman" w:hAnsi="Times New Roman"/>
          <w:bCs/>
          <w:color w:val="7F7F7F" w:themeColor="text1" w:themeTint="80"/>
          <w:sz w:val="14"/>
          <w:szCs w:val="14"/>
        </w:rPr>
        <w:t>EA 2009A</w:t>
      </w:r>
      <w:r w:rsidRPr="004D3B3E">
        <w:rPr>
          <w:rFonts w:ascii="Times New Roman" w:hAnsi="Times New Roman"/>
          <w:bCs/>
          <w:color w:val="7F7F7F" w:themeColor="text1" w:themeTint="80"/>
          <w:sz w:val="14"/>
          <w:szCs w:val="14"/>
        </w:rPr>
        <w:t>, p.267</w:t>
      </w:r>
      <w:r w:rsidRPr="004D3B3E">
        <w:rPr>
          <w:rFonts w:ascii="Times New Roman" w:hAnsi="Times New Roman"/>
          <w:bCs/>
          <w:sz w:val="14"/>
          <w:szCs w:val="14"/>
        </w:rPr>
        <w:t>).</w:t>
      </w:r>
      <w:bookmarkEnd w:id="32"/>
      <w:r w:rsidRPr="004D3B3E">
        <w:rPr>
          <w:rFonts w:ascii="Times New Roman" w:hAnsi="Times New Roman"/>
          <w:bCs/>
          <w:sz w:val="14"/>
          <w:szCs w:val="14"/>
        </w:rPr>
        <w:t xml:space="preserve"> </w:t>
      </w:r>
      <w:bookmarkStart w:id="33" w:name="_Hlk123309441"/>
      <w:r w:rsidRPr="004D3B3E">
        <w:rPr>
          <w:rFonts w:ascii="Times New Roman" w:hAnsi="Times New Roman"/>
          <w:sz w:val="14"/>
          <w:szCs w:val="14"/>
        </w:rPr>
        <w:t>The dates estimated for interventions are likely to change (the actual rates of change are unlikely to be the same as the assumed rates of change), thus, key indicators of change will be monitored as part of the Plan, and the dates will be modified as the Plan is updated</w:t>
      </w:r>
      <w:r w:rsidRPr="004D3B3E">
        <w:rPr>
          <w:rFonts w:ascii="Times New Roman" w:hAnsi="Times New Roman"/>
          <w:i/>
          <w:iCs/>
          <w:sz w:val="14"/>
          <w:szCs w:val="14"/>
        </w:rPr>
        <w:t xml:space="preserve"> </w:t>
      </w:r>
      <w:r w:rsidRPr="004D3B3E">
        <w:rPr>
          <w:rFonts w:ascii="Times New Roman" w:hAnsi="Times New Roman"/>
          <w:sz w:val="14"/>
          <w:szCs w:val="14"/>
        </w:rPr>
        <w:t>(</w:t>
      </w:r>
      <w:r w:rsidR="00F77E53" w:rsidRPr="004D3B3E">
        <w:rPr>
          <w:rFonts w:ascii="Times New Roman" w:hAnsi="Times New Roman"/>
          <w:color w:val="7F7F7F" w:themeColor="text1" w:themeTint="80"/>
          <w:sz w:val="14"/>
          <w:szCs w:val="14"/>
        </w:rPr>
        <w:t>EA 2009A</w:t>
      </w:r>
      <w:r w:rsidRPr="004D3B3E">
        <w:rPr>
          <w:rFonts w:ascii="Times New Roman" w:hAnsi="Times New Roman"/>
          <w:color w:val="7F7F7F" w:themeColor="text1" w:themeTint="80"/>
          <w:sz w:val="14"/>
          <w:szCs w:val="14"/>
        </w:rPr>
        <w:t>, p.268</w:t>
      </w:r>
      <w:r w:rsidRPr="004D3B3E">
        <w:rPr>
          <w:rFonts w:ascii="Times New Roman" w:hAnsi="Times New Roman"/>
          <w:sz w:val="14"/>
          <w:szCs w:val="14"/>
        </w:rPr>
        <w:t xml:space="preserve">). </w:t>
      </w:r>
      <w:bookmarkStart w:id="34" w:name="_Hlk123310866"/>
      <w:bookmarkEnd w:id="33"/>
      <w:r w:rsidRPr="004D3B3E">
        <w:rPr>
          <w:rFonts w:ascii="Times New Roman" w:hAnsi="Times New Roman"/>
          <w:i/>
          <w:iCs/>
          <w:sz w:val="14"/>
          <w:szCs w:val="14"/>
        </w:rPr>
        <w:t>If significant changes occur in the expected dates when thresholds will be reached, the choice of Options should be reviewed</w:t>
      </w:r>
      <w:r w:rsidRPr="004D3B3E">
        <w:rPr>
          <w:rFonts w:ascii="Times New Roman" w:hAnsi="Times New Roman"/>
          <w:sz w:val="14"/>
          <w:szCs w:val="14"/>
        </w:rPr>
        <w:t xml:space="preserve"> (as an alternative Option may be more effective under the changed circumstances). The preferred Options and the alternative Options must be re-appraised, using the updated best estimates of future change, which may lead to a change in the selected Option. Moreover, while alternative Options are included in the Plan, it is wise to consider whether there are any other alternative options whenever the Options are reviewed. (</w:t>
      </w:r>
      <w:r w:rsidR="00F77E53" w:rsidRPr="004D3B3E">
        <w:rPr>
          <w:rFonts w:ascii="Times New Roman" w:hAnsi="Times New Roman"/>
          <w:color w:val="7F7F7F" w:themeColor="text1" w:themeTint="80"/>
          <w:sz w:val="14"/>
          <w:szCs w:val="14"/>
        </w:rPr>
        <w:t>EA 2009A</w:t>
      </w:r>
      <w:r w:rsidRPr="004D3B3E">
        <w:rPr>
          <w:rFonts w:ascii="Times New Roman" w:hAnsi="Times New Roman"/>
          <w:color w:val="7F7F7F" w:themeColor="text1" w:themeTint="80"/>
          <w:sz w:val="14"/>
          <w:szCs w:val="14"/>
        </w:rPr>
        <w:t>, p.279-280</w:t>
      </w:r>
      <w:r w:rsidRPr="004D3B3E">
        <w:rPr>
          <w:rFonts w:ascii="Times New Roman" w:hAnsi="Times New Roman"/>
          <w:sz w:val="14"/>
          <w:szCs w:val="14"/>
        </w:rPr>
        <w:t xml:space="preserve">).  </w:t>
      </w:r>
      <w:bookmarkStart w:id="35" w:name="_Hlk123315634"/>
      <w:bookmarkStart w:id="36" w:name="_Hlk123316906"/>
      <w:r w:rsidRPr="004D3B3E">
        <w:rPr>
          <w:rFonts w:ascii="Times New Roman" w:hAnsi="Times New Roman"/>
          <w:i/>
          <w:iCs/>
          <w:sz w:val="14"/>
          <w:szCs w:val="14"/>
        </w:rPr>
        <w:t>As the rates of change in the indicators are monitored, it is possible to assess their impacts on dates when interventions will be needed</w:t>
      </w:r>
      <w:r w:rsidRPr="004D3B3E">
        <w:rPr>
          <w:rFonts w:ascii="Times New Roman" w:hAnsi="Times New Roman"/>
          <w:sz w:val="14"/>
          <w:szCs w:val="14"/>
        </w:rPr>
        <w:t xml:space="preserve">; in this way, decision-points and changes in the dates when decisions are needed can be made </w:t>
      </w:r>
      <w:bookmarkStart w:id="37" w:name="_Hlk123316068"/>
      <w:r w:rsidRPr="004D3B3E">
        <w:rPr>
          <w:rFonts w:ascii="Times New Roman" w:hAnsi="Times New Roman"/>
          <w:sz w:val="14"/>
          <w:szCs w:val="14"/>
        </w:rPr>
        <w:t xml:space="preserve">(e.g. changes in the rate of increase in peak surge tide level may have an impact on the dates (timing) when major interventions may be needed) </w:t>
      </w:r>
      <w:bookmarkEnd w:id="37"/>
      <w:r w:rsidRPr="004D3B3E">
        <w:rPr>
          <w:rFonts w:ascii="Times New Roman" w:hAnsi="Times New Roman"/>
          <w:sz w:val="14"/>
          <w:szCs w:val="14"/>
        </w:rPr>
        <w:t>(</w:t>
      </w:r>
      <w:r w:rsidR="00F77E53" w:rsidRPr="004D3B3E">
        <w:rPr>
          <w:rFonts w:ascii="Times New Roman" w:hAnsi="Times New Roman"/>
          <w:color w:val="7F7F7F" w:themeColor="text1" w:themeTint="80"/>
          <w:sz w:val="14"/>
          <w:szCs w:val="14"/>
        </w:rPr>
        <w:t>EA 2009A</w:t>
      </w:r>
      <w:r w:rsidRPr="004D3B3E">
        <w:rPr>
          <w:rFonts w:ascii="Times New Roman" w:hAnsi="Times New Roman"/>
          <w:color w:val="7F7F7F" w:themeColor="text1" w:themeTint="80"/>
          <w:sz w:val="14"/>
          <w:szCs w:val="14"/>
        </w:rPr>
        <w:t>, p.286, 287-289</w:t>
      </w:r>
      <w:r w:rsidRPr="004D3B3E">
        <w:rPr>
          <w:rFonts w:ascii="Times New Roman" w:hAnsi="Times New Roman"/>
          <w:sz w:val="14"/>
          <w:szCs w:val="14"/>
        </w:rPr>
        <w:t>).</w:t>
      </w:r>
      <w:bookmarkEnd w:id="35"/>
      <w:r w:rsidRPr="004D3B3E">
        <w:rPr>
          <w:rFonts w:ascii="Times New Roman" w:hAnsi="Times New Roman"/>
          <w:i/>
          <w:iCs/>
          <w:sz w:val="14"/>
          <w:szCs w:val="14"/>
        </w:rPr>
        <w:t xml:space="preserve">  The monitoring results must be used to estimate the dates of new decision-points </w:t>
      </w:r>
      <w:r w:rsidRPr="004D3B3E">
        <w:rPr>
          <w:rFonts w:ascii="Times New Roman" w:hAnsi="Times New Roman"/>
          <w:sz w:val="14"/>
          <w:szCs w:val="14"/>
        </w:rPr>
        <w:t>(the actual future change may have impacts on the date of decision-points of interventions pertaining to an Option) (</w:t>
      </w:r>
      <w:r w:rsidR="00F77E53" w:rsidRPr="004D3B3E">
        <w:rPr>
          <w:rFonts w:ascii="Times New Roman" w:hAnsi="Times New Roman"/>
          <w:color w:val="7F7F7F" w:themeColor="text1" w:themeTint="80"/>
          <w:sz w:val="14"/>
          <w:szCs w:val="14"/>
        </w:rPr>
        <w:t>EA 2009A</w:t>
      </w:r>
      <w:r w:rsidRPr="004D3B3E">
        <w:rPr>
          <w:rFonts w:ascii="Times New Roman" w:hAnsi="Times New Roman"/>
          <w:color w:val="7F7F7F" w:themeColor="text1" w:themeTint="80"/>
          <w:sz w:val="14"/>
          <w:szCs w:val="14"/>
        </w:rPr>
        <w:t>, p.287</w:t>
      </w:r>
      <w:r w:rsidRPr="004D3B3E">
        <w:rPr>
          <w:rFonts w:ascii="Times New Roman" w:hAnsi="Times New Roman"/>
          <w:sz w:val="14"/>
          <w:szCs w:val="14"/>
        </w:rPr>
        <w:t>).</w:t>
      </w:r>
      <w:r w:rsidRPr="004D3B3E">
        <w:rPr>
          <w:rFonts w:ascii="Times New Roman" w:hAnsi="Times New Roman"/>
          <w:i/>
          <w:iCs/>
          <w:sz w:val="14"/>
          <w:szCs w:val="14"/>
        </w:rPr>
        <w:t xml:space="preserve">  It is also necessary to consider whether the preferred options that were identified in the 2009 are still the best; appraisal will be needed to decide the best way forward whenever the Plan is updated (if alternative is adopted, some of the works in the preferred Option may no longer be required, thus the design and construction work should take account of the possibility of future change) </w:t>
      </w:r>
      <w:r w:rsidRPr="004D3B3E">
        <w:rPr>
          <w:rFonts w:ascii="Times New Roman" w:hAnsi="Times New Roman"/>
          <w:sz w:val="14"/>
          <w:szCs w:val="14"/>
        </w:rPr>
        <w:t>(</w:t>
      </w:r>
      <w:r w:rsidR="00F77E53" w:rsidRPr="004D3B3E">
        <w:rPr>
          <w:rFonts w:ascii="Times New Roman" w:hAnsi="Times New Roman"/>
          <w:color w:val="7F7F7F" w:themeColor="text1" w:themeTint="80"/>
          <w:sz w:val="14"/>
          <w:szCs w:val="14"/>
        </w:rPr>
        <w:t>EA 2009A</w:t>
      </w:r>
      <w:r w:rsidRPr="004D3B3E">
        <w:rPr>
          <w:rFonts w:ascii="Times New Roman" w:hAnsi="Times New Roman"/>
          <w:color w:val="7F7F7F" w:themeColor="text1" w:themeTint="80"/>
          <w:sz w:val="14"/>
          <w:szCs w:val="14"/>
        </w:rPr>
        <w:t>, p.290</w:t>
      </w:r>
      <w:r w:rsidRPr="004D3B3E">
        <w:rPr>
          <w:rFonts w:ascii="Times New Roman" w:hAnsi="Times New Roman"/>
          <w:sz w:val="14"/>
          <w:szCs w:val="14"/>
        </w:rPr>
        <w:t>).</w:t>
      </w:r>
      <w:r w:rsidRPr="004D3B3E">
        <w:rPr>
          <w:rFonts w:ascii="Times New Roman" w:hAnsi="Times New Roman"/>
          <w:i/>
          <w:iCs/>
          <w:sz w:val="14"/>
          <w:szCs w:val="14"/>
        </w:rPr>
        <w:t xml:space="preserve"> </w:t>
      </w:r>
      <w:bookmarkStart w:id="38" w:name="_Hlk123317700"/>
      <w:bookmarkEnd w:id="29"/>
      <w:bookmarkEnd w:id="34"/>
      <w:bookmarkEnd w:id="36"/>
      <w:r w:rsidRPr="004D3B3E">
        <w:rPr>
          <w:rFonts w:ascii="Times New Roman" w:hAnsi="Times New Roman"/>
          <w:i/>
          <w:iCs/>
          <w:sz w:val="14"/>
          <w:szCs w:val="14"/>
        </w:rPr>
        <w:t xml:space="preserve">As changes in climate and the TE occur in the future (differing from the baseline assumptions, the fundamental requirement for applying the method for adapting the Plan </w:t>
      </w:r>
      <w:r w:rsidRPr="004D3B3E">
        <w:rPr>
          <w:rFonts w:ascii="Times New Roman" w:hAnsi="Times New Roman"/>
          <w:sz w:val="14"/>
          <w:szCs w:val="14"/>
        </w:rPr>
        <w:t>(outlined in the decision-points)</w:t>
      </w:r>
      <w:r w:rsidRPr="004D3B3E">
        <w:rPr>
          <w:rFonts w:ascii="Times New Roman" w:hAnsi="Times New Roman"/>
          <w:i/>
          <w:iCs/>
          <w:sz w:val="14"/>
          <w:szCs w:val="14"/>
        </w:rPr>
        <w:t xml:space="preserve"> is to understand how the estuary functions and responds to change </w:t>
      </w:r>
      <w:r w:rsidRPr="004D3B3E">
        <w:rPr>
          <w:rFonts w:ascii="Times New Roman" w:hAnsi="Times New Roman"/>
          <w:sz w:val="14"/>
          <w:szCs w:val="14"/>
        </w:rPr>
        <w:t>(</w:t>
      </w:r>
      <w:r w:rsidR="00F77E53" w:rsidRPr="004D3B3E">
        <w:rPr>
          <w:rFonts w:ascii="Times New Roman" w:hAnsi="Times New Roman"/>
          <w:color w:val="7F7F7F" w:themeColor="text1" w:themeTint="80"/>
          <w:sz w:val="14"/>
          <w:szCs w:val="14"/>
        </w:rPr>
        <w:t>EA 2009A</w:t>
      </w:r>
      <w:r w:rsidRPr="004D3B3E">
        <w:rPr>
          <w:rFonts w:ascii="Times New Roman" w:hAnsi="Times New Roman"/>
          <w:color w:val="7F7F7F" w:themeColor="text1" w:themeTint="80"/>
          <w:sz w:val="14"/>
          <w:szCs w:val="14"/>
        </w:rPr>
        <w:t>, p.290-291</w:t>
      </w:r>
      <w:r w:rsidRPr="004D3B3E">
        <w:rPr>
          <w:rFonts w:ascii="Times New Roman" w:hAnsi="Times New Roman"/>
          <w:sz w:val="14"/>
          <w:szCs w:val="14"/>
        </w:rPr>
        <w:t>).</w:t>
      </w:r>
      <w:r w:rsidRPr="004D3B3E">
        <w:rPr>
          <w:rFonts w:ascii="Times New Roman" w:hAnsi="Times New Roman"/>
          <w:i/>
          <w:iCs/>
          <w:sz w:val="12"/>
          <w:szCs w:val="12"/>
        </w:rPr>
        <w:t xml:space="preserve">  </w:t>
      </w:r>
      <w:r w:rsidRPr="004D3B3E">
        <w:rPr>
          <w:rFonts w:ascii="Times New Roman" w:hAnsi="Times New Roman"/>
          <w:color w:val="C00000"/>
          <w:sz w:val="12"/>
          <w:szCs w:val="12"/>
        </w:rPr>
        <w:t xml:space="preserve"> </w:t>
      </w:r>
      <w:bookmarkEnd w:id="38"/>
    </w:p>
    <w:p w14:paraId="3EB45A95" w14:textId="676D9C6D" w:rsidR="00C04B00" w:rsidRPr="00BE0140" w:rsidRDefault="00C04B00" w:rsidP="00C04B00">
      <w:pPr>
        <w:pStyle w:val="Textodenotaderodap"/>
        <w:rPr>
          <w:bCs/>
          <w:sz w:val="14"/>
          <w:szCs w:val="14"/>
        </w:rPr>
      </w:pPr>
      <w:r w:rsidRPr="004D3B3E">
        <w:rPr>
          <w:i/>
          <w:iCs/>
          <w:sz w:val="14"/>
          <w:szCs w:val="14"/>
        </w:rPr>
        <w:t xml:space="preserve">The Estuary-wide Options can be adapted to different amounts of future change by changing the dates when the ‘portfolios’ are implemented; and, if at some point in the future, physical, environmental or socio-economic changes in the TE are outside the limits which can be accommodated by a chosen Option, an alternative Option will be implemented </w:t>
      </w:r>
      <w:r w:rsidRPr="004D3B3E">
        <w:rPr>
          <w:sz w:val="14"/>
          <w:szCs w:val="14"/>
        </w:rPr>
        <w:t>(</w:t>
      </w:r>
      <w:r w:rsidR="00F77E53" w:rsidRPr="004D3B3E">
        <w:rPr>
          <w:color w:val="7F7F7F" w:themeColor="text1" w:themeTint="80"/>
          <w:sz w:val="14"/>
          <w:szCs w:val="14"/>
        </w:rPr>
        <w:t>EA 2009A</w:t>
      </w:r>
      <w:r w:rsidRPr="004D3B3E">
        <w:rPr>
          <w:color w:val="7F7F7F" w:themeColor="text1" w:themeTint="80"/>
          <w:sz w:val="14"/>
          <w:szCs w:val="14"/>
        </w:rPr>
        <w:t>, p.297</w:t>
      </w:r>
      <w:r w:rsidRPr="004D3B3E">
        <w:rPr>
          <w:sz w:val="14"/>
          <w:szCs w:val="14"/>
        </w:rPr>
        <w:t>).</w:t>
      </w:r>
      <w:r w:rsidRPr="004D3B3E">
        <w:rPr>
          <w:color w:val="C00000"/>
          <w:sz w:val="14"/>
          <w:szCs w:val="14"/>
        </w:rPr>
        <w:t xml:space="preserve"> </w:t>
      </w:r>
      <w:r w:rsidRPr="004D3B3E">
        <w:rPr>
          <w:sz w:val="14"/>
          <w:szCs w:val="14"/>
        </w:rPr>
        <w:t>(the two main ways through which the Option / pathway can be adapted</w:t>
      </w:r>
      <w:r w:rsidRPr="004D3B3E">
        <w:rPr>
          <w:color w:val="C00000"/>
          <w:sz w:val="14"/>
          <w:szCs w:val="14"/>
        </w:rPr>
        <w:t>)</w:t>
      </w:r>
    </w:p>
  </w:footnote>
  <w:footnote w:id="26">
    <w:p w14:paraId="2803D2EF" w14:textId="77777777" w:rsidR="00C04B00" w:rsidRPr="004D3B3E" w:rsidRDefault="00C04B00" w:rsidP="00C04B00">
      <w:pPr>
        <w:spacing w:after="0" w:line="240" w:lineRule="auto"/>
        <w:rPr>
          <w:rFonts w:ascii="Times New Roman" w:hAnsi="Times New Roman"/>
          <w:sz w:val="14"/>
          <w:szCs w:val="14"/>
        </w:rPr>
      </w:pPr>
      <w:r w:rsidRPr="004D3B3E">
        <w:rPr>
          <w:rStyle w:val="Refdenotaderodap"/>
          <w:rFonts w:ascii="Times New Roman" w:hAnsi="Times New Roman"/>
          <w:sz w:val="14"/>
          <w:szCs w:val="14"/>
        </w:rPr>
        <w:footnoteRef/>
      </w:r>
      <w:r w:rsidRPr="004D3B3E">
        <w:rPr>
          <w:rFonts w:ascii="Times New Roman" w:hAnsi="Times New Roman"/>
          <w:sz w:val="14"/>
          <w:szCs w:val="14"/>
        </w:rPr>
        <w:t xml:space="preserve"> </w:t>
      </w:r>
      <w:r w:rsidRPr="004D3B3E">
        <w:rPr>
          <w:rFonts w:ascii="Times New Roman" w:eastAsia="Frutiger-Roman" w:hAnsi="Times New Roman"/>
          <w:sz w:val="14"/>
          <w:szCs w:val="14"/>
        </w:rPr>
        <w:t xml:space="preserve">A </w:t>
      </w:r>
      <w:r w:rsidRPr="004D3B3E">
        <w:rPr>
          <w:rFonts w:ascii="Times New Roman" w:hAnsi="Times New Roman"/>
          <w:sz w:val="14"/>
          <w:szCs w:val="14"/>
        </w:rPr>
        <w:t>key factor for the efficacy of the APs approach is the development of long-term records of climate information and data on sea levels, so that changes can be detected and any necessary alterations to the Plan (and route-map) can be timely made (</w:t>
      </w:r>
      <w:r w:rsidRPr="004D3B3E">
        <w:rPr>
          <w:rFonts w:ascii="Times New Roman" w:hAnsi="Times New Roman"/>
          <w:color w:val="7F7F7F" w:themeColor="text1" w:themeTint="80"/>
          <w:sz w:val="14"/>
          <w:szCs w:val="14"/>
        </w:rPr>
        <w:t>Reeder and Ranger 2011, p.12</w:t>
      </w:r>
      <w:r w:rsidRPr="004D3B3E">
        <w:rPr>
          <w:rFonts w:ascii="Times New Roman" w:hAnsi="Times New Roman"/>
          <w:sz w:val="14"/>
          <w:szCs w:val="14"/>
        </w:rPr>
        <w:t>). The TE2100 implies an ongoing monitoring, and a review of decisions over time, as observations and new knowledge (e.g. updated projections) arise.</w:t>
      </w:r>
    </w:p>
  </w:footnote>
  <w:footnote w:id="27">
    <w:p w14:paraId="35BFD545" w14:textId="33BE8E0B" w:rsidR="00C04B00" w:rsidRPr="004D3B3E" w:rsidRDefault="00C04B00" w:rsidP="00C04B00">
      <w:pPr>
        <w:pStyle w:val="TEXTBODY"/>
        <w:spacing w:after="0" w:line="240" w:lineRule="auto"/>
        <w:jc w:val="left"/>
        <w:rPr>
          <w:b/>
          <w:bCs/>
          <w:i/>
          <w:iCs/>
          <w:sz w:val="14"/>
          <w:szCs w:val="14"/>
        </w:rPr>
      </w:pPr>
      <w:r w:rsidRPr="004D3B3E">
        <w:rPr>
          <w:rStyle w:val="Refdenotaderodap"/>
          <w:sz w:val="14"/>
          <w:szCs w:val="14"/>
        </w:rPr>
        <w:footnoteRef/>
      </w:r>
      <w:r w:rsidRPr="004D3B3E">
        <w:rPr>
          <w:sz w:val="14"/>
          <w:szCs w:val="14"/>
        </w:rPr>
        <w:t xml:space="preserve"> The Plan was designed to be adaptable to demands put on the FRM system through changing climate, socioeconomic change and fragile natural environments (</w:t>
      </w:r>
      <w:r w:rsidR="00F77E53" w:rsidRPr="004D3B3E">
        <w:rPr>
          <w:color w:val="7F7F7F" w:themeColor="text1" w:themeTint="80"/>
          <w:sz w:val="14"/>
          <w:szCs w:val="14"/>
        </w:rPr>
        <w:t>EA 2009A</w:t>
      </w:r>
      <w:r w:rsidRPr="004D3B3E">
        <w:rPr>
          <w:color w:val="7F7F7F" w:themeColor="text1" w:themeTint="80"/>
          <w:sz w:val="14"/>
          <w:szCs w:val="14"/>
        </w:rPr>
        <w:t xml:space="preserve">, </w:t>
      </w:r>
      <w:proofErr w:type="spellStart"/>
      <w:r w:rsidRPr="004D3B3E">
        <w:rPr>
          <w:color w:val="7F7F7F" w:themeColor="text1" w:themeTint="80"/>
          <w:sz w:val="14"/>
          <w:szCs w:val="14"/>
        </w:rPr>
        <w:t>p.xv</w:t>
      </w:r>
      <w:proofErr w:type="spellEnd"/>
      <w:r w:rsidRPr="004D3B3E">
        <w:rPr>
          <w:sz w:val="14"/>
          <w:szCs w:val="14"/>
        </w:rPr>
        <w:t xml:space="preserve">); the </w:t>
      </w:r>
      <w:r w:rsidRPr="004D3B3E">
        <w:rPr>
          <w:i/>
          <w:iCs/>
          <w:sz w:val="14"/>
          <w:szCs w:val="14"/>
        </w:rPr>
        <w:t xml:space="preserve">Plan is designed to adapt to changing climate or other factors over the next 100 years. This means that our Plan is sustainable, will not waste money on over-engineered solutions and will ensure that the right actions can be carried out at the right time </w:t>
      </w:r>
      <w:r w:rsidRPr="004D3B3E">
        <w:rPr>
          <w:sz w:val="14"/>
          <w:szCs w:val="14"/>
        </w:rPr>
        <w:t>(</w:t>
      </w:r>
      <w:r w:rsidR="00F77E53" w:rsidRPr="004D3B3E">
        <w:rPr>
          <w:color w:val="7F7F7F" w:themeColor="text1" w:themeTint="80"/>
          <w:sz w:val="14"/>
          <w:szCs w:val="14"/>
        </w:rPr>
        <w:t>EA 2009A</w:t>
      </w:r>
      <w:r w:rsidRPr="004D3B3E">
        <w:rPr>
          <w:color w:val="7F7F7F" w:themeColor="text1" w:themeTint="80"/>
          <w:sz w:val="14"/>
          <w:szCs w:val="14"/>
        </w:rPr>
        <w:t>, p.262</w:t>
      </w:r>
      <w:r w:rsidRPr="004D3B3E">
        <w:rPr>
          <w:sz w:val="14"/>
          <w:szCs w:val="14"/>
        </w:rPr>
        <w:t>).</w:t>
      </w:r>
    </w:p>
  </w:footnote>
  <w:footnote w:id="28">
    <w:p w14:paraId="1B65859F" w14:textId="77777777" w:rsidR="00C04B00" w:rsidRPr="00E74925" w:rsidRDefault="00C04B00" w:rsidP="00E74925">
      <w:pPr>
        <w:autoSpaceDE w:val="0"/>
        <w:autoSpaceDN w:val="0"/>
        <w:adjustRightInd w:val="0"/>
        <w:spacing w:after="0" w:line="240" w:lineRule="auto"/>
        <w:jc w:val="left"/>
        <w:rPr>
          <w:rFonts w:ascii="Times New Roman" w:eastAsiaTheme="minorHAnsi" w:hAnsi="Times New Roman"/>
          <w:sz w:val="14"/>
          <w:szCs w:val="14"/>
          <w:lang w:eastAsia="en-US"/>
        </w:rPr>
      </w:pPr>
      <w:r w:rsidRPr="00E74925">
        <w:rPr>
          <w:rStyle w:val="Refdenotaderodap"/>
          <w:rFonts w:ascii="Times New Roman" w:hAnsi="Times New Roman"/>
          <w:sz w:val="14"/>
          <w:szCs w:val="14"/>
        </w:rPr>
        <w:footnoteRef/>
      </w:r>
      <w:r w:rsidRPr="00E74925">
        <w:rPr>
          <w:rFonts w:ascii="Times New Roman" w:hAnsi="Times New Roman"/>
          <w:sz w:val="14"/>
          <w:szCs w:val="14"/>
        </w:rPr>
        <w:t xml:space="preserve"> </w:t>
      </w:r>
      <w:r w:rsidRPr="00E74925">
        <w:rPr>
          <w:rFonts w:ascii="Times New Roman" w:eastAsiaTheme="minorHAnsi" w:hAnsi="Times New Roman"/>
          <w:color w:val="000000"/>
          <w:sz w:val="14"/>
          <w:szCs w:val="14"/>
          <w:lang w:eastAsia="en-US"/>
        </w:rPr>
        <w:t xml:space="preserve">At each 5-year or 10-year review, depending on the magnitude of change observed </w:t>
      </w:r>
      <w:proofErr w:type="gramStart"/>
      <w:r w:rsidRPr="00E74925">
        <w:rPr>
          <w:rFonts w:ascii="Times New Roman" w:eastAsiaTheme="minorHAnsi" w:hAnsi="Times New Roman"/>
          <w:color w:val="000000"/>
          <w:sz w:val="14"/>
          <w:szCs w:val="14"/>
          <w:lang w:eastAsia="en-US"/>
        </w:rPr>
        <w:t>in a given</w:t>
      </w:r>
      <w:proofErr w:type="gramEnd"/>
      <w:r w:rsidRPr="00E74925">
        <w:rPr>
          <w:rFonts w:ascii="Times New Roman" w:eastAsiaTheme="minorHAnsi" w:hAnsi="Times New Roman"/>
          <w:color w:val="000000"/>
          <w:sz w:val="14"/>
          <w:szCs w:val="14"/>
          <w:lang w:eastAsia="en-US"/>
        </w:rPr>
        <w:t xml:space="preserve"> indicator through monitoring, the whole strategy (Plan) could be reappraised in the light of new information, to see if a switch to one of the other HLOs is recommended by CBA (</w:t>
      </w:r>
      <w:r w:rsidRPr="00E74925">
        <w:rPr>
          <w:rFonts w:ascii="Times New Roman" w:hAnsi="Times New Roman"/>
          <w:color w:val="7F7F7F" w:themeColor="text1" w:themeTint="80"/>
          <w:sz w:val="14"/>
          <w:szCs w:val="14"/>
        </w:rPr>
        <w:t>HM Treasury 2009, p.27-28</w:t>
      </w:r>
      <w:r w:rsidRPr="00E74925">
        <w:rPr>
          <w:rFonts w:ascii="Times New Roman" w:eastAsiaTheme="minorHAnsi" w:hAnsi="Times New Roman"/>
          <w:color w:val="000000"/>
          <w:sz w:val="14"/>
          <w:szCs w:val="14"/>
          <w:lang w:eastAsia="en-US"/>
        </w:rPr>
        <w:t xml:space="preserve">). </w:t>
      </w:r>
      <w:r w:rsidRPr="00E74925">
        <w:rPr>
          <w:rFonts w:ascii="Times New Roman" w:eastAsiaTheme="minorHAnsi" w:hAnsi="Times New Roman"/>
          <w:sz w:val="14"/>
          <w:szCs w:val="14"/>
          <w:lang w:eastAsia="en-US"/>
        </w:rPr>
        <w:t xml:space="preserve">Every 5-10 years, the strategy is revisited, if monitoring in the intervening period reveals that CC is happening more quickly (or slowly) than predicted at the time the Option was developed, the decision-points may be brought forward (or put back). This ensures that adaptation decisions are made at the right time, to keep benefit-cost relationships close to those envisaged at initial appraisal </w:t>
      </w:r>
      <w:r w:rsidRPr="00E74925">
        <w:rPr>
          <w:rFonts w:ascii="Times New Roman" w:eastAsiaTheme="minorHAnsi" w:hAnsi="Times New Roman"/>
          <w:color w:val="000000"/>
          <w:sz w:val="14"/>
          <w:szCs w:val="14"/>
          <w:lang w:eastAsia="en-US"/>
        </w:rPr>
        <w:t>(</w:t>
      </w:r>
      <w:r w:rsidRPr="00E74925">
        <w:rPr>
          <w:rFonts w:ascii="Times New Roman" w:hAnsi="Times New Roman"/>
          <w:color w:val="7F7F7F" w:themeColor="text1" w:themeTint="80"/>
          <w:sz w:val="14"/>
          <w:szCs w:val="14"/>
        </w:rPr>
        <w:t>HM Treasury 2009, p.26</w:t>
      </w:r>
      <w:r w:rsidRPr="00E74925">
        <w:rPr>
          <w:rFonts w:ascii="Times New Roman" w:eastAsiaTheme="minorHAnsi" w:hAnsi="Times New Roman"/>
          <w:color w:val="000000"/>
          <w:sz w:val="14"/>
          <w:szCs w:val="14"/>
          <w:lang w:eastAsia="en-US"/>
        </w:rPr>
        <w:t>).</w:t>
      </w:r>
    </w:p>
  </w:footnote>
  <w:footnote w:id="29">
    <w:p w14:paraId="5921AE1E" w14:textId="77777777" w:rsidR="003A116C" w:rsidRPr="00974448" w:rsidRDefault="003A116C" w:rsidP="003A116C">
      <w:pPr>
        <w:pStyle w:val="Textodenotaderodap"/>
      </w:pPr>
      <w:r w:rsidRPr="00974448">
        <w:rPr>
          <w:rStyle w:val="Refdenotaderodap"/>
        </w:rPr>
        <w:footnoteRef/>
      </w:r>
      <w:r w:rsidRPr="00974448">
        <w:t xml:space="preserve"> In Step 1, it also is important to translate objectives into tasks for the short- and long-term; and define metrics / parameters to describe changing conditions, e.g. the rate of SLR in cm/year (</w:t>
      </w:r>
      <w:proofErr w:type="spellStart"/>
      <w:r w:rsidRPr="00974448">
        <w:rPr>
          <w:color w:val="7F7F7F" w:themeColor="text1" w:themeTint="80"/>
        </w:rPr>
        <w:t>Gersonius</w:t>
      </w:r>
      <w:proofErr w:type="spellEnd"/>
      <w:r w:rsidRPr="00974448">
        <w:rPr>
          <w:color w:val="7F7F7F" w:themeColor="text1" w:themeTint="80"/>
        </w:rPr>
        <w:t xml:space="preserve"> et al.2016, p.204-206</w:t>
      </w:r>
      <w:r w:rsidRPr="00974448">
        <w:t>).</w:t>
      </w:r>
    </w:p>
  </w:footnote>
  <w:footnote w:id="30">
    <w:p w14:paraId="429C093C" w14:textId="6C61C10F" w:rsidR="00C4751F" w:rsidRPr="002F23E2" w:rsidRDefault="00C4751F" w:rsidP="00C4751F">
      <w:pPr>
        <w:pStyle w:val="Textodenotaderodap"/>
      </w:pPr>
      <w:r w:rsidRPr="00974448">
        <w:rPr>
          <w:rStyle w:val="Refdenotaderodap"/>
          <w:rFonts w:ascii="Arial" w:hAnsi="Arial" w:cs="Arial"/>
        </w:rPr>
        <w:footnoteRef/>
      </w:r>
      <w:r w:rsidRPr="00974448">
        <w:t xml:space="preserve"> These uncertainties concern external factors and their possible future changes, e.g. uncertainties about future (climatic and socioeconomic) changes that may influence the future decisions taken, namely about SLR, river discharges, etc. (</w:t>
      </w:r>
      <w:proofErr w:type="spellStart"/>
      <w:r w:rsidRPr="00974448">
        <w:rPr>
          <w:color w:val="7F7F7F" w:themeColor="text1" w:themeTint="80"/>
        </w:rPr>
        <w:t>Gersonius</w:t>
      </w:r>
      <w:proofErr w:type="spellEnd"/>
      <w:r w:rsidRPr="00974448">
        <w:rPr>
          <w:color w:val="7F7F7F" w:themeColor="text1" w:themeTint="80"/>
        </w:rPr>
        <w:t xml:space="preserve"> et al. 2016, p.205</w:t>
      </w:r>
      <w:r w:rsidRPr="00974448">
        <w:t>).</w:t>
      </w:r>
      <w:r w:rsidR="003A116C" w:rsidRPr="00974448">
        <w:t xml:space="preserve"> In Step 1, it also is important to: analyse the current policy measure; and define metrics / parameters to describe changing conditions, e.g. the rate of SLR in cm/year (</w:t>
      </w:r>
      <w:proofErr w:type="spellStart"/>
      <w:r w:rsidR="003A116C" w:rsidRPr="00974448">
        <w:rPr>
          <w:color w:val="7F7F7F" w:themeColor="text1" w:themeTint="80"/>
        </w:rPr>
        <w:t>Gersonius</w:t>
      </w:r>
      <w:proofErr w:type="spellEnd"/>
      <w:r w:rsidR="003A116C" w:rsidRPr="00974448">
        <w:rPr>
          <w:color w:val="7F7F7F" w:themeColor="text1" w:themeTint="80"/>
        </w:rPr>
        <w:t xml:space="preserve"> et al.2016, p.204-206</w:t>
      </w:r>
      <w:r w:rsidR="003A116C" w:rsidRPr="00974448">
        <w:t>).</w:t>
      </w:r>
    </w:p>
  </w:footnote>
  <w:footnote w:id="31">
    <w:p w14:paraId="0CAF0B22" w14:textId="35DC9517" w:rsidR="009F377F" w:rsidRPr="00974448" w:rsidRDefault="009F377F">
      <w:pPr>
        <w:pStyle w:val="Textodenotaderodap"/>
        <w:rPr>
          <w:sz w:val="14"/>
          <w:szCs w:val="14"/>
        </w:rPr>
      </w:pPr>
      <w:r w:rsidRPr="00974448">
        <w:rPr>
          <w:rStyle w:val="Refdenotaderodap"/>
          <w:sz w:val="14"/>
          <w:szCs w:val="14"/>
        </w:rPr>
        <w:footnoteRef/>
      </w:r>
      <w:r w:rsidRPr="00974448">
        <w:rPr>
          <w:sz w:val="14"/>
          <w:szCs w:val="14"/>
        </w:rPr>
        <w:t xml:space="preserve"> Step 2 consists of the identification of possible measures to manage risk – i.e. risk management / adaptation measures (to reduce the risk probability, or the systems’ vulnerability, and / or increase resilience) – for short- and long-term future conditions (</w:t>
      </w:r>
      <w:r w:rsidRPr="00974448">
        <w:rPr>
          <w:color w:val="7F7F7F" w:themeColor="text1" w:themeTint="80"/>
          <w:sz w:val="14"/>
          <w:szCs w:val="14"/>
        </w:rPr>
        <w:t>Marchand and Ludwig 2014, p.3</w:t>
      </w:r>
      <w:r w:rsidRPr="00974448">
        <w:rPr>
          <w:sz w:val="14"/>
          <w:szCs w:val="14"/>
        </w:rPr>
        <w:t>).</w:t>
      </w:r>
    </w:p>
  </w:footnote>
  <w:footnote w:id="32">
    <w:p w14:paraId="5AF89C85" w14:textId="0E22800C" w:rsidR="002F23E2" w:rsidRPr="00974448" w:rsidRDefault="002F23E2">
      <w:pPr>
        <w:pStyle w:val="Textodenotaderodap"/>
        <w:rPr>
          <w:sz w:val="14"/>
          <w:szCs w:val="14"/>
        </w:rPr>
      </w:pPr>
      <w:r w:rsidRPr="00974448">
        <w:rPr>
          <w:rStyle w:val="Refdenotaderodap"/>
          <w:sz w:val="14"/>
          <w:szCs w:val="14"/>
        </w:rPr>
        <w:footnoteRef/>
      </w:r>
      <w:r w:rsidRPr="00974448">
        <w:rPr>
          <w:sz w:val="14"/>
          <w:szCs w:val="14"/>
        </w:rPr>
        <w:t xml:space="preserve"> Step 2 involves: (a) exploring all possible or relevant measures around an ATP, and identifying measures that can be used to meet the objectives and tasks.; and (b) evaluating each measure’s performance under different future scenarios (and changing conditions) and against pre-defined criteria and standards, this includes assessing their efficiency and cost-effectiveness (costs, effects and benefits) over the different scenarios); and the cost-effectiveness and efficiency of measures are influenced by mid- / long-term developments (e.g. land use changes, or construction in areas for FRM measures) (</w:t>
      </w:r>
      <w:proofErr w:type="spellStart"/>
      <w:r w:rsidRPr="00974448">
        <w:rPr>
          <w:color w:val="7F7F7F" w:themeColor="text1" w:themeTint="80"/>
          <w:sz w:val="14"/>
          <w:szCs w:val="14"/>
        </w:rPr>
        <w:t>Gersonius</w:t>
      </w:r>
      <w:proofErr w:type="spellEnd"/>
      <w:r w:rsidRPr="00974448">
        <w:rPr>
          <w:color w:val="7F7F7F" w:themeColor="text1" w:themeTint="80"/>
          <w:sz w:val="14"/>
          <w:szCs w:val="14"/>
        </w:rPr>
        <w:t xml:space="preserve"> et al. 2016, p.204-206, 202</w:t>
      </w:r>
      <w:r w:rsidRPr="00974448">
        <w:rPr>
          <w:sz w:val="14"/>
          <w:szCs w:val="14"/>
        </w:rPr>
        <w:t>).</w:t>
      </w:r>
    </w:p>
  </w:footnote>
  <w:footnote w:id="33">
    <w:p w14:paraId="496CEB7E" w14:textId="63A29A44" w:rsidR="002F23E2" w:rsidRPr="00974448" w:rsidRDefault="002F23E2" w:rsidP="002F23E2">
      <w:pPr>
        <w:pStyle w:val="TEXTBODY"/>
        <w:spacing w:after="0" w:line="240" w:lineRule="auto"/>
        <w:rPr>
          <w:sz w:val="14"/>
          <w:szCs w:val="14"/>
        </w:rPr>
      </w:pPr>
      <w:r w:rsidRPr="00974448">
        <w:rPr>
          <w:rStyle w:val="Refdenotaderodap"/>
          <w:sz w:val="14"/>
          <w:szCs w:val="14"/>
        </w:rPr>
        <w:footnoteRef/>
      </w:r>
      <w:r w:rsidRPr="00974448">
        <w:rPr>
          <w:sz w:val="14"/>
          <w:szCs w:val="14"/>
        </w:rPr>
        <w:t xml:space="preserve"> Short-term decisions should avoid an unnecessary increase of future costs; and it is necessary to efficiently link measures for the short- and long-term, i.e. short</w:t>
      </w:r>
      <w:r w:rsidRPr="00974448">
        <w:rPr>
          <w:color w:val="231F20"/>
          <w:sz w:val="14"/>
          <w:szCs w:val="14"/>
        </w:rPr>
        <w:t>-term measures must be coherently linked to long-term objectives and tasks</w:t>
      </w:r>
      <w:r w:rsidRPr="00974448">
        <w:rPr>
          <w:sz w:val="14"/>
          <w:szCs w:val="14"/>
        </w:rPr>
        <w:t xml:space="preserve">, they </w:t>
      </w:r>
      <w:r w:rsidRPr="00974448">
        <w:rPr>
          <w:i/>
          <w:sz w:val="14"/>
          <w:szCs w:val="14"/>
        </w:rPr>
        <w:t>must be logical in the long-term</w:t>
      </w:r>
      <w:r w:rsidRPr="00974448">
        <w:rPr>
          <w:sz w:val="14"/>
          <w:szCs w:val="14"/>
        </w:rPr>
        <w:t>; and this implies preparing measures to keep open options for the long-term (</w:t>
      </w:r>
      <w:r w:rsidRPr="00974448">
        <w:rPr>
          <w:color w:val="7F7F7F" w:themeColor="text1" w:themeTint="80"/>
          <w:sz w:val="14"/>
          <w:szCs w:val="14"/>
        </w:rPr>
        <w:t xml:space="preserve">Haegen and </w:t>
      </w:r>
      <w:proofErr w:type="spellStart"/>
      <w:r w:rsidRPr="00974448">
        <w:rPr>
          <w:color w:val="7F7F7F" w:themeColor="text1" w:themeTint="80"/>
          <w:sz w:val="14"/>
          <w:szCs w:val="14"/>
        </w:rPr>
        <w:t>Wieriks</w:t>
      </w:r>
      <w:proofErr w:type="spellEnd"/>
      <w:r w:rsidRPr="00974448">
        <w:rPr>
          <w:color w:val="7F7F7F" w:themeColor="text1" w:themeTint="80"/>
          <w:sz w:val="14"/>
          <w:szCs w:val="14"/>
        </w:rPr>
        <w:t xml:space="preserve"> 2015</w:t>
      </w:r>
      <w:r w:rsidRPr="00974448">
        <w:rPr>
          <w:sz w:val="14"/>
          <w:szCs w:val="14"/>
        </w:rPr>
        <w:t>), in addition, measures can be grouped in sets with a specific rationale (e.g. protection via hard defences).</w:t>
      </w:r>
    </w:p>
  </w:footnote>
  <w:footnote w:id="34">
    <w:p w14:paraId="5F0E7025" w14:textId="77777777" w:rsidR="003562A2" w:rsidRPr="00974448" w:rsidRDefault="003562A2" w:rsidP="003562A2">
      <w:pPr>
        <w:pStyle w:val="Textodenotaderodap"/>
        <w:rPr>
          <w:sz w:val="14"/>
          <w:szCs w:val="14"/>
        </w:rPr>
      </w:pPr>
      <w:r w:rsidRPr="00974448">
        <w:rPr>
          <w:rStyle w:val="Refdenotaderodap"/>
          <w:sz w:val="14"/>
          <w:szCs w:val="14"/>
        </w:rPr>
        <w:footnoteRef/>
      </w:r>
      <w:r w:rsidRPr="00974448">
        <w:rPr>
          <w:sz w:val="14"/>
          <w:szCs w:val="14"/>
        </w:rPr>
        <w:t xml:space="preserve"> </w:t>
      </w:r>
      <w:r w:rsidRPr="00974448">
        <w:rPr>
          <w:rStyle w:val="TextodenotaderodapCarter"/>
          <w:sz w:val="14"/>
          <w:szCs w:val="14"/>
        </w:rPr>
        <w:t>ADM is based on DAPP.</w:t>
      </w:r>
      <w:r w:rsidRPr="00974448">
        <w:rPr>
          <w:sz w:val="14"/>
          <w:szCs w:val="14"/>
        </w:rPr>
        <w:t xml:space="preserve"> In DAPP, one of the main ingredients to design an adaptive plan is the development of adaptation pathways (APs). The AP method requires exploring the ATPs of measures. AP and ATP are key methods in DAPP (</w:t>
      </w:r>
      <w:proofErr w:type="spellStart"/>
      <w:r w:rsidRPr="00974448">
        <w:rPr>
          <w:color w:val="7F7F7F" w:themeColor="text1" w:themeTint="80"/>
          <w:sz w:val="14"/>
          <w:szCs w:val="14"/>
        </w:rPr>
        <w:t>Haasnoot</w:t>
      </w:r>
      <w:proofErr w:type="spellEnd"/>
      <w:r w:rsidRPr="00974448">
        <w:rPr>
          <w:color w:val="7F7F7F" w:themeColor="text1" w:themeTint="80"/>
          <w:sz w:val="14"/>
          <w:szCs w:val="14"/>
        </w:rPr>
        <w:t xml:space="preserve"> and </w:t>
      </w:r>
      <w:proofErr w:type="spellStart"/>
      <w:r w:rsidRPr="00974448">
        <w:rPr>
          <w:color w:val="7F7F7F" w:themeColor="text1" w:themeTint="80"/>
          <w:sz w:val="14"/>
          <w:szCs w:val="14"/>
        </w:rPr>
        <w:t>Jeuken</w:t>
      </w:r>
      <w:proofErr w:type="spellEnd"/>
      <w:r w:rsidRPr="00974448">
        <w:rPr>
          <w:sz w:val="14"/>
          <w:szCs w:val="14"/>
        </w:rPr>
        <w:t xml:space="preserve">), as they are in ADM.  </w:t>
      </w:r>
    </w:p>
    <w:p w14:paraId="75FF85EC" w14:textId="2DDA1086" w:rsidR="003565E0" w:rsidRPr="00974448" w:rsidRDefault="003565E0" w:rsidP="003565E0">
      <w:pPr>
        <w:pStyle w:val="tablecontenttext"/>
        <w:spacing w:after="0"/>
        <w:jc w:val="both"/>
        <w:rPr>
          <w:rFonts w:ascii="Times New Roman" w:hAnsi="Times New Roman" w:cs="Times New Roman"/>
          <w:color w:val="C00000"/>
          <w:sz w:val="22"/>
          <w:szCs w:val="22"/>
          <w:u w:val="single"/>
        </w:rPr>
      </w:pPr>
      <w:r w:rsidRPr="00974448">
        <w:rPr>
          <w:rFonts w:ascii="Times New Roman" w:hAnsi="Times New Roman" w:cs="Times New Roman"/>
          <w:sz w:val="14"/>
          <w:szCs w:val="14"/>
        </w:rPr>
        <w:t>This step requires building adaptation pathways as flexible routes to achieve the goals, rather than ‘blueprints’ (</w:t>
      </w:r>
      <w:r w:rsidRPr="00974448">
        <w:rPr>
          <w:rFonts w:ascii="Times New Roman" w:hAnsi="Times New Roman" w:cs="Times New Roman"/>
          <w:color w:val="7F7F7F" w:themeColor="text1" w:themeTint="80"/>
          <w:sz w:val="14"/>
          <w:szCs w:val="14"/>
        </w:rPr>
        <w:t>Zevenbergen et al. 2018</w:t>
      </w:r>
      <w:r w:rsidRPr="00974448">
        <w:rPr>
          <w:rFonts w:ascii="Times New Roman" w:hAnsi="Times New Roman" w:cs="Times New Roman"/>
          <w:sz w:val="14"/>
          <w:szCs w:val="14"/>
        </w:rPr>
        <w:t>).</w:t>
      </w:r>
    </w:p>
  </w:footnote>
  <w:footnote w:id="35">
    <w:p w14:paraId="6BB12517" w14:textId="5F81D69D" w:rsidR="003565E0" w:rsidRPr="001D4230" w:rsidRDefault="003565E0">
      <w:pPr>
        <w:pStyle w:val="Textodenotaderodap"/>
        <w:rPr>
          <w:sz w:val="14"/>
          <w:szCs w:val="14"/>
        </w:rPr>
      </w:pPr>
      <w:r w:rsidRPr="00974448">
        <w:rPr>
          <w:rStyle w:val="Refdenotaderodap"/>
          <w:sz w:val="14"/>
          <w:szCs w:val="14"/>
        </w:rPr>
        <w:footnoteRef/>
      </w:r>
      <w:r w:rsidRPr="00974448">
        <w:rPr>
          <w:sz w:val="14"/>
          <w:szCs w:val="14"/>
        </w:rPr>
        <w:t xml:space="preserve"> This step requires an assessment of the </w:t>
      </w:r>
      <w:r w:rsidRPr="00974448">
        <w:rPr>
          <w:i/>
          <w:iCs/>
          <w:sz w:val="14"/>
          <w:szCs w:val="14"/>
        </w:rPr>
        <w:t>flexibility</w:t>
      </w:r>
      <w:r w:rsidRPr="00974448">
        <w:rPr>
          <w:sz w:val="14"/>
          <w:szCs w:val="14"/>
        </w:rPr>
        <w:t xml:space="preserve"> of the pathways, and a scanning of options to keep open (</w:t>
      </w:r>
      <w:r w:rsidRPr="00974448">
        <w:rPr>
          <w:color w:val="7F7F7F" w:themeColor="text1" w:themeTint="80"/>
          <w:sz w:val="14"/>
          <w:szCs w:val="14"/>
        </w:rPr>
        <w:t>Zandvoort et al. 2018, p.189</w:t>
      </w:r>
      <w:r w:rsidRPr="00974448">
        <w:rPr>
          <w:sz w:val="14"/>
          <w:szCs w:val="14"/>
        </w:rPr>
        <w:t>). The APs’ map provides insight into potential lock-ins and options that should be kept open. It is important to explore opportunities to mainstream FRM / adaptation measures with other planned investments, e.g. in urban renewal. The consideration of opportunities to mainstream adaptation may require adjusting the timing for implementing measures (</w:t>
      </w:r>
      <w:proofErr w:type="spellStart"/>
      <w:r w:rsidRPr="00974448">
        <w:rPr>
          <w:color w:val="7F7F7F" w:themeColor="text1" w:themeTint="80"/>
          <w:sz w:val="14"/>
          <w:szCs w:val="14"/>
        </w:rPr>
        <w:t>Gersonius</w:t>
      </w:r>
      <w:proofErr w:type="spellEnd"/>
      <w:r w:rsidRPr="001D4230">
        <w:rPr>
          <w:color w:val="7F7F7F" w:themeColor="text1" w:themeTint="80"/>
          <w:sz w:val="14"/>
          <w:szCs w:val="14"/>
        </w:rPr>
        <w:t xml:space="preserve"> et al.2016</w:t>
      </w:r>
      <w:r w:rsidRPr="001D4230">
        <w:rPr>
          <w:sz w:val="14"/>
          <w:szCs w:val="14"/>
        </w:rPr>
        <w:t>).</w:t>
      </w:r>
    </w:p>
  </w:footnote>
  <w:footnote w:id="36">
    <w:p w14:paraId="48CB5427" w14:textId="1B4ED2D6" w:rsidR="004B56A0" w:rsidRPr="001D4230" w:rsidRDefault="004B56A0" w:rsidP="004B56A0">
      <w:pPr>
        <w:pStyle w:val="TEXTBODY"/>
        <w:spacing w:after="0" w:line="240" w:lineRule="auto"/>
        <w:rPr>
          <w:sz w:val="14"/>
          <w:szCs w:val="14"/>
        </w:rPr>
      </w:pPr>
      <w:r w:rsidRPr="001D4230">
        <w:rPr>
          <w:rStyle w:val="Refdenotaderodap"/>
          <w:sz w:val="14"/>
          <w:szCs w:val="14"/>
        </w:rPr>
        <w:footnoteRef/>
      </w:r>
      <w:r w:rsidRPr="001D4230">
        <w:rPr>
          <w:sz w:val="14"/>
          <w:szCs w:val="14"/>
        </w:rPr>
        <w:t xml:space="preserve"> The pathways are assessed on their effectiveness, costs and side-benefits. In addition, in the assessment of the pathways, two important factors must be considered: a pathway’s </w:t>
      </w:r>
      <w:r w:rsidRPr="001D4230">
        <w:rPr>
          <w:i/>
          <w:sz w:val="14"/>
          <w:szCs w:val="14"/>
        </w:rPr>
        <w:t>robustness</w:t>
      </w:r>
      <w:r w:rsidRPr="001D4230">
        <w:rPr>
          <w:sz w:val="14"/>
          <w:szCs w:val="14"/>
        </w:rPr>
        <w:t xml:space="preserve"> and </w:t>
      </w:r>
      <w:r w:rsidRPr="001D4230">
        <w:rPr>
          <w:i/>
          <w:sz w:val="14"/>
          <w:szCs w:val="14"/>
        </w:rPr>
        <w:t>flexibility</w:t>
      </w:r>
      <w:r w:rsidRPr="001D4230">
        <w:rPr>
          <w:sz w:val="14"/>
          <w:szCs w:val="14"/>
        </w:rPr>
        <w:t xml:space="preserve">. The goal is to elaborate </w:t>
      </w:r>
      <w:r w:rsidRPr="001D4230">
        <w:rPr>
          <w:i/>
          <w:sz w:val="14"/>
          <w:szCs w:val="14"/>
        </w:rPr>
        <w:t>robust flexible strategies</w:t>
      </w:r>
      <w:r w:rsidRPr="001D4230">
        <w:rPr>
          <w:sz w:val="14"/>
          <w:szCs w:val="14"/>
        </w:rPr>
        <w:t xml:space="preserve">. A </w:t>
      </w:r>
      <w:r w:rsidRPr="001D4230">
        <w:rPr>
          <w:i/>
          <w:sz w:val="14"/>
          <w:szCs w:val="14"/>
        </w:rPr>
        <w:t>robust strategy</w:t>
      </w:r>
      <w:r w:rsidRPr="001D4230">
        <w:rPr>
          <w:sz w:val="14"/>
          <w:szCs w:val="14"/>
        </w:rPr>
        <w:t xml:space="preserve"> is one that achieves the desired objectives under diverse future scenarios. An important tool for making a strategy robust is flexibility; flexibility can be delivered by having the possibility to adapt strategies as necessary over time – e.g. adjusting measures or implementing new measures – and still meet the objectives. The APs map shows </w:t>
      </w:r>
      <w:r w:rsidRPr="001D4230">
        <w:rPr>
          <w:i/>
          <w:sz w:val="14"/>
          <w:szCs w:val="14"/>
        </w:rPr>
        <w:t>transition-points</w:t>
      </w:r>
      <w:r w:rsidRPr="001D4230">
        <w:rPr>
          <w:sz w:val="14"/>
          <w:szCs w:val="14"/>
        </w:rPr>
        <w:t xml:space="preserve"> (conditions under which it is necessary to switch from one measure to another, or their moment in a scenario). It is important to assess which measures must be taken now and which can be postponed (</w:t>
      </w:r>
      <w:r w:rsidRPr="001D4230">
        <w:rPr>
          <w:color w:val="7F7F7F" w:themeColor="text1" w:themeTint="80"/>
          <w:sz w:val="14"/>
          <w:szCs w:val="14"/>
        </w:rPr>
        <w:t>Brugge and Bruggeman, p.4-5</w:t>
      </w:r>
      <w:proofErr w:type="gramStart"/>
      <w:r w:rsidRPr="001D4230">
        <w:rPr>
          <w:sz w:val="14"/>
          <w:szCs w:val="14"/>
        </w:rPr>
        <w:t>)..</w:t>
      </w:r>
      <w:proofErr w:type="gramEnd"/>
    </w:p>
  </w:footnote>
  <w:footnote w:id="37">
    <w:p w14:paraId="1B7AD3A8" w14:textId="3390BDAF" w:rsidR="007A49AF" w:rsidRPr="001D4230" w:rsidRDefault="007A49AF" w:rsidP="007A49AF">
      <w:pPr>
        <w:pStyle w:val="Textodenotaderodap"/>
        <w:rPr>
          <w:sz w:val="14"/>
          <w:szCs w:val="14"/>
        </w:rPr>
      </w:pPr>
      <w:r w:rsidRPr="001D4230">
        <w:rPr>
          <w:rStyle w:val="Refdenotaderodap"/>
          <w:sz w:val="14"/>
          <w:szCs w:val="14"/>
        </w:rPr>
        <w:footnoteRef/>
      </w:r>
      <w:r w:rsidRPr="001D4230">
        <w:rPr>
          <w:sz w:val="14"/>
          <w:szCs w:val="14"/>
        </w:rPr>
        <w:t xml:space="preserve"> An adaptive plan / policy is considered </w:t>
      </w:r>
      <w:r w:rsidRPr="001D4230">
        <w:rPr>
          <w:b/>
          <w:sz w:val="14"/>
          <w:szCs w:val="14"/>
        </w:rPr>
        <w:t xml:space="preserve">robust </w:t>
      </w:r>
      <w:r w:rsidRPr="001D4230">
        <w:rPr>
          <w:sz w:val="14"/>
          <w:szCs w:val="14"/>
        </w:rPr>
        <w:t>if the desired objectives can be achieved under a variety of circumstances (i.e. scenarios), whereas flexibility is related with the easiness with which a plan can be adapted to changing conditions and the capacity to adapt to a multitude of possible future conditions and changes. The flexibility of a plan is enhanced if its measures can be adapted, implemented earlier or later than planned and meanwhile the plan’s goal will still be reached (</w:t>
      </w:r>
      <w:proofErr w:type="spellStart"/>
      <w:r w:rsidR="005C558F">
        <w:rPr>
          <w:color w:val="7F7F7F" w:themeColor="text1" w:themeTint="80"/>
          <w:sz w:val="14"/>
          <w:szCs w:val="14"/>
        </w:rPr>
        <w:t>Deltares</w:t>
      </w:r>
      <w:proofErr w:type="spellEnd"/>
      <w:r w:rsidR="005C558F">
        <w:rPr>
          <w:color w:val="7F7F7F" w:themeColor="text1" w:themeTint="80"/>
          <w:sz w:val="14"/>
          <w:szCs w:val="14"/>
        </w:rPr>
        <w:t xml:space="preserve"> 2018</w:t>
      </w:r>
      <w:r w:rsidRPr="001D4230">
        <w:rPr>
          <w:color w:val="7F7F7F" w:themeColor="text1" w:themeTint="80"/>
          <w:sz w:val="14"/>
          <w:szCs w:val="14"/>
        </w:rPr>
        <w:t>, p.2-3</w:t>
      </w:r>
      <w:r w:rsidRPr="001D4230">
        <w:rPr>
          <w:sz w:val="14"/>
          <w:szCs w:val="14"/>
        </w:rPr>
        <w:t xml:space="preserve">), if it is possible to shift from one measure or pathway to another. </w:t>
      </w:r>
    </w:p>
  </w:footnote>
  <w:footnote w:id="38">
    <w:p w14:paraId="046FCE0B" w14:textId="1CBB6531" w:rsidR="003F6F72" w:rsidRPr="003F6F72" w:rsidRDefault="003F6F72" w:rsidP="003F6F72">
      <w:pPr>
        <w:pStyle w:val="tablecontenttext"/>
        <w:spacing w:line="240" w:lineRule="auto"/>
        <w:rPr>
          <w:rFonts w:ascii="Times New Roman" w:hAnsi="Times New Roman" w:cs="Times New Roman"/>
        </w:rPr>
      </w:pPr>
      <w:r w:rsidRPr="001D4230">
        <w:rPr>
          <w:rStyle w:val="Refdenotaderodap"/>
          <w:rFonts w:ascii="Times New Roman" w:hAnsi="Times New Roman" w:cs="Times New Roman"/>
          <w:sz w:val="14"/>
          <w:szCs w:val="14"/>
        </w:rPr>
        <w:footnoteRef/>
      </w:r>
      <w:r w:rsidRPr="001D4230">
        <w:rPr>
          <w:rFonts w:ascii="Times New Roman" w:hAnsi="Times New Roman" w:cs="Times New Roman"/>
          <w:sz w:val="14"/>
          <w:szCs w:val="14"/>
        </w:rPr>
        <w:t xml:space="preserve"> In Step 4, the results of the prior steps are used to formulate an </w:t>
      </w:r>
      <w:r w:rsidRPr="001D4230">
        <w:rPr>
          <w:rFonts w:ascii="Times New Roman" w:hAnsi="Times New Roman" w:cs="Times New Roman"/>
          <w:i/>
          <w:iCs w:val="0"/>
          <w:sz w:val="14"/>
          <w:szCs w:val="14"/>
        </w:rPr>
        <w:t>adaptive plan</w:t>
      </w:r>
      <w:r w:rsidRPr="001D4230">
        <w:rPr>
          <w:rFonts w:ascii="Times New Roman" w:hAnsi="Times New Roman" w:cs="Times New Roman"/>
          <w:sz w:val="14"/>
          <w:szCs w:val="14"/>
        </w:rPr>
        <w:t xml:space="preserve"> that contains possible measures and specifies ‘triggers’ for modifying the strategies or measures; decisions will be made based on this adaptive plan (</w:t>
      </w:r>
      <w:r w:rsidRPr="001D4230">
        <w:rPr>
          <w:rFonts w:ascii="Times New Roman" w:hAnsi="Times New Roman" w:cs="Times New Roman"/>
          <w:color w:val="7F7F7F" w:themeColor="text1" w:themeTint="80"/>
          <w:sz w:val="14"/>
          <w:szCs w:val="14"/>
        </w:rPr>
        <w:t>Brugge and Bruggeman, p.4-</w:t>
      </w:r>
      <w:r w:rsidRPr="00974448">
        <w:rPr>
          <w:rFonts w:ascii="Times New Roman" w:hAnsi="Times New Roman" w:cs="Times New Roman"/>
          <w:color w:val="7F7F7F" w:themeColor="text1" w:themeTint="80"/>
          <w:sz w:val="14"/>
          <w:szCs w:val="14"/>
        </w:rPr>
        <w:t>5</w:t>
      </w:r>
      <w:r w:rsidRPr="00974448">
        <w:rPr>
          <w:rFonts w:ascii="Times New Roman" w:hAnsi="Times New Roman" w:cs="Times New Roman"/>
          <w:sz w:val="14"/>
          <w:szCs w:val="14"/>
        </w:rPr>
        <w:t>). While the result of Step 3 is usually a map showing a subset of ‘promising adaptation pathways’, which includes possibilities for transferring from one pathway to another; Step 4a implies translating such map into a ‘plan of action’, which requires deciding which pathways should be followed and kept open and analysing the implications for short-term actions (</w:t>
      </w:r>
      <w:proofErr w:type="spellStart"/>
      <w:r w:rsidRPr="00974448">
        <w:rPr>
          <w:rFonts w:ascii="Times New Roman" w:hAnsi="Times New Roman" w:cs="Times New Roman"/>
          <w:color w:val="7F7F7F" w:themeColor="text1" w:themeTint="80"/>
          <w:sz w:val="14"/>
          <w:szCs w:val="14"/>
        </w:rPr>
        <w:t>Gersonius</w:t>
      </w:r>
      <w:proofErr w:type="spellEnd"/>
      <w:r w:rsidRPr="00974448">
        <w:rPr>
          <w:rFonts w:ascii="Times New Roman" w:hAnsi="Times New Roman" w:cs="Times New Roman"/>
          <w:color w:val="7F7F7F" w:themeColor="text1" w:themeTint="80"/>
          <w:sz w:val="14"/>
          <w:szCs w:val="14"/>
        </w:rPr>
        <w:t xml:space="preserve"> et al. 2016, p.204-206</w:t>
      </w:r>
      <w:r w:rsidRPr="00974448">
        <w:rPr>
          <w:rFonts w:ascii="Times New Roman" w:hAnsi="Times New Roman" w:cs="Times New Roman"/>
          <w:sz w:val="14"/>
          <w:szCs w:val="14"/>
        </w:rPr>
        <w:t>).</w:t>
      </w:r>
      <w:r w:rsidRPr="001D4230">
        <w:rPr>
          <w:rFonts w:ascii="Times New Roman" w:hAnsi="Times New Roman" w:cs="Times New Roman"/>
          <w:sz w:val="14"/>
          <w:szCs w:val="14"/>
        </w:rPr>
        <w:t xml:space="preserve"> </w:t>
      </w:r>
    </w:p>
  </w:footnote>
  <w:footnote w:id="39">
    <w:p w14:paraId="70690AB9" w14:textId="7E67715F" w:rsidR="004F393E" w:rsidRPr="004F393E" w:rsidRDefault="004F393E">
      <w:pPr>
        <w:pStyle w:val="Textodenotaderodap"/>
      </w:pPr>
      <w:r>
        <w:rPr>
          <w:rStyle w:val="Refdenotaderodap"/>
        </w:rPr>
        <w:footnoteRef/>
      </w:r>
      <w:r>
        <w:t xml:space="preserve"> </w:t>
      </w:r>
      <w:r w:rsidRPr="00A970A7">
        <w:t>I</w:t>
      </w:r>
      <w:r>
        <w:t xml:space="preserve">mportantly, in </w:t>
      </w:r>
      <w:r w:rsidRPr="00A970A7">
        <w:t>each annual cycle, research</w:t>
      </w:r>
      <w:r>
        <w:t xml:space="preserve"> work</w:t>
      </w:r>
      <w:r w:rsidRPr="00A970A7">
        <w:t xml:space="preserve"> (its concretization and scheduling) is</w:t>
      </w:r>
      <w:r>
        <w:t xml:space="preserve"> conducted</w:t>
      </w:r>
      <w:r w:rsidRPr="00A970A7">
        <w:t xml:space="preserve"> in parallel with decision-making (which is based on research results of the prior year); e.g. the </w:t>
      </w:r>
      <w:r>
        <w:t xml:space="preserve">elaboration </w:t>
      </w:r>
      <w:r w:rsidRPr="00A970A7">
        <w:t xml:space="preserve">of the DP2012 </w:t>
      </w:r>
      <w:r>
        <w:t xml:space="preserve">was done in parallel with </w:t>
      </w:r>
      <w:r w:rsidRPr="00A970A7">
        <w:t xml:space="preserve">research </w:t>
      </w:r>
      <w:r>
        <w:t xml:space="preserve">work </w:t>
      </w:r>
      <w:r w:rsidRPr="00A970A7">
        <w:t>for the DP</w:t>
      </w:r>
      <w:r>
        <w:t>2</w:t>
      </w:r>
      <w:r w:rsidRPr="00A970A7">
        <w:t>013 (</w:t>
      </w:r>
      <w:r w:rsidRPr="00A970A7">
        <w:rPr>
          <w:color w:val="7F7F7F" w:themeColor="text1" w:themeTint="80"/>
        </w:rPr>
        <w:t>Werners et al. 2016</w:t>
      </w:r>
      <w:r w:rsidRPr="00A970A7">
        <w:t>).</w:t>
      </w:r>
    </w:p>
  </w:footnote>
  <w:footnote w:id="40">
    <w:p w14:paraId="20A7BAA1" w14:textId="77777777" w:rsidR="00995F3E" w:rsidRPr="00974448" w:rsidRDefault="00995F3E" w:rsidP="00995F3E">
      <w:pPr>
        <w:pStyle w:val="Textodenotaderodap"/>
        <w:rPr>
          <w:sz w:val="14"/>
          <w:szCs w:val="14"/>
        </w:rPr>
      </w:pPr>
      <w:r w:rsidRPr="00974448">
        <w:rPr>
          <w:rStyle w:val="Refdenotaderodap"/>
          <w:sz w:val="14"/>
          <w:szCs w:val="14"/>
        </w:rPr>
        <w:footnoteRef/>
      </w:r>
      <w:r w:rsidRPr="00974448">
        <w:rPr>
          <w:sz w:val="14"/>
          <w:szCs w:val="14"/>
        </w:rPr>
        <w:t xml:space="preserve"> This implied gathering studies on climate change effects, prioritizing effects according to their likeliness, severity and impact on DP’s objectives, and consulting experts in research institutes, ministries, etc. </w:t>
      </w:r>
    </w:p>
    <w:p w14:paraId="5DAF7AF1" w14:textId="77777777" w:rsidR="00995F3E" w:rsidRPr="00C34F71" w:rsidRDefault="00995F3E" w:rsidP="00995F3E">
      <w:pPr>
        <w:pStyle w:val="Textodenotaderodap"/>
      </w:pPr>
      <w:r w:rsidRPr="00974448">
        <w:rPr>
          <w:color w:val="7F7F7F" w:themeColor="text1" w:themeTint="80"/>
          <w:sz w:val="14"/>
          <w:szCs w:val="14"/>
        </w:rPr>
        <w:t xml:space="preserve">Werners et al. (2016) </w:t>
      </w:r>
      <w:r w:rsidRPr="00974448">
        <w:rPr>
          <w:sz w:val="14"/>
          <w:szCs w:val="14"/>
        </w:rPr>
        <w:t xml:space="preserve">analysed the process of policymaking of the DP, focusing on the Subprogramme for the Wadden Region. </w:t>
      </w:r>
    </w:p>
  </w:footnote>
  <w:footnote w:id="41">
    <w:p w14:paraId="300C6231" w14:textId="77777777" w:rsidR="00995F3E" w:rsidRPr="00E74925" w:rsidRDefault="00995F3E" w:rsidP="00995F3E">
      <w:pPr>
        <w:pStyle w:val="Textodenotaderodap"/>
      </w:pPr>
      <w:r w:rsidRPr="00E74925">
        <w:rPr>
          <w:rStyle w:val="Refdenotaderodap"/>
          <w:sz w:val="14"/>
          <w:szCs w:val="14"/>
        </w:rPr>
        <w:footnoteRef/>
      </w:r>
      <w:r w:rsidRPr="00E74925">
        <w:rPr>
          <w:sz w:val="14"/>
          <w:szCs w:val="14"/>
        </w:rPr>
        <w:t xml:space="preserve"> </w:t>
      </w:r>
      <w:r w:rsidRPr="00E74925">
        <w:rPr>
          <w:rStyle w:val="TextodenotaderodapCarter"/>
          <w:sz w:val="14"/>
          <w:szCs w:val="14"/>
        </w:rPr>
        <w:t>ADM is based on DAPP.</w:t>
      </w:r>
      <w:r w:rsidRPr="00E74925">
        <w:rPr>
          <w:sz w:val="14"/>
          <w:szCs w:val="14"/>
        </w:rPr>
        <w:t xml:space="preserve"> In DAPP, one of the main ingredients to design an adaptive plan is the development of adaptation pathways (APs). The AP method requires exploring the ATPs of measures. AP and ATP are key methods in DAPP (</w:t>
      </w:r>
      <w:proofErr w:type="spellStart"/>
      <w:r w:rsidRPr="00E74925">
        <w:rPr>
          <w:color w:val="7F7F7F" w:themeColor="text1" w:themeTint="80"/>
          <w:sz w:val="14"/>
          <w:szCs w:val="14"/>
        </w:rPr>
        <w:t>Haasnoot</w:t>
      </w:r>
      <w:proofErr w:type="spellEnd"/>
      <w:r w:rsidRPr="00E74925">
        <w:rPr>
          <w:color w:val="7F7F7F" w:themeColor="text1" w:themeTint="80"/>
          <w:sz w:val="14"/>
          <w:szCs w:val="14"/>
        </w:rPr>
        <w:t xml:space="preserve"> and </w:t>
      </w:r>
      <w:proofErr w:type="spellStart"/>
      <w:r w:rsidRPr="00E74925">
        <w:rPr>
          <w:color w:val="7F7F7F" w:themeColor="text1" w:themeTint="80"/>
          <w:sz w:val="14"/>
          <w:szCs w:val="14"/>
        </w:rPr>
        <w:t>Jeuken</w:t>
      </w:r>
      <w:proofErr w:type="spellEnd"/>
      <w:r w:rsidRPr="00E74925">
        <w:rPr>
          <w:sz w:val="14"/>
          <w:szCs w:val="14"/>
        </w:rPr>
        <w:t xml:space="preserve">), as they are in ADM.  </w:t>
      </w:r>
    </w:p>
  </w:footnote>
  <w:footnote w:id="42">
    <w:p w14:paraId="661FC831" w14:textId="1F5767FC" w:rsidR="00995F3E" w:rsidRPr="00E74925" w:rsidRDefault="00995F3E" w:rsidP="00E74925">
      <w:pPr>
        <w:pStyle w:val="Textodenotaderodap"/>
      </w:pPr>
      <w:r w:rsidRPr="00E74925">
        <w:rPr>
          <w:rStyle w:val="Refdenotaderodap"/>
          <w:sz w:val="14"/>
          <w:szCs w:val="14"/>
        </w:rPr>
        <w:footnoteRef/>
      </w:r>
      <w:r w:rsidRPr="00E74925">
        <w:rPr>
          <w:sz w:val="14"/>
          <w:szCs w:val="14"/>
        </w:rPr>
        <w:t xml:space="preserve"> An adaptive plan / policy is considered </w:t>
      </w:r>
      <w:r w:rsidRPr="00E74925">
        <w:rPr>
          <w:b/>
          <w:sz w:val="14"/>
          <w:szCs w:val="14"/>
        </w:rPr>
        <w:t xml:space="preserve">robust </w:t>
      </w:r>
      <w:r w:rsidRPr="00E74925">
        <w:rPr>
          <w:sz w:val="14"/>
          <w:szCs w:val="14"/>
        </w:rPr>
        <w:t>if the desired objectives can be achieved under a variety of circumstances (i.e. scenarios), whereas flexibility is related with the easiness with which a plan can be adapted to changing conditions and the capacity to adapt to a multitude of possible future conditions and changes. The flexibility of a plan is enhanced if its measures can be adapted, implemented earlier or later than planned and meanwhile the plan’s goal will still be reached (</w:t>
      </w:r>
      <w:proofErr w:type="spellStart"/>
      <w:r w:rsidR="005C558F" w:rsidRPr="00E74925">
        <w:rPr>
          <w:color w:val="7F7F7F" w:themeColor="text1" w:themeTint="80"/>
          <w:sz w:val="14"/>
          <w:szCs w:val="14"/>
        </w:rPr>
        <w:t>Deltares</w:t>
      </w:r>
      <w:proofErr w:type="spellEnd"/>
      <w:r w:rsidR="005C558F" w:rsidRPr="00E74925">
        <w:rPr>
          <w:color w:val="7F7F7F" w:themeColor="text1" w:themeTint="80"/>
          <w:sz w:val="14"/>
          <w:szCs w:val="14"/>
        </w:rPr>
        <w:t xml:space="preserve"> 2018</w:t>
      </w:r>
      <w:r w:rsidRPr="00E74925">
        <w:rPr>
          <w:color w:val="7F7F7F" w:themeColor="text1" w:themeTint="80"/>
          <w:sz w:val="14"/>
          <w:szCs w:val="14"/>
        </w:rPr>
        <w:t>, p.2-3</w:t>
      </w:r>
      <w:r w:rsidRPr="00E74925">
        <w:rPr>
          <w:sz w:val="14"/>
          <w:szCs w:val="14"/>
        </w:rPr>
        <w:t xml:space="preserve">), if it is possible to shift from one measure or pathway to another. </w:t>
      </w:r>
    </w:p>
  </w:footnote>
  <w:footnote w:id="43">
    <w:p w14:paraId="6C4FEA32" w14:textId="77777777" w:rsidR="00995F3E" w:rsidRPr="005C558F" w:rsidRDefault="00995F3E" w:rsidP="00995F3E">
      <w:pPr>
        <w:pStyle w:val="Textodenotaderodap"/>
        <w:rPr>
          <w:sz w:val="14"/>
          <w:szCs w:val="14"/>
        </w:rPr>
      </w:pPr>
      <w:r w:rsidRPr="005C558F">
        <w:rPr>
          <w:rStyle w:val="Refdenotaderodap"/>
          <w:rFonts w:ascii="Arial" w:hAnsi="Arial" w:cs="Arial"/>
          <w:sz w:val="14"/>
          <w:szCs w:val="14"/>
        </w:rPr>
        <w:footnoteRef/>
      </w:r>
      <w:r w:rsidRPr="005C558F">
        <w:rPr>
          <w:rFonts w:ascii="Arial" w:hAnsi="Arial" w:cs="Arial"/>
          <w:sz w:val="14"/>
          <w:szCs w:val="14"/>
        </w:rPr>
        <w:t xml:space="preserve"> </w:t>
      </w:r>
      <w:r w:rsidRPr="005C558F">
        <w:rPr>
          <w:sz w:val="14"/>
          <w:szCs w:val="14"/>
        </w:rPr>
        <w:t xml:space="preserve">Most </w:t>
      </w:r>
      <w:r w:rsidRPr="005C558F">
        <w:rPr>
          <w:i/>
          <w:iCs/>
          <w:sz w:val="14"/>
          <w:szCs w:val="14"/>
        </w:rPr>
        <w:t>Preferential Strategies</w:t>
      </w:r>
      <w:r w:rsidRPr="005C558F">
        <w:rPr>
          <w:sz w:val="14"/>
          <w:szCs w:val="14"/>
        </w:rPr>
        <w:t xml:space="preserve"> include possible options for the long-term, some may not be required after 2050 but are included anyway as an ‘option to be kept open’ (</w:t>
      </w:r>
      <w:r w:rsidRPr="005C558F">
        <w:rPr>
          <w:color w:val="7F7F7F" w:themeColor="text1" w:themeTint="80"/>
          <w:sz w:val="14"/>
          <w:szCs w:val="14"/>
        </w:rPr>
        <w:t>DP 2013, p.102-103</w:t>
      </w:r>
      <w:r w:rsidRPr="005C558F">
        <w:rPr>
          <w:sz w:val="14"/>
          <w:szCs w:val="14"/>
        </w:rPr>
        <w:t xml:space="preserve">). In 2012/2013, during the development of the </w:t>
      </w:r>
      <w:r w:rsidRPr="005C558F">
        <w:rPr>
          <w:i/>
          <w:iCs/>
          <w:sz w:val="14"/>
          <w:szCs w:val="14"/>
        </w:rPr>
        <w:t>Promising Strategies</w:t>
      </w:r>
      <w:r w:rsidRPr="005C558F">
        <w:rPr>
          <w:sz w:val="14"/>
          <w:szCs w:val="14"/>
        </w:rPr>
        <w:t xml:space="preserve">, some options for the long-term were eliminated (e.g. a dam with locks in the </w:t>
      </w:r>
      <w:proofErr w:type="spellStart"/>
      <w:r w:rsidRPr="005C558F">
        <w:rPr>
          <w:sz w:val="14"/>
          <w:szCs w:val="14"/>
        </w:rPr>
        <w:t>Nieuwe</w:t>
      </w:r>
      <w:proofErr w:type="spellEnd"/>
      <w:r w:rsidRPr="005C558F">
        <w:rPr>
          <w:sz w:val="14"/>
          <w:szCs w:val="14"/>
        </w:rPr>
        <w:t xml:space="preserve"> </w:t>
      </w:r>
      <w:proofErr w:type="spellStart"/>
      <w:r w:rsidRPr="005C558F">
        <w:rPr>
          <w:sz w:val="14"/>
          <w:szCs w:val="14"/>
        </w:rPr>
        <w:t>Waterweg</w:t>
      </w:r>
      <w:proofErr w:type="spellEnd"/>
      <w:r w:rsidRPr="005C558F">
        <w:rPr>
          <w:sz w:val="14"/>
          <w:szCs w:val="14"/>
        </w:rPr>
        <w:t xml:space="preserve">, a ring of floodgates in rivers around Rotterdam). Other options were kept open and used in the </w:t>
      </w:r>
      <w:r w:rsidRPr="005C558F">
        <w:rPr>
          <w:i/>
          <w:iCs/>
          <w:sz w:val="14"/>
          <w:szCs w:val="14"/>
        </w:rPr>
        <w:t>Preferential Strategies</w:t>
      </w:r>
      <w:r w:rsidRPr="005C558F">
        <w:rPr>
          <w:sz w:val="14"/>
          <w:szCs w:val="14"/>
        </w:rPr>
        <w:t xml:space="preserve"> of 2013/2014 (e.g. new design requisites for the </w:t>
      </w:r>
      <w:proofErr w:type="spellStart"/>
      <w:r w:rsidRPr="005C558F">
        <w:rPr>
          <w:sz w:val="14"/>
          <w:szCs w:val="14"/>
        </w:rPr>
        <w:t>Maeslantkering</w:t>
      </w:r>
      <w:proofErr w:type="spellEnd"/>
      <w:r w:rsidRPr="005C558F">
        <w:rPr>
          <w:sz w:val="14"/>
          <w:szCs w:val="14"/>
        </w:rPr>
        <w:t>, flood storage, etc.) (</w:t>
      </w:r>
      <w:r w:rsidRPr="005C558F">
        <w:rPr>
          <w:color w:val="7F7F7F" w:themeColor="text1" w:themeTint="80"/>
          <w:sz w:val="14"/>
          <w:szCs w:val="14"/>
        </w:rPr>
        <w:t>DP 2013, p.95</w:t>
      </w:r>
      <w:r w:rsidRPr="005C558F">
        <w:rPr>
          <w:sz w:val="14"/>
          <w:szCs w:val="14"/>
        </w:rPr>
        <w:t>).</w:t>
      </w:r>
    </w:p>
  </w:footnote>
  <w:footnote w:id="44">
    <w:p w14:paraId="50D87DAB" w14:textId="216C26DC" w:rsidR="00995F3E" w:rsidRPr="005C558F" w:rsidRDefault="00995F3E" w:rsidP="00995F3E">
      <w:pPr>
        <w:pStyle w:val="Textodenotaderodap"/>
        <w:rPr>
          <w:sz w:val="14"/>
          <w:szCs w:val="14"/>
        </w:rPr>
      </w:pPr>
      <w:r w:rsidRPr="005C558F">
        <w:rPr>
          <w:rStyle w:val="Refdenotaderodap"/>
          <w:sz w:val="14"/>
          <w:szCs w:val="14"/>
        </w:rPr>
        <w:footnoteRef/>
      </w:r>
      <w:r w:rsidRPr="005C558F">
        <w:rPr>
          <w:sz w:val="14"/>
          <w:szCs w:val="14"/>
        </w:rPr>
        <w:t xml:space="preserve"> In ADM, short</w:t>
      </w:r>
      <w:r w:rsidRPr="005C558F">
        <w:rPr>
          <w:color w:val="231F20"/>
          <w:sz w:val="14"/>
          <w:szCs w:val="14"/>
        </w:rPr>
        <w:t>-term decisions must be coherently linked to long-term tasks and goals</w:t>
      </w:r>
      <w:r w:rsidRPr="005C558F">
        <w:rPr>
          <w:sz w:val="14"/>
          <w:szCs w:val="14"/>
        </w:rPr>
        <w:t xml:space="preserve">, short-term measures </w:t>
      </w:r>
      <w:r w:rsidRPr="005C558F">
        <w:rPr>
          <w:i/>
          <w:sz w:val="14"/>
          <w:szCs w:val="14"/>
        </w:rPr>
        <w:t>must be logical in the long-term</w:t>
      </w:r>
      <w:r w:rsidRPr="005C558F">
        <w:rPr>
          <w:sz w:val="14"/>
          <w:szCs w:val="14"/>
        </w:rPr>
        <w:t xml:space="preserve"> and do not hinder long-term options, and it may be necessary to prepare short-term measures to keep options open for the future (</w:t>
      </w:r>
      <w:r w:rsidRPr="005C558F">
        <w:rPr>
          <w:color w:val="7F7F7F" w:themeColor="text1" w:themeTint="80"/>
          <w:sz w:val="14"/>
          <w:szCs w:val="14"/>
        </w:rPr>
        <w:t xml:space="preserve">Haegen and </w:t>
      </w:r>
      <w:proofErr w:type="spellStart"/>
      <w:r w:rsidRPr="005C558F">
        <w:rPr>
          <w:color w:val="7F7F7F" w:themeColor="text1" w:themeTint="80"/>
          <w:sz w:val="14"/>
          <w:szCs w:val="14"/>
        </w:rPr>
        <w:t>Wieriks</w:t>
      </w:r>
      <w:proofErr w:type="spellEnd"/>
      <w:r w:rsidRPr="005C558F">
        <w:rPr>
          <w:color w:val="7F7F7F" w:themeColor="text1" w:themeTint="80"/>
          <w:sz w:val="14"/>
          <w:szCs w:val="14"/>
        </w:rPr>
        <w:t xml:space="preserve"> 2015</w:t>
      </w:r>
      <w:r w:rsidRPr="005C558F">
        <w:rPr>
          <w:sz w:val="14"/>
          <w:szCs w:val="14"/>
        </w:rPr>
        <w:t xml:space="preserve">) </w:t>
      </w:r>
    </w:p>
  </w:footnote>
  <w:footnote w:id="45">
    <w:p w14:paraId="1C59EC8E" w14:textId="77777777" w:rsidR="00995F3E" w:rsidRPr="00E74925" w:rsidRDefault="00995F3E" w:rsidP="00995F3E">
      <w:pPr>
        <w:pStyle w:val="Textodenotaderodap"/>
      </w:pPr>
      <w:r w:rsidRPr="00E74925">
        <w:rPr>
          <w:rStyle w:val="Refdenotaderodap"/>
          <w:sz w:val="14"/>
          <w:szCs w:val="14"/>
        </w:rPr>
        <w:footnoteRef/>
      </w:r>
      <w:r w:rsidRPr="00E74925">
        <w:rPr>
          <w:sz w:val="14"/>
          <w:szCs w:val="14"/>
        </w:rPr>
        <w:t xml:space="preserve"> The ‘social cost-benefit analysis’ (MKBA) </w:t>
      </w:r>
      <w:proofErr w:type="gramStart"/>
      <w:r w:rsidRPr="00E74925">
        <w:rPr>
          <w:sz w:val="14"/>
          <w:szCs w:val="14"/>
        </w:rPr>
        <w:t>takes into account</w:t>
      </w:r>
      <w:proofErr w:type="gramEnd"/>
      <w:r w:rsidRPr="00E74925">
        <w:rPr>
          <w:sz w:val="14"/>
          <w:szCs w:val="14"/>
        </w:rPr>
        <w:t xml:space="preserve"> the long-term costs and benefits of measures, using a discount rate that sets out a relationship between the current and the future value of the costs and benefits of a measure (</w:t>
      </w:r>
      <w:r w:rsidRPr="00E74925">
        <w:rPr>
          <w:color w:val="7F7F7F" w:themeColor="text1" w:themeTint="80"/>
          <w:sz w:val="14"/>
          <w:szCs w:val="14"/>
        </w:rPr>
        <w:t>DP 2013, p.105; 2014, p.137-138</w:t>
      </w:r>
      <w:r w:rsidRPr="00E74925">
        <w:rPr>
          <w:sz w:val="14"/>
          <w:szCs w:val="14"/>
        </w:rPr>
        <w:t>).</w:t>
      </w:r>
    </w:p>
  </w:footnote>
  <w:footnote w:id="46">
    <w:p w14:paraId="40D4B87C" w14:textId="77777777" w:rsidR="00995F3E" w:rsidRPr="00E74925" w:rsidRDefault="00995F3E" w:rsidP="00995F3E">
      <w:pPr>
        <w:pStyle w:val="Textodenotaderodap"/>
        <w:rPr>
          <w:sz w:val="14"/>
          <w:szCs w:val="14"/>
        </w:rPr>
      </w:pPr>
      <w:r w:rsidRPr="00E74925">
        <w:rPr>
          <w:rStyle w:val="Refdenotaderodap"/>
          <w:sz w:val="14"/>
          <w:szCs w:val="14"/>
        </w:rPr>
        <w:footnoteRef/>
      </w:r>
      <w:r w:rsidRPr="00E74925">
        <w:rPr>
          <w:rStyle w:val="Refdenotaderodap"/>
          <w:sz w:val="14"/>
          <w:szCs w:val="14"/>
        </w:rPr>
        <w:t xml:space="preserve"> </w:t>
      </w:r>
      <w:r w:rsidRPr="00E74925">
        <w:rPr>
          <w:sz w:val="14"/>
          <w:szCs w:val="14"/>
        </w:rPr>
        <w:t xml:space="preserve">Flexibility, alongside other criteria, could play a role in the ultimate choice. The DP used ADM to design flexible strategies: flexibility is deemed crucial to be able to respond to uncertain futures (represented in the Delta Scenarios) </w:t>
      </w:r>
      <w:r w:rsidRPr="00E74925">
        <w:rPr>
          <w:rFonts w:eastAsia="RijksoverheidSansText-Regular"/>
          <w:color w:val="000000"/>
          <w:sz w:val="14"/>
          <w:szCs w:val="14"/>
        </w:rPr>
        <w:t>(</w:t>
      </w:r>
      <w:r w:rsidRPr="00E74925">
        <w:rPr>
          <w:rFonts w:eastAsia="RijksoverheidSansText-Regular"/>
          <w:color w:val="7F7F7F" w:themeColor="text1" w:themeTint="80"/>
          <w:sz w:val="14"/>
          <w:szCs w:val="14"/>
        </w:rPr>
        <w:t>DP 2012, p.90, 107</w:t>
      </w:r>
      <w:r w:rsidRPr="00E74925">
        <w:rPr>
          <w:rFonts w:eastAsia="RijksoverheidSansText-Regular"/>
          <w:color w:val="000000"/>
          <w:sz w:val="14"/>
          <w:szCs w:val="14"/>
        </w:rPr>
        <w:t xml:space="preserve">). </w:t>
      </w:r>
      <w:r w:rsidRPr="00E74925">
        <w:rPr>
          <w:sz w:val="14"/>
          <w:szCs w:val="14"/>
        </w:rPr>
        <w:t>By maximising robustness and flexibility, it is possible to avoid later costs. The DP commissioned a study on how flexibility could be weighted in investment decisions under uncertain futures (</w:t>
      </w:r>
      <w:r w:rsidRPr="00E74925">
        <w:rPr>
          <w:color w:val="7F7F7F" w:themeColor="text1" w:themeTint="80"/>
          <w:sz w:val="14"/>
          <w:szCs w:val="14"/>
        </w:rPr>
        <w:t>DP 2014, p.138</w:t>
      </w:r>
      <w:r w:rsidRPr="00E74925">
        <w:rPr>
          <w:sz w:val="14"/>
          <w:szCs w:val="14"/>
        </w:rPr>
        <w:t>). As the Route-map approach of the TE2100, ADM seeks to ensure that any short-term decision is taken within a framing that does not lead to maladaptation if the future unfolds differently from what is considered ‘the most probable future’ now (</w:t>
      </w:r>
      <w:proofErr w:type="spellStart"/>
      <w:r w:rsidRPr="00E74925">
        <w:rPr>
          <w:color w:val="7F7F7F" w:themeColor="text1" w:themeTint="80"/>
          <w:sz w:val="14"/>
          <w:szCs w:val="14"/>
        </w:rPr>
        <w:t>Gersonius</w:t>
      </w:r>
      <w:proofErr w:type="spellEnd"/>
      <w:r w:rsidRPr="00E74925">
        <w:rPr>
          <w:color w:val="7F7F7F" w:themeColor="text1" w:themeTint="80"/>
          <w:sz w:val="14"/>
          <w:szCs w:val="14"/>
        </w:rPr>
        <w:t xml:space="preserve"> et al. 2016, p.4</w:t>
      </w:r>
      <w:r w:rsidRPr="00E74925">
        <w:rPr>
          <w:sz w:val="14"/>
          <w:szCs w:val="14"/>
        </w:rPr>
        <w:t>).</w:t>
      </w:r>
      <w:r w:rsidRPr="00E74925">
        <w:rPr>
          <w:color w:val="00B050"/>
          <w:sz w:val="14"/>
          <w:szCs w:val="14"/>
        </w:rPr>
        <w:t xml:space="preserve"> </w:t>
      </w:r>
      <w:r w:rsidRPr="00E74925">
        <w:rPr>
          <w:sz w:val="14"/>
          <w:szCs w:val="14"/>
        </w:rPr>
        <w:t>The appraisal of the pathways raised issues about how to valuate flexibility (the methods to do it) and what are its costs and benefits (</w:t>
      </w:r>
      <w:r w:rsidRPr="00E74925">
        <w:rPr>
          <w:color w:val="7F7F7F" w:themeColor="text1" w:themeTint="80"/>
          <w:sz w:val="14"/>
          <w:szCs w:val="14"/>
        </w:rPr>
        <w:t>Brugge and Bruggeman, p.7</w:t>
      </w:r>
      <w:r w:rsidRPr="00E74925">
        <w:rPr>
          <w:sz w:val="14"/>
          <w:szCs w:val="14"/>
        </w:rPr>
        <w:t xml:space="preserve">). </w:t>
      </w:r>
    </w:p>
  </w:footnote>
  <w:footnote w:id="47">
    <w:p w14:paraId="3BB65007" w14:textId="77777777" w:rsidR="00995F3E" w:rsidRPr="00E74925" w:rsidRDefault="00995F3E" w:rsidP="00995F3E">
      <w:pPr>
        <w:pStyle w:val="CORPOTEXTO"/>
        <w:spacing w:after="0" w:line="240" w:lineRule="auto"/>
        <w:rPr>
          <w:sz w:val="14"/>
          <w:szCs w:val="14"/>
        </w:rPr>
      </w:pPr>
      <w:r w:rsidRPr="00E74925">
        <w:rPr>
          <w:rStyle w:val="Refdenotaderodap"/>
          <w:sz w:val="14"/>
          <w:szCs w:val="14"/>
        </w:rPr>
        <w:footnoteRef/>
      </w:r>
      <w:r w:rsidRPr="00E74925">
        <w:rPr>
          <w:sz w:val="14"/>
          <w:szCs w:val="14"/>
        </w:rPr>
        <w:t xml:space="preserve"> A trigger may indicate that it is necessary to activate </w:t>
      </w:r>
      <w:r w:rsidRPr="00E74925">
        <w:rPr>
          <w:i/>
          <w:iCs/>
          <w:sz w:val="14"/>
          <w:szCs w:val="14"/>
        </w:rPr>
        <w:t>contingency actions</w:t>
      </w:r>
      <w:r w:rsidRPr="00E74925">
        <w:rPr>
          <w:sz w:val="14"/>
          <w:szCs w:val="14"/>
        </w:rPr>
        <w:t xml:space="preserve"> (to keep pathways open as long as possible) (</w:t>
      </w:r>
      <w:proofErr w:type="spellStart"/>
      <w:r w:rsidRPr="00E74925">
        <w:rPr>
          <w:color w:val="7F7F7F" w:themeColor="text1" w:themeTint="80"/>
          <w:sz w:val="14"/>
          <w:szCs w:val="14"/>
        </w:rPr>
        <w:t>Haasnoot</w:t>
      </w:r>
      <w:proofErr w:type="spellEnd"/>
      <w:r w:rsidRPr="00E74925">
        <w:rPr>
          <w:color w:val="7F7F7F" w:themeColor="text1" w:themeTint="80"/>
          <w:sz w:val="14"/>
          <w:szCs w:val="14"/>
        </w:rPr>
        <w:t xml:space="preserve"> and </w:t>
      </w:r>
      <w:proofErr w:type="spellStart"/>
      <w:r w:rsidRPr="00E74925">
        <w:rPr>
          <w:color w:val="7F7F7F" w:themeColor="text1" w:themeTint="80"/>
          <w:sz w:val="14"/>
          <w:szCs w:val="14"/>
        </w:rPr>
        <w:t>Jeuken</w:t>
      </w:r>
      <w:proofErr w:type="spellEnd"/>
      <w:r w:rsidRPr="00E74925">
        <w:rPr>
          <w:sz w:val="14"/>
          <w:szCs w:val="14"/>
        </w:rPr>
        <w:t xml:space="preserve">). To keep open the preferred pathway as long as possible, it may be necessary to specify </w:t>
      </w:r>
      <w:r w:rsidRPr="00E74925">
        <w:rPr>
          <w:i/>
          <w:iCs/>
          <w:sz w:val="14"/>
          <w:szCs w:val="14"/>
        </w:rPr>
        <w:t>contingency actions</w:t>
      </w:r>
      <w:r w:rsidRPr="00E74925">
        <w:rPr>
          <w:sz w:val="14"/>
          <w:szCs w:val="14"/>
        </w:rPr>
        <w:t xml:space="preserve">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et al. 2014, p. 4-5</w:t>
      </w:r>
      <w:r w:rsidRPr="00E74925">
        <w:rPr>
          <w:sz w:val="14"/>
          <w:szCs w:val="14"/>
        </w:rPr>
        <w:t>).</w:t>
      </w:r>
    </w:p>
  </w:footnote>
  <w:footnote w:id="48">
    <w:p w14:paraId="5C28F45C" w14:textId="77777777" w:rsidR="00995F3E" w:rsidRPr="00C34F71" w:rsidRDefault="00995F3E" w:rsidP="00995F3E">
      <w:pPr>
        <w:pStyle w:val="Textodenotaderodap"/>
      </w:pPr>
      <w:r w:rsidRPr="00E74925">
        <w:rPr>
          <w:rStyle w:val="Refdenotaderodap"/>
          <w:sz w:val="14"/>
          <w:szCs w:val="14"/>
        </w:rPr>
        <w:footnoteRef/>
      </w:r>
      <w:r w:rsidRPr="00E74925">
        <w:rPr>
          <w:sz w:val="14"/>
          <w:szCs w:val="14"/>
        </w:rPr>
        <w:t xml:space="preserve"> Every year the DP must issue its proposed </w:t>
      </w:r>
      <w:r w:rsidRPr="00E74925">
        <w:rPr>
          <w:i/>
          <w:iCs/>
          <w:sz w:val="14"/>
          <w:szCs w:val="14"/>
        </w:rPr>
        <w:t>programme of measures</w:t>
      </w:r>
      <w:r w:rsidRPr="00E74925">
        <w:rPr>
          <w:sz w:val="14"/>
          <w:szCs w:val="14"/>
        </w:rPr>
        <w:t xml:space="preserve">: with detail for the first 6 years, with an indicative outline for the next 12 years and a broad general view until 2050. This led to the creation of the </w:t>
      </w:r>
      <w:r w:rsidRPr="00E74925">
        <w:rPr>
          <w:i/>
          <w:iCs/>
          <w:sz w:val="14"/>
          <w:szCs w:val="14"/>
        </w:rPr>
        <w:t xml:space="preserve">Delta Plans </w:t>
      </w:r>
      <w:r w:rsidRPr="00E74925">
        <w:rPr>
          <w:sz w:val="14"/>
          <w:szCs w:val="14"/>
        </w:rPr>
        <w:t>on FRM and FS (</w:t>
      </w:r>
      <w:r w:rsidRPr="00E74925">
        <w:rPr>
          <w:color w:val="7F7F7F" w:themeColor="text1" w:themeTint="80"/>
          <w:sz w:val="14"/>
          <w:szCs w:val="14"/>
        </w:rPr>
        <w:t>DP 2014, p.8, 86</w:t>
      </w:r>
      <w:r w:rsidRPr="00E74925">
        <w:rPr>
          <w:sz w:val="14"/>
          <w:szCs w:val="14"/>
        </w:rPr>
        <w:t>).</w:t>
      </w:r>
      <w:r w:rsidRPr="00AF2F3B">
        <w:rPr>
          <w:sz w:val="14"/>
          <w:szCs w:val="14"/>
        </w:rPr>
        <w:t xml:space="preserve">  </w:t>
      </w:r>
    </w:p>
  </w:footnote>
  <w:footnote w:id="49">
    <w:p w14:paraId="2A3342C4" w14:textId="77777777" w:rsidR="00995F3E" w:rsidRPr="003A7E48" w:rsidRDefault="00995F3E" w:rsidP="00E74925">
      <w:pPr>
        <w:pStyle w:val="Textodenotaderodap"/>
      </w:pPr>
      <w:r w:rsidRPr="00E74925">
        <w:rPr>
          <w:rStyle w:val="Refdenotaderodap"/>
          <w:sz w:val="14"/>
          <w:szCs w:val="14"/>
        </w:rPr>
        <w:footnoteRef/>
      </w:r>
      <w:r w:rsidRPr="00E74925">
        <w:rPr>
          <w:sz w:val="14"/>
          <w:szCs w:val="14"/>
        </w:rPr>
        <w:t xml:space="preserve"> It also defined specific </w:t>
      </w:r>
      <w:r w:rsidRPr="00E74925">
        <w:rPr>
          <w:i/>
          <w:iCs/>
          <w:sz w:val="14"/>
          <w:szCs w:val="14"/>
        </w:rPr>
        <w:t>variables</w:t>
      </w:r>
      <w:r w:rsidRPr="00E74925">
        <w:rPr>
          <w:sz w:val="14"/>
          <w:szCs w:val="14"/>
        </w:rPr>
        <w:t xml:space="preserve"> to measure such indicators, namely: a) ‘</w:t>
      </w:r>
      <w:r w:rsidRPr="00E74925">
        <w:rPr>
          <w:i/>
          <w:iCs/>
          <w:sz w:val="14"/>
          <w:szCs w:val="14"/>
        </w:rPr>
        <w:t>driving forces</w:t>
      </w:r>
      <w:r w:rsidRPr="00E74925">
        <w:rPr>
          <w:sz w:val="14"/>
          <w:szCs w:val="14"/>
        </w:rPr>
        <w:t>’ (</w:t>
      </w:r>
      <w:r w:rsidRPr="00E74925">
        <w:rPr>
          <w:i/>
          <w:iCs/>
          <w:sz w:val="14"/>
          <w:szCs w:val="14"/>
        </w:rPr>
        <w:t xml:space="preserve">drivers </w:t>
      </w:r>
      <w:r w:rsidRPr="00E74925">
        <w:rPr>
          <w:i/>
          <w:iCs/>
          <w:color w:val="000000"/>
          <w:sz w:val="14"/>
          <w:szCs w:val="14"/>
        </w:rPr>
        <w:t>variables</w:t>
      </w:r>
      <w:r w:rsidRPr="00E74925">
        <w:rPr>
          <w:color w:val="000000"/>
          <w:sz w:val="14"/>
          <w:szCs w:val="14"/>
        </w:rPr>
        <w:t xml:space="preserve"> that provide early signals for the tasks), and b) </w:t>
      </w:r>
      <w:r w:rsidRPr="00E74925">
        <w:rPr>
          <w:sz w:val="14"/>
          <w:szCs w:val="14"/>
        </w:rPr>
        <w:t>‘</w:t>
      </w:r>
      <w:r w:rsidRPr="00E74925">
        <w:rPr>
          <w:i/>
          <w:iCs/>
          <w:sz w:val="14"/>
          <w:szCs w:val="14"/>
        </w:rPr>
        <w:t>impacts of changes</w:t>
      </w:r>
      <w:r w:rsidRPr="00E74925">
        <w:rPr>
          <w:sz w:val="14"/>
          <w:szCs w:val="14"/>
        </w:rPr>
        <w:t>’ on the system (i</w:t>
      </w:r>
      <w:r w:rsidRPr="00E74925">
        <w:rPr>
          <w:i/>
          <w:iCs/>
          <w:sz w:val="14"/>
          <w:szCs w:val="14"/>
        </w:rPr>
        <w:t>mpact variables</w:t>
      </w:r>
      <w:r w:rsidRPr="00E74925">
        <w:rPr>
          <w:sz w:val="14"/>
          <w:szCs w:val="14"/>
        </w:rPr>
        <w:t xml:space="preserve"> that indicate consequences of a particular change and constitute a strong incentive to </w:t>
      </w:r>
      <w:proofErr w:type="gramStart"/>
      <w:r w:rsidRPr="00E74925">
        <w:rPr>
          <w:sz w:val="14"/>
          <w:szCs w:val="14"/>
        </w:rPr>
        <w:t>take action</w:t>
      </w:r>
      <w:proofErr w:type="gramEnd"/>
      <w:r w:rsidRPr="00E74925">
        <w:rPr>
          <w:sz w:val="14"/>
          <w:szCs w:val="14"/>
        </w:rPr>
        <w:t xml:space="preserve">) </w:t>
      </w:r>
      <w:r w:rsidRPr="00E74925">
        <w:rPr>
          <w:color w:val="000000"/>
          <w:sz w:val="14"/>
          <w:szCs w:val="14"/>
        </w:rPr>
        <w:t>(</w:t>
      </w:r>
      <w:r w:rsidRPr="00E74925">
        <w:rPr>
          <w:color w:val="7F7F7F" w:themeColor="text1" w:themeTint="80"/>
          <w:sz w:val="14"/>
          <w:szCs w:val="14"/>
        </w:rPr>
        <w:t>DP 2018, p.111</w:t>
      </w:r>
      <w:r w:rsidRPr="00E74925">
        <w:rPr>
          <w:color w:val="000000"/>
          <w:sz w:val="14"/>
          <w:szCs w:val="14"/>
        </w:rPr>
        <w:t>).</w:t>
      </w:r>
    </w:p>
  </w:footnote>
  <w:footnote w:id="50">
    <w:p w14:paraId="48A800BF" w14:textId="77777777" w:rsidR="00AD22FD" w:rsidRPr="00C34F71" w:rsidRDefault="00AD22FD" w:rsidP="00AD22FD">
      <w:pPr>
        <w:pStyle w:val="Textodenotaderodap"/>
      </w:pPr>
      <w:r w:rsidRPr="00E74925">
        <w:rPr>
          <w:rStyle w:val="Refdenotaderodap"/>
          <w:sz w:val="14"/>
          <w:szCs w:val="14"/>
        </w:rPr>
        <w:footnoteRef/>
      </w:r>
      <w:r w:rsidRPr="00E74925">
        <w:rPr>
          <w:sz w:val="14"/>
          <w:szCs w:val="14"/>
        </w:rPr>
        <w:t xml:space="preserve"> This Section builds on: (</w:t>
      </w:r>
      <w:proofErr w:type="spellStart"/>
      <w:r w:rsidRPr="00E74925">
        <w:rPr>
          <w:sz w:val="14"/>
          <w:szCs w:val="14"/>
        </w:rPr>
        <w:t>i</w:t>
      </w:r>
      <w:proofErr w:type="spellEnd"/>
      <w:r w:rsidRPr="00E74925">
        <w:rPr>
          <w:sz w:val="14"/>
          <w:szCs w:val="14"/>
        </w:rPr>
        <w:t>) the prior analysis of the TE2100 Project and Plan, its planning approach and process; the prior work of authors who examined the TE2100 to extract essential elements of its methodological approach and its ‘adaptive plan’</w:t>
      </w:r>
      <w:r w:rsidRPr="00E74925">
        <w:rPr>
          <w:i/>
          <w:iCs/>
          <w:sz w:val="14"/>
          <w:szCs w:val="14"/>
        </w:rPr>
        <w:t xml:space="preserve"> </w:t>
      </w:r>
      <w:r w:rsidRPr="00E74925">
        <w:rPr>
          <w:sz w:val="14"/>
          <w:szCs w:val="14"/>
        </w:rPr>
        <w:t xml:space="preserve">(e.g.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and Reeder 2011; Reeder and Ranger 2011; Ranger et al. 2013</w:t>
      </w:r>
      <w:r w:rsidRPr="00E74925">
        <w:rPr>
          <w:sz w:val="14"/>
          <w:szCs w:val="14"/>
        </w:rPr>
        <w:t>) or elements that allow the classification of the TE2100 as a successful example of an Adaptive Planning to FRM (</w:t>
      </w:r>
      <w:r w:rsidRPr="00E74925">
        <w:rPr>
          <w:color w:val="7F7F7F" w:themeColor="text1" w:themeTint="80"/>
          <w:sz w:val="14"/>
          <w:szCs w:val="14"/>
        </w:rPr>
        <w:t>Ramsbottom and Sheppard 2017</w:t>
      </w:r>
      <w:r w:rsidRPr="00E74925">
        <w:rPr>
          <w:sz w:val="14"/>
          <w:szCs w:val="14"/>
        </w:rPr>
        <w:t xml:space="preserve">); as well as studies that first identify elements of an Adaptive Planning and an </w:t>
      </w:r>
      <w:r w:rsidRPr="00E74925">
        <w:rPr>
          <w:i/>
          <w:iCs/>
          <w:sz w:val="14"/>
          <w:szCs w:val="14"/>
        </w:rPr>
        <w:t>dynamic adaptive plan</w:t>
      </w:r>
      <w:r w:rsidRPr="00E74925">
        <w:rPr>
          <w:sz w:val="14"/>
          <w:szCs w:val="14"/>
        </w:rPr>
        <w:t>, and then examine if these elements are present in diverse cases worldwide, e.g. TE2100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et al. 2014</w:t>
      </w:r>
      <w:r w:rsidRPr="00E74925">
        <w:rPr>
          <w:sz w:val="14"/>
          <w:szCs w:val="14"/>
        </w:rPr>
        <w:t>).</w:t>
      </w:r>
      <w:r w:rsidRPr="00E74925">
        <w:rPr>
          <w:sz w:val="12"/>
          <w:szCs w:val="12"/>
        </w:rPr>
        <w:t xml:space="preserve"> </w:t>
      </w:r>
    </w:p>
  </w:footnote>
  <w:footnote w:id="51">
    <w:p w14:paraId="70317B3F" w14:textId="77777777" w:rsidR="00AD22FD" w:rsidRPr="009B720F" w:rsidRDefault="00AD22FD" w:rsidP="00AD22FD">
      <w:pPr>
        <w:pStyle w:val="Textodenotaderodap"/>
      </w:pPr>
      <w:r w:rsidRPr="007F2DA2">
        <w:rPr>
          <w:rStyle w:val="Refdenotaderodap"/>
          <w:sz w:val="18"/>
          <w:szCs w:val="18"/>
        </w:rPr>
        <w:footnoteRef/>
      </w:r>
      <w:r w:rsidRPr="007F2DA2">
        <w:rPr>
          <w:sz w:val="14"/>
          <w:szCs w:val="14"/>
        </w:rPr>
        <w:t xml:space="preserve"> It defined a maximum acceptable flood probability (represented by the ‘Standard of Protection’), which is the level of protection provided by the flood defences expressed either as an annual flood probability (%) or a return period in years. This sets the threshold values of acceptable flood probability for the flood defence system that should not be exceeded. The Team identified the thresholds when the measures / portfolios </w:t>
      </w:r>
      <w:r w:rsidRPr="009B720F">
        <w:rPr>
          <w:sz w:val="14"/>
          <w:szCs w:val="14"/>
        </w:rPr>
        <w:t>of measures reached their maximum limit of flood risk (</w:t>
      </w:r>
      <w:r w:rsidRPr="009B720F">
        <w:rPr>
          <w:color w:val="7F7F7F" w:themeColor="text1" w:themeTint="80"/>
          <w:sz w:val="14"/>
          <w:szCs w:val="14"/>
        </w:rPr>
        <w:t>Ramsbottom et and Sheppard 2017, p.4-5</w:t>
      </w:r>
      <w:r w:rsidRPr="009B720F">
        <w:rPr>
          <w:sz w:val="14"/>
          <w:szCs w:val="14"/>
        </w:rPr>
        <w:t>).</w:t>
      </w:r>
    </w:p>
  </w:footnote>
  <w:footnote w:id="52">
    <w:p w14:paraId="35521440" w14:textId="77777777" w:rsidR="00AD22FD" w:rsidRPr="000E148A" w:rsidRDefault="00AD22FD" w:rsidP="00AD22FD">
      <w:pPr>
        <w:pStyle w:val="Textodenotaderodap"/>
      </w:pPr>
      <w:r w:rsidRPr="009B720F">
        <w:rPr>
          <w:rStyle w:val="Refdenotaderodap"/>
        </w:rPr>
        <w:footnoteRef/>
      </w:r>
      <w:r w:rsidRPr="009B720F">
        <w:t xml:space="preserve"> </w:t>
      </w:r>
      <w:r w:rsidRPr="009B720F">
        <w:rPr>
          <w:rFonts w:eastAsiaTheme="minorHAnsi"/>
        </w:rPr>
        <w:t xml:space="preserve">The TE2100’s </w:t>
      </w:r>
      <w:r w:rsidRPr="009B720F">
        <w:rPr>
          <w:i/>
          <w:iCs/>
        </w:rPr>
        <w:t>Dynamic Adaptive Planning approach</w:t>
      </w:r>
      <w:r w:rsidRPr="009B720F">
        <w:t xml:space="preserve"> aimed at building a </w:t>
      </w:r>
      <w:r w:rsidRPr="009B720F">
        <w:rPr>
          <w:i/>
          <w:iCs/>
        </w:rPr>
        <w:t>dynamic adaptive plan / strategy</w:t>
      </w:r>
      <w:r w:rsidRPr="009B720F">
        <w:t xml:space="preserve"> that was: </w:t>
      </w:r>
      <w:r w:rsidRPr="009B720F">
        <w:rPr>
          <w:i/>
          <w:iCs/>
        </w:rPr>
        <w:t>robust</w:t>
      </w:r>
      <w:r w:rsidRPr="009B720F">
        <w:t xml:space="preserve"> (i.e. ‘</w:t>
      </w:r>
      <w:r w:rsidRPr="009B720F">
        <w:rPr>
          <w:i/>
          <w:iCs/>
        </w:rPr>
        <w:t>performs adequately well against a set of decision criteria under a wide range of possible future states of the world</w:t>
      </w:r>
      <w:r w:rsidRPr="009B720F">
        <w:t xml:space="preserve">’), and </w:t>
      </w:r>
      <w:r w:rsidRPr="009B720F">
        <w:rPr>
          <w:i/>
          <w:iCs/>
        </w:rPr>
        <w:t xml:space="preserve">flexible </w:t>
      </w:r>
      <w:r w:rsidRPr="009B720F">
        <w:t xml:space="preserve">/ </w:t>
      </w:r>
      <w:r w:rsidRPr="009B720F">
        <w:rPr>
          <w:i/>
          <w:iCs/>
        </w:rPr>
        <w:t>dynamically robust</w:t>
      </w:r>
      <w:r w:rsidRPr="009B720F">
        <w:t xml:space="preserve">’ (i.e. the Plan / Strategy, its measures, or their timing, </w:t>
      </w:r>
      <w:r w:rsidRPr="009B720F">
        <w:rPr>
          <w:i/>
          <w:iCs/>
        </w:rPr>
        <w:t>can be changed over time as more is learnt or as conditions change</w:t>
      </w:r>
      <w:r w:rsidRPr="009B720F">
        <w:t>) (</w:t>
      </w:r>
      <w:r w:rsidRPr="009B720F">
        <w:rPr>
          <w:color w:val="7F7F7F" w:themeColor="text1" w:themeTint="80"/>
        </w:rPr>
        <w:t>Ranger et al. 2013, p. 247, 233, 249</w:t>
      </w:r>
      <w:r w:rsidRPr="009B720F">
        <w:t xml:space="preserve">), and, thus </w:t>
      </w:r>
      <w:r w:rsidRPr="009B720F">
        <w:rPr>
          <w:i/>
          <w:iCs/>
          <w:u w:val="single"/>
        </w:rPr>
        <w:t>adaptable</w:t>
      </w:r>
      <w:r w:rsidRPr="009B720F">
        <w:t xml:space="preserve"> (</w:t>
      </w:r>
      <w:r w:rsidRPr="009B720F">
        <w:rPr>
          <w:color w:val="7F7F7F" w:themeColor="text1" w:themeTint="80"/>
        </w:rPr>
        <w:t>Ranger et al.239, 249, 254</w:t>
      </w:r>
      <w:r w:rsidRPr="009B720F">
        <w:t>;</w:t>
      </w:r>
      <w:r w:rsidRPr="009B720F">
        <w:rPr>
          <w:color w:val="7F7F7F" w:themeColor="text1" w:themeTint="80"/>
        </w:rPr>
        <w:t xml:space="preserve"> EA 2012, p.35-38</w:t>
      </w:r>
      <w:r w:rsidRPr="009B720F">
        <w:t>).</w:t>
      </w:r>
    </w:p>
  </w:footnote>
  <w:footnote w:id="53">
    <w:p w14:paraId="28DFB88A" w14:textId="77777777" w:rsidR="00AD22FD" w:rsidRPr="00EC3A50" w:rsidRDefault="00AD22FD" w:rsidP="00AD22FD">
      <w:pPr>
        <w:pStyle w:val="Textodenotaderodap"/>
        <w:rPr>
          <w:sz w:val="14"/>
          <w:szCs w:val="14"/>
        </w:rPr>
      </w:pPr>
      <w:r w:rsidRPr="00EC3A50">
        <w:rPr>
          <w:rStyle w:val="Refdenotaderodap"/>
          <w:sz w:val="14"/>
          <w:szCs w:val="14"/>
        </w:rPr>
        <w:footnoteRef/>
      </w:r>
      <w:r w:rsidRPr="00EC3A50">
        <w:rPr>
          <w:sz w:val="14"/>
          <w:szCs w:val="14"/>
        </w:rPr>
        <w:t xml:space="preserve"> In the APs, it is possible to switch from a measure to a different measure, but also to switch from a HLO (pathway) to another (</w:t>
      </w:r>
      <w:proofErr w:type="spellStart"/>
      <w:r w:rsidRPr="00EC3A50">
        <w:rPr>
          <w:color w:val="7F7F7F" w:themeColor="text1" w:themeTint="80"/>
          <w:sz w:val="14"/>
          <w:szCs w:val="14"/>
        </w:rPr>
        <w:t>Jeuken</w:t>
      </w:r>
      <w:proofErr w:type="spellEnd"/>
      <w:r w:rsidRPr="00EC3A50">
        <w:rPr>
          <w:color w:val="7F7F7F" w:themeColor="text1" w:themeTint="80"/>
          <w:sz w:val="14"/>
          <w:szCs w:val="14"/>
        </w:rPr>
        <w:t xml:space="preserve"> et al. 2014, p.18</w:t>
      </w:r>
      <w:r w:rsidRPr="00EC3A50">
        <w:rPr>
          <w:sz w:val="14"/>
          <w:szCs w:val="14"/>
        </w:rPr>
        <w:t>).</w:t>
      </w:r>
    </w:p>
  </w:footnote>
  <w:footnote w:id="54">
    <w:p w14:paraId="29B73F14" w14:textId="77777777" w:rsidR="00AD22FD" w:rsidRPr="009B720F" w:rsidRDefault="00AD22FD" w:rsidP="00AD22FD">
      <w:pPr>
        <w:pStyle w:val="Textodenotaderodap"/>
        <w:rPr>
          <w:sz w:val="14"/>
          <w:szCs w:val="14"/>
        </w:rPr>
      </w:pPr>
      <w:r w:rsidRPr="006B2247">
        <w:rPr>
          <w:rStyle w:val="Refdenotaderodap"/>
          <w:sz w:val="14"/>
          <w:szCs w:val="14"/>
        </w:rPr>
        <w:footnoteRef/>
      </w:r>
      <w:r w:rsidRPr="006B2247">
        <w:rPr>
          <w:sz w:val="14"/>
          <w:szCs w:val="14"/>
        </w:rPr>
        <w:t xml:space="preserve"> </w:t>
      </w:r>
      <w:r w:rsidRPr="009B720F">
        <w:rPr>
          <w:sz w:val="14"/>
          <w:szCs w:val="14"/>
        </w:rPr>
        <w:t xml:space="preserve">Importantly, at each 5-year monitoring review and 10-year review, it is necessary to evaluate if a switch to another action or pathway is recommended by new cost-benefit analyses, given the rate of change observed in indicators (through monitoring) and new information available (e.g. updated scenarios). If SLR accelerates beyond expectations, it might be advisable to switch to </w:t>
      </w:r>
      <w:r w:rsidRPr="009B720F">
        <w:rPr>
          <w:i/>
          <w:iCs/>
          <w:sz w:val="14"/>
          <w:szCs w:val="14"/>
        </w:rPr>
        <w:t xml:space="preserve">a more interventionist Option </w:t>
      </w:r>
      <w:r w:rsidRPr="009B720F">
        <w:rPr>
          <w:sz w:val="14"/>
          <w:szCs w:val="14"/>
        </w:rPr>
        <w:t>(e.g. HLO4); such switch will be possible with no significant wasted money in early decades of the Plan (all HLOs contain small incremental measures first and leave major irreversible investments as far as possible into the long-term) (</w:t>
      </w:r>
      <w:r w:rsidRPr="009B720F">
        <w:rPr>
          <w:color w:val="7F7F7F" w:themeColor="text1" w:themeTint="80"/>
          <w:sz w:val="14"/>
          <w:szCs w:val="14"/>
        </w:rPr>
        <w:t>HM Treasury 2009, p.27-28</w:t>
      </w:r>
      <w:r w:rsidRPr="009B720F">
        <w:rPr>
          <w:sz w:val="14"/>
          <w:szCs w:val="14"/>
        </w:rPr>
        <w:t>). Overall, at each review, the chosen pathway may be changed, if the monitored indicators indicate so (a pathway suitable for a higher or lower scenario may be taken) (</w:t>
      </w:r>
      <w:r w:rsidRPr="009B720F">
        <w:rPr>
          <w:color w:val="7F7F7F" w:themeColor="text1" w:themeTint="80"/>
          <w:sz w:val="14"/>
          <w:szCs w:val="14"/>
        </w:rPr>
        <w:t>London Councils 2018</w:t>
      </w:r>
      <w:r w:rsidRPr="009B720F">
        <w:rPr>
          <w:sz w:val="14"/>
          <w:szCs w:val="14"/>
        </w:rPr>
        <w:t>).</w:t>
      </w:r>
    </w:p>
  </w:footnote>
  <w:footnote w:id="55">
    <w:p w14:paraId="75FBBDE6" w14:textId="77777777" w:rsidR="00AD22FD" w:rsidRPr="008910F5" w:rsidRDefault="00AD22FD" w:rsidP="00AD22FD">
      <w:pPr>
        <w:pStyle w:val="Textodenotaderodap"/>
      </w:pPr>
      <w:r w:rsidRPr="009B720F">
        <w:rPr>
          <w:rStyle w:val="Refdenotaderodap"/>
        </w:rPr>
        <w:footnoteRef/>
      </w:r>
      <w:r w:rsidRPr="009B720F">
        <w:t xml:space="preserve"> </w:t>
      </w:r>
      <w:r w:rsidRPr="009B720F">
        <w:rPr>
          <w:bCs/>
          <w:szCs w:val="22"/>
        </w:rPr>
        <w:t>The real pathway undertaken will result from a ‘mix’ of the best decisions taken at each moment over the Plan’s lifetime.</w:t>
      </w:r>
    </w:p>
  </w:footnote>
  <w:footnote w:id="56">
    <w:p w14:paraId="55B12660" w14:textId="77777777" w:rsidR="00AD22FD" w:rsidRPr="00C34F71" w:rsidRDefault="00AD22FD" w:rsidP="00AD22FD">
      <w:pPr>
        <w:pStyle w:val="Textodenotaderodap"/>
      </w:pPr>
      <w:r w:rsidRPr="00EC3A50">
        <w:rPr>
          <w:rStyle w:val="Refdenotaderodap"/>
          <w:sz w:val="14"/>
          <w:szCs w:val="14"/>
        </w:rPr>
        <w:footnoteRef/>
      </w:r>
      <w:r w:rsidRPr="00EC3A50">
        <w:rPr>
          <w:sz w:val="14"/>
          <w:szCs w:val="14"/>
        </w:rPr>
        <w:t xml:space="preserve"> The adaptive approach is reflected in the way of managing flood risk - the </w:t>
      </w:r>
      <w:r w:rsidRPr="00EC3A50">
        <w:rPr>
          <w:i/>
          <w:iCs/>
          <w:sz w:val="14"/>
          <w:szCs w:val="14"/>
        </w:rPr>
        <w:t>managed adaptive approach</w:t>
      </w:r>
      <w:r w:rsidRPr="00EC3A50">
        <w:rPr>
          <w:sz w:val="14"/>
          <w:szCs w:val="14"/>
        </w:rPr>
        <w:t xml:space="preserve"> – where several measures are introduced over time (at different moments) to keep risk below the target level, and alternatives are kept open to manage future risk (</w:t>
      </w:r>
      <w:r w:rsidRPr="00EC3A50">
        <w:rPr>
          <w:color w:val="7F7F7F" w:themeColor="text1" w:themeTint="80"/>
          <w:sz w:val="14"/>
          <w:szCs w:val="14"/>
        </w:rPr>
        <w:t>Ranger et al. 2013, 247-249; HM Treasury 2009, p.22; EA 2012, p.34; Ramsbottom and Sheppard 2017, p.3</w:t>
      </w:r>
      <w:r w:rsidRPr="00EC3A50">
        <w:rPr>
          <w:sz w:val="14"/>
          <w:szCs w:val="14"/>
        </w:rPr>
        <w:t xml:space="preserve">). The TE2100 is an </w:t>
      </w:r>
      <w:r w:rsidRPr="00EC3A50">
        <w:rPr>
          <w:i/>
          <w:sz w:val="14"/>
          <w:szCs w:val="14"/>
        </w:rPr>
        <w:t xml:space="preserve">example of a well-founded decision to postpone </w:t>
      </w:r>
      <w:r w:rsidRPr="00EC3A50">
        <w:rPr>
          <w:iCs/>
          <w:sz w:val="14"/>
          <w:szCs w:val="14"/>
        </w:rPr>
        <w:t>a major ‘irreversible’ action; t</w:t>
      </w:r>
      <w:r w:rsidRPr="00EC3A50">
        <w:rPr>
          <w:sz w:val="14"/>
          <w:szCs w:val="14"/>
        </w:rPr>
        <w:t xml:space="preserve">he APs approach showed that there is still time before making a major intervention </w:t>
      </w:r>
      <w:r w:rsidRPr="00EC3A50">
        <w:rPr>
          <w:iCs/>
          <w:sz w:val="14"/>
          <w:szCs w:val="14"/>
        </w:rPr>
        <w:t>(</w:t>
      </w:r>
      <w:proofErr w:type="spellStart"/>
      <w:r w:rsidRPr="00EC3A50">
        <w:rPr>
          <w:color w:val="7F7F7F" w:themeColor="text1" w:themeTint="80"/>
          <w:sz w:val="14"/>
          <w:szCs w:val="14"/>
        </w:rPr>
        <w:t>Jeuken</w:t>
      </w:r>
      <w:proofErr w:type="spellEnd"/>
      <w:r w:rsidRPr="00EC3A50">
        <w:rPr>
          <w:color w:val="7F7F7F" w:themeColor="text1" w:themeTint="80"/>
          <w:sz w:val="14"/>
          <w:szCs w:val="14"/>
        </w:rPr>
        <w:t xml:space="preserve"> et al. 2014, p.18</w:t>
      </w:r>
      <w:r w:rsidRPr="00EC3A50">
        <w:rPr>
          <w:sz w:val="14"/>
          <w:szCs w:val="14"/>
        </w:rPr>
        <w:t>). Instead of rushing into the construction of major engineering defences, the TE2100 applied an adaptive approach (</w:t>
      </w:r>
      <w:r w:rsidRPr="00EC3A50">
        <w:rPr>
          <w:color w:val="7F7F7F" w:themeColor="text1" w:themeTint="80"/>
          <w:sz w:val="14"/>
          <w:szCs w:val="14"/>
        </w:rPr>
        <w:t>Penning-Rowsell et al. 2013, p.1383</w:t>
      </w:r>
      <w:r w:rsidRPr="00EC3A50">
        <w:rPr>
          <w:sz w:val="14"/>
          <w:szCs w:val="14"/>
        </w:rPr>
        <w:t>). In the APs approach, ‘</w:t>
      </w:r>
      <w:r w:rsidRPr="00EC3A50">
        <w:rPr>
          <w:i/>
          <w:iCs/>
          <w:sz w:val="14"/>
          <w:szCs w:val="14"/>
        </w:rPr>
        <w:t>large-scale decisions can be made robust in the face of deep uncertainty</w:t>
      </w:r>
      <w:r w:rsidRPr="00EC3A50">
        <w:rPr>
          <w:sz w:val="14"/>
          <w:szCs w:val="14"/>
        </w:rPr>
        <w:t xml:space="preserve"> </w:t>
      </w:r>
      <w:r w:rsidRPr="00EC3A50">
        <w:rPr>
          <w:i/>
          <w:iCs/>
          <w:sz w:val="14"/>
          <w:szCs w:val="14"/>
        </w:rPr>
        <w:t>over future climate</w:t>
      </w:r>
      <w:r w:rsidRPr="00EC3A50">
        <w:rPr>
          <w:sz w:val="14"/>
          <w:szCs w:val="14"/>
        </w:rPr>
        <w:t xml:space="preserve"> (</w:t>
      </w:r>
      <w:proofErr w:type="spellStart"/>
      <w:r w:rsidRPr="00EC3A50">
        <w:rPr>
          <w:color w:val="7F7F7F" w:themeColor="text1" w:themeTint="80"/>
          <w:sz w:val="14"/>
          <w:szCs w:val="14"/>
        </w:rPr>
        <w:t>Jeuken</w:t>
      </w:r>
      <w:proofErr w:type="spellEnd"/>
      <w:r w:rsidRPr="00EC3A50">
        <w:rPr>
          <w:color w:val="7F7F7F" w:themeColor="text1" w:themeTint="80"/>
          <w:sz w:val="14"/>
          <w:szCs w:val="14"/>
        </w:rPr>
        <w:t xml:space="preserve"> and Reeder 2011, p.4</w:t>
      </w:r>
      <w:r w:rsidRPr="00EC3A50">
        <w:rPr>
          <w:sz w:val="14"/>
          <w:szCs w:val="14"/>
        </w:rPr>
        <w:t>).</w:t>
      </w:r>
    </w:p>
  </w:footnote>
  <w:footnote w:id="57">
    <w:p w14:paraId="081A1A9A" w14:textId="77777777" w:rsidR="00AD22FD" w:rsidRPr="009B720F" w:rsidRDefault="00AD22FD" w:rsidP="00AD22FD">
      <w:pPr>
        <w:pStyle w:val="tablecontenttext"/>
        <w:spacing w:after="0" w:line="240" w:lineRule="auto"/>
        <w:rPr>
          <w:rFonts w:ascii="Times New Roman" w:hAnsi="Times New Roman" w:cs="Times New Roman"/>
          <w:bCs w:val="0"/>
          <w:sz w:val="14"/>
          <w:szCs w:val="14"/>
        </w:rPr>
      </w:pPr>
      <w:r w:rsidRPr="009B720F">
        <w:rPr>
          <w:rStyle w:val="Refdenotaderodap"/>
          <w:rFonts w:ascii="Times New Roman" w:hAnsi="Times New Roman" w:cs="Times New Roman"/>
          <w:sz w:val="14"/>
          <w:szCs w:val="14"/>
        </w:rPr>
        <w:footnoteRef/>
      </w:r>
      <w:r w:rsidRPr="009B720F">
        <w:rPr>
          <w:rFonts w:ascii="Times New Roman" w:hAnsi="Times New Roman" w:cs="Times New Roman"/>
          <w:sz w:val="14"/>
          <w:szCs w:val="14"/>
        </w:rPr>
        <w:t xml:space="preserve"> </w:t>
      </w:r>
      <w:r w:rsidRPr="009B720F">
        <w:rPr>
          <w:rFonts w:ascii="Times New Roman" w:hAnsi="Times New Roman" w:cs="Times New Roman"/>
          <w:bCs w:val="0"/>
          <w:sz w:val="14"/>
          <w:szCs w:val="14"/>
        </w:rPr>
        <w:t>The Team developed an ‘</w:t>
      </w:r>
      <w:r w:rsidRPr="009B720F">
        <w:rPr>
          <w:rFonts w:ascii="Times New Roman" w:hAnsi="Times New Roman" w:cs="Times New Roman"/>
          <w:bCs w:val="0"/>
          <w:i/>
          <w:sz w:val="14"/>
          <w:szCs w:val="14"/>
        </w:rPr>
        <w:t xml:space="preserve">adaptable Plan with interventions sequenced through the century to adapt to future CC </w:t>
      </w:r>
      <w:r w:rsidRPr="009B720F">
        <w:rPr>
          <w:rFonts w:ascii="Times New Roman" w:hAnsi="Times New Roman" w:cs="Times New Roman"/>
          <w:bCs w:val="0"/>
          <w:sz w:val="14"/>
          <w:szCs w:val="14"/>
        </w:rPr>
        <w:t>(</w:t>
      </w:r>
      <w:r w:rsidRPr="009B720F">
        <w:rPr>
          <w:rFonts w:ascii="Times New Roman" w:hAnsi="Times New Roman" w:cs="Times New Roman"/>
          <w:bCs w:val="0"/>
          <w:color w:val="7F7F7F" w:themeColor="text1" w:themeTint="80"/>
          <w:sz w:val="14"/>
          <w:szCs w:val="14"/>
        </w:rPr>
        <w:t>EA 2009A, p.73, xv</w:t>
      </w:r>
      <w:r w:rsidRPr="009B720F">
        <w:rPr>
          <w:rFonts w:ascii="Times New Roman" w:hAnsi="Times New Roman" w:cs="Times New Roman"/>
          <w:bCs w:val="0"/>
          <w:sz w:val="14"/>
          <w:szCs w:val="14"/>
        </w:rPr>
        <w:t xml:space="preserve">). Each </w:t>
      </w:r>
      <w:r w:rsidRPr="009B720F">
        <w:rPr>
          <w:rFonts w:ascii="Times New Roman" w:hAnsi="Times New Roman" w:cs="Times New Roman"/>
          <w:bCs w:val="0"/>
          <w:i/>
          <w:iCs w:val="0"/>
          <w:sz w:val="14"/>
          <w:szCs w:val="14"/>
        </w:rPr>
        <w:t xml:space="preserve">Option </w:t>
      </w:r>
      <w:r w:rsidRPr="009B720F">
        <w:rPr>
          <w:rFonts w:ascii="Times New Roman" w:hAnsi="Times New Roman" w:cs="Times New Roman"/>
          <w:bCs w:val="0"/>
          <w:sz w:val="14"/>
          <w:szCs w:val="14"/>
        </w:rPr>
        <w:t xml:space="preserve">contains </w:t>
      </w:r>
      <w:proofErr w:type="gramStart"/>
      <w:r w:rsidRPr="009B720F">
        <w:rPr>
          <w:rFonts w:ascii="Times New Roman" w:hAnsi="Times New Roman" w:cs="Times New Roman"/>
          <w:bCs w:val="0"/>
          <w:sz w:val="14"/>
          <w:szCs w:val="14"/>
        </w:rPr>
        <w:t>a</w:t>
      </w:r>
      <w:r w:rsidRPr="009B720F">
        <w:rPr>
          <w:rFonts w:ascii="Times New Roman" w:hAnsi="Times New Roman" w:cs="Times New Roman"/>
          <w:bCs w:val="0"/>
          <w:i/>
          <w:sz w:val="14"/>
          <w:szCs w:val="14"/>
        </w:rPr>
        <w:t xml:space="preserve"> number of</w:t>
      </w:r>
      <w:proofErr w:type="gramEnd"/>
      <w:r w:rsidRPr="009B720F">
        <w:rPr>
          <w:rFonts w:ascii="Times New Roman" w:hAnsi="Times New Roman" w:cs="Times New Roman"/>
          <w:bCs w:val="0"/>
          <w:i/>
          <w:sz w:val="14"/>
          <w:szCs w:val="14"/>
        </w:rPr>
        <w:t xml:space="preserve"> portfolios </w:t>
      </w:r>
      <w:r w:rsidRPr="009B720F">
        <w:rPr>
          <w:rFonts w:ascii="Times New Roman" w:hAnsi="Times New Roman" w:cs="Times New Roman"/>
          <w:bCs w:val="0"/>
          <w:iCs w:val="0"/>
          <w:sz w:val="14"/>
          <w:szCs w:val="14"/>
        </w:rPr>
        <w:t xml:space="preserve">to be </w:t>
      </w:r>
      <w:r w:rsidRPr="009B720F">
        <w:rPr>
          <w:rFonts w:ascii="Times New Roman" w:hAnsi="Times New Roman" w:cs="Times New Roman"/>
          <w:bCs w:val="0"/>
          <w:i/>
          <w:sz w:val="14"/>
          <w:szCs w:val="14"/>
        </w:rPr>
        <w:t>implemented in sequence</w:t>
      </w:r>
      <w:r w:rsidRPr="009B720F">
        <w:rPr>
          <w:rFonts w:ascii="Times New Roman" w:hAnsi="Times New Roman" w:cs="Times New Roman"/>
          <w:bCs w:val="0"/>
          <w:iCs w:val="0"/>
          <w:sz w:val="14"/>
          <w:szCs w:val="14"/>
        </w:rPr>
        <w:t>, to</w:t>
      </w:r>
      <w:r w:rsidRPr="009B720F">
        <w:rPr>
          <w:rFonts w:ascii="Times New Roman" w:hAnsi="Times New Roman" w:cs="Times New Roman"/>
          <w:bCs w:val="0"/>
          <w:i/>
          <w:sz w:val="14"/>
          <w:szCs w:val="14"/>
        </w:rPr>
        <w:t xml:space="preserve"> provide a complete FRM solution for the next 100 years</w:t>
      </w:r>
      <w:r w:rsidRPr="009B720F">
        <w:rPr>
          <w:rFonts w:ascii="Times New Roman" w:hAnsi="Times New Roman" w:cs="Times New Roman"/>
          <w:bCs w:val="0"/>
          <w:iCs w:val="0"/>
          <w:sz w:val="14"/>
          <w:szCs w:val="14"/>
        </w:rPr>
        <w:t>, i</w:t>
      </w:r>
      <w:r w:rsidRPr="009B720F">
        <w:rPr>
          <w:rFonts w:ascii="Times New Roman" w:hAnsi="Times New Roman" w:cs="Times New Roman"/>
          <w:bCs w:val="0"/>
          <w:sz w:val="14"/>
          <w:szCs w:val="14"/>
        </w:rPr>
        <w:t>.e. e</w:t>
      </w:r>
      <w:r w:rsidRPr="009B720F">
        <w:rPr>
          <w:rFonts w:ascii="Times New Roman" w:hAnsi="Times New Roman" w:cs="Times New Roman"/>
          <w:bCs w:val="0"/>
          <w:i/>
          <w:sz w:val="14"/>
          <w:szCs w:val="14"/>
        </w:rPr>
        <w:t xml:space="preserve">ach Option consists of a sequence of portfolios of responses </w:t>
      </w:r>
      <w:r w:rsidRPr="009B720F">
        <w:rPr>
          <w:rFonts w:ascii="Times New Roman" w:hAnsi="Times New Roman" w:cs="Times New Roman"/>
          <w:bCs w:val="0"/>
          <w:sz w:val="14"/>
          <w:szCs w:val="14"/>
        </w:rPr>
        <w:t>(</w:t>
      </w:r>
      <w:r w:rsidRPr="009B720F">
        <w:rPr>
          <w:rFonts w:ascii="Times New Roman" w:hAnsi="Times New Roman" w:cs="Times New Roman"/>
          <w:bCs w:val="0"/>
          <w:color w:val="7F7F7F" w:themeColor="text1" w:themeTint="80"/>
          <w:sz w:val="14"/>
          <w:szCs w:val="14"/>
        </w:rPr>
        <w:t>EA 2009A, p.138, 152</w:t>
      </w:r>
      <w:r w:rsidRPr="009B720F">
        <w:rPr>
          <w:rFonts w:ascii="Times New Roman" w:hAnsi="Times New Roman" w:cs="Times New Roman"/>
          <w:bCs w:val="0"/>
          <w:sz w:val="14"/>
          <w:szCs w:val="14"/>
        </w:rPr>
        <w:t>).</w:t>
      </w:r>
      <w:r w:rsidRPr="009B720F">
        <w:rPr>
          <w:rFonts w:ascii="Times New Roman" w:hAnsi="Times New Roman" w:cs="Times New Roman"/>
          <w:bCs w:val="0"/>
          <w:i/>
          <w:sz w:val="14"/>
          <w:szCs w:val="14"/>
        </w:rPr>
        <w:t xml:space="preserve"> </w:t>
      </w:r>
      <w:r w:rsidRPr="009B720F">
        <w:rPr>
          <w:rFonts w:ascii="Times New Roman" w:hAnsi="Times New Roman" w:cs="Times New Roman"/>
          <w:bCs w:val="0"/>
          <w:sz w:val="14"/>
          <w:szCs w:val="14"/>
        </w:rPr>
        <w:t>Each</w:t>
      </w:r>
      <w:r w:rsidRPr="009B720F">
        <w:rPr>
          <w:rFonts w:ascii="Times New Roman" w:hAnsi="Times New Roman" w:cs="Times New Roman"/>
          <w:bCs w:val="0"/>
          <w:i/>
          <w:iCs w:val="0"/>
          <w:sz w:val="14"/>
          <w:szCs w:val="14"/>
        </w:rPr>
        <w:t xml:space="preserve"> Option</w:t>
      </w:r>
      <w:r w:rsidRPr="009B720F">
        <w:rPr>
          <w:rFonts w:ascii="Times New Roman" w:hAnsi="Times New Roman" w:cs="Times New Roman"/>
          <w:bCs w:val="0"/>
          <w:sz w:val="14"/>
          <w:szCs w:val="14"/>
        </w:rPr>
        <w:t xml:space="preserve"> is made up of sequenced portfolios over time </w:t>
      </w:r>
      <w:r w:rsidRPr="009B720F">
        <w:rPr>
          <w:rFonts w:ascii="Times New Roman" w:hAnsi="Times New Roman" w:cs="Times New Roman"/>
          <w:bCs w:val="0"/>
          <w:i/>
          <w:sz w:val="14"/>
          <w:szCs w:val="14"/>
        </w:rPr>
        <w:t>(each portfolio of responses reduces flood risk so that it stays below the target level)</w:t>
      </w:r>
      <w:r w:rsidRPr="009B720F">
        <w:rPr>
          <w:rFonts w:ascii="Times New Roman" w:hAnsi="Times New Roman" w:cs="Times New Roman"/>
          <w:bCs w:val="0"/>
          <w:sz w:val="14"/>
          <w:szCs w:val="14"/>
        </w:rPr>
        <w:t>, and</w:t>
      </w:r>
      <w:r w:rsidRPr="009B720F">
        <w:rPr>
          <w:rFonts w:ascii="Times New Roman" w:hAnsi="Times New Roman" w:cs="Times New Roman"/>
          <w:bCs w:val="0"/>
          <w:i/>
          <w:sz w:val="14"/>
          <w:szCs w:val="14"/>
        </w:rPr>
        <w:t xml:space="preserve"> the dates at which one portfolio changes to another portfolio depend on key thresholds for FRM assumed </w:t>
      </w:r>
      <w:r w:rsidRPr="009B720F">
        <w:rPr>
          <w:rFonts w:ascii="Times New Roman" w:hAnsi="Times New Roman" w:cs="Times New Roman"/>
          <w:bCs w:val="0"/>
          <w:sz w:val="14"/>
          <w:szCs w:val="14"/>
        </w:rPr>
        <w:t>(</w:t>
      </w:r>
      <w:r w:rsidRPr="009B720F">
        <w:rPr>
          <w:rFonts w:ascii="Times New Roman" w:hAnsi="Times New Roman" w:cs="Times New Roman"/>
          <w:bCs w:val="0"/>
          <w:i/>
          <w:iCs w:val="0"/>
          <w:sz w:val="14"/>
          <w:szCs w:val="14"/>
        </w:rPr>
        <w:t>key-thresholds</w:t>
      </w:r>
      <w:r w:rsidRPr="009B720F">
        <w:rPr>
          <w:rFonts w:ascii="Times New Roman" w:hAnsi="Times New Roman" w:cs="Times New Roman"/>
          <w:bCs w:val="0"/>
          <w:sz w:val="14"/>
          <w:szCs w:val="14"/>
        </w:rPr>
        <w:t xml:space="preserve"> include, e.g. </w:t>
      </w:r>
      <w:r w:rsidRPr="009B720F">
        <w:rPr>
          <w:rFonts w:ascii="Times New Roman" w:hAnsi="Times New Roman" w:cs="Times New Roman"/>
          <w:bCs w:val="0"/>
          <w:i/>
          <w:sz w:val="14"/>
          <w:szCs w:val="14"/>
        </w:rPr>
        <w:t>the maximum design water level at the TB; the maximum design water level at other parts of the defence system; the number of closures per year of the TB or other new barriers reaching 50</w:t>
      </w:r>
      <w:r w:rsidRPr="009B720F">
        <w:rPr>
          <w:rFonts w:ascii="Times New Roman" w:hAnsi="Times New Roman" w:cs="Times New Roman"/>
          <w:bCs w:val="0"/>
          <w:iCs w:val="0"/>
          <w:sz w:val="14"/>
          <w:szCs w:val="14"/>
        </w:rPr>
        <w:t>)</w:t>
      </w:r>
      <w:r w:rsidRPr="009B720F">
        <w:rPr>
          <w:rFonts w:ascii="Times New Roman" w:hAnsi="Times New Roman" w:cs="Times New Roman"/>
          <w:bCs w:val="0"/>
          <w:i/>
          <w:sz w:val="14"/>
          <w:szCs w:val="14"/>
        </w:rPr>
        <w:t xml:space="preserve"> </w:t>
      </w:r>
      <w:r w:rsidRPr="009B720F">
        <w:rPr>
          <w:rFonts w:ascii="Times New Roman" w:hAnsi="Times New Roman" w:cs="Times New Roman"/>
          <w:bCs w:val="0"/>
          <w:sz w:val="14"/>
          <w:szCs w:val="14"/>
        </w:rPr>
        <w:t>(</w:t>
      </w:r>
      <w:r w:rsidRPr="009B720F">
        <w:rPr>
          <w:rFonts w:ascii="Times New Roman" w:hAnsi="Times New Roman" w:cs="Times New Roman"/>
          <w:bCs w:val="0"/>
          <w:color w:val="7F7F7F" w:themeColor="text1" w:themeTint="80"/>
          <w:sz w:val="14"/>
          <w:szCs w:val="14"/>
        </w:rPr>
        <w:t>EA 2009A, p.139, 149-150, xi-xii</w:t>
      </w:r>
      <w:r w:rsidRPr="009B720F">
        <w:rPr>
          <w:rFonts w:ascii="Times New Roman" w:hAnsi="Times New Roman" w:cs="Times New Roman"/>
          <w:bCs w:val="0"/>
          <w:sz w:val="14"/>
          <w:szCs w:val="14"/>
        </w:rPr>
        <w:t xml:space="preserve">). </w:t>
      </w:r>
      <w:r w:rsidRPr="009B720F">
        <w:rPr>
          <w:rFonts w:ascii="Times New Roman" w:hAnsi="Times New Roman" w:cs="Times New Roman"/>
          <w:bCs w:val="0"/>
          <w:color w:val="C00000"/>
          <w:sz w:val="14"/>
          <w:szCs w:val="14"/>
        </w:rPr>
        <w:t xml:space="preserve"> </w:t>
      </w:r>
      <w:r w:rsidRPr="009B720F">
        <w:rPr>
          <w:rFonts w:ascii="Times New Roman" w:hAnsi="Times New Roman" w:cs="Times New Roman"/>
          <w:bCs w:val="0"/>
          <w:sz w:val="14"/>
          <w:szCs w:val="14"/>
        </w:rPr>
        <w:t xml:space="preserve">The scheme of the TE2100’s </w:t>
      </w:r>
      <w:r w:rsidRPr="009B720F">
        <w:rPr>
          <w:rFonts w:ascii="Times New Roman" w:hAnsi="Times New Roman" w:cs="Times New Roman"/>
          <w:bCs w:val="0"/>
          <w:i/>
          <w:iCs w:val="0"/>
          <w:sz w:val="14"/>
          <w:szCs w:val="14"/>
        </w:rPr>
        <w:t>Managed Adaptive approach</w:t>
      </w:r>
      <w:r w:rsidRPr="009B720F">
        <w:rPr>
          <w:rFonts w:ascii="Times New Roman" w:hAnsi="Times New Roman" w:cs="Times New Roman"/>
          <w:bCs w:val="0"/>
          <w:sz w:val="14"/>
          <w:szCs w:val="14"/>
        </w:rPr>
        <w:t xml:space="preserve"> illustrates this: flood risk will increase over time, thus, a target level of risk is established; then</w:t>
      </w:r>
      <w:r w:rsidRPr="009B720F">
        <w:rPr>
          <w:rFonts w:ascii="Times New Roman" w:hAnsi="Times New Roman" w:cs="Times New Roman"/>
          <w:bCs w:val="0"/>
          <w:i/>
          <w:sz w:val="14"/>
          <w:szCs w:val="14"/>
        </w:rPr>
        <w:t xml:space="preserve"> ‘each ‘portfolio of responses’ reduces flood risk so that it stays below the target level’ (it is necessary to implement a portfolio before the target level of flood risk is reached</w:t>
      </w:r>
      <w:r w:rsidRPr="009B720F">
        <w:rPr>
          <w:rFonts w:ascii="Times New Roman" w:hAnsi="Times New Roman" w:cs="Times New Roman"/>
          <w:bCs w:val="0"/>
          <w:sz w:val="14"/>
          <w:szCs w:val="14"/>
        </w:rPr>
        <w:t xml:space="preserve">); and, in this way, an </w:t>
      </w:r>
      <w:r w:rsidRPr="009B720F">
        <w:rPr>
          <w:rFonts w:ascii="Times New Roman" w:hAnsi="Times New Roman" w:cs="Times New Roman"/>
          <w:bCs w:val="0"/>
          <w:i/>
          <w:iCs w:val="0"/>
          <w:sz w:val="14"/>
          <w:szCs w:val="14"/>
        </w:rPr>
        <w:t xml:space="preserve">Option </w:t>
      </w:r>
      <w:r w:rsidRPr="009B720F">
        <w:rPr>
          <w:rFonts w:ascii="Times New Roman" w:hAnsi="Times New Roman" w:cs="Times New Roman"/>
          <w:bCs w:val="0"/>
          <w:sz w:val="14"/>
          <w:szCs w:val="14"/>
        </w:rPr>
        <w:t xml:space="preserve">will emerge (each </w:t>
      </w:r>
      <w:r w:rsidRPr="009B720F">
        <w:rPr>
          <w:rFonts w:ascii="Times New Roman" w:hAnsi="Times New Roman" w:cs="Times New Roman"/>
          <w:bCs w:val="0"/>
          <w:i/>
          <w:iCs w:val="0"/>
          <w:sz w:val="14"/>
          <w:szCs w:val="14"/>
        </w:rPr>
        <w:t xml:space="preserve">Option </w:t>
      </w:r>
      <w:r w:rsidRPr="009B720F">
        <w:rPr>
          <w:rFonts w:ascii="Times New Roman" w:hAnsi="Times New Roman" w:cs="Times New Roman"/>
          <w:bCs w:val="0"/>
          <w:sz w:val="14"/>
          <w:szCs w:val="14"/>
        </w:rPr>
        <w:t xml:space="preserve">consists of a sequence of </w:t>
      </w:r>
      <w:r w:rsidRPr="009B720F">
        <w:rPr>
          <w:rFonts w:ascii="Times New Roman" w:hAnsi="Times New Roman" w:cs="Times New Roman"/>
          <w:bCs w:val="0"/>
          <w:i/>
          <w:sz w:val="14"/>
          <w:szCs w:val="14"/>
        </w:rPr>
        <w:t>portfolios</w:t>
      </w:r>
      <w:r w:rsidRPr="009B720F">
        <w:rPr>
          <w:rFonts w:ascii="Times New Roman" w:hAnsi="Times New Roman" w:cs="Times New Roman"/>
          <w:bCs w:val="0"/>
          <w:i/>
          <w:iCs w:val="0"/>
          <w:sz w:val="14"/>
          <w:szCs w:val="14"/>
        </w:rPr>
        <w:t xml:space="preserve"> </w:t>
      </w:r>
      <w:r w:rsidRPr="009B720F">
        <w:rPr>
          <w:rFonts w:ascii="Times New Roman" w:hAnsi="Times New Roman" w:cs="Times New Roman"/>
          <w:bCs w:val="0"/>
          <w:sz w:val="14"/>
          <w:szCs w:val="14"/>
        </w:rPr>
        <w:t>over time</w:t>
      </w:r>
      <w:r w:rsidRPr="009B720F">
        <w:rPr>
          <w:rFonts w:ascii="Times New Roman" w:hAnsi="Times New Roman" w:cs="Times New Roman"/>
          <w:bCs w:val="0"/>
          <w:color w:val="C00000"/>
          <w:sz w:val="14"/>
          <w:szCs w:val="14"/>
        </w:rPr>
        <w:t>)</w:t>
      </w:r>
      <w:r w:rsidRPr="009B720F">
        <w:rPr>
          <w:rFonts w:ascii="Times New Roman" w:hAnsi="Times New Roman" w:cs="Times New Roman"/>
          <w:bCs w:val="0"/>
          <w:i/>
          <w:color w:val="C00000"/>
          <w:sz w:val="14"/>
          <w:szCs w:val="14"/>
        </w:rPr>
        <w:t xml:space="preserve"> </w:t>
      </w:r>
      <w:r w:rsidRPr="009B720F">
        <w:rPr>
          <w:rFonts w:ascii="Times New Roman" w:hAnsi="Times New Roman" w:cs="Times New Roman"/>
          <w:bCs w:val="0"/>
          <w:sz w:val="14"/>
          <w:szCs w:val="14"/>
        </w:rPr>
        <w:t>(</w:t>
      </w:r>
      <w:r w:rsidRPr="009B720F">
        <w:rPr>
          <w:rFonts w:ascii="Times New Roman" w:hAnsi="Times New Roman" w:cs="Times New Roman"/>
          <w:bCs w:val="0"/>
          <w:color w:val="7F7F7F" w:themeColor="text1" w:themeTint="80"/>
          <w:sz w:val="14"/>
          <w:szCs w:val="14"/>
        </w:rPr>
        <w:t>EA 2009A, p.139, xii</w:t>
      </w:r>
      <w:r w:rsidRPr="009B720F">
        <w:rPr>
          <w:rFonts w:ascii="Times New Roman" w:hAnsi="Times New Roman" w:cs="Times New Roman"/>
          <w:bCs w:val="0"/>
          <w:sz w:val="14"/>
          <w:szCs w:val="14"/>
        </w:rPr>
        <w:t xml:space="preserve">, </w:t>
      </w:r>
      <w:r w:rsidRPr="009B720F">
        <w:rPr>
          <w:rFonts w:ascii="Times New Roman" w:hAnsi="Times New Roman" w:cs="Times New Roman"/>
          <w:bCs w:val="0"/>
          <w:color w:val="7F7F7F" w:themeColor="text1" w:themeTint="80"/>
          <w:sz w:val="14"/>
          <w:szCs w:val="14"/>
        </w:rPr>
        <w:t>150-151</w:t>
      </w:r>
      <w:r w:rsidRPr="009B720F">
        <w:rPr>
          <w:rFonts w:ascii="Times New Roman" w:hAnsi="Times New Roman" w:cs="Times New Roman"/>
          <w:bCs w:val="0"/>
          <w:sz w:val="14"/>
          <w:szCs w:val="14"/>
        </w:rPr>
        <w:t xml:space="preserve">). </w:t>
      </w:r>
      <w:r w:rsidRPr="009B720F">
        <w:rPr>
          <w:rFonts w:ascii="Times New Roman" w:hAnsi="Times New Roman" w:cs="Times New Roman"/>
          <w:bCs w:val="0"/>
          <w:iCs w:val="0"/>
          <w:sz w:val="14"/>
          <w:szCs w:val="14"/>
        </w:rPr>
        <w:t xml:space="preserve">Each </w:t>
      </w:r>
      <w:r w:rsidRPr="009B720F">
        <w:rPr>
          <w:rFonts w:ascii="Times New Roman" w:hAnsi="Times New Roman" w:cs="Times New Roman"/>
          <w:bCs w:val="0"/>
          <w:i/>
          <w:sz w:val="14"/>
          <w:szCs w:val="14"/>
        </w:rPr>
        <w:t xml:space="preserve">Estuary-wide Option </w:t>
      </w:r>
      <w:r w:rsidRPr="009B720F">
        <w:rPr>
          <w:rFonts w:ascii="Times New Roman" w:hAnsi="Times New Roman" w:cs="Times New Roman"/>
          <w:bCs w:val="0"/>
          <w:iCs w:val="0"/>
          <w:sz w:val="14"/>
          <w:szCs w:val="14"/>
        </w:rPr>
        <w:t xml:space="preserve">comprises a </w:t>
      </w:r>
      <w:r w:rsidRPr="009B720F">
        <w:rPr>
          <w:rFonts w:ascii="Times New Roman" w:hAnsi="Times New Roman" w:cs="Times New Roman"/>
          <w:bCs w:val="0"/>
          <w:i/>
          <w:sz w:val="14"/>
          <w:szCs w:val="14"/>
        </w:rPr>
        <w:t>sequenc</w:t>
      </w:r>
      <w:r w:rsidRPr="009B720F">
        <w:rPr>
          <w:rFonts w:ascii="Times New Roman" w:hAnsi="Times New Roman" w:cs="Times New Roman"/>
          <w:bCs w:val="0"/>
          <w:iCs w:val="0"/>
          <w:sz w:val="14"/>
          <w:szCs w:val="14"/>
        </w:rPr>
        <w:t>e of interventions (or a sequence ‘</w:t>
      </w:r>
      <w:r w:rsidRPr="009B720F">
        <w:rPr>
          <w:rFonts w:ascii="Times New Roman" w:hAnsi="Times New Roman" w:cs="Times New Roman"/>
          <w:bCs w:val="0"/>
          <w:i/>
          <w:sz w:val="14"/>
          <w:szCs w:val="14"/>
        </w:rPr>
        <w:t>portfolios of responses</w:t>
      </w:r>
      <w:r w:rsidRPr="009B720F">
        <w:rPr>
          <w:rFonts w:ascii="Times New Roman" w:hAnsi="Times New Roman" w:cs="Times New Roman"/>
          <w:bCs w:val="0"/>
          <w:iCs w:val="0"/>
          <w:sz w:val="14"/>
          <w:szCs w:val="14"/>
        </w:rPr>
        <w:t>’) over the next 100 years (</w:t>
      </w:r>
      <w:r w:rsidRPr="009B720F">
        <w:rPr>
          <w:rFonts w:ascii="Times New Roman" w:hAnsi="Times New Roman" w:cs="Times New Roman"/>
          <w:bCs w:val="0"/>
          <w:iCs w:val="0"/>
          <w:color w:val="7F7F7F" w:themeColor="text1" w:themeTint="80"/>
          <w:sz w:val="14"/>
          <w:szCs w:val="14"/>
        </w:rPr>
        <w:t>EA 2009A, p.277, 297</w:t>
      </w:r>
      <w:r w:rsidRPr="009B720F">
        <w:rPr>
          <w:rFonts w:ascii="Times New Roman" w:hAnsi="Times New Roman" w:cs="Times New Roman"/>
          <w:bCs w:val="0"/>
          <w:sz w:val="14"/>
          <w:szCs w:val="14"/>
        </w:rPr>
        <w:t xml:space="preserve">), hence, </w:t>
      </w:r>
      <w:r w:rsidRPr="009B720F">
        <w:rPr>
          <w:rFonts w:ascii="Times New Roman" w:hAnsi="Times New Roman" w:cs="Times New Roman"/>
          <w:bCs w:val="0"/>
          <w:i/>
          <w:sz w:val="14"/>
          <w:szCs w:val="14"/>
        </w:rPr>
        <w:t xml:space="preserve">FRM activities or interventions are sequenced through the century </w:t>
      </w:r>
      <w:r w:rsidRPr="009B720F">
        <w:rPr>
          <w:rFonts w:ascii="Times New Roman" w:hAnsi="Times New Roman" w:cs="Times New Roman"/>
          <w:bCs w:val="0"/>
          <w:sz w:val="14"/>
          <w:szCs w:val="14"/>
        </w:rPr>
        <w:t>(</w:t>
      </w:r>
      <w:r w:rsidRPr="009B720F">
        <w:rPr>
          <w:rFonts w:ascii="Times New Roman" w:hAnsi="Times New Roman" w:cs="Times New Roman"/>
          <w:bCs w:val="0"/>
          <w:color w:val="7F7F7F" w:themeColor="text1" w:themeTint="80"/>
          <w:sz w:val="14"/>
          <w:szCs w:val="14"/>
        </w:rPr>
        <w:t>EA 2009A, p.262</w:t>
      </w:r>
      <w:r w:rsidRPr="009B720F">
        <w:rPr>
          <w:rFonts w:ascii="Times New Roman" w:hAnsi="Times New Roman" w:cs="Times New Roman"/>
          <w:bCs w:val="0"/>
          <w:sz w:val="14"/>
          <w:szCs w:val="14"/>
        </w:rPr>
        <w:t>).</w:t>
      </w:r>
      <w:r w:rsidRPr="009B720F">
        <w:rPr>
          <w:rFonts w:ascii="Times New Roman" w:hAnsi="Times New Roman" w:cs="Times New Roman"/>
          <w:bCs w:val="0"/>
          <w:i/>
          <w:sz w:val="14"/>
          <w:szCs w:val="14"/>
        </w:rPr>
        <w:t xml:space="preserve"> </w:t>
      </w:r>
      <w:r w:rsidRPr="009B720F">
        <w:rPr>
          <w:rFonts w:ascii="Times New Roman" w:hAnsi="Times New Roman" w:cs="Times New Roman"/>
          <w:sz w:val="14"/>
          <w:szCs w:val="14"/>
        </w:rPr>
        <w:t>Overall, the Team sought to</w:t>
      </w:r>
      <w:r w:rsidRPr="009B720F">
        <w:rPr>
          <w:rFonts w:ascii="Times New Roman" w:hAnsi="Times New Roman" w:cs="Times New Roman"/>
          <w:i/>
          <w:iCs w:val="0"/>
          <w:sz w:val="14"/>
          <w:szCs w:val="14"/>
        </w:rPr>
        <w:t xml:space="preserve"> </w:t>
      </w:r>
      <w:r w:rsidRPr="009B720F">
        <w:rPr>
          <w:rFonts w:ascii="Times New Roman" w:hAnsi="Times New Roman" w:cs="Times New Roman"/>
          <w:sz w:val="14"/>
          <w:szCs w:val="14"/>
        </w:rPr>
        <w:t xml:space="preserve">develop an </w:t>
      </w:r>
      <w:r w:rsidRPr="009B720F">
        <w:rPr>
          <w:rFonts w:ascii="Times New Roman" w:hAnsi="Times New Roman" w:cs="Times New Roman"/>
          <w:i/>
          <w:iCs w:val="0"/>
          <w:sz w:val="14"/>
          <w:szCs w:val="14"/>
        </w:rPr>
        <w:t>adaptable Plan</w:t>
      </w:r>
      <w:r w:rsidRPr="009B720F">
        <w:rPr>
          <w:rFonts w:ascii="Times New Roman" w:hAnsi="Times New Roman" w:cs="Times New Roman"/>
          <w:i/>
          <w:sz w:val="14"/>
          <w:szCs w:val="14"/>
        </w:rPr>
        <w:t xml:space="preserve"> </w:t>
      </w:r>
      <w:r w:rsidRPr="009B720F">
        <w:rPr>
          <w:rFonts w:ascii="Times New Roman" w:hAnsi="Times New Roman" w:cs="Times New Roman"/>
          <w:sz w:val="14"/>
          <w:szCs w:val="14"/>
        </w:rPr>
        <w:t xml:space="preserve">composed of </w:t>
      </w:r>
      <w:r w:rsidRPr="009B720F">
        <w:rPr>
          <w:rFonts w:ascii="Times New Roman" w:hAnsi="Times New Roman" w:cs="Times New Roman"/>
          <w:i/>
          <w:iCs w:val="0"/>
          <w:sz w:val="14"/>
          <w:szCs w:val="14"/>
        </w:rPr>
        <w:t>Options</w:t>
      </w:r>
      <w:r w:rsidRPr="009B720F">
        <w:rPr>
          <w:rFonts w:ascii="Times New Roman" w:hAnsi="Times New Roman" w:cs="Times New Roman"/>
          <w:sz w:val="14"/>
          <w:szCs w:val="14"/>
        </w:rPr>
        <w:t xml:space="preserve">, each Option made up </w:t>
      </w:r>
      <w:r w:rsidRPr="009B720F">
        <w:rPr>
          <w:rFonts w:ascii="Times New Roman" w:hAnsi="Times New Roman" w:cs="Times New Roman"/>
          <w:i/>
          <w:sz w:val="14"/>
          <w:szCs w:val="14"/>
        </w:rPr>
        <w:t xml:space="preserve">with interventions sequenced through the century to adapt to future climate change </w:t>
      </w:r>
      <w:r w:rsidRPr="009B720F">
        <w:rPr>
          <w:rFonts w:ascii="Times New Roman" w:hAnsi="Times New Roman" w:cs="Times New Roman"/>
          <w:sz w:val="14"/>
          <w:szCs w:val="14"/>
        </w:rPr>
        <w:t>(</w:t>
      </w:r>
      <w:r w:rsidRPr="009B720F">
        <w:rPr>
          <w:rFonts w:ascii="Times New Roman" w:hAnsi="Times New Roman" w:cs="Times New Roman"/>
          <w:color w:val="7F7F7F" w:themeColor="text1" w:themeTint="80"/>
          <w:sz w:val="14"/>
          <w:szCs w:val="14"/>
        </w:rPr>
        <w:t xml:space="preserve">EA 2009A, </w:t>
      </w:r>
      <w:proofErr w:type="spellStart"/>
      <w:r w:rsidRPr="009B720F">
        <w:rPr>
          <w:rFonts w:ascii="Times New Roman" w:hAnsi="Times New Roman" w:cs="Times New Roman"/>
          <w:color w:val="7F7F7F" w:themeColor="text1" w:themeTint="80"/>
          <w:sz w:val="14"/>
          <w:szCs w:val="14"/>
        </w:rPr>
        <w:t>p.xv</w:t>
      </w:r>
      <w:proofErr w:type="spellEnd"/>
      <w:r w:rsidRPr="009B720F">
        <w:rPr>
          <w:rFonts w:ascii="Times New Roman" w:hAnsi="Times New Roman" w:cs="Times New Roman"/>
          <w:color w:val="7F7F7F" w:themeColor="text1" w:themeTint="80"/>
          <w:sz w:val="14"/>
          <w:szCs w:val="14"/>
        </w:rPr>
        <w:t>, 73</w:t>
      </w:r>
      <w:r w:rsidRPr="009B720F">
        <w:rPr>
          <w:rFonts w:ascii="Times New Roman" w:hAnsi="Times New Roman" w:cs="Times New Roman"/>
          <w:sz w:val="14"/>
          <w:szCs w:val="14"/>
        </w:rPr>
        <w:t>).</w:t>
      </w:r>
      <w:r w:rsidRPr="009B720F">
        <w:rPr>
          <w:rFonts w:ascii="Times New Roman" w:hAnsi="Times New Roman" w:cs="Times New Roman"/>
          <w:i/>
          <w:iCs w:val="0"/>
          <w:sz w:val="14"/>
          <w:szCs w:val="14"/>
        </w:rPr>
        <w:t xml:space="preserve"> </w:t>
      </w:r>
      <w:r w:rsidRPr="009B720F">
        <w:rPr>
          <w:rFonts w:ascii="Times New Roman" w:hAnsi="Times New Roman" w:cs="Times New Roman"/>
          <w:sz w:val="14"/>
          <w:szCs w:val="14"/>
        </w:rPr>
        <w:t xml:space="preserve">Thus, consideration was given to </w:t>
      </w:r>
      <w:r w:rsidRPr="009B720F">
        <w:rPr>
          <w:rFonts w:ascii="Times New Roman" w:hAnsi="Times New Roman" w:cs="Times New Roman"/>
          <w:i/>
          <w:iCs w:val="0"/>
          <w:sz w:val="14"/>
          <w:szCs w:val="14"/>
        </w:rPr>
        <w:t xml:space="preserve">how to manage the response to future change when the magnitude and nature of future change is not yet known, and how to turn this into an </w:t>
      </w:r>
      <w:r w:rsidRPr="009B720F">
        <w:rPr>
          <w:rFonts w:ascii="Times New Roman" w:hAnsi="Times New Roman" w:cs="Times New Roman"/>
          <w:b/>
          <w:bCs w:val="0"/>
          <w:i/>
          <w:iCs w:val="0"/>
          <w:sz w:val="14"/>
          <w:szCs w:val="14"/>
        </w:rPr>
        <w:t>adaptable programme of activities sequenced through the century</w:t>
      </w:r>
      <w:r w:rsidRPr="009B720F">
        <w:rPr>
          <w:rFonts w:ascii="Times New Roman" w:hAnsi="Times New Roman" w:cs="Times New Roman"/>
          <w:sz w:val="14"/>
          <w:szCs w:val="14"/>
        </w:rPr>
        <w:t xml:space="preserve"> (</w:t>
      </w:r>
      <w:r w:rsidRPr="009B720F">
        <w:rPr>
          <w:rFonts w:ascii="Times New Roman" w:hAnsi="Times New Roman" w:cs="Times New Roman"/>
          <w:color w:val="7F7F7F" w:themeColor="text1" w:themeTint="80"/>
          <w:sz w:val="14"/>
          <w:szCs w:val="14"/>
        </w:rPr>
        <w:t>EA 2009A, p.82</w:t>
      </w:r>
      <w:r w:rsidRPr="009B720F">
        <w:rPr>
          <w:rFonts w:ascii="Times New Roman" w:hAnsi="Times New Roman" w:cs="Times New Roman"/>
          <w:sz w:val="14"/>
          <w:szCs w:val="14"/>
        </w:rPr>
        <w:t>).</w:t>
      </w:r>
    </w:p>
  </w:footnote>
  <w:footnote w:id="58">
    <w:p w14:paraId="6C7B44BC" w14:textId="77777777" w:rsidR="00AD22FD" w:rsidRPr="009B720F" w:rsidRDefault="00AD22FD" w:rsidP="00AD22FD">
      <w:pPr>
        <w:pStyle w:val="Textodenotaderodap"/>
        <w:rPr>
          <w:color w:val="000000"/>
          <w:sz w:val="14"/>
          <w:szCs w:val="14"/>
        </w:rPr>
      </w:pPr>
      <w:r w:rsidRPr="009B720F">
        <w:rPr>
          <w:rStyle w:val="Refdenotaderodap"/>
          <w:sz w:val="14"/>
          <w:szCs w:val="14"/>
        </w:rPr>
        <w:footnoteRef/>
      </w:r>
      <w:r w:rsidRPr="009B720F">
        <w:rPr>
          <w:sz w:val="14"/>
          <w:szCs w:val="14"/>
        </w:rPr>
        <w:t xml:space="preserve"> Low-regrets measures are measures that </w:t>
      </w:r>
      <w:r w:rsidRPr="009B720F">
        <w:rPr>
          <w:i/>
          <w:sz w:val="14"/>
          <w:szCs w:val="14"/>
        </w:rPr>
        <w:t>work through the whole range of change</w:t>
      </w:r>
      <w:r w:rsidRPr="009B720F">
        <w:rPr>
          <w:sz w:val="14"/>
          <w:szCs w:val="14"/>
        </w:rPr>
        <w:t xml:space="preserve"> (</w:t>
      </w:r>
      <w:r w:rsidRPr="009B720F">
        <w:rPr>
          <w:color w:val="7F7F7F" w:themeColor="text1" w:themeTint="80"/>
          <w:sz w:val="14"/>
          <w:szCs w:val="14"/>
        </w:rPr>
        <w:t>Reeder and Ranger 2011, p.6</w:t>
      </w:r>
      <w:r w:rsidRPr="009B720F">
        <w:rPr>
          <w:sz w:val="14"/>
          <w:szCs w:val="14"/>
        </w:rPr>
        <w:t xml:space="preserve">). In the TE2100, </w:t>
      </w:r>
      <w:r w:rsidRPr="009B720F">
        <w:rPr>
          <w:color w:val="000000"/>
          <w:sz w:val="14"/>
          <w:szCs w:val="14"/>
        </w:rPr>
        <w:t xml:space="preserve">‘low-regret measures’ were those that reduce risk immediately and cost-efficiently under a wide range of SLR scenarios. They are ‘low-regret’ rather than ‘no-regret’ because they may involve some opportunity cost (in </w:t>
      </w:r>
      <w:r w:rsidRPr="009B720F">
        <w:rPr>
          <w:color w:val="7F7F7F" w:themeColor="text1" w:themeTint="80"/>
          <w:sz w:val="14"/>
          <w:szCs w:val="14"/>
        </w:rPr>
        <w:t>Ranger et al. 2013</w:t>
      </w:r>
      <w:r w:rsidRPr="009B720F">
        <w:rPr>
          <w:color w:val="000000"/>
          <w:sz w:val="14"/>
          <w:szCs w:val="14"/>
        </w:rPr>
        <w:t xml:space="preserve">). </w:t>
      </w:r>
    </w:p>
  </w:footnote>
  <w:footnote w:id="59">
    <w:p w14:paraId="5008C261" w14:textId="77777777" w:rsidR="00AD22FD" w:rsidRPr="009B720F" w:rsidRDefault="00AD22FD" w:rsidP="00AD22FD">
      <w:pPr>
        <w:pStyle w:val="Textodenotaderodap"/>
        <w:rPr>
          <w:sz w:val="14"/>
          <w:szCs w:val="14"/>
        </w:rPr>
      </w:pPr>
      <w:r w:rsidRPr="009B720F">
        <w:rPr>
          <w:rStyle w:val="Refdenotaderodap"/>
          <w:sz w:val="14"/>
          <w:szCs w:val="14"/>
        </w:rPr>
        <w:footnoteRef/>
      </w:r>
      <w:r w:rsidRPr="009B720F">
        <w:rPr>
          <w:sz w:val="14"/>
          <w:szCs w:val="14"/>
        </w:rPr>
        <w:t xml:space="preserve"> </w:t>
      </w:r>
      <w:proofErr w:type="spellStart"/>
      <w:r>
        <w:rPr>
          <w:sz w:val="14"/>
          <w:szCs w:val="14"/>
        </w:rPr>
        <w:t>E,g</w:t>
      </w:r>
      <w:proofErr w:type="spellEnd"/>
      <w:r>
        <w:rPr>
          <w:sz w:val="14"/>
          <w:szCs w:val="14"/>
        </w:rPr>
        <w:t>.</w:t>
      </w:r>
      <w:r w:rsidRPr="009B720F">
        <w:rPr>
          <w:sz w:val="14"/>
          <w:szCs w:val="14"/>
        </w:rPr>
        <w:t xml:space="preserve"> the measure ‘</w:t>
      </w:r>
      <w:r w:rsidRPr="009B720F">
        <w:rPr>
          <w:i/>
          <w:iCs/>
          <w:sz w:val="14"/>
          <w:szCs w:val="14"/>
        </w:rPr>
        <w:t>raising other defences in the TE</w:t>
      </w:r>
      <w:r w:rsidRPr="009B720F">
        <w:rPr>
          <w:sz w:val="14"/>
          <w:szCs w:val="14"/>
        </w:rPr>
        <w:t xml:space="preserve">’ (present in several </w:t>
      </w:r>
      <w:r w:rsidRPr="009B720F">
        <w:rPr>
          <w:i/>
          <w:iCs/>
          <w:sz w:val="14"/>
          <w:szCs w:val="14"/>
        </w:rPr>
        <w:t>HLOs</w:t>
      </w:r>
      <w:r w:rsidRPr="009B720F">
        <w:rPr>
          <w:sz w:val="14"/>
          <w:szCs w:val="14"/>
        </w:rPr>
        <w:t>) is a low-regret measure that helps to extend the lifetime of the existing defence system and ‘buy time’ before it is necessary to make a more irreversible decision on the long-term measure (rather than making an more ‘inflexible’ decision now) (</w:t>
      </w:r>
      <w:r w:rsidRPr="009B720F">
        <w:rPr>
          <w:color w:val="7F7F7F" w:themeColor="text1" w:themeTint="80"/>
          <w:sz w:val="14"/>
          <w:szCs w:val="14"/>
        </w:rPr>
        <w:t>Reeder and Ranger 2011, p.9, 11; Ranger et al. 2013, p.255</w:t>
      </w:r>
      <w:r w:rsidRPr="009B720F">
        <w:rPr>
          <w:sz w:val="14"/>
          <w:szCs w:val="14"/>
        </w:rPr>
        <w:t>). The measure ‘upgrade existing flood protection infrastructure’</w:t>
      </w:r>
      <w:r w:rsidRPr="009B720F">
        <w:rPr>
          <w:i/>
          <w:iCs/>
          <w:sz w:val="14"/>
          <w:szCs w:val="14"/>
        </w:rPr>
        <w:t xml:space="preserve"> </w:t>
      </w:r>
      <w:r w:rsidRPr="009B720F">
        <w:rPr>
          <w:sz w:val="14"/>
          <w:szCs w:val="14"/>
        </w:rPr>
        <w:t>was detailed in the 40-year investment plan (</w:t>
      </w:r>
      <w:r w:rsidRPr="009B720F">
        <w:rPr>
          <w:color w:val="7F7F7F" w:themeColor="text1" w:themeTint="80"/>
          <w:sz w:val="14"/>
          <w:szCs w:val="14"/>
        </w:rPr>
        <w:t>Reeder and Ranger 2011, p.9</w:t>
      </w:r>
      <w:r w:rsidRPr="009B720F">
        <w:rPr>
          <w:sz w:val="14"/>
          <w:szCs w:val="14"/>
        </w:rPr>
        <w:t>).</w:t>
      </w:r>
    </w:p>
  </w:footnote>
  <w:footnote w:id="60">
    <w:p w14:paraId="7B15D43C" w14:textId="77777777" w:rsidR="00AD22FD" w:rsidRPr="009B720F" w:rsidRDefault="00AD22FD" w:rsidP="00AD22FD">
      <w:pPr>
        <w:pStyle w:val="Textodenotaderodap"/>
        <w:rPr>
          <w:sz w:val="14"/>
          <w:szCs w:val="14"/>
        </w:rPr>
      </w:pPr>
      <w:r w:rsidRPr="009B720F">
        <w:rPr>
          <w:rStyle w:val="Refdenotaderodap"/>
          <w:sz w:val="14"/>
          <w:szCs w:val="14"/>
        </w:rPr>
        <w:footnoteRef/>
      </w:r>
      <w:r w:rsidRPr="009B720F">
        <w:rPr>
          <w:sz w:val="14"/>
          <w:szCs w:val="14"/>
        </w:rPr>
        <w:t xml:space="preserve"> </w:t>
      </w:r>
      <w:r w:rsidRPr="009B720F">
        <w:rPr>
          <w:i/>
          <w:iCs/>
          <w:sz w:val="14"/>
          <w:szCs w:val="14"/>
        </w:rPr>
        <w:t>Flexibility</w:t>
      </w:r>
      <w:r w:rsidRPr="009B720F">
        <w:rPr>
          <w:sz w:val="14"/>
          <w:szCs w:val="14"/>
        </w:rPr>
        <w:t xml:space="preserve"> was possible, in part, because the TB was designed to provide a high standard of protection up to 2030 (adaptation was not urgent, and delaying a major investment is justifiable as its benefits are highly uncertain now) and </w:t>
      </w:r>
      <w:r w:rsidRPr="009B720F">
        <w:rPr>
          <w:i/>
          <w:iCs/>
          <w:sz w:val="14"/>
          <w:szCs w:val="14"/>
        </w:rPr>
        <w:t>low-regret</w:t>
      </w:r>
      <w:r w:rsidRPr="009B720F">
        <w:rPr>
          <w:sz w:val="14"/>
          <w:szCs w:val="14"/>
        </w:rPr>
        <w:t xml:space="preserve"> measures were available (</w:t>
      </w:r>
      <w:r w:rsidRPr="009B720F">
        <w:rPr>
          <w:color w:val="7F7F7F" w:themeColor="text1" w:themeTint="80"/>
          <w:sz w:val="14"/>
          <w:szCs w:val="14"/>
        </w:rPr>
        <w:t>Ranger et al. 2013, p.255</w:t>
      </w:r>
      <w:r w:rsidRPr="009B720F">
        <w:rPr>
          <w:sz w:val="14"/>
          <w:szCs w:val="14"/>
        </w:rPr>
        <w:t xml:space="preserve">). </w:t>
      </w:r>
    </w:p>
    <w:p w14:paraId="0F7BE934" w14:textId="77777777" w:rsidR="00AD22FD" w:rsidRPr="009B720F" w:rsidRDefault="00AD22FD" w:rsidP="00AD22FD">
      <w:pPr>
        <w:pStyle w:val="Textodenotaderodap"/>
      </w:pPr>
      <w:r w:rsidRPr="009B720F">
        <w:rPr>
          <w:sz w:val="14"/>
          <w:szCs w:val="14"/>
        </w:rPr>
        <w:t xml:space="preserve">The </w:t>
      </w:r>
      <w:r w:rsidRPr="009B720F">
        <w:rPr>
          <w:i/>
          <w:iCs/>
          <w:sz w:val="14"/>
          <w:szCs w:val="14"/>
        </w:rPr>
        <w:t xml:space="preserve">Options </w:t>
      </w:r>
      <w:r w:rsidRPr="009B720F">
        <w:rPr>
          <w:sz w:val="14"/>
          <w:szCs w:val="14"/>
        </w:rPr>
        <w:t>(pathways) are apparently flexible into the future, in part, because new large-scale structural measures could be postponed. Other types of measures (e.g. soft protection, flood-proofing buildings), which can be applied in small steps, contribute in part to the Plan (it contains mostly measures to improve the existing defence system) (</w:t>
      </w:r>
      <w:proofErr w:type="spellStart"/>
      <w:r w:rsidRPr="009B720F">
        <w:rPr>
          <w:color w:val="7F7F7F" w:themeColor="text1" w:themeTint="80"/>
          <w:sz w:val="14"/>
          <w:szCs w:val="14"/>
        </w:rPr>
        <w:t>Jeuken</w:t>
      </w:r>
      <w:proofErr w:type="spellEnd"/>
      <w:r w:rsidRPr="009B720F">
        <w:rPr>
          <w:color w:val="7F7F7F" w:themeColor="text1" w:themeTint="80"/>
          <w:sz w:val="14"/>
          <w:szCs w:val="14"/>
        </w:rPr>
        <w:t xml:space="preserve"> et al. 2014, p.18</w:t>
      </w:r>
      <w:r w:rsidRPr="009B720F">
        <w:rPr>
          <w:sz w:val="14"/>
          <w:szCs w:val="14"/>
        </w:rPr>
        <w:t>).</w:t>
      </w:r>
    </w:p>
  </w:footnote>
  <w:footnote w:id="61">
    <w:p w14:paraId="1FAE167B" w14:textId="77777777" w:rsidR="00AD22FD" w:rsidRPr="009B720F" w:rsidRDefault="00AD22FD" w:rsidP="00AD22FD">
      <w:pPr>
        <w:pStyle w:val="TEXTBODY"/>
        <w:spacing w:after="0" w:line="240" w:lineRule="auto"/>
        <w:jc w:val="left"/>
        <w:rPr>
          <w:sz w:val="14"/>
          <w:szCs w:val="14"/>
        </w:rPr>
      </w:pPr>
      <w:r w:rsidRPr="009B720F">
        <w:rPr>
          <w:rStyle w:val="Refdenotaderodap"/>
          <w:sz w:val="14"/>
          <w:szCs w:val="14"/>
        </w:rPr>
        <w:footnoteRef/>
      </w:r>
      <w:r w:rsidRPr="009B720F">
        <w:rPr>
          <w:sz w:val="14"/>
          <w:szCs w:val="14"/>
        </w:rPr>
        <w:t xml:space="preserve"> The main way of updating the Plan will be to change the dates of a measure, and not the measure, but if a significant change occurs in the date when a threshold is expected to be reached, the choice between measures or between pathways (</w:t>
      </w:r>
      <w:r w:rsidRPr="009B720F">
        <w:rPr>
          <w:i/>
          <w:iCs/>
          <w:sz w:val="14"/>
          <w:szCs w:val="14"/>
        </w:rPr>
        <w:t>Options</w:t>
      </w:r>
      <w:r w:rsidRPr="009B720F">
        <w:rPr>
          <w:sz w:val="14"/>
          <w:szCs w:val="14"/>
        </w:rPr>
        <w:t xml:space="preserve">) may be reviewed, especially if an alternative pathway is more effective under the new changed circumstances. Thus, both the </w:t>
      </w:r>
      <w:r w:rsidRPr="009B720F">
        <w:rPr>
          <w:i/>
          <w:iCs/>
          <w:sz w:val="14"/>
          <w:szCs w:val="14"/>
        </w:rPr>
        <w:t>preferred options</w:t>
      </w:r>
      <w:r w:rsidRPr="009B720F">
        <w:rPr>
          <w:sz w:val="14"/>
          <w:szCs w:val="14"/>
        </w:rPr>
        <w:t xml:space="preserve"> and the alternative options must be re-appraised (using updated estimates of future change), and a different </w:t>
      </w:r>
      <w:r w:rsidRPr="009B720F">
        <w:rPr>
          <w:i/>
          <w:iCs/>
          <w:sz w:val="14"/>
          <w:szCs w:val="14"/>
        </w:rPr>
        <w:t xml:space="preserve">Option </w:t>
      </w:r>
      <w:r w:rsidRPr="009B720F">
        <w:rPr>
          <w:sz w:val="14"/>
          <w:szCs w:val="14"/>
        </w:rPr>
        <w:t xml:space="preserve">may be chosen – this is why alternative </w:t>
      </w:r>
      <w:r w:rsidRPr="009B720F">
        <w:rPr>
          <w:i/>
          <w:iCs/>
          <w:sz w:val="14"/>
          <w:szCs w:val="14"/>
        </w:rPr>
        <w:t>Options</w:t>
      </w:r>
      <w:r w:rsidRPr="009B720F">
        <w:rPr>
          <w:sz w:val="14"/>
          <w:szCs w:val="14"/>
        </w:rPr>
        <w:t xml:space="preserve"> have been included in the Plan (</w:t>
      </w:r>
      <w:r w:rsidRPr="009B720F">
        <w:rPr>
          <w:color w:val="7F7F7F" w:themeColor="text1" w:themeTint="80"/>
          <w:sz w:val="14"/>
          <w:szCs w:val="14"/>
        </w:rPr>
        <w:t>Ramsbottom and Sheppard 2017, p.13</w:t>
      </w:r>
      <w:r w:rsidRPr="009B720F">
        <w:rPr>
          <w:sz w:val="14"/>
          <w:szCs w:val="14"/>
        </w:rPr>
        <w:t xml:space="preserve">). </w:t>
      </w:r>
    </w:p>
  </w:footnote>
  <w:footnote w:id="62">
    <w:p w14:paraId="74A13510" w14:textId="77777777" w:rsidR="00AD22FD" w:rsidRPr="000B5A0F" w:rsidRDefault="00AD22FD" w:rsidP="00AD22FD">
      <w:pPr>
        <w:pStyle w:val="TEXTBODY"/>
        <w:spacing w:after="0" w:line="240" w:lineRule="auto"/>
        <w:rPr>
          <w:sz w:val="16"/>
          <w:szCs w:val="16"/>
        </w:rPr>
      </w:pPr>
      <w:r w:rsidRPr="000B5A0F">
        <w:rPr>
          <w:rStyle w:val="Refdenotaderodap"/>
          <w:sz w:val="14"/>
          <w:szCs w:val="14"/>
        </w:rPr>
        <w:footnoteRef/>
      </w:r>
      <w:r w:rsidRPr="000B5A0F">
        <w:rPr>
          <w:sz w:val="14"/>
          <w:szCs w:val="14"/>
        </w:rPr>
        <w:t xml:space="preserve"> The mid-term monitoring review process (every 5 years) assesses the changes (physical and socioeconomic) occurring in the Estuary over time, based on the 10 indicators. This monitoring review process is essential to evaluate if the FRM policies and recommendations of the Plan need to be adjusted (</w:t>
      </w:r>
      <w:r w:rsidRPr="000B5A0F">
        <w:rPr>
          <w:color w:val="7F7F7F" w:themeColor="text1" w:themeTint="80"/>
          <w:sz w:val="14"/>
          <w:szCs w:val="14"/>
        </w:rPr>
        <w:t>EA 2016, p.5</w:t>
      </w:r>
      <w:r w:rsidRPr="000B5A0F">
        <w:rPr>
          <w:sz w:val="14"/>
          <w:szCs w:val="14"/>
        </w:rPr>
        <w:t>). Although the monitoring review occurs every 5 years, if the monitoring (in the interim period) reveals that a given indicator is changing faster (or slower) than what was expected, the ‘implementation-point’ and ‘decision-point’ of a measure may be anticipated (or postponed) (</w:t>
      </w:r>
      <w:r w:rsidRPr="000B5A0F">
        <w:rPr>
          <w:color w:val="7F7F7F" w:themeColor="text1" w:themeTint="80"/>
          <w:sz w:val="14"/>
          <w:szCs w:val="14"/>
        </w:rPr>
        <w:t>HM Treasury 2009, p.26-27; Ranger et al. 2013, p.254; Reeder and Ranger 2011, p.10</w:t>
      </w:r>
      <w:r w:rsidRPr="000B5A0F">
        <w:rPr>
          <w:sz w:val="14"/>
          <w:szCs w:val="14"/>
        </w:rPr>
        <w:t xml:space="preserve">). In practice, the decision-points and implementation points of measures (and the measures themselves, and the pathways) may be modified </w:t>
      </w:r>
      <w:proofErr w:type="gramStart"/>
      <w:r w:rsidRPr="000B5A0F">
        <w:rPr>
          <w:sz w:val="14"/>
          <w:szCs w:val="14"/>
        </w:rPr>
        <w:t>in light of</w:t>
      </w:r>
      <w:proofErr w:type="gramEnd"/>
      <w:r w:rsidRPr="000B5A0F">
        <w:rPr>
          <w:sz w:val="14"/>
          <w:szCs w:val="14"/>
        </w:rPr>
        <w:t xml:space="preserve"> new information that arises on indicators (</w:t>
      </w:r>
      <w:r w:rsidRPr="000B5A0F">
        <w:rPr>
          <w:color w:val="7F7F7F" w:themeColor="text1" w:themeTint="80"/>
          <w:sz w:val="14"/>
          <w:szCs w:val="14"/>
        </w:rPr>
        <w:t>HM Treasury 2009, p.27</w:t>
      </w:r>
      <w:r w:rsidRPr="000B5A0F">
        <w:rPr>
          <w:sz w:val="14"/>
          <w:szCs w:val="14"/>
        </w:rPr>
        <w:t xml:space="preserve">).  </w:t>
      </w:r>
    </w:p>
  </w:footnote>
  <w:footnote w:id="63">
    <w:p w14:paraId="677D927B" w14:textId="77777777" w:rsidR="00AD22FD" w:rsidRPr="00BC29F3" w:rsidRDefault="00AD22FD" w:rsidP="00AD22FD">
      <w:pPr>
        <w:pStyle w:val="TEXTBODY"/>
        <w:spacing w:after="0" w:line="240" w:lineRule="auto"/>
        <w:rPr>
          <w:sz w:val="14"/>
          <w:szCs w:val="14"/>
        </w:rPr>
      </w:pPr>
      <w:r w:rsidRPr="00BC29F3">
        <w:rPr>
          <w:rStyle w:val="Refdenotaderodap"/>
          <w:sz w:val="14"/>
          <w:szCs w:val="14"/>
        </w:rPr>
        <w:footnoteRef/>
      </w:r>
      <w:r w:rsidRPr="00BC29F3">
        <w:rPr>
          <w:sz w:val="14"/>
          <w:szCs w:val="14"/>
        </w:rPr>
        <w:t xml:space="preserve"> </w:t>
      </w:r>
      <w:r w:rsidRPr="00974448">
        <w:rPr>
          <w:sz w:val="14"/>
          <w:szCs w:val="14"/>
        </w:rPr>
        <w:t>The success and effectiveness of the TE2100 Plan strongly depend on this process of: continuous monitoring of local and global changes and conditions, and regular revaluation (reassessment) and review of the Plan, and adjustment as time unfolds (adapting the Plan and the physical system to changes early in time) (</w:t>
      </w:r>
      <w:r>
        <w:rPr>
          <w:color w:val="7F7F7F" w:themeColor="text1" w:themeTint="80"/>
          <w:sz w:val="14"/>
          <w:szCs w:val="14"/>
        </w:rPr>
        <w:t>EA</w:t>
      </w:r>
      <w:r w:rsidRPr="00974448">
        <w:rPr>
          <w:color w:val="7F7F7F" w:themeColor="text1" w:themeTint="80"/>
          <w:sz w:val="14"/>
          <w:szCs w:val="14"/>
        </w:rPr>
        <w:t xml:space="preserve"> 2009</w:t>
      </w:r>
      <w:r>
        <w:rPr>
          <w:color w:val="7F7F7F" w:themeColor="text1" w:themeTint="80"/>
          <w:sz w:val="14"/>
          <w:szCs w:val="14"/>
        </w:rPr>
        <w:t>b</w:t>
      </w:r>
      <w:r w:rsidRPr="00974448">
        <w:rPr>
          <w:color w:val="7F7F7F" w:themeColor="text1" w:themeTint="80"/>
          <w:sz w:val="14"/>
          <w:szCs w:val="14"/>
        </w:rPr>
        <w:t xml:space="preserve">, p.10; Ranger et al. 2013, p.254; Reeder and Ranger 2011; </w:t>
      </w:r>
      <w:r w:rsidRPr="00974448">
        <w:rPr>
          <w:rFonts w:eastAsia="Frutiger-Roman"/>
          <w:color w:val="7F7F7F" w:themeColor="text1" w:themeTint="80"/>
          <w:sz w:val="14"/>
          <w:szCs w:val="14"/>
        </w:rPr>
        <w:t>Lowe et al. 2009, p.85</w:t>
      </w:r>
      <w:r w:rsidRPr="00974448">
        <w:rPr>
          <w:color w:val="7F7F7F" w:themeColor="text1" w:themeTint="80"/>
          <w:sz w:val="14"/>
          <w:szCs w:val="14"/>
        </w:rPr>
        <w:t xml:space="preserve">, 90; </w:t>
      </w:r>
      <w:r w:rsidRPr="00974448">
        <w:rPr>
          <w:rFonts w:eastAsia="Calibri"/>
          <w:color w:val="7F7F7F" w:themeColor="text1" w:themeTint="80"/>
          <w:sz w:val="14"/>
          <w:szCs w:val="14"/>
        </w:rPr>
        <w:t>Met Office 2012</w:t>
      </w:r>
      <w:r w:rsidRPr="00974448">
        <w:rPr>
          <w:rFonts w:eastAsia="Calibri"/>
          <w:sz w:val="14"/>
          <w:szCs w:val="14"/>
        </w:rPr>
        <w:t>).</w:t>
      </w:r>
      <w:r w:rsidRPr="00BC29F3">
        <w:rPr>
          <w:rFonts w:eastAsia="Calibri"/>
          <w:sz w:val="14"/>
          <w:szCs w:val="14"/>
        </w:rPr>
        <w:t xml:space="preserve"> </w:t>
      </w:r>
    </w:p>
  </w:footnote>
  <w:footnote w:id="64">
    <w:p w14:paraId="576979A2" w14:textId="77777777" w:rsidR="00AD22FD" w:rsidRPr="003254D8" w:rsidRDefault="00AD22FD" w:rsidP="00AD22FD">
      <w:pPr>
        <w:pStyle w:val="tablecontenttext"/>
        <w:spacing w:line="240" w:lineRule="auto"/>
        <w:rPr>
          <w:sz w:val="14"/>
          <w:szCs w:val="18"/>
        </w:rPr>
      </w:pPr>
      <w:r w:rsidRPr="00BC29F3">
        <w:rPr>
          <w:rStyle w:val="Refdenotaderodap"/>
          <w:rFonts w:ascii="Times New Roman" w:hAnsi="Times New Roman" w:cs="Times New Roman"/>
          <w:sz w:val="14"/>
          <w:szCs w:val="14"/>
        </w:rPr>
        <w:footnoteRef/>
      </w:r>
      <w:r w:rsidRPr="00BC29F3">
        <w:rPr>
          <w:rFonts w:ascii="Times New Roman" w:hAnsi="Times New Roman" w:cs="Times New Roman"/>
          <w:sz w:val="14"/>
          <w:szCs w:val="14"/>
        </w:rPr>
        <w:t xml:space="preserve"> </w:t>
      </w:r>
      <w:r w:rsidRPr="00974448">
        <w:rPr>
          <w:rFonts w:ascii="Times New Roman" w:hAnsi="Times New Roman" w:cs="Times New Roman"/>
          <w:sz w:val="14"/>
          <w:szCs w:val="14"/>
        </w:rPr>
        <w:t>There are various ways to respond to changes, as these are monitored, or each time the TE2100 Plan is reviewed or updated (</w:t>
      </w:r>
      <w:r w:rsidRPr="00974448">
        <w:rPr>
          <w:rFonts w:ascii="Times New Roman" w:hAnsi="Times New Roman" w:cs="Times New Roman"/>
          <w:color w:val="7F7F7F" w:themeColor="text1" w:themeTint="80"/>
          <w:sz w:val="14"/>
          <w:szCs w:val="14"/>
        </w:rPr>
        <w:t>EA 2012, p.39</w:t>
      </w:r>
      <w:r w:rsidRPr="00974448">
        <w:rPr>
          <w:rFonts w:ascii="Times New Roman" w:hAnsi="Times New Roman" w:cs="Times New Roman"/>
          <w:sz w:val="14"/>
          <w:szCs w:val="14"/>
        </w:rPr>
        <w:t xml:space="preserve">), e.g. by adjusting the date of </w:t>
      </w:r>
      <w:r w:rsidRPr="00974448">
        <w:rPr>
          <w:rFonts w:ascii="Times New Roman" w:hAnsi="Times New Roman" w:cs="Times New Roman"/>
          <w:i/>
          <w:iCs w:val="0"/>
          <w:sz w:val="14"/>
          <w:szCs w:val="14"/>
        </w:rPr>
        <w:t>implementation-points</w:t>
      </w:r>
      <w:r w:rsidRPr="00974448">
        <w:rPr>
          <w:rFonts w:ascii="Times New Roman" w:hAnsi="Times New Roman" w:cs="Times New Roman"/>
          <w:sz w:val="14"/>
          <w:szCs w:val="14"/>
        </w:rPr>
        <w:t xml:space="preserve"> and </w:t>
      </w:r>
      <w:r w:rsidRPr="00974448">
        <w:rPr>
          <w:rFonts w:ascii="Times New Roman" w:hAnsi="Times New Roman" w:cs="Times New Roman"/>
          <w:i/>
          <w:iCs w:val="0"/>
          <w:sz w:val="14"/>
          <w:szCs w:val="14"/>
        </w:rPr>
        <w:t>decision-points</w:t>
      </w:r>
      <w:r w:rsidRPr="00974448">
        <w:rPr>
          <w:rFonts w:ascii="Times New Roman" w:hAnsi="Times New Roman" w:cs="Times New Roman"/>
          <w:sz w:val="14"/>
          <w:szCs w:val="14"/>
        </w:rPr>
        <w:t xml:space="preserve"> of measures, or by shifting of measure (or pathway), or altering (changing) the measures themselves.</w:t>
      </w:r>
    </w:p>
  </w:footnote>
  <w:footnote w:id="65">
    <w:p w14:paraId="046C2CD9" w14:textId="77777777" w:rsidR="00AD22FD" w:rsidRPr="00F67222" w:rsidRDefault="00AD22FD" w:rsidP="00AD22FD">
      <w:pPr>
        <w:pStyle w:val="Textodenotaderodap"/>
      </w:pPr>
      <w:r>
        <w:rPr>
          <w:rStyle w:val="Refdenotaderodap"/>
        </w:rPr>
        <w:footnoteRef/>
      </w:r>
      <w:r>
        <w:t xml:space="preserve"> These</w:t>
      </w:r>
      <w:r w:rsidRPr="00A970A7">
        <w:t xml:space="preserve"> elements are interrelated and </w:t>
      </w:r>
      <w:r>
        <w:t>are also deemed</w:t>
      </w:r>
      <w:r w:rsidRPr="00A970A7">
        <w:t xml:space="preserve"> the main innovations of the </w:t>
      </w:r>
      <w:proofErr w:type="gramStart"/>
      <w:r w:rsidRPr="00A970A7">
        <w:t>TE2100, and</w:t>
      </w:r>
      <w:proofErr w:type="gramEnd"/>
      <w:r w:rsidRPr="00A970A7">
        <w:t xml:space="preserve"> arose from a long process of public engagement and learning (</w:t>
      </w:r>
      <w:r w:rsidRPr="00A970A7">
        <w:rPr>
          <w:color w:val="7F7F7F" w:themeColor="text1" w:themeTint="80"/>
        </w:rPr>
        <w:t>Ranger et al. 2013</w:t>
      </w:r>
      <w:r w:rsidRPr="00A970A7">
        <w:t>).</w:t>
      </w:r>
    </w:p>
  </w:footnote>
  <w:footnote w:id="66">
    <w:p w14:paraId="45013103" w14:textId="77777777" w:rsidR="00AD22FD" w:rsidRPr="00974448" w:rsidRDefault="00AD22FD" w:rsidP="00AD22FD">
      <w:pPr>
        <w:pStyle w:val="Textodenotaderodap"/>
      </w:pPr>
      <w:r w:rsidRPr="00974448">
        <w:rPr>
          <w:rStyle w:val="Refdenotaderodap"/>
          <w:sz w:val="14"/>
          <w:szCs w:val="14"/>
        </w:rPr>
        <w:footnoteRef/>
      </w:r>
      <w:r w:rsidRPr="00974448">
        <w:rPr>
          <w:sz w:val="14"/>
          <w:szCs w:val="14"/>
        </w:rPr>
        <w:t xml:space="preserve"> The TE2100’s </w:t>
      </w:r>
      <w:r w:rsidRPr="00974448">
        <w:rPr>
          <w:i/>
          <w:sz w:val="14"/>
          <w:szCs w:val="14"/>
        </w:rPr>
        <w:t>Dynamic Adaptive Planning approach</w:t>
      </w:r>
      <w:r w:rsidRPr="00974448">
        <w:rPr>
          <w:sz w:val="14"/>
          <w:szCs w:val="14"/>
        </w:rPr>
        <w:t xml:space="preserve"> contained the APs method as a component and as a novel method for drawing up a </w:t>
      </w:r>
      <w:r w:rsidRPr="00974448">
        <w:rPr>
          <w:i/>
          <w:sz w:val="14"/>
          <w:szCs w:val="14"/>
        </w:rPr>
        <w:t>dynamic adaptive plan</w:t>
      </w:r>
      <w:r w:rsidRPr="00974448">
        <w:rPr>
          <w:sz w:val="14"/>
          <w:szCs w:val="14"/>
        </w:rPr>
        <w:t xml:space="preserve"> both </w:t>
      </w:r>
      <w:r w:rsidRPr="00974448">
        <w:rPr>
          <w:i/>
          <w:sz w:val="14"/>
          <w:szCs w:val="14"/>
        </w:rPr>
        <w:t xml:space="preserve">robust </w:t>
      </w:r>
      <w:r w:rsidRPr="00974448">
        <w:rPr>
          <w:sz w:val="14"/>
          <w:szCs w:val="14"/>
        </w:rPr>
        <w:t xml:space="preserve">and </w:t>
      </w:r>
      <w:r w:rsidRPr="00974448">
        <w:rPr>
          <w:i/>
          <w:sz w:val="14"/>
          <w:szCs w:val="14"/>
        </w:rPr>
        <w:t xml:space="preserve">flexible </w:t>
      </w:r>
      <w:r w:rsidRPr="00974448">
        <w:rPr>
          <w:sz w:val="14"/>
          <w:szCs w:val="14"/>
        </w:rPr>
        <w:t>(</w:t>
      </w:r>
      <w:r w:rsidRPr="00974448">
        <w:rPr>
          <w:color w:val="7F7F7F" w:themeColor="text1" w:themeTint="80"/>
          <w:sz w:val="14"/>
          <w:szCs w:val="14"/>
        </w:rPr>
        <w:t xml:space="preserve">Ranger et al. 2013, p.249; </w:t>
      </w:r>
      <w:r>
        <w:rPr>
          <w:color w:val="7F7F7F" w:themeColor="text1" w:themeTint="80"/>
          <w:sz w:val="14"/>
          <w:szCs w:val="14"/>
        </w:rPr>
        <w:t>EA</w:t>
      </w:r>
      <w:r w:rsidRPr="00974448">
        <w:rPr>
          <w:color w:val="7F7F7F" w:themeColor="text1" w:themeTint="80"/>
          <w:sz w:val="14"/>
          <w:szCs w:val="14"/>
        </w:rPr>
        <w:t xml:space="preserve"> 2009</w:t>
      </w:r>
      <w:r>
        <w:rPr>
          <w:color w:val="7F7F7F" w:themeColor="text1" w:themeTint="80"/>
          <w:sz w:val="14"/>
          <w:szCs w:val="14"/>
        </w:rPr>
        <w:t>b</w:t>
      </w:r>
      <w:r w:rsidRPr="00974448">
        <w:rPr>
          <w:color w:val="7F7F7F" w:themeColor="text1" w:themeTint="80"/>
          <w:sz w:val="14"/>
          <w:szCs w:val="14"/>
        </w:rPr>
        <w:t>, p.200</w:t>
      </w:r>
      <w:r w:rsidRPr="00974448">
        <w:rPr>
          <w:sz w:val="14"/>
          <w:szCs w:val="14"/>
        </w:rPr>
        <w:t>).</w:t>
      </w:r>
    </w:p>
  </w:footnote>
  <w:footnote w:id="67">
    <w:p w14:paraId="59C2120F" w14:textId="77777777" w:rsidR="00AD22FD" w:rsidRPr="00974448" w:rsidRDefault="00AD22FD" w:rsidP="00AD22FD">
      <w:pPr>
        <w:pStyle w:val="Textodenotaderodap"/>
        <w:rPr>
          <w:sz w:val="14"/>
          <w:szCs w:val="14"/>
        </w:rPr>
      </w:pPr>
      <w:r w:rsidRPr="00974448">
        <w:rPr>
          <w:rStyle w:val="Refdenotaderodap"/>
          <w:sz w:val="14"/>
          <w:szCs w:val="14"/>
        </w:rPr>
        <w:footnoteRef/>
      </w:r>
      <w:r w:rsidRPr="00974448">
        <w:rPr>
          <w:sz w:val="14"/>
          <w:szCs w:val="14"/>
        </w:rPr>
        <w:t xml:space="preserve"> Each </w:t>
      </w:r>
      <w:r w:rsidRPr="00974448">
        <w:rPr>
          <w:i/>
          <w:iCs/>
          <w:sz w:val="14"/>
          <w:szCs w:val="14"/>
        </w:rPr>
        <w:t>Option</w:t>
      </w:r>
      <w:r w:rsidRPr="00974448">
        <w:rPr>
          <w:sz w:val="14"/>
          <w:szCs w:val="14"/>
        </w:rPr>
        <w:t xml:space="preserve"> is</w:t>
      </w:r>
      <w:r w:rsidRPr="00974448">
        <w:rPr>
          <w:i/>
          <w:iCs/>
          <w:sz w:val="14"/>
          <w:szCs w:val="14"/>
        </w:rPr>
        <w:t xml:space="preserve"> </w:t>
      </w:r>
      <w:proofErr w:type="gramStart"/>
      <w:r w:rsidRPr="00974448">
        <w:rPr>
          <w:i/>
          <w:iCs/>
          <w:sz w:val="14"/>
          <w:szCs w:val="14"/>
        </w:rPr>
        <w:t>a number of</w:t>
      </w:r>
      <w:proofErr w:type="gramEnd"/>
      <w:r w:rsidRPr="00974448">
        <w:rPr>
          <w:i/>
          <w:iCs/>
          <w:sz w:val="14"/>
          <w:szCs w:val="14"/>
        </w:rPr>
        <w:t xml:space="preserve"> portfolios which, when implemented in sequence, provide a complete FRM solution for the next 100 years </w:t>
      </w:r>
      <w:r w:rsidRPr="00974448">
        <w:rPr>
          <w:bCs/>
          <w:iCs/>
          <w:sz w:val="14"/>
          <w:szCs w:val="14"/>
        </w:rPr>
        <w:t>(for the duration of the Plan)</w:t>
      </w:r>
      <w:r w:rsidRPr="00974448">
        <w:rPr>
          <w:i/>
          <w:iCs/>
          <w:sz w:val="14"/>
          <w:szCs w:val="14"/>
        </w:rPr>
        <w:t xml:space="preserve"> </w:t>
      </w:r>
      <w:r w:rsidRPr="00974448">
        <w:rPr>
          <w:sz w:val="14"/>
          <w:szCs w:val="14"/>
        </w:rPr>
        <w:t>(</w:t>
      </w:r>
      <w:r w:rsidRPr="00974448">
        <w:rPr>
          <w:bCs/>
          <w:iCs/>
          <w:color w:val="7F7F7F" w:themeColor="text1" w:themeTint="80"/>
          <w:sz w:val="14"/>
          <w:szCs w:val="14"/>
        </w:rPr>
        <w:t xml:space="preserve">EA 2012b – SEA – Strategic Environmental </w:t>
      </w:r>
      <w:proofErr w:type="spellStart"/>
      <w:r w:rsidRPr="00974448">
        <w:rPr>
          <w:bCs/>
          <w:iCs/>
          <w:color w:val="7F7F7F" w:themeColor="text1" w:themeTint="80"/>
          <w:sz w:val="14"/>
          <w:szCs w:val="14"/>
        </w:rPr>
        <w:t>Asssessment</w:t>
      </w:r>
      <w:proofErr w:type="spellEnd"/>
      <w:r w:rsidRPr="00974448">
        <w:rPr>
          <w:bCs/>
          <w:i/>
          <w:color w:val="7F7F7F" w:themeColor="text1" w:themeTint="80"/>
          <w:sz w:val="14"/>
          <w:szCs w:val="14"/>
        </w:rPr>
        <w:t xml:space="preserve"> in </w:t>
      </w:r>
      <w:r w:rsidRPr="00974448">
        <w:rPr>
          <w:bCs/>
          <w:color w:val="7F7F7F" w:themeColor="text1" w:themeTint="80"/>
          <w:sz w:val="14"/>
          <w:szCs w:val="14"/>
        </w:rPr>
        <w:t>Bloemen et al. 2018, p.8</w:t>
      </w:r>
      <w:r w:rsidRPr="00974448">
        <w:rPr>
          <w:bCs/>
          <w:iCs/>
          <w:sz w:val="14"/>
          <w:szCs w:val="14"/>
        </w:rPr>
        <w:t xml:space="preserve">; </w:t>
      </w:r>
      <w:r w:rsidRPr="00974448">
        <w:rPr>
          <w:bCs/>
          <w:color w:val="7F7F7F" w:themeColor="text1" w:themeTint="80"/>
          <w:sz w:val="14"/>
          <w:szCs w:val="14"/>
        </w:rPr>
        <w:t xml:space="preserve">Ramsbottom and Sheppard 2017, p.2, 5; </w:t>
      </w:r>
      <w:r w:rsidRPr="00974448">
        <w:rPr>
          <w:color w:val="7F7F7F" w:themeColor="text1" w:themeTint="80"/>
          <w:sz w:val="14"/>
          <w:szCs w:val="14"/>
        </w:rPr>
        <w:t>EA 2009A, p.138</w:t>
      </w:r>
      <w:r w:rsidRPr="00974448">
        <w:rPr>
          <w:sz w:val="14"/>
          <w:szCs w:val="14"/>
        </w:rPr>
        <w:t>).  Hence, each</w:t>
      </w:r>
      <w:r w:rsidRPr="00974448">
        <w:rPr>
          <w:i/>
          <w:sz w:val="14"/>
          <w:szCs w:val="14"/>
        </w:rPr>
        <w:t xml:space="preserve"> Option</w:t>
      </w:r>
      <w:r w:rsidRPr="00974448">
        <w:rPr>
          <w:sz w:val="14"/>
          <w:szCs w:val="14"/>
        </w:rPr>
        <w:t xml:space="preserve"> is </w:t>
      </w:r>
      <w:r w:rsidRPr="00974448">
        <w:rPr>
          <w:i/>
          <w:sz w:val="14"/>
          <w:szCs w:val="14"/>
        </w:rPr>
        <w:t>made up of sequenced portfolios over time</w:t>
      </w:r>
      <w:r w:rsidRPr="00974448">
        <w:rPr>
          <w:sz w:val="14"/>
          <w:szCs w:val="14"/>
        </w:rPr>
        <w:t xml:space="preserve"> (each portfolio reduces flood risk so that it stays below the target level, as illustrated in the scheme of the </w:t>
      </w:r>
      <w:r w:rsidRPr="00974448">
        <w:rPr>
          <w:i/>
          <w:sz w:val="14"/>
          <w:szCs w:val="14"/>
        </w:rPr>
        <w:t xml:space="preserve">Managed Adaptive approach </w:t>
      </w:r>
      <w:r w:rsidRPr="00974448">
        <w:rPr>
          <w:sz w:val="14"/>
          <w:szCs w:val="14"/>
        </w:rPr>
        <w:t>of the TE2100)</w:t>
      </w:r>
      <w:r w:rsidRPr="00974448">
        <w:rPr>
          <w:i/>
          <w:sz w:val="14"/>
          <w:szCs w:val="14"/>
        </w:rPr>
        <w:t xml:space="preserve"> </w:t>
      </w:r>
      <w:r w:rsidRPr="00974448">
        <w:rPr>
          <w:sz w:val="14"/>
          <w:szCs w:val="14"/>
        </w:rPr>
        <w:t>(</w:t>
      </w:r>
      <w:r w:rsidRPr="00974448">
        <w:rPr>
          <w:color w:val="7F7F7F" w:themeColor="text1" w:themeTint="80"/>
          <w:sz w:val="14"/>
          <w:szCs w:val="14"/>
        </w:rPr>
        <w:t>EA 2009A, p.139, 149-150, xi-xii</w:t>
      </w:r>
      <w:r w:rsidRPr="00974448">
        <w:rPr>
          <w:sz w:val="14"/>
          <w:szCs w:val="14"/>
        </w:rPr>
        <w:t>).</w:t>
      </w:r>
    </w:p>
  </w:footnote>
  <w:footnote w:id="68">
    <w:p w14:paraId="053BBEB7" w14:textId="77777777" w:rsidR="00AD22FD" w:rsidRPr="001E6B8B" w:rsidRDefault="00AD22FD" w:rsidP="00AD22FD">
      <w:pPr>
        <w:pStyle w:val="Textodenotaderodap"/>
        <w:rPr>
          <w:sz w:val="14"/>
          <w:szCs w:val="14"/>
        </w:rPr>
      </w:pPr>
      <w:r w:rsidRPr="00974448">
        <w:rPr>
          <w:rStyle w:val="Refdenotaderodap"/>
          <w:sz w:val="14"/>
          <w:szCs w:val="14"/>
        </w:rPr>
        <w:footnoteRef/>
      </w:r>
      <w:r w:rsidRPr="00974448">
        <w:rPr>
          <w:sz w:val="14"/>
          <w:szCs w:val="14"/>
        </w:rPr>
        <w:t xml:space="preserve"> The</w:t>
      </w:r>
      <w:r w:rsidRPr="00974448">
        <w:rPr>
          <w:rFonts w:eastAsiaTheme="minorHAnsi"/>
          <w:sz w:val="14"/>
          <w:szCs w:val="14"/>
        </w:rPr>
        <w:t xml:space="preserve"> Team has developed </w:t>
      </w:r>
      <w:r w:rsidRPr="00974448">
        <w:rPr>
          <w:rFonts w:eastAsiaTheme="minorHAnsi"/>
          <w:i/>
          <w:iCs/>
          <w:sz w:val="14"/>
          <w:szCs w:val="14"/>
        </w:rPr>
        <w:t>a series of generic Estuary-wide options which can successfully manage flood risk through the century</w:t>
      </w:r>
      <w:r w:rsidRPr="00974448">
        <w:rPr>
          <w:rFonts w:eastAsia="Frutiger-Roman"/>
          <w:sz w:val="14"/>
          <w:szCs w:val="14"/>
        </w:rPr>
        <w:t xml:space="preserve">; the Plan sets out </w:t>
      </w:r>
      <w:r w:rsidRPr="00974448">
        <w:rPr>
          <w:rFonts w:eastAsia="Frutiger-Roman"/>
          <w:i/>
          <w:iCs/>
          <w:sz w:val="14"/>
          <w:szCs w:val="14"/>
        </w:rPr>
        <w:t xml:space="preserve">the range of options which can manage a change in water levels through this century </w:t>
      </w:r>
      <w:r w:rsidRPr="00974448">
        <w:rPr>
          <w:rFonts w:eastAsia="Frutiger-Roman"/>
          <w:sz w:val="14"/>
          <w:szCs w:val="14"/>
        </w:rPr>
        <w:t>(</w:t>
      </w:r>
      <w:r w:rsidRPr="00974448">
        <w:rPr>
          <w:rFonts w:eastAsia="Frutiger-Roman"/>
          <w:color w:val="7F7F7F" w:themeColor="text1" w:themeTint="80"/>
          <w:sz w:val="14"/>
          <w:szCs w:val="14"/>
        </w:rPr>
        <w:t>EA 2012, p.34, 6</w:t>
      </w:r>
      <w:r w:rsidRPr="00974448">
        <w:rPr>
          <w:rFonts w:eastAsia="Frutiger-Roman"/>
          <w:sz w:val="14"/>
          <w:szCs w:val="14"/>
        </w:rPr>
        <w:t>).</w:t>
      </w:r>
      <w:r w:rsidRPr="00974448">
        <w:rPr>
          <w:sz w:val="14"/>
          <w:szCs w:val="14"/>
        </w:rPr>
        <w:t xml:space="preserve"> The Team could identify </w:t>
      </w:r>
      <w:r w:rsidRPr="00974448">
        <w:rPr>
          <w:i/>
          <w:iCs/>
          <w:sz w:val="14"/>
          <w:szCs w:val="14"/>
        </w:rPr>
        <w:t>a series of adaptation pathways</w:t>
      </w:r>
      <w:r w:rsidRPr="00974448">
        <w:rPr>
          <w:sz w:val="14"/>
          <w:szCs w:val="14"/>
        </w:rPr>
        <w:t>, a route-map, that are appropriate to cope with the plausible range of climatic changes that could be seen by 2100 (</w:t>
      </w:r>
      <w:r w:rsidRPr="00974448">
        <w:rPr>
          <w:color w:val="7F7F7F" w:themeColor="text1" w:themeTint="80"/>
          <w:sz w:val="14"/>
          <w:szCs w:val="14"/>
        </w:rPr>
        <w:t>Reeder and Ranger 2011, p.5</w:t>
      </w:r>
      <w:r w:rsidRPr="00974448">
        <w:rPr>
          <w:sz w:val="14"/>
          <w:szCs w:val="14"/>
        </w:rPr>
        <w:t xml:space="preserve">). </w:t>
      </w:r>
      <w:r w:rsidRPr="00974448">
        <w:rPr>
          <w:i/>
          <w:sz w:val="14"/>
          <w:szCs w:val="14"/>
        </w:rPr>
        <w:t xml:space="preserve"> </w:t>
      </w:r>
      <w:r w:rsidRPr="00974448">
        <w:rPr>
          <w:rFonts w:eastAsia="Frutiger-Roman"/>
          <w:iCs/>
          <w:sz w:val="14"/>
          <w:szCs w:val="14"/>
        </w:rPr>
        <w:t>The TE2100 Plan has</w:t>
      </w:r>
      <w:r w:rsidRPr="00974448">
        <w:rPr>
          <w:rFonts w:eastAsia="Frutiger-Roman"/>
          <w:i/>
          <w:sz w:val="14"/>
          <w:szCs w:val="14"/>
        </w:rPr>
        <w:t xml:space="preserve"> a set of options (adaptation pathways) </w:t>
      </w:r>
      <w:r w:rsidRPr="00974448">
        <w:rPr>
          <w:rFonts w:eastAsia="Frutiger-Roman"/>
          <w:iCs/>
          <w:sz w:val="14"/>
          <w:szCs w:val="14"/>
        </w:rPr>
        <w:t>(</w:t>
      </w:r>
      <w:r w:rsidRPr="00974448">
        <w:rPr>
          <w:rFonts w:eastAsia="Frutiger-Roman"/>
          <w:iCs/>
          <w:color w:val="7F7F7F" w:themeColor="text1" w:themeTint="80"/>
          <w:sz w:val="14"/>
          <w:szCs w:val="14"/>
        </w:rPr>
        <w:t>Bloemen et al. 2018, p.7</w:t>
      </w:r>
      <w:r w:rsidRPr="00974448">
        <w:rPr>
          <w:rFonts w:eastAsia="Frutiger-Roman"/>
          <w:iCs/>
          <w:sz w:val="14"/>
          <w:szCs w:val="14"/>
        </w:rPr>
        <w:t xml:space="preserve">). </w:t>
      </w:r>
      <w:r w:rsidRPr="00974448">
        <w:rPr>
          <w:sz w:val="14"/>
          <w:szCs w:val="14"/>
        </w:rPr>
        <w:t>The TE2100 Plan provides</w:t>
      </w:r>
      <w:r w:rsidRPr="00974448">
        <w:rPr>
          <w:i/>
          <w:iCs/>
          <w:sz w:val="14"/>
          <w:szCs w:val="14"/>
        </w:rPr>
        <w:t xml:space="preserve"> </w:t>
      </w:r>
      <w:r w:rsidRPr="00974448">
        <w:rPr>
          <w:sz w:val="14"/>
          <w:szCs w:val="14"/>
        </w:rPr>
        <w:t>‘</w:t>
      </w:r>
      <w:r w:rsidRPr="00974448">
        <w:rPr>
          <w:i/>
          <w:iCs/>
          <w:sz w:val="14"/>
          <w:szCs w:val="14"/>
        </w:rPr>
        <w:t>a set of Options</w:t>
      </w:r>
      <w:r w:rsidRPr="00974448">
        <w:rPr>
          <w:sz w:val="14"/>
          <w:szCs w:val="14"/>
        </w:rPr>
        <w:t xml:space="preserve">’, including the </w:t>
      </w:r>
      <w:r w:rsidRPr="00974448">
        <w:rPr>
          <w:i/>
          <w:iCs/>
          <w:sz w:val="14"/>
          <w:szCs w:val="14"/>
        </w:rPr>
        <w:t>preferred Options</w:t>
      </w:r>
      <w:r w:rsidRPr="00974448">
        <w:rPr>
          <w:sz w:val="14"/>
          <w:szCs w:val="14"/>
        </w:rPr>
        <w:t xml:space="preserve"> but also alternative </w:t>
      </w:r>
      <w:r w:rsidRPr="00974448">
        <w:rPr>
          <w:i/>
          <w:iCs/>
          <w:sz w:val="14"/>
          <w:szCs w:val="14"/>
        </w:rPr>
        <w:t>Options</w:t>
      </w:r>
      <w:r w:rsidRPr="00974448">
        <w:rPr>
          <w:sz w:val="14"/>
          <w:szCs w:val="14"/>
        </w:rPr>
        <w:t xml:space="preserve"> (which might be necessary if the preferred</w:t>
      </w:r>
      <w:r w:rsidRPr="00974448">
        <w:rPr>
          <w:i/>
          <w:iCs/>
          <w:sz w:val="14"/>
          <w:szCs w:val="14"/>
        </w:rPr>
        <w:t xml:space="preserve"> Options</w:t>
      </w:r>
      <w:r w:rsidRPr="00974448">
        <w:rPr>
          <w:sz w:val="14"/>
          <w:szCs w:val="14"/>
        </w:rPr>
        <w:t xml:space="preserve"> are no longer effective because the actual rate of change differs from the expected</w:t>
      </w:r>
      <w:r w:rsidRPr="00974448">
        <w:rPr>
          <w:i/>
          <w:iCs/>
          <w:sz w:val="14"/>
          <w:szCs w:val="14"/>
        </w:rPr>
        <w:t xml:space="preserve"> </w:t>
      </w:r>
      <w:r w:rsidRPr="00974448">
        <w:rPr>
          <w:sz w:val="14"/>
          <w:szCs w:val="14"/>
        </w:rPr>
        <w:t>(</w:t>
      </w:r>
      <w:r w:rsidRPr="00974448">
        <w:rPr>
          <w:color w:val="7F7F7F" w:themeColor="text1" w:themeTint="80"/>
          <w:sz w:val="14"/>
          <w:szCs w:val="14"/>
        </w:rPr>
        <w:t>EA 2009A, p.279</w:t>
      </w:r>
      <w:r w:rsidRPr="00974448">
        <w:rPr>
          <w:sz w:val="14"/>
          <w:szCs w:val="14"/>
        </w:rPr>
        <w:t>).</w:t>
      </w:r>
    </w:p>
  </w:footnote>
  <w:footnote w:id="69">
    <w:p w14:paraId="60103038" w14:textId="77777777" w:rsidR="00AD22FD" w:rsidRPr="00974448" w:rsidRDefault="00AD22FD" w:rsidP="00AD22FD">
      <w:pPr>
        <w:pStyle w:val="TEXTBODY"/>
        <w:spacing w:after="0" w:line="240" w:lineRule="auto"/>
        <w:rPr>
          <w:sz w:val="14"/>
          <w:szCs w:val="14"/>
        </w:rPr>
      </w:pPr>
      <w:r w:rsidRPr="00974448">
        <w:rPr>
          <w:rStyle w:val="Refdenotaderodap"/>
          <w:sz w:val="14"/>
          <w:szCs w:val="14"/>
        </w:rPr>
        <w:footnoteRef/>
      </w:r>
      <w:r w:rsidRPr="00974448">
        <w:rPr>
          <w:sz w:val="14"/>
          <w:szCs w:val="14"/>
        </w:rPr>
        <w:t xml:space="preserve"> The APs </w:t>
      </w:r>
      <w:r w:rsidRPr="00974448">
        <w:rPr>
          <w:rFonts w:eastAsiaTheme="minorHAnsi"/>
          <w:sz w:val="14"/>
          <w:szCs w:val="14"/>
          <w:lang w:eastAsia="en-US"/>
        </w:rPr>
        <w:t xml:space="preserve">approach served to identify possible measures and explore their timing and sequencing over time, and, in this way, design several different possible pathways of adaptation, which were then tested on their suitability under different scenarios and refined </w:t>
      </w:r>
      <w:r w:rsidRPr="00974448">
        <w:rPr>
          <w:sz w:val="14"/>
          <w:szCs w:val="14"/>
        </w:rPr>
        <w:t>(</w:t>
      </w:r>
      <w:r w:rsidRPr="00974448">
        <w:rPr>
          <w:color w:val="7F7F7F" w:themeColor="text1" w:themeTint="80"/>
          <w:sz w:val="14"/>
          <w:szCs w:val="14"/>
        </w:rPr>
        <w:t>Ranger et al. 2013, p.249</w:t>
      </w:r>
      <w:r w:rsidRPr="00974448">
        <w:rPr>
          <w:sz w:val="14"/>
          <w:szCs w:val="14"/>
        </w:rPr>
        <w:t>). Importantly, the APs approach focused on</w:t>
      </w:r>
      <w:r w:rsidRPr="00974448">
        <w:rPr>
          <w:i/>
          <w:iCs/>
          <w:sz w:val="14"/>
          <w:szCs w:val="14"/>
        </w:rPr>
        <w:t xml:space="preserve"> sequencing a suite of measures </w:t>
      </w:r>
      <w:proofErr w:type="gramStart"/>
      <w:r w:rsidRPr="00974448">
        <w:rPr>
          <w:i/>
          <w:iCs/>
          <w:sz w:val="14"/>
          <w:szCs w:val="14"/>
        </w:rPr>
        <w:t>in order to</w:t>
      </w:r>
      <w:proofErr w:type="gramEnd"/>
      <w:r w:rsidRPr="00974448">
        <w:rPr>
          <w:i/>
          <w:iCs/>
          <w:sz w:val="14"/>
          <w:szCs w:val="14"/>
        </w:rPr>
        <w:t xml:space="preserve"> cost-effectively manage current risk while maintaining the flexibility to cope with the range of possible future SLR</w:t>
      </w:r>
      <w:r w:rsidRPr="00974448">
        <w:rPr>
          <w:sz w:val="14"/>
          <w:szCs w:val="14"/>
        </w:rPr>
        <w:t xml:space="preserve"> (</w:t>
      </w:r>
      <w:r w:rsidRPr="00974448">
        <w:rPr>
          <w:color w:val="7F7F7F" w:themeColor="text1" w:themeTint="80"/>
          <w:sz w:val="14"/>
          <w:szCs w:val="14"/>
        </w:rPr>
        <w:t>Reeder and Ranger 2011, p.13</w:t>
      </w:r>
      <w:r w:rsidRPr="00974448">
        <w:rPr>
          <w:sz w:val="14"/>
          <w:szCs w:val="14"/>
        </w:rPr>
        <w:t xml:space="preserve">). </w:t>
      </w:r>
    </w:p>
  </w:footnote>
  <w:footnote w:id="70">
    <w:p w14:paraId="6816C7F5" w14:textId="77777777" w:rsidR="00AD22FD" w:rsidRPr="00974448" w:rsidRDefault="00AD22FD" w:rsidP="00AD22FD">
      <w:pPr>
        <w:pStyle w:val="TEXTBODY"/>
        <w:spacing w:after="0" w:line="240" w:lineRule="auto"/>
        <w:rPr>
          <w:sz w:val="14"/>
          <w:szCs w:val="14"/>
        </w:rPr>
      </w:pPr>
      <w:r w:rsidRPr="00974448">
        <w:rPr>
          <w:rStyle w:val="Refdenotaderodap"/>
          <w:sz w:val="14"/>
          <w:szCs w:val="14"/>
        </w:rPr>
        <w:footnoteRef/>
      </w:r>
      <w:r w:rsidRPr="00974448">
        <w:rPr>
          <w:sz w:val="14"/>
          <w:szCs w:val="14"/>
        </w:rPr>
        <w:t xml:space="preserve"> The TE2100 Team sought to safeguard and </w:t>
      </w:r>
      <w:r w:rsidRPr="00974448">
        <w:rPr>
          <w:i/>
          <w:iCs/>
          <w:sz w:val="14"/>
          <w:szCs w:val="14"/>
        </w:rPr>
        <w:t>build-in dynamic robustness</w:t>
      </w:r>
      <w:r w:rsidRPr="00974448">
        <w:rPr>
          <w:sz w:val="14"/>
          <w:szCs w:val="14"/>
        </w:rPr>
        <w:t xml:space="preserve">, </w:t>
      </w:r>
      <w:r w:rsidRPr="00974448">
        <w:rPr>
          <w:i/>
          <w:iCs/>
          <w:sz w:val="14"/>
          <w:szCs w:val="14"/>
        </w:rPr>
        <w:t>flexibility</w:t>
      </w:r>
      <w:r w:rsidRPr="00974448">
        <w:rPr>
          <w:sz w:val="14"/>
          <w:szCs w:val="14"/>
        </w:rPr>
        <w:t xml:space="preserve"> and </w:t>
      </w:r>
      <w:r w:rsidRPr="00974448">
        <w:rPr>
          <w:i/>
          <w:iCs/>
          <w:sz w:val="14"/>
          <w:szCs w:val="14"/>
        </w:rPr>
        <w:t>adaptability</w:t>
      </w:r>
      <w:r w:rsidRPr="00974448">
        <w:rPr>
          <w:sz w:val="14"/>
          <w:szCs w:val="14"/>
        </w:rPr>
        <w:t>, into the general Plan and its strategies (</w:t>
      </w:r>
      <w:r w:rsidRPr="00974448">
        <w:rPr>
          <w:color w:val="7F7F7F" w:themeColor="text1" w:themeTint="80"/>
          <w:sz w:val="14"/>
          <w:szCs w:val="14"/>
        </w:rPr>
        <w:t>Ranger et al. 2013, p.249</w:t>
      </w:r>
      <w:r w:rsidRPr="00974448">
        <w:rPr>
          <w:sz w:val="14"/>
          <w:szCs w:val="14"/>
        </w:rPr>
        <w:t xml:space="preserve">), which was done through the APs approach. The APs helped to incorporate </w:t>
      </w:r>
      <w:r w:rsidRPr="00974448">
        <w:rPr>
          <w:i/>
          <w:iCs/>
          <w:sz w:val="14"/>
          <w:szCs w:val="14"/>
        </w:rPr>
        <w:t>robustness</w:t>
      </w:r>
      <w:r w:rsidRPr="00974448">
        <w:rPr>
          <w:sz w:val="14"/>
          <w:szCs w:val="14"/>
        </w:rPr>
        <w:t xml:space="preserve"> and into the Plan and its </w:t>
      </w:r>
      <w:r w:rsidRPr="00974448">
        <w:rPr>
          <w:i/>
          <w:iCs/>
          <w:sz w:val="14"/>
          <w:szCs w:val="14"/>
        </w:rPr>
        <w:t>strategies</w:t>
      </w:r>
      <w:r w:rsidRPr="00974448">
        <w:rPr>
          <w:sz w:val="14"/>
          <w:szCs w:val="14"/>
        </w:rPr>
        <w:t xml:space="preserve"> (pathways) in several ways, for example: through the ability to change between measures and/or </w:t>
      </w:r>
      <w:r w:rsidRPr="00974448">
        <w:rPr>
          <w:i/>
          <w:iCs/>
          <w:sz w:val="14"/>
          <w:szCs w:val="14"/>
        </w:rPr>
        <w:t>Options</w:t>
      </w:r>
      <w:r w:rsidRPr="00974448">
        <w:rPr>
          <w:sz w:val="14"/>
          <w:szCs w:val="14"/>
        </w:rPr>
        <w:t xml:space="preserve">, by allowing adapting Options (e.g. adjusting the timing of new measures, according to the rate of change experienced, or adjusting measures themselves), by ensuring the availability of alternative </w:t>
      </w:r>
      <w:r w:rsidRPr="00974448">
        <w:rPr>
          <w:i/>
          <w:iCs/>
          <w:sz w:val="14"/>
          <w:szCs w:val="14"/>
        </w:rPr>
        <w:t xml:space="preserve">Options </w:t>
      </w:r>
      <w:r w:rsidRPr="00974448">
        <w:rPr>
          <w:sz w:val="14"/>
          <w:szCs w:val="14"/>
        </w:rPr>
        <w:t>(</w:t>
      </w:r>
      <w:r w:rsidRPr="00974448">
        <w:rPr>
          <w:i/>
          <w:sz w:val="14"/>
          <w:szCs w:val="14"/>
        </w:rPr>
        <w:t>alternative ways of managing flood risk</w:t>
      </w:r>
      <w:r w:rsidRPr="00974448">
        <w:rPr>
          <w:iCs/>
          <w:sz w:val="14"/>
          <w:szCs w:val="14"/>
        </w:rPr>
        <w:t>), by envisioning</w:t>
      </w:r>
      <w:r w:rsidRPr="00974448">
        <w:rPr>
          <w:sz w:val="14"/>
          <w:szCs w:val="14"/>
        </w:rPr>
        <w:t xml:space="preserve"> a sequenced / stepwise implementation of several measures over time (rather than an optimal solution for a particular level of risk) and keeping open possibilities to switch to other measures or </w:t>
      </w:r>
      <w:r w:rsidRPr="00974448">
        <w:rPr>
          <w:i/>
          <w:iCs/>
          <w:sz w:val="14"/>
          <w:szCs w:val="14"/>
        </w:rPr>
        <w:t>Options</w:t>
      </w:r>
      <w:r w:rsidRPr="00974448">
        <w:rPr>
          <w:sz w:val="14"/>
          <w:szCs w:val="14"/>
        </w:rPr>
        <w:t xml:space="preserve">. </w:t>
      </w:r>
    </w:p>
  </w:footnote>
  <w:footnote w:id="71">
    <w:p w14:paraId="4D01E642" w14:textId="77777777" w:rsidR="00AD22FD" w:rsidRPr="00974448" w:rsidRDefault="00AD22FD" w:rsidP="00AD22FD">
      <w:pPr>
        <w:pStyle w:val="TEXTBODY"/>
        <w:spacing w:after="0" w:line="240" w:lineRule="auto"/>
        <w:rPr>
          <w:color w:val="C00000"/>
          <w:sz w:val="14"/>
          <w:szCs w:val="14"/>
        </w:rPr>
      </w:pPr>
      <w:r w:rsidRPr="00974448">
        <w:rPr>
          <w:rStyle w:val="Refdenotaderodap"/>
          <w:sz w:val="14"/>
          <w:szCs w:val="14"/>
        </w:rPr>
        <w:footnoteRef/>
      </w:r>
      <w:r w:rsidRPr="00974448">
        <w:rPr>
          <w:sz w:val="14"/>
          <w:szCs w:val="14"/>
        </w:rPr>
        <w:t xml:space="preserve"> </w:t>
      </w:r>
      <w:r w:rsidRPr="00974448">
        <w:rPr>
          <w:sz w:val="14"/>
          <w:szCs w:val="14"/>
          <w:lang w:val="en-US"/>
        </w:rPr>
        <w:t>The Technical Report also highlights that t</w:t>
      </w:r>
      <w:r w:rsidRPr="00974448">
        <w:rPr>
          <w:sz w:val="14"/>
          <w:szCs w:val="14"/>
        </w:rPr>
        <w:t xml:space="preserve">he Team devised a </w:t>
      </w:r>
      <w:r w:rsidRPr="00974448">
        <w:rPr>
          <w:i/>
          <w:iCs/>
          <w:sz w:val="14"/>
          <w:szCs w:val="14"/>
        </w:rPr>
        <w:t>methodology which has led to the concept and development of ‘flexible, adaptable Options’ for FRM</w:t>
      </w:r>
      <w:r w:rsidRPr="00974448">
        <w:rPr>
          <w:sz w:val="14"/>
          <w:szCs w:val="14"/>
        </w:rPr>
        <w:t xml:space="preserve"> – this has been ‘</w:t>
      </w:r>
      <w:r w:rsidRPr="00974448">
        <w:rPr>
          <w:i/>
          <w:iCs/>
          <w:sz w:val="14"/>
          <w:szCs w:val="14"/>
        </w:rPr>
        <w:t>fundamental to, and the basis of, the adaptability of the TE2100 Plan</w:t>
      </w:r>
      <w:r w:rsidRPr="00974448">
        <w:rPr>
          <w:sz w:val="14"/>
          <w:szCs w:val="14"/>
        </w:rPr>
        <w:t>’ (</w:t>
      </w:r>
      <w:r w:rsidRPr="00974448">
        <w:rPr>
          <w:color w:val="7F7F7F" w:themeColor="text1" w:themeTint="80"/>
          <w:sz w:val="14"/>
          <w:szCs w:val="14"/>
        </w:rPr>
        <w:t>EA 2009A, p.71; xv</w:t>
      </w:r>
      <w:r w:rsidRPr="00974448">
        <w:rPr>
          <w:sz w:val="14"/>
          <w:szCs w:val="14"/>
        </w:rPr>
        <w:t>). The production of ‘</w:t>
      </w:r>
      <w:r w:rsidRPr="00974448">
        <w:rPr>
          <w:i/>
          <w:iCs/>
          <w:sz w:val="14"/>
          <w:szCs w:val="14"/>
        </w:rPr>
        <w:t>adaptable Options</w:t>
      </w:r>
      <w:r w:rsidRPr="00974448">
        <w:rPr>
          <w:sz w:val="14"/>
          <w:szCs w:val="14"/>
        </w:rPr>
        <w:t>’ as ‘</w:t>
      </w:r>
      <w:r w:rsidRPr="00974448">
        <w:rPr>
          <w:i/>
          <w:iCs/>
          <w:sz w:val="14"/>
          <w:szCs w:val="14"/>
        </w:rPr>
        <w:t>flexible decision pathways</w:t>
      </w:r>
      <w:r w:rsidRPr="00974448">
        <w:rPr>
          <w:sz w:val="14"/>
          <w:szCs w:val="14"/>
        </w:rPr>
        <w:t xml:space="preserve">’, and the threshold analyses that it implied, were essential to develop a plan (to manage flood risk until 2100) that was </w:t>
      </w:r>
      <w:r w:rsidRPr="00974448">
        <w:rPr>
          <w:i/>
          <w:iCs/>
          <w:sz w:val="14"/>
          <w:szCs w:val="14"/>
        </w:rPr>
        <w:t>dynamic robust</w:t>
      </w:r>
      <w:r w:rsidRPr="00974448">
        <w:rPr>
          <w:sz w:val="14"/>
          <w:szCs w:val="14"/>
        </w:rPr>
        <w:t xml:space="preserve"> and </w:t>
      </w:r>
      <w:r w:rsidRPr="00974448">
        <w:rPr>
          <w:i/>
          <w:iCs/>
          <w:sz w:val="14"/>
          <w:szCs w:val="14"/>
        </w:rPr>
        <w:t>adaptable</w:t>
      </w:r>
      <w:r w:rsidRPr="00974448">
        <w:rPr>
          <w:sz w:val="14"/>
          <w:szCs w:val="14"/>
        </w:rPr>
        <w:t xml:space="preserve"> to uncertain future conditions and changes – and fundamental to make </w:t>
      </w:r>
      <w:r w:rsidRPr="00974448">
        <w:rPr>
          <w:i/>
          <w:iCs/>
          <w:sz w:val="14"/>
          <w:szCs w:val="14"/>
        </w:rPr>
        <w:t xml:space="preserve">dynamic robustness </w:t>
      </w:r>
      <w:r w:rsidRPr="00974448">
        <w:rPr>
          <w:sz w:val="14"/>
          <w:szCs w:val="14"/>
        </w:rPr>
        <w:t>(</w:t>
      </w:r>
      <w:r w:rsidRPr="00974448">
        <w:rPr>
          <w:i/>
          <w:iCs/>
          <w:sz w:val="14"/>
          <w:szCs w:val="14"/>
        </w:rPr>
        <w:t>flexibility</w:t>
      </w:r>
      <w:r w:rsidRPr="00974448">
        <w:rPr>
          <w:sz w:val="14"/>
          <w:szCs w:val="14"/>
        </w:rPr>
        <w:t xml:space="preserve">) and </w:t>
      </w:r>
      <w:r w:rsidRPr="00974448">
        <w:rPr>
          <w:i/>
          <w:iCs/>
          <w:sz w:val="14"/>
          <w:szCs w:val="14"/>
        </w:rPr>
        <w:t xml:space="preserve">adaptability </w:t>
      </w:r>
      <w:r w:rsidRPr="00974448">
        <w:rPr>
          <w:sz w:val="14"/>
          <w:szCs w:val="14"/>
        </w:rPr>
        <w:t>basic properties of the Plan (</w:t>
      </w:r>
      <w:r>
        <w:rPr>
          <w:color w:val="7F7F7F" w:themeColor="text1" w:themeTint="80"/>
          <w:sz w:val="14"/>
          <w:szCs w:val="14"/>
        </w:rPr>
        <w:t>EA</w:t>
      </w:r>
      <w:r w:rsidRPr="00974448">
        <w:rPr>
          <w:color w:val="7F7F7F" w:themeColor="text1" w:themeTint="80"/>
          <w:sz w:val="14"/>
          <w:szCs w:val="14"/>
        </w:rPr>
        <w:t xml:space="preserve"> 2009</w:t>
      </w:r>
      <w:r>
        <w:rPr>
          <w:color w:val="7F7F7F" w:themeColor="text1" w:themeTint="80"/>
          <w:sz w:val="14"/>
          <w:szCs w:val="14"/>
        </w:rPr>
        <w:t>b</w:t>
      </w:r>
      <w:r w:rsidRPr="00974448">
        <w:rPr>
          <w:color w:val="7F7F7F" w:themeColor="text1" w:themeTint="80"/>
          <w:sz w:val="14"/>
          <w:szCs w:val="14"/>
        </w:rPr>
        <w:t>, p.2-4, 10, 199</w:t>
      </w:r>
      <w:r w:rsidRPr="00974448">
        <w:rPr>
          <w:sz w:val="14"/>
          <w:szCs w:val="14"/>
        </w:rPr>
        <w:t>)</w:t>
      </w:r>
      <w:r w:rsidRPr="00974448">
        <w:rPr>
          <w:color w:val="C00000"/>
          <w:sz w:val="14"/>
          <w:szCs w:val="14"/>
        </w:rPr>
        <w:t xml:space="preserve">. </w:t>
      </w:r>
      <w:r w:rsidRPr="00974448">
        <w:rPr>
          <w:sz w:val="14"/>
          <w:szCs w:val="14"/>
        </w:rPr>
        <w:t xml:space="preserve">The APs approach was crucial to draw up a Plan with these properties. </w:t>
      </w:r>
    </w:p>
  </w:footnote>
  <w:footnote w:id="72">
    <w:p w14:paraId="5CEB4D2A" w14:textId="77777777" w:rsidR="00AD22FD" w:rsidRPr="00974448" w:rsidRDefault="00AD22FD" w:rsidP="00AD22FD">
      <w:pPr>
        <w:pStyle w:val="TEXTBODY"/>
        <w:spacing w:after="0" w:line="240" w:lineRule="auto"/>
        <w:rPr>
          <w:sz w:val="14"/>
          <w:szCs w:val="14"/>
        </w:rPr>
      </w:pPr>
      <w:r w:rsidRPr="00974448">
        <w:rPr>
          <w:rStyle w:val="Refdenotaderodap"/>
          <w:sz w:val="14"/>
          <w:szCs w:val="14"/>
        </w:rPr>
        <w:footnoteRef/>
      </w:r>
      <w:r w:rsidRPr="00974448">
        <w:rPr>
          <w:sz w:val="14"/>
          <w:szCs w:val="14"/>
        </w:rPr>
        <w:t xml:space="preserve"> The development of </w:t>
      </w:r>
      <w:r w:rsidRPr="00974448">
        <w:rPr>
          <w:i/>
          <w:iCs/>
          <w:sz w:val="14"/>
          <w:szCs w:val="14"/>
        </w:rPr>
        <w:t>robust flexible strategies</w:t>
      </w:r>
      <w:r w:rsidRPr="00974448">
        <w:rPr>
          <w:sz w:val="14"/>
          <w:szCs w:val="14"/>
        </w:rPr>
        <w:t xml:space="preserve">, which was done using the APs method, is considered one of the main elements of the TE2100’s </w:t>
      </w:r>
      <w:r w:rsidRPr="00974448">
        <w:rPr>
          <w:i/>
          <w:iCs/>
          <w:sz w:val="14"/>
          <w:szCs w:val="14"/>
        </w:rPr>
        <w:t>Dynamic Adaptive Planning approach</w:t>
      </w:r>
      <w:r w:rsidRPr="00974448">
        <w:rPr>
          <w:sz w:val="14"/>
          <w:szCs w:val="14"/>
        </w:rPr>
        <w:t xml:space="preserve"> (</w:t>
      </w:r>
      <w:proofErr w:type="spellStart"/>
      <w:r w:rsidRPr="00974448">
        <w:rPr>
          <w:color w:val="7F7F7F" w:themeColor="text1" w:themeTint="80"/>
          <w:sz w:val="14"/>
          <w:szCs w:val="14"/>
        </w:rPr>
        <w:t>Jeuken</w:t>
      </w:r>
      <w:proofErr w:type="spellEnd"/>
      <w:r w:rsidRPr="00974448">
        <w:rPr>
          <w:color w:val="7F7F7F" w:themeColor="text1" w:themeTint="80"/>
          <w:sz w:val="14"/>
          <w:szCs w:val="14"/>
        </w:rPr>
        <w:t xml:space="preserve"> and Reeder 2011, p.2, 4</w:t>
      </w:r>
      <w:r w:rsidRPr="00974448">
        <w:rPr>
          <w:sz w:val="14"/>
          <w:szCs w:val="14"/>
        </w:rPr>
        <w:t xml:space="preserve">). The TE2100 used the APs as a method of designing </w:t>
      </w:r>
      <w:r w:rsidRPr="00974448">
        <w:rPr>
          <w:i/>
          <w:iCs/>
          <w:sz w:val="14"/>
          <w:szCs w:val="14"/>
        </w:rPr>
        <w:t>robust flexible strategies</w:t>
      </w:r>
      <w:r w:rsidRPr="00974448">
        <w:rPr>
          <w:sz w:val="14"/>
          <w:szCs w:val="14"/>
        </w:rPr>
        <w:t xml:space="preserve">, where </w:t>
      </w:r>
      <w:r w:rsidRPr="00974448">
        <w:rPr>
          <w:i/>
          <w:iCs/>
          <w:sz w:val="14"/>
          <w:szCs w:val="14"/>
        </w:rPr>
        <w:t>robustness</w:t>
      </w:r>
      <w:r w:rsidRPr="00974448">
        <w:rPr>
          <w:sz w:val="14"/>
          <w:szCs w:val="14"/>
        </w:rPr>
        <w:t xml:space="preserve"> to uncertain future changes and </w:t>
      </w:r>
      <w:r w:rsidRPr="00974448">
        <w:rPr>
          <w:i/>
          <w:iCs/>
          <w:sz w:val="14"/>
          <w:szCs w:val="14"/>
        </w:rPr>
        <w:t>flexibility</w:t>
      </w:r>
      <w:r w:rsidRPr="00974448">
        <w:rPr>
          <w:sz w:val="14"/>
          <w:szCs w:val="14"/>
        </w:rPr>
        <w:t xml:space="preserve"> could be ‘built-in’ in the strategy itself (</w:t>
      </w:r>
      <w:proofErr w:type="spellStart"/>
      <w:r w:rsidRPr="00974448">
        <w:rPr>
          <w:color w:val="7F7F7F" w:themeColor="text1" w:themeTint="80"/>
          <w:sz w:val="14"/>
          <w:szCs w:val="14"/>
        </w:rPr>
        <w:t>Jeuken</w:t>
      </w:r>
      <w:proofErr w:type="spellEnd"/>
      <w:r w:rsidRPr="00974448">
        <w:rPr>
          <w:color w:val="7F7F7F" w:themeColor="text1" w:themeTint="80"/>
          <w:sz w:val="14"/>
          <w:szCs w:val="14"/>
        </w:rPr>
        <w:t xml:space="preserve"> and Reeder 2011, p.4, 2; Reeder and Ranger 2011, p.3, 8, 11</w:t>
      </w:r>
      <w:r w:rsidRPr="00974448">
        <w:rPr>
          <w:sz w:val="14"/>
          <w:szCs w:val="14"/>
        </w:rPr>
        <w:t xml:space="preserve">). Thus, it can be argued that the design of </w:t>
      </w:r>
      <w:r w:rsidRPr="00974448">
        <w:rPr>
          <w:i/>
          <w:iCs/>
          <w:sz w:val="14"/>
          <w:szCs w:val="14"/>
        </w:rPr>
        <w:t xml:space="preserve">robust flexible strategies </w:t>
      </w:r>
      <w:r w:rsidRPr="00974448">
        <w:rPr>
          <w:sz w:val="14"/>
          <w:szCs w:val="14"/>
        </w:rPr>
        <w:t>as pathways (</w:t>
      </w:r>
      <w:r w:rsidRPr="00974448">
        <w:rPr>
          <w:i/>
          <w:iCs/>
          <w:sz w:val="14"/>
          <w:szCs w:val="14"/>
        </w:rPr>
        <w:t>flexible adaptable Options</w:t>
      </w:r>
      <w:r w:rsidRPr="00974448">
        <w:rPr>
          <w:sz w:val="14"/>
          <w:szCs w:val="14"/>
        </w:rPr>
        <w:t xml:space="preserve">), by using the APs method, is not only a key element of the TE2100’s approach but also an essential element to develop a </w:t>
      </w:r>
      <w:r w:rsidRPr="00974448">
        <w:rPr>
          <w:i/>
          <w:iCs/>
          <w:sz w:val="14"/>
          <w:szCs w:val="14"/>
        </w:rPr>
        <w:t>robust adaptive plan</w:t>
      </w:r>
      <w:r w:rsidRPr="00974448">
        <w:rPr>
          <w:sz w:val="14"/>
          <w:szCs w:val="14"/>
        </w:rPr>
        <w:t>.</w:t>
      </w:r>
    </w:p>
  </w:footnote>
  <w:footnote w:id="73">
    <w:p w14:paraId="49FC2045" w14:textId="77777777" w:rsidR="00AD22FD" w:rsidRPr="00974448" w:rsidRDefault="00AD22FD" w:rsidP="00AD22FD">
      <w:pPr>
        <w:pStyle w:val="Textodenotaderodap"/>
        <w:rPr>
          <w:sz w:val="14"/>
          <w:szCs w:val="14"/>
        </w:rPr>
      </w:pPr>
      <w:r w:rsidRPr="00974448">
        <w:rPr>
          <w:rStyle w:val="Refdenotaderodap"/>
          <w:sz w:val="14"/>
          <w:szCs w:val="14"/>
        </w:rPr>
        <w:footnoteRef/>
      </w:r>
      <w:r w:rsidRPr="00974448">
        <w:rPr>
          <w:sz w:val="14"/>
          <w:szCs w:val="14"/>
        </w:rPr>
        <w:t xml:space="preserve"> The decision-points can be estimated based on the observation of certain key-indicators: if a trigger-value predefined for certain indicator is reached, this will trigger a decision (</w:t>
      </w:r>
      <w:r w:rsidRPr="00974448">
        <w:rPr>
          <w:color w:val="7F7F7F" w:themeColor="text1" w:themeTint="80"/>
          <w:sz w:val="14"/>
          <w:szCs w:val="14"/>
        </w:rPr>
        <w:t>Ranger et al. 2013, p.233, 239, 258</w:t>
      </w:r>
      <w:r w:rsidRPr="00974448">
        <w:rPr>
          <w:sz w:val="14"/>
          <w:szCs w:val="14"/>
        </w:rPr>
        <w:t xml:space="preserve">). To estimate decision-points, the Team used several scenarios to assess when it will be necessary to adapt at earliest and at latest, and took into consideration the lead-time required for designing and constructing a certain measure, as well as the </w:t>
      </w:r>
      <w:r w:rsidRPr="00974448">
        <w:rPr>
          <w:iCs/>
          <w:sz w:val="14"/>
          <w:szCs w:val="14"/>
        </w:rPr>
        <w:t>monitoring results on a certain indicator (observed changes) – in this way, it was possible to see</w:t>
      </w:r>
      <w:r w:rsidRPr="00974448">
        <w:rPr>
          <w:sz w:val="14"/>
          <w:szCs w:val="14"/>
        </w:rPr>
        <w:t xml:space="preserve"> if a decision should be postponed or taken earlier (</w:t>
      </w:r>
      <w:proofErr w:type="spellStart"/>
      <w:r w:rsidRPr="00974448">
        <w:rPr>
          <w:color w:val="7F7F7F" w:themeColor="text1" w:themeTint="80"/>
          <w:sz w:val="14"/>
          <w:szCs w:val="14"/>
        </w:rPr>
        <w:t>Jeuken</w:t>
      </w:r>
      <w:proofErr w:type="spellEnd"/>
      <w:r w:rsidRPr="00974448">
        <w:rPr>
          <w:color w:val="7F7F7F" w:themeColor="text1" w:themeTint="80"/>
          <w:sz w:val="14"/>
          <w:szCs w:val="14"/>
        </w:rPr>
        <w:t xml:space="preserve"> and Reeder 2011, p.6</w:t>
      </w:r>
      <w:r w:rsidRPr="00974448">
        <w:rPr>
          <w:sz w:val="14"/>
          <w:szCs w:val="14"/>
        </w:rPr>
        <w:t xml:space="preserve">). </w:t>
      </w:r>
      <w:r w:rsidRPr="00974448">
        <w:rPr>
          <w:i/>
          <w:sz w:val="14"/>
          <w:szCs w:val="14"/>
        </w:rPr>
        <w:t>D</w:t>
      </w:r>
      <w:r w:rsidRPr="00974448">
        <w:rPr>
          <w:i/>
          <w:color w:val="000000"/>
          <w:sz w:val="14"/>
          <w:szCs w:val="14"/>
        </w:rPr>
        <w:t>ecision</w:t>
      </w:r>
      <w:r w:rsidRPr="00974448">
        <w:rPr>
          <w:i/>
          <w:iCs/>
          <w:color w:val="000000"/>
          <w:sz w:val="14"/>
          <w:szCs w:val="14"/>
        </w:rPr>
        <w:t>-</w:t>
      </w:r>
      <w:r w:rsidRPr="00974448">
        <w:rPr>
          <w:i/>
          <w:iCs/>
          <w:sz w:val="14"/>
          <w:szCs w:val="14"/>
        </w:rPr>
        <w:t>points</w:t>
      </w:r>
      <w:r w:rsidRPr="00974448">
        <w:rPr>
          <w:sz w:val="14"/>
          <w:szCs w:val="14"/>
        </w:rPr>
        <w:t xml:space="preserve"> help to ensure that measures (to manage evolving risk) are timely taken and cost-effective</w:t>
      </w:r>
      <w:r w:rsidRPr="00974448">
        <w:rPr>
          <w:color w:val="000000"/>
          <w:sz w:val="14"/>
          <w:szCs w:val="14"/>
        </w:rPr>
        <w:t xml:space="preserve"> </w:t>
      </w:r>
      <w:r w:rsidRPr="00974448">
        <w:rPr>
          <w:sz w:val="14"/>
          <w:szCs w:val="14"/>
        </w:rPr>
        <w:t>(</w:t>
      </w:r>
      <w:r w:rsidRPr="00974448">
        <w:rPr>
          <w:color w:val="7F7F7F" w:themeColor="text1" w:themeTint="80"/>
          <w:sz w:val="14"/>
          <w:szCs w:val="14"/>
        </w:rPr>
        <w:t>Ranger et al. 2013, p.233, 239, 258</w:t>
      </w:r>
      <w:r w:rsidRPr="00974448">
        <w:rPr>
          <w:sz w:val="14"/>
          <w:szCs w:val="14"/>
        </w:rPr>
        <w:t>).</w:t>
      </w:r>
    </w:p>
  </w:footnote>
  <w:footnote w:id="74">
    <w:p w14:paraId="686ED300" w14:textId="77777777" w:rsidR="00AD22FD" w:rsidRPr="00974448" w:rsidRDefault="00AD22FD" w:rsidP="00AD22FD">
      <w:pPr>
        <w:pStyle w:val="TEXTBODY"/>
        <w:spacing w:after="0" w:line="240" w:lineRule="auto"/>
        <w:jc w:val="left"/>
        <w:rPr>
          <w:iCs/>
          <w:sz w:val="12"/>
          <w:szCs w:val="12"/>
        </w:rPr>
      </w:pPr>
      <w:r w:rsidRPr="00974448">
        <w:rPr>
          <w:rStyle w:val="Refdenotaderodap"/>
          <w:sz w:val="14"/>
          <w:szCs w:val="14"/>
        </w:rPr>
        <w:footnoteRef/>
      </w:r>
      <w:r w:rsidRPr="00974448">
        <w:rPr>
          <w:sz w:val="14"/>
          <w:szCs w:val="14"/>
        </w:rPr>
        <w:t xml:space="preserve"> The regular reviews of the Plan must be informed by monitoring results (</w:t>
      </w:r>
      <w:r w:rsidRPr="00974448">
        <w:rPr>
          <w:color w:val="7F7F7F" w:themeColor="text1" w:themeTint="80"/>
          <w:sz w:val="14"/>
          <w:szCs w:val="14"/>
        </w:rPr>
        <w:t xml:space="preserve">Reeder and Ranger 2011; EA 2012, p.36; </w:t>
      </w:r>
      <w:r>
        <w:rPr>
          <w:color w:val="7F7F7F" w:themeColor="text1" w:themeTint="80"/>
          <w:sz w:val="14"/>
          <w:szCs w:val="14"/>
        </w:rPr>
        <w:t>EA</w:t>
      </w:r>
      <w:r w:rsidRPr="00974448">
        <w:rPr>
          <w:color w:val="7F7F7F" w:themeColor="text1" w:themeTint="80"/>
          <w:sz w:val="14"/>
          <w:szCs w:val="14"/>
        </w:rPr>
        <w:t xml:space="preserve"> 2009</w:t>
      </w:r>
      <w:r>
        <w:rPr>
          <w:color w:val="7F7F7F" w:themeColor="text1" w:themeTint="80"/>
          <w:sz w:val="14"/>
          <w:szCs w:val="14"/>
        </w:rPr>
        <w:t>b</w:t>
      </w:r>
      <w:r w:rsidRPr="00974448">
        <w:rPr>
          <w:color w:val="7F7F7F" w:themeColor="text1" w:themeTint="80"/>
          <w:sz w:val="14"/>
          <w:szCs w:val="14"/>
        </w:rPr>
        <w:t xml:space="preserve">; Ranger et al. 2013, p.254; </w:t>
      </w:r>
      <w:r w:rsidRPr="00974448">
        <w:rPr>
          <w:iCs/>
          <w:color w:val="7F7F7F" w:themeColor="text1" w:themeTint="80"/>
          <w:sz w:val="14"/>
          <w:szCs w:val="14"/>
        </w:rPr>
        <w:t xml:space="preserve">Bloemen et al. 2018; </w:t>
      </w:r>
      <w:r w:rsidRPr="00974448">
        <w:rPr>
          <w:color w:val="7F7F7F" w:themeColor="text1" w:themeTint="80"/>
          <w:sz w:val="14"/>
          <w:szCs w:val="14"/>
        </w:rPr>
        <w:t>Ramsbottom and Sheppard 2017, p.13</w:t>
      </w:r>
      <w:r w:rsidRPr="00974448">
        <w:rPr>
          <w:sz w:val="14"/>
          <w:szCs w:val="14"/>
        </w:rPr>
        <w:t>). The monitoring results must be used to periodically update of the Plan, e.g.: the dates when actions are needed, or if necessary, its pathways (Options), and / or their actions (</w:t>
      </w:r>
      <w:r w:rsidRPr="00974448">
        <w:rPr>
          <w:color w:val="7F7F7F" w:themeColor="text1" w:themeTint="80"/>
          <w:sz w:val="14"/>
          <w:szCs w:val="14"/>
        </w:rPr>
        <w:t>Ramsbottom and Sheppard 2017, p.13</w:t>
      </w:r>
      <w:r w:rsidRPr="00974448">
        <w:rPr>
          <w:sz w:val="14"/>
          <w:szCs w:val="14"/>
        </w:rPr>
        <w:t>). In this way, the potential need of</w:t>
      </w:r>
      <w:r w:rsidRPr="00974448">
        <w:rPr>
          <w:iCs/>
          <w:sz w:val="14"/>
          <w:szCs w:val="14"/>
        </w:rPr>
        <w:t xml:space="preserve"> periodic updates of the </w:t>
      </w:r>
      <w:r w:rsidRPr="00974448">
        <w:rPr>
          <w:i/>
          <w:sz w:val="14"/>
          <w:szCs w:val="14"/>
        </w:rPr>
        <w:t xml:space="preserve">Options </w:t>
      </w:r>
      <w:r w:rsidRPr="00974448">
        <w:rPr>
          <w:iCs/>
          <w:sz w:val="14"/>
          <w:szCs w:val="14"/>
        </w:rPr>
        <w:t xml:space="preserve">(adaptation pathways) </w:t>
      </w:r>
      <w:r w:rsidRPr="00974448">
        <w:rPr>
          <w:sz w:val="14"/>
          <w:szCs w:val="14"/>
        </w:rPr>
        <w:t xml:space="preserve">could be </w:t>
      </w:r>
      <w:r w:rsidRPr="00974448">
        <w:rPr>
          <w:iCs/>
          <w:sz w:val="14"/>
          <w:szCs w:val="14"/>
        </w:rPr>
        <w:t>addressed (</w:t>
      </w:r>
      <w:r w:rsidRPr="00974448">
        <w:rPr>
          <w:iCs/>
          <w:color w:val="7F7F7F" w:themeColor="text1" w:themeTint="80"/>
          <w:sz w:val="14"/>
          <w:szCs w:val="14"/>
        </w:rPr>
        <w:t>Bloemen et al. 2018</w:t>
      </w:r>
      <w:r w:rsidRPr="00974448">
        <w:rPr>
          <w:iCs/>
          <w:sz w:val="14"/>
          <w:szCs w:val="14"/>
        </w:rPr>
        <w:t>).</w:t>
      </w:r>
      <w:r w:rsidRPr="00974448">
        <w:rPr>
          <w:iCs/>
          <w:sz w:val="12"/>
          <w:szCs w:val="12"/>
        </w:rPr>
        <w:t xml:space="preserve"> </w:t>
      </w:r>
    </w:p>
    <w:p w14:paraId="7EA1A254" w14:textId="77777777" w:rsidR="00AD22FD" w:rsidRPr="00974448" w:rsidRDefault="00AD22FD" w:rsidP="00AD22FD">
      <w:pPr>
        <w:spacing w:after="0" w:line="240" w:lineRule="auto"/>
        <w:rPr>
          <w:rFonts w:ascii="Times New Roman" w:hAnsi="Times New Roman"/>
          <w:sz w:val="14"/>
          <w:szCs w:val="14"/>
        </w:rPr>
      </w:pPr>
      <w:r w:rsidRPr="00974448">
        <w:rPr>
          <w:rFonts w:ascii="Times New Roman" w:hAnsi="Times New Roman"/>
          <w:sz w:val="14"/>
          <w:szCs w:val="14"/>
          <w:lang w:val="en-US"/>
        </w:rPr>
        <w:t xml:space="preserve">At each 10-yearly review and update of the TE2100 Plan, the </w:t>
      </w:r>
      <w:r w:rsidRPr="00974448">
        <w:rPr>
          <w:rFonts w:ascii="Times New Roman" w:hAnsi="Times New Roman"/>
          <w:i/>
          <w:iCs/>
          <w:sz w:val="14"/>
          <w:szCs w:val="14"/>
          <w:lang w:val="en-US"/>
        </w:rPr>
        <w:t>front runner(s) Options</w:t>
      </w:r>
      <w:r w:rsidRPr="00974448">
        <w:rPr>
          <w:rFonts w:ascii="Times New Roman" w:hAnsi="Times New Roman"/>
          <w:sz w:val="14"/>
          <w:szCs w:val="14"/>
          <w:lang w:val="en-US"/>
        </w:rPr>
        <w:t xml:space="preserve"> for the period post-2070 will be reviewed – and around 2050 a firm decision must be made on the</w:t>
      </w:r>
      <w:r w:rsidRPr="00974448">
        <w:rPr>
          <w:rFonts w:ascii="Times New Roman" w:hAnsi="Times New Roman"/>
          <w:i/>
          <w:iCs/>
          <w:sz w:val="14"/>
          <w:szCs w:val="14"/>
          <w:lang w:val="en-US"/>
        </w:rPr>
        <w:t xml:space="preserve"> end-of-the-century Option </w:t>
      </w:r>
      <w:r w:rsidRPr="00974448">
        <w:rPr>
          <w:rFonts w:ascii="Times New Roman" w:hAnsi="Times New Roman"/>
          <w:sz w:val="14"/>
          <w:szCs w:val="14"/>
        </w:rPr>
        <w:t>(</w:t>
      </w:r>
      <w:r w:rsidRPr="00974448">
        <w:rPr>
          <w:rFonts w:ascii="Times New Roman" w:hAnsi="Times New Roman"/>
          <w:color w:val="7F7F7F" w:themeColor="text1" w:themeTint="80"/>
          <w:sz w:val="14"/>
          <w:szCs w:val="14"/>
        </w:rPr>
        <w:t xml:space="preserve">EA 2009A, </w:t>
      </w:r>
      <w:proofErr w:type="spellStart"/>
      <w:r w:rsidRPr="00974448">
        <w:rPr>
          <w:rFonts w:ascii="Times New Roman" w:hAnsi="Times New Roman"/>
          <w:color w:val="7F7F7F" w:themeColor="text1" w:themeTint="80"/>
          <w:sz w:val="14"/>
          <w:szCs w:val="14"/>
        </w:rPr>
        <w:t>p.xxi</w:t>
      </w:r>
      <w:proofErr w:type="spellEnd"/>
      <w:r w:rsidRPr="00974448">
        <w:rPr>
          <w:rFonts w:ascii="Times New Roman" w:hAnsi="Times New Roman"/>
          <w:sz w:val="14"/>
          <w:szCs w:val="14"/>
        </w:rPr>
        <w:t xml:space="preserve">). As part of the regular monitoring and of the periodic planned revision of the TE2100 Plan, it will be necessary to keep the ranking of </w:t>
      </w:r>
      <w:r w:rsidRPr="00974448">
        <w:rPr>
          <w:rFonts w:ascii="Times New Roman" w:hAnsi="Times New Roman"/>
          <w:i/>
          <w:iCs/>
          <w:sz w:val="14"/>
          <w:szCs w:val="14"/>
        </w:rPr>
        <w:t>Options</w:t>
      </w:r>
      <w:r w:rsidRPr="00974448">
        <w:rPr>
          <w:rFonts w:ascii="Times New Roman" w:hAnsi="Times New Roman"/>
          <w:sz w:val="14"/>
          <w:szCs w:val="14"/>
        </w:rPr>
        <w:t xml:space="preserve"> under review</w:t>
      </w:r>
      <w:r w:rsidRPr="00974448">
        <w:rPr>
          <w:rFonts w:ascii="Times New Roman" w:hAnsi="Times New Roman"/>
          <w:i/>
          <w:iCs/>
          <w:sz w:val="14"/>
          <w:szCs w:val="14"/>
        </w:rPr>
        <w:t xml:space="preserve"> </w:t>
      </w:r>
      <w:r w:rsidRPr="00974448">
        <w:rPr>
          <w:rFonts w:ascii="Times New Roman" w:hAnsi="Times New Roman"/>
          <w:sz w:val="14"/>
          <w:szCs w:val="14"/>
        </w:rPr>
        <w:t>(</w:t>
      </w:r>
      <w:r w:rsidRPr="00974448">
        <w:rPr>
          <w:rFonts w:ascii="Times New Roman" w:hAnsi="Times New Roman"/>
          <w:color w:val="7F7F7F" w:themeColor="text1" w:themeTint="80"/>
          <w:sz w:val="14"/>
          <w:szCs w:val="14"/>
        </w:rPr>
        <w:t>EA 2009A, p.232</w:t>
      </w:r>
      <w:r w:rsidRPr="00974448">
        <w:rPr>
          <w:rFonts w:ascii="Times New Roman" w:hAnsi="Times New Roman"/>
          <w:sz w:val="14"/>
          <w:szCs w:val="14"/>
        </w:rPr>
        <w:t xml:space="preserve">); thus, at each 10-year review, the </w:t>
      </w:r>
      <w:r w:rsidRPr="00974448">
        <w:rPr>
          <w:rFonts w:ascii="Times New Roman" w:hAnsi="Times New Roman"/>
          <w:i/>
          <w:iCs/>
          <w:sz w:val="14"/>
          <w:szCs w:val="14"/>
        </w:rPr>
        <w:t>preferred Options</w:t>
      </w:r>
      <w:r w:rsidRPr="00974448">
        <w:rPr>
          <w:rFonts w:ascii="Times New Roman" w:hAnsi="Times New Roman"/>
          <w:sz w:val="14"/>
          <w:szCs w:val="14"/>
        </w:rPr>
        <w:t xml:space="preserve"> must be reviewed using the results of the monitoring of indicators (</w:t>
      </w:r>
      <w:r w:rsidRPr="00974448">
        <w:rPr>
          <w:rFonts w:ascii="Times New Roman" w:hAnsi="Times New Roman"/>
          <w:color w:val="7F7F7F" w:themeColor="text1" w:themeTint="80"/>
          <w:sz w:val="14"/>
          <w:szCs w:val="14"/>
        </w:rPr>
        <w:t>EA 2009A, p.262-263</w:t>
      </w:r>
      <w:r w:rsidRPr="00974448">
        <w:rPr>
          <w:rFonts w:ascii="Times New Roman" w:hAnsi="Times New Roman"/>
          <w:sz w:val="14"/>
          <w:szCs w:val="14"/>
        </w:rPr>
        <w:t>).</w:t>
      </w:r>
      <w:r w:rsidRPr="00974448">
        <w:rPr>
          <w:rFonts w:ascii="Times New Roman" w:hAnsi="Times New Roman"/>
          <w:i/>
          <w:iCs/>
          <w:sz w:val="14"/>
          <w:szCs w:val="14"/>
        </w:rPr>
        <w:t xml:space="preserve"> </w:t>
      </w:r>
      <w:r w:rsidRPr="00974448">
        <w:rPr>
          <w:rFonts w:ascii="Times New Roman" w:hAnsi="Times New Roman"/>
          <w:sz w:val="14"/>
          <w:szCs w:val="14"/>
        </w:rPr>
        <w:t>Moreover, the design standards of protection for flood defences, the FRM Policy, or floodplain management activities, might need to be changed, as time unfolds – these issues will need to be monitored over time and revisited as part of regular reviews of the TE2100 Plan (</w:t>
      </w:r>
      <w:r w:rsidRPr="00974448">
        <w:rPr>
          <w:rFonts w:ascii="Times New Roman" w:hAnsi="Times New Roman"/>
          <w:color w:val="7F7F7F" w:themeColor="text1" w:themeTint="80"/>
          <w:sz w:val="14"/>
          <w:szCs w:val="14"/>
        </w:rPr>
        <w:t>EA 2009A, p.232</w:t>
      </w:r>
      <w:r w:rsidRPr="00974448">
        <w:rPr>
          <w:rFonts w:ascii="Times New Roman" w:hAnsi="Times New Roman"/>
          <w:sz w:val="14"/>
          <w:szCs w:val="14"/>
        </w:rPr>
        <w:t>).</w:t>
      </w:r>
    </w:p>
    <w:p w14:paraId="19DD6FF9" w14:textId="77777777" w:rsidR="00AD22FD" w:rsidRPr="00974448" w:rsidRDefault="00AD22FD" w:rsidP="00AD22FD">
      <w:pPr>
        <w:spacing w:after="0" w:line="240" w:lineRule="auto"/>
        <w:rPr>
          <w:rFonts w:ascii="Times New Roman" w:hAnsi="Times New Roman"/>
          <w:sz w:val="14"/>
          <w:szCs w:val="14"/>
        </w:rPr>
      </w:pPr>
      <w:r w:rsidRPr="00974448">
        <w:rPr>
          <w:rFonts w:ascii="Times New Roman" w:hAnsi="Times New Roman"/>
          <w:bCs/>
          <w:sz w:val="14"/>
          <w:szCs w:val="14"/>
        </w:rPr>
        <w:t xml:space="preserve">The monitoring of indicators is </w:t>
      </w:r>
      <w:r w:rsidRPr="00974448">
        <w:rPr>
          <w:rFonts w:ascii="Times New Roman" w:hAnsi="Times New Roman"/>
          <w:b/>
          <w:sz w:val="14"/>
          <w:szCs w:val="14"/>
        </w:rPr>
        <w:t>vital component</w:t>
      </w:r>
      <w:r w:rsidRPr="00974448">
        <w:rPr>
          <w:rFonts w:ascii="Times New Roman" w:hAnsi="Times New Roman"/>
          <w:bCs/>
          <w:sz w:val="14"/>
          <w:szCs w:val="14"/>
        </w:rPr>
        <w:t xml:space="preserve"> of the Plan; monitoring results must be used to update the Plan’s contents (e.g. the exact date when major interventions will be required will depend on the rate of CC and other changes as these are monitored) (t</w:t>
      </w:r>
      <w:r w:rsidRPr="00974448">
        <w:rPr>
          <w:rFonts w:ascii="Times New Roman" w:hAnsi="Times New Roman"/>
          <w:sz w:val="14"/>
          <w:szCs w:val="14"/>
        </w:rPr>
        <w:t>he dates estimated for interventions are likely to change, as the actual rates of change are unlikely to be the same as the assumed rates of change, the indicators must be monitored as part of the Plan, and the intervention-dates must be modified as necessary and the Plan updated)</w:t>
      </w:r>
      <w:r w:rsidRPr="00974448">
        <w:rPr>
          <w:rFonts w:ascii="Times New Roman" w:hAnsi="Times New Roman"/>
          <w:i/>
          <w:iCs/>
          <w:sz w:val="14"/>
          <w:szCs w:val="14"/>
        </w:rPr>
        <w:t xml:space="preserve"> </w:t>
      </w:r>
      <w:r w:rsidRPr="00974448">
        <w:rPr>
          <w:rFonts w:ascii="Times New Roman" w:hAnsi="Times New Roman"/>
          <w:sz w:val="14"/>
          <w:szCs w:val="14"/>
        </w:rPr>
        <w:t>(</w:t>
      </w:r>
      <w:r w:rsidRPr="00974448">
        <w:rPr>
          <w:rFonts w:ascii="Times New Roman" w:hAnsi="Times New Roman"/>
          <w:color w:val="7F7F7F" w:themeColor="text1" w:themeTint="80"/>
          <w:sz w:val="14"/>
          <w:szCs w:val="14"/>
        </w:rPr>
        <w:t>EA 2009A, p.267</w:t>
      </w:r>
      <w:r w:rsidRPr="00974448">
        <w:rPr>
          <w:rFonts w:ascii="Times New Roman" w:hAnsi="Times New Roman"/>
          <w:sz w:val="14"/>
          <w:szCs w:val="14"/>
        </w:rPr>
        <w:t xml:space="preserve">).  </w:t>
      </w:r>
    </w:p>
    <w:p w14:paraId="5F1D55E2" w14:textId="77777777" w:rsidR="00AD22FD" w:rsidRPr="00974448" w:rsidRDefault="00AD22FD" w:rsidP="00AD22FD">
      <w:pPr>
        <w:spacing w:after="60" w:line="240" w:lineRule="auto"/>
        <w:rPr>
          <w:rFonts w:ascii="Times New Roman" w:hAnsi="Times New Roman"/>
          <w:bCs/>
          <w:sz w:val="14"/>
          <w:szCs w:val="14"/>
        </w:rPr>
      </w:pPr>
      <w:r w:rsidRPr="00974448">
        <w:rPr>
          <w:rFonts w:ascii="Times New Roman" w:hAnsi="Times New Roman"/>
          <w:sz w:val="14"/>
          <w:szCs w:val="14"/>
        </w:rPr>
        <w:t>As indicators are monitored,</w:t>
      </w:r>
      <w:r w:rsidRPr="00974448">
        <w:rPr>
          <w:rFonts w:ascii="Times New Roman" w:hAnsi="Times New Roman"/>
          <w:i/>
          <w:iCs/>
          <w:sz w:val="14"/>
          <w:szCs w:val="14"/>
        </w:rPr>
        <w:t xml:space="preserve"> monitoring results must be used to update the estimated dates when ‘portfolios’ must be implemented as well as the dates when decisions must be made </w:t>
      </w:r>
      <w:r w:rsidRPr="00974448">
        <w:rPr>
          <w:rFonts w:ascii="Times New Roman" w:hAnsi="Times New Roman"/>
          <w:sz w:val="14"/>
          <w:szCs w:val="14"/>
        </w:rPr>
        <w:t>(</w:t>
      </w:r>
      <w:r w:rsidRPr="00974448">
        <w:rPr>
          <w:rFonts w:ascii="Times New Roman" w:hAnsi="Times New Roman"/>
          <w:color w:val="7F7F7F" w:themeColor="text1" w:themeTint="80"/>
          <w:sz w:val="14"/>
          <w:szCs w:val="14"/>
        </w:rPr>
        <w:t>EA 2009A, p.280</w:t>
      </w:r>
      <w:r w:rsidRPr="00974448">
        <w:rPr>
          <w:rFonts w:ascii="Times New Roman" w:hAnsi="Times New Roman"/>
          <w:sz w:val="14"/>
          <w:szCs w:val="14"/>
        </w:rPr>
        <w:t>).</w:t>
      </w:r>
      <w:r w:rsidRPr="00974448">
        <w:rPr>
          <w:rFonts w:ascii="Times New Roman" w:hAnsi="Times New Roman"/>
          <w:bCs/>
          <w:sz w:val="14"/>
          <w:szCs w:val="14"/>
        </w:rPr>
        <w:t xml:space="preserve"> </w:t>
      </w:r>
      <w:r w:rsidRPr="00974448">
        <w:rPr>
          <w:rFonts w:ascii="Times New Roman" w:hAnsi="Times New Roman"/>
          <w:sz w:val="14"/>
          <w:szCs w:val="14"/>
        </w:rPr>
        <w:t xml:space="preserve">The </w:t>
      </w:r>
      <w:r w:rsidRPr="00974448">
        <w:rPr>
          <w:rFonts w:ascii="Times New Roman" w:hAnsi="Times New Roman"/>
          <w:i/>
          <w:iCs/>
          <w:sz w:val="14"/>
          <w:szCs w:val="14"/>
        </w:rPr>
        <w:t>preferred Options</w:t>
      </w:r>
      <w:r w:rsidRPr="00974448">
        <w:rPr>
          <w:rFonts w:ascii="Times New Roman" w:hAnsi="Times New Roman"/>
          <w:sz w:val="14"/>
          <w:szCs w:val="14"/>
        </w:rPr>
        <w:t xml:space="preserve"> and the </w:t>
      </w:r>
      <w:r w:rsidRPr="00974448">
        <w:rPr>
          <w:rFonts w:ascii="Times New Roman" w:hAnsi="Times New Roman"/>
          <w:i/>
          <w:iCs/>
          <w:sz w:val="14"/>
          <w:szCs w:val="14"/>
        </w:rPr>
        <w:t>alternative Options</w:t>
      </w:r>
      <w:r w:rsidRPr="00974448">
        <w:rPr>
          <w:rFonts w:ascii="Times New Roman" w:hAnsi="Times New Roman"/>
          <w:sz w:val="14"/>
          <w:szCs w:val="14"/>
        </w:rPr>
        <w:t xml:space="preserve"> must be re-appraised, using the updated best estimates of future change, which may lead to a change in the selected </w:t>
      </w:r>
      <w:r w:rsidRPr="00974448">
        <w:rPr>
          <w:rFonts w:ascii="Times New Roman" w:hAnsi="Times New Roman"/>
          <w:i/>
          <w:iCs/>
          <w:sz w:val="14"/>
          <w:szCs w:val="14"/>
        </w:rPr>
        <w:t>Option</w:t>
      </w:r>
      <w:r w:rsidRPr="00974448">
        <w:rPr>
          <w:rFonts w:ascii="Times New Roman" w:hAnsi="Times New Roman"/>
          <w:sz w:val="14"/>
          <w:szCs w:val="14"/>
        </w:rPr>
        <w:t xml:space="preserve">. Moreover, while the Plan contains alternative Options, it will be necessary to consider whether there are any other alternative options whenever the </w:t>
      </w:r>
      <w:r w:rsidRPr="00974448">
        <w:rPr>
          <w:rFonts w:ascii="Times New Roman" w:hAnsi="Times New Roman"/>
          <w:i/>
          <w:iCs/>
          <w:sz w:val="14"/>
          <w:szCs w:val="14"/>
        </w:rPr>
        <w:t>Options</w:t>
      </w:r>
      <w:r w:rsidRPr="00974448">
        <w:rPr>
          <w:rFonts w:ascii="Times New Roman" w:hAnsi="Times New Roman"/>
          <w:sz w:val="14"/>
          <w:szCs w:val="14"/>
        </w:rPr>
        <w:t xml:space="preserve"> are reviewed (</w:t>
      </w:r>
      <w:r w:rsidRPr="00974448">
        <w:rPr>
          <w:rFonts w:ascii="Times New Roman" w:hAnsi="Times New Roman"/>
          <w:color w:val="7F7F7F" w:themeColor="text1" w:themeTint="80"/>
          <w:sz w:val="14"/>
          <w:szCs w:val="14"/>
        </w:rPr>
        <w:t>EA 2009A, p.280</w:t>
      </w:r>
      <w:r w:rsidRPr="00974448">
        <w:rPr>
          <w:rFonts w:ascii="Times New Roman" w:hAnsi="Times New Roman"/>
          <w:sz w:val="14"/>
          <w:szCs w:val="14"/>
        </w:rPr>
        <w:t>), i.e. it is necessary</w:t>
      </w:r>
      <w:r w:rsidRPr="00974448">
        <w:rPr>
          <w:rFonts w:ascii="Times New Roman" w:hAnsi="Times New Roman"/>
          <w:i/>
          <w:iCs/>
          <w:sz w:val="14"/>
          <w:szCs w:val="14"/>
        </w:rPr>
        <w:t xml:space="preserve"> to consider whether the preferred options </w:t>
      </w:r>
      <w:r w:rsidRPr="00974448">
        <w:rPr>
          <w:rFonts w:ascii="Times New Roman" w:hAnsi="Times New Roman"/>
          <w:sz w:val="14"/>
          <w:szCs w:val="14"/>
        </w:rPr>
        <w:t>identified in 2009</w:t>
      </w:r>
      <w:r w:rsidRPr="00974448">
        <w:rPr>
          <w:rFonts w:ascii="Times New Roman" w:hAnsi="Times New Roman"/>
          <w:i/>
          <w:iCs/>
          <w:sz w:val="14"/>
          <w:szCs w:val="14"/>
        </w:rPr>
        <w:t xml:space="preserve"> are still the best; appraisal is (…) needed to decide the best way forward whenever the Plan is updated </w:t>
      </w:r>
      <w:r w:rsidRPr="00974448">
        <w:rPr>
          <w:rFonts w:ascii="Times New Roman" w:hAnsi="Times New Roman"/>
          <w:sz w:val="14"/>
          <w:szCs w:val="14"/>
        </w:rPr>
        <w:t>(</w:t>
      </w:r>
      <w:r w:rsidRPr="00974448">
        <w:rPr>
          <w:rFonts w:ascii="Times New Roman" w:hAnsi="Times New Roman"/>
          <w:color w:val="7F7F7F" w:themeColor="text1" w:themeTint="80"/>
          <w:sz w:val="14"/>
          <w:szCs w:val="14"/>
        </w:rPr>
        <w:t>EA 2009A, p.290</w:t>
      </w:r>
      <w:r w:rsidRPr="00974448">
        <w:rPr>
          <w:rFonts w:ascii="Times New Roman" w:hAnsi="Times New Roman"/>
          <w:sz w:val="14"/>
          <w:szCs w:val="14"/>
        </w:rPr>
        <w:t>).</w:t>
      </w:r>
      <w:r w:rsidRPr="00974448">
        <w:rPr>
          <w:rFonts w:ascii="Times New Roman" w:hAnsi="Times New Roman"/>
          <w:i/>
          <w:iCs/>
          <w:sz w:val="14"/>
          <w:szCs w:val="14"/>
        </w:rPr>
        <w:t xml:space="preserve">  </w:t>
      </w:r>
    </w:p>
  </w:footnote>
  <w:footnote w:id="75">
    <w:p w14:paraId="0374A250" w14:textId="77777777" w:rsidR="00AD22FD" w:rsidRPr="00974448" w:rsidRDefault="00AD22FD" w:rsidP="00AD22FD">
      <w:pPr>
        <w:pStyle w:val="TEXTBODY"/>
        <w:spacing w:after="0" w:line="240" w:lineRule="auto"/>
        <w:jc w:val="left"/>
        <w:rPr>
          <w:sz w:val="14"/>
          <w:szCs w:val="14"/>
        </w:rPr>
      </w:pPr>
      <w:r w:rsidRPr="00974448">
        <w:rPr>
          <w:rStyle w:val="Refdenotaderodap"/>
          <w:sz w:val="14"/>
          <w:szCs w:val="14"/>
        </w:rPr>
        <w:footnoteRef/>
      </w:r>
      <w:r w:rsidRPr="00974448">
        <w:rPr>
          <w:sz w:val="14"/>
          <w:szCs w:val="14"/>
        </w:rPr>
        <w:t xml:space="preserve"> </w:t>
      </w:r>
      <w:r w:rsidRPr="00974448">
        <w:rPr>
          <w:rFonts w:eastAsia="Calibri"/>
          <w:sz w:val="14"/>
          <w:szCs w:val="14"/>
        </w:rPr>
        <w:t xml:space="preserve">The indicators must be monitored, and the Plan must be regularly reviewed (based on the monitored outputs), to ensure that the Plan </w:t>
      </w:r>
      <w:r w:rsidRPr="00974448">
        <w:rPr>
          <w:sz w:val="14"/>
          <w:szCs w:val="14"/>
        </w:rPr>
        <w:t xml:space="preserve">remains </w:t>
      </w:r>
      <w:r w:rsidRPr="00974448">
        <w:rPr>
          <w:i/>
          <w:iCs/>
          <w:sz w:val="14"/>
          <w:szCs w:val="14"/>
        </w:rPr>
        <w:t>adaptable to change</w:t>
      </w:r>
      <w:r w:rsidRPr="00974448">
        <w:rPr>
          <w:sz w:val="14"/>
          <w:szCs w:val="14"/>
        </w:rPr>
        <w:t xml:space="preserve">, </w:t>
      </w:r>
      <w:r w:rsidRPr="00974448">
        <w:rPr>
          <w:i/>
          <w:iCs/>
          <w:sz w:val="14"/>
          <w:szCs w:val="14"/>
        </w:rPr>
        <w:t>flexible</w:t>
      </w:r>
      <w:r w:rsidRPr="00974448">
        <w:rPr>
          <w:sz w:val="14"/>
          <w:szCs w:val="14"/>
        </w:rPr>
        <w:t xml:space="preserve">, and </w:t>
      </w:r>
      <w:r w:rsidRPr="00974448">
        <w:rPr>
          <w:i/>
          <w:iCs/>
          <w:sz w:val="14"/>
          <w:szCs w:val="14"/>
        </w:rPr>
        <w:t>fit-for-purpose</w:t>
      </w:r>
      <w:r w:rsidRPr="00974448">
        <w:rPr>
          <w:sz w:val="14"/>
          <w:szCs w:val="14"/>
        </w:rPr>
        <w:t xml:space="preserve"> over its lifespan</w:t>
      </w:r>
      <w:r w:rsidRPr="00974448">
        <w:rPr>
          <w:rFonts w:eastAsia="Calibri"/>
          <w:sz w:val="14"/>
          <w:szCs w:val="14"/>
        </w:rPr>
        <w:t>, and responds adequately to changes (</w:t>
      </w:r>
      <w:r w:rsidRPr="00974448">
        <w:rPr>
          <w:rFonts w:eastAsia="Calibri"/>
          <w:color w:val="7F7F7F" w:themeColor="text1" w:themeTint="80"/>
          <w:sz w:val="14"/>
          <w:szCs w:val="14"/>
        </w:rPr>
        <w:t xml:space="preserve">EA 2012, p.36,38, 39; </w:t>
      </w:r>
      <w:r w:rsidRPr="00974448">
        <w:rPr>
          <w:color w:val="7F7F7F" w:themeColor="text1" w:themeTint="80"/>
          <w:sz w:val="14"/>
          <w:szCs w:val="14"/>
        </w:rPr>
        <w:t>EA 2016; EA 2009A, p.262, xv</w:t>
      </w:r>
      <w:r w:rsidRPr="00974448">
        <w:rPr>
          <w:sz w:val="14"/>
          <w:szCs w:val="14"/>
        </w:rPr>
        <w:t xml:space="preserve">). The ongoing monitoring of local and global changes, and the regular reviews of the Plan (including the re-appraisals and updates of its diverse contents) help to ensure that the Plan remains </w:t>
      </w:r>
      <w:r w:rsidRPr="00974448">
        <w:rPr>
          <w:i/>
          <w:iCs/>
          <w:sz w:val="14"/>
          <w:szCs w:val="14"/>
        </w:rPr>
        <w:t>adaptable</w:t>
      </w:r>
      <w:r w:rsidRPr="00974448">
        <w:rPr>
          <w:sz w:val="14"/>
          <w:szCs w:val="14"/>
        </w:rPr>
        <w:t xml:space="preserve"> (</w:t>
      </w:r>
      <w:r w:rsidRPr="00974448">
        <w:rPr>
          <w:color w:val="595959" w:themeColor="text1" w:themeTint="A6"/>
          <w:sz w:val="14"/>
          <w:szCs w:val="14"/>
        </w:rPr>
        <w:t>Ramsbottom and Sheppard 2017, p.5, 12-13</w:t>
      </w:r>
      <w:r w:rsidRPr="00974448">
        <w:rPr>
          <w:sz w:val="14"/>
          <w:szCs w:val="14"/>
        </w:rPr>
        <w:t xml:space="preserve">). </w:t>
      </w:r>
    </w:p>
  </w:footnote>
  <w:footnote w:id="76">
    <w:p w14:paraId="2C83770F" w14:textId="77777777" w:rsidR="00AD22FD" w:rsidRPr="00974448" w:rsidRDefault="00AD22FD" w:rsidP="00AD22FD">
      <w:pPr>
        <w:pStyle w:val="Textodenotaderodap"/>
        <w:rPr>
          <w:sz w:val="14"/>
          <w:szCs w:val="14"/>
        </w:rPr>
      </w:pPr>
      <w:r w:rsidRPr="00974448">
        <w:rPr>
          <w:rStyle w:val="Refdenotaderodap"/>
          <w:sz w:val="14"/>
          <w:szCs w:val="14"/>
        </w:rPr>
        <w:footnoteRef/>
      </w:r>
      <w:r w:rsidRPr="00974448">
        <w:rPr>
          <w:sz w:val="14"/>
          <w:szCs w:val="14"/>
        </w:rPr>
        <w:t xml:space="preserve"> </w:t>
      </w:r>
      <w:r w:rsidRPr="00974448">
        <w:rPr>
          <w:iCs/>
          <w:sz w:val="14"/>
          <w:szCs w:val="14"/>
        </w:rPr>
        <w:t xml:space="preserve">Overall, the Plan </w:t>
      </w:r>
      <w:r w:rsidRPr="00974448">
        <w:rPr>
          <w:i/>
          <w:sz w:val="14"/>
          <w:szCs w:val="14"/>
        </w:rPr>
        <w:t xml:space="preserve">can accommodate future change and can be adjusted when the rate of change is either faster or slower than originally predicted </w:t>
      </w:r>
      <w:r w:rsidRPr="00974448">
        <w:rPr>
          <w:iCs/>
          <w:sz w:val="14"/>
          <w:szCs w:val="14"/>
        </w:rPr>
        <w:t>(</w:t>
      </w:r>
      <w:r w:rsidRPr="00974448">
        <w:rPr>
          <w:iCs/>
          <w:color w:val="7F7F7F" w:themeColor="text1" w:themeTint="80"/>
          <w:sz w:val="14"/>
          <w:szCs w:val="14"/>
        </w:rPr>
        <w:t>EA 2016, p.</w:t>
      </w:r>
      <w:r w:rsidRPr="00974448">
        <w:rPr>
          <w:color w:val="7F7F7F" w:themeColor="text1" w:themeTint="80"/>
          <w:sz w:val="14"/>
          <w:szCs w:val="14"/>
        </w:rPr>
        <w:t>15</w:t>
      </w:r>
      <w:r w:rsidRPr="00974448">
        <w:rPr>
          <w:sz w:val="14"/>
          <w:szCs w:val="14"/>
        </w:rPr>
        <w:t>).</w:t>
      </w:r>
    </w:p>
  </w:footnote>
  <w:footnote w:id="77">
    <w:p w14:paraId="4A7B436E" w14:textId="77777777" w:rsidR="00AD22FD" w:rsidRPr="00974448" w:rsidRDefault="00AD22FD" w:rsidP="00AD22FD">
      <w:pPr>
        <w:spacing w:after="0" w:line="240" w:lineRule="auto"/>
        <w:rPr>
          <w:rFonts w:ascii="Times New Roman" w:hAnsi="Times New Roman"/>
          <w:sz w:val="14"/>
          <w:szCs w:val="14"/>
        </w:rPr>
      </w:pPr>
      <w:r w:rsidRPr="00974448">
        <w:rPr>
          <w:rStyle w:val="Refdenotaderodap"/>
          <w:rFonts w:ascii="Times New Roman" w:hAnsi="Times New Roman"/>
          <w:sz w:val="14"/>
          <w:szCs w:val="14"/>
        </w:rPr>
        <w:footnoteRef/>
      </w:r>
      <w:r w:rsidRPr="00974448">
        <w:rPr>
          <w:rFonts w:ascii="Times New Roman" w:hAnsi="Times New Roman"/>
          <w:sz w:val="14"/>
          <w:szCs w:val="14"/>
        </w:rPr>
        <w:t xml:space="preserve"> The TE2100’s monitoring and review system (M&amp;R) seeks to ensure that the Plan is regularly reviewed and updated to reflect the existing circumstances, and it is crucial for the Plan’s </w:t>
      </w:r>
      <w:r w:rsidRPr="00974448">
        <w:rPr>
          <w:rFonts w:ascii="Times New Roman" w:hAnsi="Times New Roman"/>
          <w:b/>
          <w:bCs/>
          <w:i/>
          <w:iCs/>
          <w:sz w:val="14"/>
          <w:szCs w:val="14"/>
        </w:rPr>
        <w:t>adaptability</w:t>
      </w:r>
      <w:r w:rsidRPr="00974448">
        <w:rPr>
          <w:rFonts w:ascii="Times New Roman" w:hAnsi="Times New Roman"/>
          <w:b/>
          <w:bCs/>
          <w:sz w:val="14"/>
          <w:szCs w:val="14"/>
        </w:rPr>
        <w:t xml:space="preserve"> </w:t>
      </w:r>
      <w:r w:rsidRPr="00974448">
        <w:rPr>
          <w:rFonts w:ascii="Times New Roman" w:hAnsi="Times New Roman"/>
          <w:sz w:val="14"/>
          <w:szCs w:val="14"/>
        </w:rPr>
        <w:t>(</w:t>
      </w:r>
      <w:r w:rsidRPr="00974448">
        <w:rPr>
          <w:rFonts w:ascii="Times New Roman" w:hAnsi="Times New Roman"/>
          <w:bCs/>
          <w:color w:val="7F7F7F" w:themeColor="text1" w:themeTint="80"/>
          <w:sz w:val="14"/>
          <w:szCs w:val="14"/>
        </w:rPr>
        <w:t>EA 2009A, p.11</w:t>
      </w:r>
      <w:r w:rsidRPr="00974448">
        <w:rPr>
          <w:rFonts w:ascii="Times New Roman" w:hAnsi="Times New Roman"/>
          <w:bCs/>
          <w:sz w:val="14"/>
          <w:szCs w:val="14"/>
        </w:rPr>
        <w:t>); t</w:t>
      </w:r>
      <w:r w:rsidRPr="00974448">
        <w:rPr>
          <w:rFonts w:ascii="Times New Roman" w:hAnsi="Times New Roman"/>
          <w:sz w:val="14"/>
          <w:szCs w:val="14"/>
          <w:lang w:val="en-US"/>
        </w:rPr>
        <w:t xml:space="preserve">he monitoring of indicators, in particular, </w:t>
      </w:r>
      <w:r w:rsidRPr="00974448">
        <w:rPr>
          <w:rFonts w:ascii="Times New Roman" w:hAnsi="Times New Roman"/>
          <w:sz w:val="14"/>
          <w:szCs w:val="14"/>
        </w:rPr>
        <w:t xml:space="preserve">is deemed </w:t>
      </w:r>
      <w:r w:rsidRPr="00974448">
        <w:rPr>
          <w:rFonts w:ascii="Times New Roman" w:hAnsi="Times New Roman"/>
          <w:i/>
          <w:iCs/>
          <w:sz w:val="14"/>
          <w:szCs w:val="14"/>
        </w:rPr>
        <w:t>a key part of the adaptability of the TE2100 Plan to future change</w:t>
      </w:r>
      <w:r w:rsidRPr="00974448">
        <w:rPr>
          <w:rFonts w:ascii="Times New Roman" w:hAnsi="Times New Roman"/>
          <w:sz w:val="14"/>
          <w:szCs w:val="14"/>
        </w:rPr>
        <w:t xml:space="preserve"> (</w:t>
      </w:r>
      <w:r w:rsidRPr="00974448">
        <w:rPr>
          <w:rFonts w:ascii="Times New Roman" w:hAnsi="Times New Roman"/>
          <w:bCs/>
          <w:color w:val="7F7F7F" w:themeColor="text1" w:themeTint="80"/>
          <w:sz w:val="14"/>
          <w:szCs w:val="14"/>
        </w:rPr>
        <w:t>EA 2009A, p.8</w:t>
      </w:r>
      <w:r w:rsidRPr="00974448">
        <w:rPr>
          <w:rFonts w:ascii="Times New Roman" w:hAnsi="Times New Roman"/>
          <w:bCs/>
          <w:sz w:val="14"/>
          <w:szCs w:val="14"/>
        </w:rPr>
        <w:t xml:space="preserve">). </w:t>
      </w:r>
      <w:r w:rsidRPr="00974448">
        <w:rPr>
          <w:rFonts w:ascii="Times New Roman" w:hAnsi="Times New Roman"/>
          <w:sz w:val="14"/>
          <w:szCs w:val="14"/>
        </w:rPr>
        <w:t>As noted in the Technical Report</w:t>
      </w:r>
      <w:r w:rsidRPr="00974448">
        <w:rPr>
          <w:rFonts w:ascii="Times New Roman" w:hAnsi="Times New Roman"/>
          <w:color w:val="C00000"/>
          <w:sz w:val="14"/>
          <w:szCs w:val="14"/>
        </w:rPr>
        <w:t xml:space="preserve">, </w:t>
      </w:r>
      <w:r w:rsidRPr="00974448">
        <w:rPr>
          <w:rFonts w:ascii="Times New Roman" w:hAnsi="Times New Roman"/>
          <w:sz w:val="14"/>
          <w:szCs w:val="14"/>
        </w:rPr>
        <w:t>given the uncertainty surrounding the effects of CC,</w:t>
      </w:r>
      <w:r w:rsidRPr="00974448">
        <w:rPr>
          <w:rFonts w:ascii="Times New Roman" w:hAnsi="Times New Roman"/>
          <w:i/>
          <w:iCs/>
          <w:sz w:val="14"/>
          <w:szCs w:val="14"/>
        </w:rPr>
        <w:t xml:space="preserve"> it will be essential to have </w:t>
      </w:r>
      <w:r w:rsidRPr="00974448">
        <w:rPr>
          <w:rFonts w:ascii="Times New Roman" w:hAnsi="Times New Roman"/>
          <w:b/>
          <w:bCs/>
          <w:i/>
          <w:iCs/>
          <w:sz w:val="14"/>
          <w:szCs w:val="14"/>
        </w:rPr>
        <w:t>adaptability and flexibility</w:t>
      </w:r>
      <w:r w:rsidRPr="00974448">
        <w:rPr>
          <w:rFonts w:ascii="Times New Roman" w:hAnsi="Times New Roman"/>
          <w:i/>
          <w:iCs/>
          <w:sz w:val="14"/>
          <w:szCs w:val="14"/>
        </w:rPr>
        <w:t xml:space="preserve"> as a key part of the Plan</w:t>
      </w:r>
      <w:r w:rsidRPr="00974448">
        <w:rPr>
          <w:rFonts w:ascii="Times New Roman" w:hAnsi="Times New Roman"/>
          <w:sz w:val="14"/>
          <w:szCs w:val="14"/>
        </w:rPr>
        <w:t xml:space="preserve">, which points to </w:t>
      </w:r>
      <w:r w:rsidRPr="00974448">
        <w:rPr>
          <w:rFonts w:ascii="Times New Roman" w:hAnsi="Times New Roman"/>
          <w:i/>
          <w:iCs/>
          <w:sz w:val="14"/>
          <w:szCs w:val="14"/>
        </w:rPr>
        <w:t>the need for the ongoing monitoring of CC science and the actual effects of CC, particularly on SLR</w:t>
      </w:r>
      <w:r w:rsidRPr="00974448">
        <w:rPr>
          <w:rFonts w:ascii="Times New Roman" w:hAnsi="Times New Roman"/>
          <w:sz w:val="14"/>
          <w:szCs w:val="14"/>
        </w:rPr>
        <w:t>, as part of the implementation of the Plan (</w:t>
      </w:r>
      <w:r w:rsidRPr="00974448">
        <w:rPr>
          <w:rFonts w:ascii="Times New Roman" w:hAnsi="Times New Roman"/>
          <w:color w:val="7F7F7F" w:themeColor="text1" w:themeTint="80"/>
          <w:sz w:val="14"/>
          <w:szCs w:val="14"/>
        </w:rPr>
        <w:t>EA 2009A, p.72</w:t>
      </w:r>
      <w:r w:rsidRPr="00974448">
        <w:rPr>
          <w:rFonts w:ascii="Times New Roman" w:hAnsi="Times New Roman"/>
          <w:sz w:val="14"/>
          <w:szCs w:val="14"/>
        </w:rPr>
        <w:t>).</w:t>
      </w:r>
    </w:p>
  </w:footnote>
  <w:footnote w:id="78">
    <w:p w14:paraId="75D6A9A6" w14:textId="77777777" w:rsidR="00AD22FD" w:rsidRPr="00974448" w:rsidRDefault="00AD22FD" w:rsidP="00AD22FD">
      <w:pPr>
        <w:spacing w:after="0" w:line="240" w:lineRule="auto"/>
        <w:rPr>
          <w:rFonts w:ascii="Times New Roman" w:hAnsi="Times New Roman"/>
          <w:sz w:val="14"/>
          <w:szCs w:val="14"/>
        </w:rPr>
      </w:pPr>
      <w:r w:rsidRPr="00974448">
        <w:rPr>
          <w:rStyle w:val="Refdenotaderodap"/>
          <w:rFonts w:ascii="Times New Roman" w:hAnsi="Times New Roman"/>
          <w:sz w:val="14"/>
          <w:szCs w:val="14"/>
        </w:rPr>
        <w:footnoteRef/>
      </w:r>
      <w:r w:rsidRPr="00974448">
        <w:rPr>
          <w:rFonts w:ascii="Times New Roman" w:hAnsi="Times New Roman"/>
          <w:sz w:val="14"/>
          <w:szCs w:val="14"/>
        </w:rPr>
        <w:t xml:space="preserve"> The phase of implementation has included</w:t>
      </w:r>
      <w:r w:rsidRPr="00974448">
        <w:rPr>
          <w:rFonts w:ascii="Times New Roman" w:hAnsi="Times New Roman"/>
          <w:i/>
          <w:iCs/>
          <w:sz w:val="14"/>
          <w:szCs w:val="14"/>
        </w:rPr>
        <w:t xml:space="preserve"> monitoring activities together with a programme of review and maintenance of the Plan itself to ensure it is fit for purpose during its life </w:t>
      </w:r>
      <w:r w:rsidRPr="00974448">
        <w:rPr>
          <w:rFonts w:ascii="Times New Roman" w:hAnsi="Times New Roman"/>
          <w:sz w:val="14"/>
          <w:szCs w:val="14"/>
        </w:rPr>
        <w:t>(</w:t>
      </w:r>
      <w:r w:rsidRPr="00974448">
        <w:rPr>
          <w:rFonts w:ascii="Times New Roman" w:hAnsi="Times New Roman"/>
          <w:color w:val="7F7F7F" w:themeColor="text1" w:themeTint="80"/>
          <w:sz w:val="14"/>
          <w:szCs w:val="14"/>
        </w:rPr>
        <w:t>EA 2009A, p.262</w:t>
      </w:r>
      <w:r w:rsidRPr="00974448">
        <w:rPr>
          <w:rFonts w:ascii="Times New Roman" w:hAnsi="Times New Roman"/>
          <w:sz w:val="14"/>
          <w:szCs w:val="14"/>
        </w:rPr>
        <w:t>).</w:t>
      </w:r>
      <w:r w:rsidRPr="00974448">
        <w:rPr>
          <w:rFonts w:ascii="Times New Roman" w:hAnsi="Times New Roman"/>
          <w:color w:val="C00000"/>
          <w:sz w:val="14"/>
          <w:szCs w:val="14"/>
        </w:rPr>
        <w:t xml:space="preserve"> </w:t>
      </w:r>
      <w:r w:rsidRPr="00974448">
        <w:rPr>
          <w:rFonts w:ascii="Times New Roman" w:hAnsi="Times New Roman"/>
          <w:sz w:val="14"/>
          <w:szCs w:val="14"/>
        </w:rPr>
        <w:t>The monitoring programme established in the Plan is deemed essential to detect rates of change and identify triggers (thus, it is an important component of the ‘blueprint for implementation’), and the produced data must be regularly used to update estimates of the dates when new interventions will be required</w:t>
      </w:r>
      <w:r w:rsidRPr="00974448">
        <w:rPr>
          <w:rFonts w:ascii="Times New Roman" w:hAnsi="Times New Roman"/>
          <w:i/>
          <w:iCs/>
          <w:sz w:val="14"/>
          <w:szCs w:val="14"/>
        </w:rPr>
        <w:t xml:space="preserve"> </w:t>
      </w:r>
      <w:r w:rsidRPr="00974448">
        <w:rPr>
          <w:rFonts w:ascii="Times New Roman" w:hAnsi="Times New Roman"/>
          <w:bCs/>
          <w:sz w:val="14"/>
          <w:szCs w:val="14"/>
        </w:rPr>
        <w:t>(</w:t>
      </w:r>
      <w:r w:rsidRPr="00974448">
        <w:rPr>
          <w:rFonts w:ascii="Times New Roman" w:hAnsi="Times New Roman"/>
          <w:bCs/>
          <w:color w:val="7F7F7F" w:themeColor="text1" w:themeTint="80"/>
          <w:sz w:val="14"/>
          <w:szCs w:val="14"/>
        </w:rPr>
        <w:t>EA 2009A, p.11</w:t>
      </w:r>
      <w:r w:rsidRPr="00974448">
        <w:rPr>
          <w:rFonts w:ascii="Times New Roman" w:hAnsi="Times New Roman"/>
          <w:bCs/>
          <w:sz w:val="14"/>
          <w:szCs w:val="14"/>
        </w:rPr>
        <w:t>).</w:t>
      </w:r>
      <w:r w:rsidRPr="00974448">
        <w:rPr>
          <w:rFonts w:ascii="Times New Roman" w:hAnsi="Times New Roman"/>
          <w:i/>
          <w:iCs/>
          <w:sz w:val="14"/>
          <w:szCs w:val="14"/>
        </w:rPr>
        <w:t xml:space="preserve"> </w:t>
      </w:r>
      <w:r w:rsidRPr="00974448">
        <w:rPr>
          <w:rFonts w:ascii="Times New Roman" w:hAnsi="Times New Roman"/>
          <w:sz w:val="14"/>
          <w:szCs w:val="14"/>
        </w:rPr>
        <w:t>The phase of implementation has included</w:t>
      </w:r>
      <w:r w:rsidRPr="00974448">
        <w:rPr>
          <w:rFonts w:ascii="Times New Roman" w:hAnsi="Times New Roman"/>
          <w:i/>
          <w:iCs/>
          <w:sz w:val="14"/>
          <w:szCs w:val="14"/>
        </w:rPr>
        <w:t xml:space="preserve"> monitoring activities together with a programme of review and maintenance of the Plan itself to ensure it is fit for purpose for the duration of its life </w:t>
      </w:r>
      <w:r w:rsidRPr="00974448">
        <w:rPr>
          <w:rFonts w:ascii="Times New Roman" w:hAnsi="Times New Roman"/>
          <w:sz w:val="14"/>
          <w:szCs w:val="14"/>
        </w:rPr>
        <w:t>(</w:t>
      </w:r>
      <w:r w:rsidRPr="00974448">
        <w:rPr>
          <w:rFonts w:ascii="Times New Roman" w:hAnsi="Times New Roman"/>
          <w:color w:val="7F7F7F" w:themeColor="text1" w:themeTint="80"/>
          <w:sz w:val="14"/>
          <w:szCs w:val="14"/>
        </w:rPr>
        <w:t>EA 2009A, p.262</w:t>
      </w:r>
      <w:r w:rsidRPr="00974448">
        <w:rPr>
          <w:rFonts w:ascii="Times New Roman" w:hAnsi="Times New Roman"/>
          <w:sz w:val="14"/>
          <w:szCs w:val="14"/>
        </w:rPr>
        <w:t>).</w:t>
      </w:r>
      <w:r w:rsidRPr="00974448">
        <w:rPr>
          <w:rFonts w:ascii="Times New Roman" w:hAnsi="Times New Roman"/>
          <w:color w:val="C00000"/>
          <w:sz w:val="14"/>
          <w:szCs w:val="14"/>
        </w:rPr>
        <w:t xml:space="preserve"> </w:t>
      </w:r>
      <w:r w:rsidRPr="00974448">
        <w:rPr>
          <w:rFonts w:ascii="Times New Roman" w:hAnsi="Times New Roman"/>
          <w:sz w:val="14"/>
          <w:szCs w:val="14"/>
        </w:rPr>
        <w:t xml:space="preserve">The Plan was designed to adapt to changing climate or other factors over the next 100 years and be </w:t>
      </w:r>
      <w:r w:rsidRPr="00974448">
        <w:rPr>
          <w:rFonts w:ascii="Times New Roman" w:hAnsi="Times New Roman"/>
          <w:i/>
          <w:iCs/>
          <w:sz w:val="14"/>
          <w:szCs w:val="14"/>
        </w:rPr>
        <w:t>sustainable</w:t>
      </w:r>
      <w:r w:rsidRPr="00974448">
        <w:rPr>
          <w:rFonts w:ascii="Times New Roman" w:hAnsi="Times New Roman"/>
          <w:sz w:val="14"/>
          <w:szCs w:val="14"/>
        </w:rPr>
        <w:t>, thus, it must ‘</w:t>
      </w:r>
      <w:r w:rsidRPr="00974448">
        <w:rPr>
          <w:rFonts w:ascii="Times New Roman" w:hAnsi="Times New Roman"/>
          <w:i/>
          <w:iCs/>
          <w:sz w:val="14"/>
          <w:szCs w:val="14"/>
        </w:rPr>
        <w:t>ensure that the right actions can be carried out at the right time</w:t>
      </w:r>
      <w:r w:rsidRPr="00974448">
        <w:rPr>
          <w:rFonts w:ascii="Times New Roman" w:hAnsi="Times New Roman"/>
          <w:sz w:val="14"/>
          <w:szCs w:val="14"/>
        </w:rPr>
        <w:t>’ and ‘</w:t>
      </w:r>
      <w:r w:rsidRPr="00974448">
        <w:rPr>
          <w:rFonts w:ascii="Times New Roman" w:hAnsi="Times New Roman"/>
          <w:i/>
          <w:iCs/>
          <w:sz w:val="14"/>
          <w:szCs w:val="14"/>
        </w:rPr>
        <w:t>not waste money on over-engineered solutions</w:t>
      </w:r>
      <w:r w:rsidRPr="00974448">
        <w:rPr>
          <w:rFonts w:ascii="Times New Roman" w:hAnsi="Times New Roman"/>
          <w:sz w:val="14"/>
          <w:szCs w:val="14"/>
        </w:rPr>
        <w:t>’ (</w:t>
      </w:r>
      <w:r w:rsidRPr="00974448">
        <w:rPr>
          <w:rFonts w:ascii="Times New Roman" w:hAnsi="Times New Roman"/>
          <w:color w:val="7F7F7F" w:themeColor="text1" w:themeTint="80"/>
          <w:sz w:val="14"/>
          <w:szCs w:val="14"/>
        </w:rPr>
        <w:t>EA 2009A, p.262</w:t>
      </w:r>
      <w:r w:rsidRPr="00974448">
        <w:rPr>
          <w:rFonts w:ascii="Times New Roman" w:hAnsi="Times New Roman"/>
          <w:sz w:val="14"/>
          <w:szCs w:val="14"/>
        </w:rPr>
        <w:t xml:space="preserve">), and the M&amp;R system is fundamental to achieve this. </w:t>
      </w:r>
    </w:p>
    <w:p w14:paraId="47374B93" w14:textId="77777777" w:rsidR="00AD22FD" w:rsidRPr="00974448" w:rsidRDefault="00AD22FD" w:rsidP="00AD22FD">
      <w:pPr>
        <w:spacing w:after="0" w:line="240" w:lineRule="auto"/>
        <w:rPr>
          <w:rFonts w:ascii="Times New Roman" w:hAnsi="Times New Roman"/>
          <w:bCs/>
          <w:sz w:val="14"/>
          <w:szCs w:val="14"/>
        </w:rPr>
      </w:pPr>
      <w:r w:rsidRPr="00974448">
        <w:rPr>
          <w:rFonts w:ascii="Times New Roman" w:hAnsi="Times New Roman"/>
          <w:sz w:val="14"/>
          <w:szCs w:val="14"/>
        </w:rPr>
        <w:t xml:space="preserve">Thus, it can be argued that defining and conducting the M&amp;R programme is another key-element of the TE2100’s </w:t>
      </w:r>
      <w:r w:rsidRPr="00974448">
        <w:rPr>
          <w:rFonts w:ascii="Times New Roman" w:hAnsi="Times New Roman"/>
          <w:i/>
          <w:iCs/>
          <w:sz w:val="14"/>
          <w:szCs w:val="14"/>
        </w:rPr>
        <w:t>approach</w:t>
      </w:r>
      <w:r w:rsidRPr="00974448">
        <w:rPr>
          <w:rFonts w:ascii="Times New Roman" w:hAnsi="Times New Roman"/>
          <w:sz w:val="14"/>
          <w:szCs w:val="14"/>
        </w:rPr>
        <w:t xml:space="preserve"> required to develop and operationalize a </w:t>
      </w:r>
      <w:r w:rsidRPr="00974448">
        <w:rPr>
          <w:rFonts w:ascii="Times New Roman" w:hAnsi="Times New Roman"/>
          <w:i/>
          <w:iCs/>
          <w:sz w:val="14"/>
          <w:szCs w:val="14"/>
        </w:rPr>
        <w:t>robust adaptive plan</w:t>
      </w:r>
      <w:r w:rsidRPr="00974448">
        <w:rPr>
          <w:rFonts w:ascii="Times New Roman" w:hAnsi="Times New Roman"/>
          <w:sz w:val="14"/>
          <w:szCs w:val="14"/>
        </w:rPr>
        <w:t xml:space="preserve"> and fulfil a real </w:t>
      </w:r>
      <w:r w:rsidRPr="00974448">
        <w:rPr>
          <w:rFonts w:ascii="Times New Roman" w:hAnsi="Times New Roman"/>
          <w:i/>
          <w:iCs/>
          <w:sz w:val="14"/>
          <w:szCs w:val="14"/>
        </w:rPr>
        <w:t>Dynamic Adaptive Planning</w:t>
      </w:r>
      <w:r w:rsidRPr="00974448">
        <w:rPr>
          <w:rFonts w:ascii="Times New Roman" w:eastAsiaTheme="minorHAnsi" w:hAnsi="Times New Roman"/>
          <w:sz w:val="14"/>
          <w:szCs w:val="14"/>
          <w:lang w:eastAsia="en-US"/>
        </w:rPr>
        <w:t>.</w:t>
      </w:r>
    </w:p>
  </w:footnote>
  <w:footnote w:id="79">
    <w:p w14:paraId="2F5B336D" w14:textId="77777777" w:rsidR="00AD22FD" w:rsidRPr="003254D8" w:rsidRDefault="00AD22FD" w:rsidP="00AD22FD">
      <w:pPr>
        <w:pStyle w:val="tablecontenttext"/>
        <w:spacing w:after="0" w:line="240" w:lineRule="auto"/>
        <w:rPr>
          <w:sz w:val="14"/>
          <w:szCs w:val="18"/>
        </w:rPr>
      </w:pPr>
      <w:r w:rsidRPr="00974448">
        <w:rPr>
          <w:rStyle w:val="Refdenotaderodap"/>
          <w:rFonts w:ascii="Times New Roman" w:hAnsi="Times New Roman" w:cs="Times New Roman"/>
          <w:sz w:val="14"/>
          <w:szCs w:val="14"/>
        </w:rPr>
        <w:footnoteRef/>
      </w:r>
      <w:r w:rsidRPr="00974448">
        <w:rPr>
          <w:rFonts w:ascii="Times New Roman" w:hAnsi="Times New Roman" w:cs="Times New Roman"/>
          <w:sz w:val="14"/>
          <w:szCs w:val="14"/>
        </w:rPr>
        <w:t xml:space="preserve"> There are various ways to respond to changes, as these are monitored, or each time the TE2100 Plan is reviewed or updated (</w:t>
      </w:r>
      <w:r w:rsidRPr="00974448">
        <w:rPr>
          <w:rFonts w:ascii="Times New Roman" w:hAnsi="Times New Roman" w:cs="Times New Roman"/>
          <w:color w:val="7F7F7F" w:themeColor="text1" w:themeTint="80"/>
          <w:sz w:val="14"/>
          <w:szCs w:val="14"/>
        </w:rPr>
        <w:t>EA 2012, p.39</w:t>
      </w:r>
      <w:r w:rsidRPr="00974448">
        <w:rPr>
          <w:rFonts w:ascii="Times New Roman" w:hAnsi="Times New Roman" w:cs="Times New Roman"/>
          <w:sz w:val="14"/>
          <w:szCs w:val="14"/>
        </w:rPr>
        <w:t xml:space="preserve">), e.g. by adjusting the date of </w:t>
      </w:r>
      <w:r w:rsidRPr="00974448">
        <w:rPr>
          <w:rFonts w:ascii="Times New Roman" w:hAnsi="Times New Roman" w:cs="Times New Roman"/>
          <w:i/>
          <w:iCs w:val="0"/>
          <w:sz w:val="14"/>
          <w:szCs w:val="14"/>
        </w:rPr>
        <w:t>implementation-points</w:t>
      </w:r>
      <w:r w:rsidRPr="00974448">
        <w:rPr>
          <w:rFonts w:ascii="Times New Roman" w:hAnsi="Times New Roman" w:cs="Times New Roman"/>
          <w:sz w:val="14"/>
          <w:szCs w:val="14"/>
        </w:rPr>
        <w:t xml:space="preserve"> and </w:t>
      </w:r>
      <w:r w:rsidRPr="00974448">
        <w:rPr>
          <w:rFonts w:ascii="Times New Roman" w:hAnsi="Times New Roman" w:cs="Times New Roman"/>
          <w:i/>
          <w:iCs w:val="0"/>
          <w:sz w:val="14"/>
          <w:szCs w:val="14"/>
        </w:rPr>
        <w:t>decision-points</w:t>
      </w:r>
      <w:r w:rsidRPr="00974448">
        <w:rPr>
          <w:rFonts w:ascii="Times New Roman" w:hAnsi="Times New Roman" w:cs="Times New Roman"/>
          <w:sz w:val="14"/>
          <w:szCs w:val="14"/>
        </w:rPr>
        <w:t xml:space="preserve"> of measures, or by shifting of measure (or pathway), or altering (changing) the measures themselves.</w:t>
      </w:r>
    </w:p>
  </w:footnote>
  <w:footnote w:id="80">
    <w:p w14:paraId="55D23B34" w14:textId="43E0CFD8" w:rsidR="001D2AF6" w:rsidRPr="007D75B4" w:rsidRDefault="001D2AF6" w:rsidP="001D2AF6">
      <w:pPr>
        <w:pStyle w:val="Textodenotaderodap"/>
        <w:rPr>
          <w:sz w:val="14"/>
          <w:szCs w:val="14"/>
        </w:rPr>
      </w:pPr>
      <w:r w:rsidRPr="005C558F">
        <w:rPr>
          <w:rStyle w:val="Refdenotaderodap"/>
        </w:rPr>
        <w:footnoteRef/>
      </w:r>
      <w:r w:rsidRPr="005C558F">
        <w:t xml:space="preserve"> </w:t>
      </w:r>
      <w:r w:rsidRPr="005C558F">
        <w:rPr>
          <w:rStyle w:val="TextodenotaderodapCarter"/>
          <w:sz w:val="14"/>
          <w:szCs w:val="14"/>
        </w:rPr>
        <w:t>This section builds on the prior analysis of the DP, of ADM and its process, and on studies that analysed the application of ADM in the DP to extract essential elements of this approach (</w:t>
      </w:r>
      <w:proofErr w:type="spellStart"/>
      <w:r w:rsidRPr="005C558F">
        <w:rPr>
          <w:rStyle w:val="TextodenotaderodapCarter"/>
          <w:color w:val="7F7F7F" w:themeColor="text1" w:themeTint="80"/>
          <w:sz w:val="14"/>
          <w:szCs w:val="14"/>
        </w:rPr>
        <w:t>Jeuken</w:t>
      </w:r>
      <w:proofErr w:type="spellEnd"/>
      <w:r w:rsidRPr="005C558F">
        <w:rPr>
          <w:rStyle w:val="TextodenotaderodapCarter"/>
          <w:color w:val="7F7F7F" w:themeColor="text1" w:themeTint="80"/>
          <w:sz w:val="14"/>
          <w:szCs w:val="14"/>
        </w:rPr>
        <w:t xml:space="preserve"> and Reeder 2011</w:t>
      </w:r>
      <w:r w:rsidRPr="005C558F">
        <w:rPr>
          <w:rStyle w:val="TextodenotaderodapCarter"/>
          <w:sz w:val="14"/>
          <w:szCs w:val="14"/>
        </w:rPr>
        <w:t xml:space="preserve">), and on authors who identify the main elements an Adaptive Planning to then check if these are present in the DP (e.g. </w:t>
      </w:r>
      <w:proofErr w:type="spellStart"/>
      <w:r w:rsidRPr="005C558F">
        <w:rPr>
          <w:rStyle w:val="TextodenotaderodapCarter"/>
          <w:color w:val="7F7F7F" w:themeColor="text1" w:themeTint="80"/>
          <w:sz w:val="14"/>
          <w:szCs w:val="14"/>
        </w:rPr>
        <w:t>Jeuken</w:t>
      </w:r>
      <w:proofErr w:type="spellEnd"/>
      <w:r w:rsidRPr="005C558F">
        <w:rPr>
          <w:rStyle w:val="TextodenotaderodapCarter"/>
          <w:color w:val="7F7F7F" w:themeColor="text1" w:themeTint="80"/>
          <w:sz w:val="14"/>
          <w:szCs w:val="14"/>
        </w:rPr>
        <w:t xml:space="preserve"> et al. 2014; </w:t>
      </w:r>
      <w:proofErr w:type="spellStart"/>
      <w:r w:rsidRPr="005C558F">
        <w:rPr>
          <w:rStyle w:val="TextodenotaderodapCarter"/>
          <w:bCs/>
          <w:color w:val="7F7F7F" w:themeColor="text1" w:themeTint="80"/>
          <w:sz w:val="14"/>
          <w:szCs w:val="14"/>
        </w:rPr>
        <w:t>Restemeyer</w:t>
      </w:r>
      <w:proofErr w:type="spellEnd"/>
      <w:r w:rsidRPr="005C558F">
        <w:rPr>
          <w:rStyle w:val="TextodenotaderodapCarter"/>
          <w:color w:val="7F7F7F" w:themeColor="text1" w:themeTint="80"/>
          <w:sz w:val="14"/>
          <w:szCs w:val="14"/>
        </w:rPr>
        <w:t xml:space="preserve"> et al. 2017</w:t>
      </w:r>
      <w:r w:rsidRPr="005C558F">
        <w:rPr>
          <w:rStyle w:val="TextodenotaderodapCarter"/>
          <w:sz w:val="14"/>
          <w:szCs w:val="14"/>
        </w:rPr>
        <w:t>).</w:t>
      </w:r>
    </w:p>
  </w:footnote>
  <w:footnote w:id="81">
    <w:p w14:paraId="71CE8BE5" w14:textId="52BBC8D3" w:rsidR="00674B94" w:rsidRPr="00E74925" w:rsidRDefault="00674B94" w:rsidP="00E74925">
      <w:pPr>
        <w:pStyle w:val="TEXTBODY"/>
        <w:spacing w:after="0" w:line="240" w:lineRule="auto"/>
        <w:rPr>
          <w:rFonts w:eastAsia="RijksoverheidSansText-Regular"/>
          <w:sz w:val="14"/>
          <w:szCs w:val="14"/>
        </w:rPr>
      </w:pPr>
      <w:r w:rsidRPr="00E74925">
        <w:rPr>
          <w:rStyle w:val="Refdenotaderodap"/>
          <w:sz w:val="14"/>
          <w:szCs w:val="14"/>
        </w:rPr>
        <w:footnoteRef/>
      </w:r>
      <w:r w:rsidRPr="00E74925">
        <w:rPr>
          <w:sz w:val="14"/>
          <w:szCs w:val="14"/>
        </w:rPr>
        <w:t xml:space="preserve"> </w:t>
      </w:r>
      <w:r w:rsidRPr="00E74925">
        <w:rPr>
          <w:rFonts w:eastAsia="RijksoverheidSansText-Regular"/>
          <w:sz w:val="14"/>
          <w:szCs w:val="14"/>
        </w:rPr>
        <w:t xml:space="preserve">In 2010, the DP started to develop a set of plausible future scenarios, so-called </w:t>
      </w:r>
      <w:r w:rsidRPr="00E74925">
        <w:rPr>
          <w:rFonts w:eastAsia="RijksoverheidSansText-Regular"/>
          <w:i/>
          <w:iCs/>
          <w:sz w:val="14"/>
          <w:szCs w:val="14"/>
        </w:rPr>
        <w:t>Delta Scenarios</w:t>
      </w:r>
      <w:r w:rsidRPr="00E74925">
        <w:rPr>
          <w:rFonts w:eastAsia="RijksoverheidSansText-Regular"/>
          <w:sz w:val="14"/>
          <w:szCs w:val="14"/>
        </w:rPr>
        <w:t>, which would be used for all studies in the DP (</w:t>
      </w:r>
      <w:r w:rsidRPr="00E74925">
        <w:rPr>
          <w:rFonts w:eastAsia="RijksoverheidSansText-Regular"/>
          <w:color w:val="7F7F7F" w:themeColor="text1" w:themeTint="80"/>
          <w:sz w:val="14"/>
          <w:szCs w:val="14"/>
        </w:rPr>
        <w:t>DP 2010, p.4</w:t>
      </w:r>
      <w:r w:rsidRPr="00E74925">
        <w:rPr>
          <w:rFonts w:eastAsia="RijksoverheidSansText-Regular"/>
          <w:sz w:val="14"/>
          <w:szCs w:val="14"/>
        </w:rPr>
        <w:t xml:space="preserve">). </w:t>
      </w:r>
      <w:r w:rsidRPr="00E74925">
        <w:rPr>
          <w:sz w:val="14"/>
          <w:szCs w:val="14"/>
        </w:rPr>
        <w:t xml:space="preserve">The </w:t>
      </w:r>
      <w:r w:rsidRPr="00E74925">
        <w:rPr>
          <w:i/>
          <w:iCs/>
          <w:sz w:val="14"/>
          <w:szCs w:val="14"/>
        </w:rPr>
        <w:t>Delta Scenarios</w:t>
      </w:r>
      <w:r w:rsidRPr="00E74925">
        <w:rPr>
          <w:sz w:val="14"/>
          <w:szCs w:val="14"/>
        </w:rPr>
        <w:t xml:space="preserve"> were issued in 2011</w:t>
      </w:r>
      <w:r w:rsidRPr="00E74925">
        <w:rPr>
          <w:b/>
          <w:bCs/>
          <w:sz w:val="14"/>
          <w:szCs w:val="14"/>
        </w:rPr>
        <w:t>,</w:t>
      </w:r>
      <w:r w:rsidRPr="00E74925">
        <w:rPr>
          <w:sz w:val="14"/>
          <w:szCs w:val="14"/>
        </w:rPr>
        <w:t xml:space="preserve"> enabling further agreement on the range of future effects that should be considered (</w:t>
      </w:r>
      <w:r w:rsidRPr="00E74925">
        <w:rPr>
          <w:color w:val="7F7F7F" w:themeColor="text1" w:themeTint="80"/>
          <w:sz w:val="14"/>
          <w:szCs w:val="14"/>
        </w:rPr>
        <w:t>Werners et al. 2016</w:t>
      </w:r>
      <w:r w:rsidRPr="00E74925">
        <w:rPr>
          <w:sz w:val="14"/>
          <w:szCs w:val="14"/>
        </w:rPr>
        <w:t xml:space="preserve">). </w:t>
      </w:r>
    </w:p>
  </w:footnote>
  <w:footnote w:id="82">
    <w:p w14:paraId="1F835CD2" w14:textId="7B8223E5" w:rsidR="00C2243E" w:rsidRPr="00E74925" w:rsidRDefault="00C2243E" w:rsidP="00E74925">
      <w:pPr>
        <w:pStyle w:val="Textodenotaderodap"/>
        <w:rPr>
          <w:sz w:val="14"/>
          <w:szCs w:val="14"/>
        </w:rPr>
      </w:pPr>
      <w:r w:rsidRPr="00E74925">
        <w:rPr>
          <w:rStyle w:val="Refdenotaderodap"/>
          <w:sz w:val="14"/>
          <w:szCs w:val="14"/>
        </w:rPr>
        <w:footnoteRef/>
      </w:r>
      <w:r w:rsidRPr="00E74925">
        <w:rPr>
          <w:sz w:val="14"/>
          <w:szCs w:val="14"/>
        </w:rPr>
        <w:t xml:space="preserve"> </w:t>
      </w:r>
      <w:r w:rsidRPr="00E74925">
        <w:rPr>
          <w:bCs/>
          <w:sz w:val="14"/>
          <w:szCs w:val="14"/>
        </w:rPr>
        <w:t xml:space="preserve">In the DP, </w:t>
      </w:r>
      <w:r w:rsidRPr="00E74925">
        <w:rPr>
          <w:bCs/>
          <w:i/>
          <w:iCs/>
          <w:sz w:val="14"/>
          <w:szCs w:val="14"/>
        </w:rPr>
        <w:t>scenario development</w:t>
      </w:r>
      <w:r w:rsidRPr="00E74925">
        <w:rPr>
          <w:bCs/>
          <w:sz w:val="14"/>
          <w:szCs w:val="14"/>
        </w:rPr>
        <w:t xml:space="preserve"> started with the formulation of a central question: which external events, circumstances, and changes / </w:t>
      </w:r>
      <w:r w:rsidRPr="00E74925">
        <w:rPr>
          <w:sz w:val="14"/>
          <w:szCs w:val="14"/>
        </w:rPr>
        <w:t>developments, are critical to FRM and FS (</w:t>
      </w:r>
      <w:r w:rsidRPr="00E74925">
        <w:rPr>
          <w:color w:val="7F7F7F" w:themeColor="text1" w:themeTint="80"/>
          <w:sz w:val="14"/>
          <w:szCs w:val="14"/>
        </w:rPr>
        <w:t>Marchand and Ludwig 2014, p.16-17</w:t>
      </w:r>
      <w:r w:rsidRPr="00E74925">
        <w:rPr>
          <w:sz w:val="14"/>
          <w:szCs w:val="14"/>
        </w:rPr>
        <w:t>).</w:t>
      </w:r>
    </w:p>
  </w:footnote>
  <w:footnote w:id="83">
    <w:p w14:paraId="3EFDAD5E" w14:textId="6BE9903F" w:rsidR="009D6E2A" w:rsidRPr="00E74925" w:rsidRDefault="009D6E2A" w:rsidP="00E74925">
      <w:pPr>
        <w:pStyle w:val="Textodenotaderodap"/>
        <w:rPr>
          <w:sz w:val="14"/>
          <w:szCs w:val="14"/>
        </w:rPr>
      </w:pPr>
      <w:r w:rsidRPr="00E74925">
        <w:rPr>
          <w:rStyle w:val="Refdenotaderodap"/>
          <w:sz w:val="14"/>
          <w:szCs w:val="14"/>
        </w:rPr>
        <w:footnoteRef/>
      </w:r>
      <w:r w:rsidRPr="00E74925">
        <w:rPr>
          <w:sz w:val="14"/>
          <w:szCs w:val="14"/>
        </w:rPr>
        <w:t xml:space="preserve"> The </w:t>
      </w:r>
      <w:r w:rsidRPr="00E74925">
        <w:rPr>
          <w:i/>
          <w:iCs/>
          <w:sz w:val="14"/>
          <w:szCs w:val="14"/>
        </w:rPr>
        <w:t>Delta Scenarios</w:t>
      </w:r>
      <w:r w:rsidRPr="00E74925">
        <w:rPr>
          <w:sz w:val="14"/>
          <w:szCs w:val="14"/>
        </w:rPr>
        <w:t xml:space="preserve"> were generated by the scientific community based on climatic and hydrological model calculations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et al. 2014, p.11, 14</w:t>
      </w:r>
      <w:r w:rsidRPr="00E74925">
        <w:rPr>
          <w:sz w:val="14"/>
          <w:szCs w:val="14"/>
        </w:rPr>
        <w:t>).</w:t>
      </w:r>
      <w:r w:rsidR="00273DF0" w:rsidRPr="00E74925">
        <w:rPr>
          <w:sz w:val="14"/>
          <w:szCs w:val="14"/>
        </w:rPr>
        <w:t xml:space="preserve"> The </w:t>
      </w:r>
      <w:r w:rsidR="00273DF0" w:rsidRPr="00E74925">
        <w:rPr>
          <w:i/>
          <w:iCs/>
          <w:sz w:val="14"/>
          <w:szCs w:val="14"/>
        </w:rPr>
        <w:t>Delta Scenarios</w:t>
      </w:r>
      <w:r w:rsidR="00273DF0" w:rsidRPr="00E74925">
        <w:rPr>
          <w:sz w:val="14"/>
          <w:szCs w:val="14"/>
        </w:rPr>
        <w:t xml:space="preserve"> correspond to plausible futures and were based on the KNMIs climate scenarios (2006) and the socio-economic scenarios of the collaborating planning bureaus (2006) (</w:t>
      </w:r>
      <w:r w:rsidR="00273DF0" w:rsidRPr="00E74925">
        <w:rPr>
          <w:color w:val="7F7F7F" w:themeColor="text1" w:themeTint="80"/>
          <w:sz w:val="14"/>
          <w:szCs w:val="14"/>
        </w:rPr>
        <w:t xml:space="preserve">DP </w:t>
      </w:r>
      <w:r w:rsidR="00273DF0" w:rsidRPr="00E74925">
        <w:rPr>
          <w:rFonts w:eastAsia="RijksoverheidSansText-Regular"/>
          <w:color w:val="7F7F7F" w:themeColor="text1" w:themeTint="80"/>
          <w:sz w:val="14"/>
          <w:szCs w:val="14"/>
        </w:rPr>
        <w:t>2011, p.71</w:t>
      </w:r>
      <w:r w:rsidR="00273DF0" w:rsidRPr="00E74925">
        <w:rPr>
          <w:sz w:val="14"/>
          <w:szCs w:val="14"/>
        </w:rPr>
        <w:t>).</w:t>
      </w:r>
      <w:r w:rsidR="005050E8" w:rsidRPr="00E74925">
        <w:rPr>
          <w:sz w:val="14"/>
          <w:szCs w:val="14"/>
        </w:rPr>
        <w:t xml:space="preserve"> The first version of these scenarios was created in 2011 by combining the climate scenarios from the KNMI (Royal Netherlands Meteorological Institute) with socio-economic scenarios from collaborating planning offices (</w:t>
      </w:r>
      <w:r w:rsidR="005050E8" w:rsidRPr="00E74925">
        <w:rPr>
          <w:color w:val="7F7F7F" w:themeColor="text1" w:themeTint="80"/>
          <w:sz w:val="14"/>
          <w:szCs w:val="14"/>
        </w:rPr>
        <w:t xml:space="preserve">DP </w:t>
      </w:r>
      <w:r w:rsidR="005050E8" w:rsidRPr="00E74925">
        <w:rPr>
          <w:rFonts w:eastAsia="RijksoverheidSansText-Regular"/>
          <w:color w:val="7F7F7F" w:themeColor="text1" w:themeTint="80"/>
          <w:sz w:val="14"/>
          <w:szCs w:val="14"/>
        </w:rPr>
        <w:t>2012, p.35</w:t>
      </w:r>
      <w:r w:rsidR="005050E8" w:rsidRPr="00E74925">
        <w:rPr>
          <w:sz w:val="14"/>
          <w:szCs w:val="14"/>
        </w:rPr>
        <w:t>).</w:t>
      </w:r>
      <w:r w:rsidR="001B608C" w:rsidRPr="00E74925">
        <w:rPr>
          <w:sz w:val="14"/>
          <w:szCs w:val="14"/>
        </w:rPr>
        <w:t xml:space="preserve"> In 2013 and 2014, the latest insights from the IPCC Report which were also incorporated into the 2014 KNMI climate scenarios; such scenarios are very similar to the 2006 KNMI climate scenarios, which formed the basis for the </w:t>
      </w:r>
      <w:r w:rsidR="001B608C" w:rsidRPr="00E74925">
        <w:rPr>
          <w:i/>
          <w:iCs/>
          <w:sz w:val="14"/>
          <w:szCs w:val="14"/>
        </w:rPr>
        <w:t>Delta Scenarios</w:t>
      </w:r>
      <w:r w:rsidR="001B608C" w:rsidRPr="00E74925">
        <w:rPr>
          <w:sz w:val="14"/>
          <w:szCs w:val="14"/>
        </w:rPr>
        <w:t xml:space="preserve"> (</w:t>
      </w:r>
      <w:r w:rsidR="001B608C" w:rsidRPr="00E74925">
        <w:rPr>
          <w:color w:val="7F7F7F" w:themeColor="text1" w:themeTint="80"/>
          <w:sz w:val="14"/>
          <w:szCs w:val="14"/>
        </w:rPr>
        <w:t>DP 2014, p.135</w:t>
      </w:r>
      <w:r w:rsidR="001B608C" w:rsidRPr="00E74925">
        <w:rPr>
          <w:sz w:val="14"/>
          <w:szCs w:val="14"/>
        </w:rPr>
        <w:t xml:space="preserve">). </w:t>
      </w:r>
    </w:p>
  </w:footnote>
  <w:footnote w:id="84">
    <w:p w14:paraId="2FC2B0B6" w14:textId="245BE0B8" w:rsidR="00354CF8" w:rsidRPr="00C34F71" w:rsidRDefault="00354CF8" w:rsidP="00E74925">
      <w:pPr>
        <w:pStyle w:val="Textodenotaderodap"/>
      </w:pPr>
      <w:r w:rsidRPr="00E74925">
        <w:rPr>
          <w:rStyle w:val="Refdenotaderodap"/>
          <w:sz w:val="14"/>
          <w:szCs w:val="14"/>
        </w:rPr>
        <w:footnoteRef/>
      </w:r>
      <w:r w:rsidRPr="00E74925">
        <w:rPr>
          <w:sz w:val="14"/>
          <w:szCs w:val="14"/>
        </w:rPr>
        <w:t xml:space="preserve"> Prior to the DP, the 2</w:t>
      </w:r>
      <w:r w:rsidRPr="00E74925">
        <w:rPr>
          <w:sz w:val="14"/>
          <w:szCs w:val="14"/>
          <w:vertAlign w:val="superscript"/>
        </w:rPr>
        <w:t xml:space="preserve">nd </w:t>
      </w:r>
      <w:r w:rsidRPr="00E74925">
        <w:rPr>
          <w:sz w:val="14"/>
          <w:szCs w:val="14"/>
        </w:rPr>
        <w:t>Delta Commission considered ‘high-end’ scenario of SLR of 1,3 m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and Reeder 2011, p.7</w:t>
      </w:r>
      <w:r w:rsidRPr="00E74925">
        <w:rPr>
          <w:sz w:val="14"/>
          <w:szCs w:val="14"/>
        </w:rPr>
        <w:t>), however, it caused public debate, hence, when the DP was initiated, it was abandoned. Instead, the DP decided to use the formal Dutch climatic scenarios, which cover a large range of plausible futures but not high-end projections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et al. 2014; Vink et al. 2013, p.97</w:t>
      </w:r>
      <w:r w:rsidRPr="00E74925">
        <w:rPr>
          <w:sz w:val="14"/>
          <w:szCs w:val="14"/>
        </w:rPr>
        <w:t xml:space="preserve">). </w:t>
      </w:r>
      <w:bookmarkStart w:id="107" w:name="_Hlk41638472"/>
      <w:r w:rsidRPr="00E74925">
        <w:rPr>
          <w:sz w:val="14"/>
          <w:szCs w:val="14"/>
        </w:rPr>
        <w:t xml:space="preserve">Although worse / more extreme scenarios were available, the DP Staff decided to work with the </w:t>
      </w:r>
      <w:r w:rsidRPr="00E74925">
        <w:rPr>
          <w:i/>
          <w:iCs/>
          <w:sz w:val="14"/>
          <w:szCs w:val="14"/>
        </w:rPr>
        <w:t>Delta Scenarios</w:t>
      </w:r>
      <w:r w:rsidRPr="00E74925">
        <w:rPr>
          <w:sz w:val="14"/>
          <w:szCs w:val="14"/>
        </w:rPr>
        <w:t xml:space="preserve"> (plausible scenarios) to develop the </w:t>
      </w:r>
      <w:r w:rsidRPr="00E74925">
        <w:rPr>
          <w:i/>
          <w:iCs/>
          <w:sz w:val="14"/>
          <w:szCs w:val="14"/>
        </w:rPr>
        <w:t>Strategies</w:t>
      </w:r>
      <w:r w:rsidRPr="00E74925">
        <w:rPr>
          <w:sz w:val="14"/>
          <w:szCs w:val="14"/>
        </w:rPr>
        <w:t xml:space="preserve">, and then the selected strategies were tested under more extreme scenarios </w:t>
      </w:r>
      <w:r w:rsidRPr="00E74925">
        <w:rPr>
          <w:color w:val="000000"/>
          <w:sz w:val="14"/>
          <w:szCs w:val="14"/>
        </w:rPr>
        <w:t>(</w:t>
      </w:r>
      <w:proofErr w:type="spellStart"/>
      <w:r w:rsidRPr="00E74925">
        <w:rPr>
          <w:color w:val="7F7F7F" w:themeColor="text1" w:themeTint="80"/>
          <w:sz w:val="14"/>
          <w:szCs w:val="14"/>
        </w:rPr>
        <w:t>Restemeyer</w:t>
      </w:r>
      <w:proofErr w:type="spellEnd"/>
      <w:r w:rsidRPr="00E74925">
        <w:rPr>
          <w:color w:val="7F7F7F" w:themeColor="text1" w:themeTint="80"/>
          <w:sz w:val="14"/>
          <w:szCs w:val="14"/>
        </w:rPr>
        <w:t xml:space="preserve"> et al. 2017, p.930</w:t>
      </w:r>
      <w:r w:rsidRPr="00E74925">
        <w:rPr>
          <w:color w:val="000000"/>
          <w:sz w:val="14"/>
          <w:szCs w:val="14"/>
        </w:rPr>
        <w:t>).</w:t>
      </w:r>
      <w:bookmarkEnd w:id="107"/>
    </w:p>
  </w:footnote>
  <w:footnote w:id="85">
    <w:p w14:paraId="3FD4B8AA" w14:textId="77777777" w:rsidR="00F93780" w:rsidRPr="00E74925" w:rsidRDefault="00F93780" w:rsidP="00F93780">
      <w:pPr>
        <w:pStyle w:val="Textodenotaderodap"/>
      </w:pPr>
      <w:r w:rsidRPr="00E74925">
        <w:rPr>
          <w:rStyle w:val="Refdenotaderodap"/>
          <w:rFonts w:ascii="Arial" w:hAnsi="Arial" w:cs="Arial"/>
          <w:sz w:val="14"/>
          <w:szCs w:val="14"/>
        </w:rPr>
        <w:footnoteRef/>
      </w:r>
      <w:r w:rsidRPr="00E74925">
        <w:rPr>
          <w:rFonts w:ascii="Arial" w:hAnsi="Arial" w:cs="Arial"/>
          <w:sz w:val="14"/>
          <w:szCs w:val="14"/>
        </w:rPr>
        <w:t xml:space="preserve"> </w:t>
      </w:r>
      <w:r w:rsidRPr="00E74925">
        <w:rPr>
          <w:sz w:val="14"/>
          <w:szCs w:val="14"/>
        </w:rPr>
        <w:t xml:space="preserve">All subprogrammes worked with the same 4 </w:t>
      </w:r>
      <w:r w:rsidRPr="00E74925">
        <w:rPr>
          <w:i/>
          <w:iCs/>
          <w:sz w:val="14"/>
          <w:szCs w:val="14"/>
        </w:rPr>
        <w:t>Delta Scenarios</w:t>
      </w:r>
      <w:r w:rsidRPr="00E74925">
        <w:rPr>
          <w:sz w:val="14"/>
          <w:szCs w:val="14"/>
        </w:rPr>
        <w:t xml:space="preserve"> </w:t>
      </w:r>
      <w:r w:rsidRPr="00E74925">
        <w:rPr>
          <w:rFonts w:eastAsia="RijksoverheidSansText-Regular"/>
          <w:color w:val="000000"/>
          <w:sz w:val="14"/>
          <w:szCs w:val="14"/>
        </w:rPr>
        <w:t>(</w:t>
      </w:r>
      <w:r w:rsidRPr="00E74925">
        <w:rPr>
          <w:rFonts w:eastAsia="RijksoverheidSansText-Regular"/>
          <w:color w:val="595959" w:themeColor="text1" w:themeTint="A6"/>
          <w:sz w:val="14"/>
          <w:szCs w:val="14"/>
        </w:rPr>
        <w:t xml:space="preserve">DP 2012, p.35; </w:t>
      </w:r>
      <w:r w:rsidRPr="00E74925">
        <w:rPr>
          <w:color w:val="595959" w:themeColor="text1" w:themeTint="A6"/>
          <w:sz w:val="14"/>
          <w:szCs w:val="14"/>
        </w:rPr>
        <w:t>Werners et al. 2016</w:t>
      </w:r>
      <w:r w:rsidRPr="00E74925">
        <w:rPr>
          <w:sz w:val="14"/>
          <w:szCs w:val="14"/>
        </w:rPr>
        <w:t xml:space="preserve">). </w:t>
      </w:r>
    </w:p>
  </w:footnote>
  <w:footnote w:id="86">
    <w:p w14:paraId="4E62E47D" w14:textId="373BFD28" w:rsidR="009040BB" w:rsidRPr="00E74925" w:rsidRDefault="009040BB" w:rsidP="009040BB">
      <w:pPr>
        <w:autoSpaceDE w:val="0"/>
        <w:autoSpaceDN w:val="0"/>
        <w:adjustRightInd w:val="0"/>
        <w:spacing w:after="0" w:line="240" w:lineRule="auto"/>
        <w:jc w:val="left"/>
        <w:rPr>
          <w:rFonts w:ascii="Times New Roman" w:eastAsiaTheme="minorHAnsi" w:hAnsi="Times New Roman"/>
          <w:color w:val="000000"/>
          <w:sz w:val="14"/>
          <w:szCs w:val="14"/>
          <w:lang w:eastAsia="en-US"/>
        </w:rPr>
      </w:pPr>
      <w:r w:rsidRPr="00E74925">
        <w:rPr>
          <w:rStyle w:val="Refdenotaderodap"/>
          <w:rFonts w:ascii="Times New Roman" w:hAnsi="Times New Roman"/>
          <w:sz w:val="14"/>
          <w:szCs w:val="14"/>
        </w:rPr>
        <w:footnoteRef/>
      </w:r>
      <w:r w:rsidRPr="00E74925">
        <w:rPr>
          <w:rFonts w:ascii="Times New Roman" w:hAnsi="Times New Roman"/>
          <w:sz w:val="14"/>
          <w:szCs w:val="14"/>
        </w:rPr>
        <w:t xml:space="preserve"> </w:t>
      </w:r>
      <w:r w:rsidRPr="00E74925">
        <w:rPr>
          <w:rFonts w:ascii="Times New Roman" w:eastAsiaTheme="minorHAnsi" w:hAnsi="Times New Roman"/>
          <w:color w:val="000000"/>
          <w:sz w:val="14"/>
          <w:szCs w:val="14"/>
          <w:lang w:eastAsia="en-US"/>
        </w:rPr>
        <w:t xml:space="preserve">A new element of ADM compared to AM is the inclusion of </w:t>
      </w:r>
      <w:r w:rsidRPr="00E74925">
        <w:rPr>
          <w:rFonts w:ascii="Times New Roman" w:eastAsiaTheme="minorHAnsi" w:hAnsi="Times New Roman"/>
          <w:i/>
          <w:iCs/>
          <w:color w:val="000000"/>
          <w:sz w:val="14"/>
          <w:szCs w:val="14"/>
          <w:lang w:eastAsia="en-US"/>
        </w:rPr>
        <w:t>Adaptation Tipping-Points</w:t>
      </w:r>
      <w:r w:rsidRPr="00E74925">
        <w:rPr>
          <w:rFonts w:ascii="Times New Roman" w:eastAsiaTheme="minorHAnsi" w:hAnsi="Times New Roman"/>
          <w:color w:val="000000"/>
          <w:sz w:val="14"/>
          <w:szCs w:val="14"/>
          <w:lang w:eastAsia="en-US"/>
        </w:rPr>
        <w:t xml:space="preserve"> (ATPs). ATPs are defined as </w:t>
      </w:r>
      <w:r w:rsidRPr="00E74925">
        <w:rPr>
          <w:rFonts w:ascii="Times New Roman" w:eastAsiaTheme="minorHAnsi" w:hAnsi="Times New Roman"/>
          <w:i/>
          <w:iCs/>
          <w:color w:val="000000"/>
          <w:sz w:val="14"/>
          <w:szCs w:val="14"/>
          <w:lang w:eastAsia="en-US"/>
        </w:rPr>
        <w:t>points where the magnitude of change due to external pressures such as sea level rise or peak discharges is such that the current strategy will no longer be able to meet the objectives and thus the measure is no longer adequate</w:t>
      </w:r>
      <w:r w:rsidRPr="00E74925">
        <w:rPr>
          <w:rFonts w:ascii="Times New Roman" w:eastAsiaTheme="minorHAnsi" w:hAnsi="Times New Roman"/>
          <w:color w:val="000000"/>
          <w:sz w:val="14"/>
          <w:szCs w:val="14"/>
          <w:lang w:eastAsia="en-US"/>
        </w:rPr>
        <w:t xml:space="preserve"> (</w:t>
      </w:r>
      <w:proofErr w:type="spellStart"/>
      <w:r w:rsidRPr="00E74925">
        <w:rPr>
          <w:rFonts w:ascii="Times New Roman" w:eastAsiaTheme="minorHAnsi" w:hAnsi="Times New Roman"/>
          <w:color w:val="7F7F7F" w:themeColor="text1" w:themeTint="80"/>
          <w:sz w:val="14"/>
          <w:szCs w:val="14"/>
          <w:lang w:eastAsia="en-US"/>
        </w:rPr>
        <w:t>Kwadijk</w:t>
      </w:r>
      <w:proofErr w:type="spellEnd"/>
      <w:r w:rsidRPr="00E74925">
        <w:rPr>
          <w:rFonts w:ascii="Times New Roman" w:eastAsiaTheme="minorHAnsi" w:hAnsi="Times New Roman"/>
          <w:color w:val="7F7F7F" w:themeColor="text1" w:themeTint="80"/>
          <w:sz w:val="14"/>
          <w:szCs w:val="14"/>
          <w:lang w:eastAsia="en-US"/>
        </w:rPr>
        <w:t xml:space="preserve"> et al. 2010</w:t>
      </w:r>
      <w:r w:rsidRPr="00E74925">
        <w:rPr>
          <w:rFonts w:ascii="Times New Roman" w:eastAsiaTheme="minorHAnsi" w:hAnsi="Times New Roman"/>
          <w:color w:val="000000"/>
          <w:sz w:val="14"/>
          <w:szCs w:val="14"/>
          <w:lang w:eastAsia="en-US"/>
        </w:rPr>
        <w:t>). Combining the defined ATPs with CC scenarios provides information about the need for additional measures. The ATP analysis can, therefore, help to develop Adaptation Pathways (</w:t>
      </w:r>
      <w:proofErr w:type="spellStart"/>
      <w:r w:rsidRPr="00E74925">
        <w:rPr>
          <w:rFonts w:ascii="Times New Roman" w:eastAsiaTheme="minorHAnsi" w:hAnsi="Times New Roman"/>
          <w:color w:val="7F7F7F" w:themeColor="text1" w:themeTint="80"/>
          <w:sz w:val="14"/>
          <w:szCs w:val="14"/>
          <w:lang w:eastAsia="en-US"/>
        </w:rPr>
        <w:t>Haasnoot</w:t>
      </w:r>
      <w:proofErr w:type="spellEnd"/>
      <w:r w:rsidRPr="00E74925">
        <w:rPr>
          <w:rFonts w:ascii="Times New Roman" w:eastAsiaTheme="minorHAnsi" w:hAnsi="Times New Roman"/>
          <w:color w:val="7F7F7F" w:themeColor="text1" w:themeTint="80"/>
          <w:sz w:val="14"/>
          <w:szCs w:val="14"/>
          <w:lang w:eastAsia="en-US"/>
        </w:rPr>
        <w:t xml:space="preserve"> et al. 2012, 2013</w:t>
      </w:r>
      <w:r w:rsidRPr="00E74925">
        <w:rPr>
          <w:rFonts w:ascii="Times New Roman" w:eastAsiaTheme="minorHAnsi" w:hAnsi="Times New Roman"/>
          <w:color w:val="000000"/>
          <w:sz w:val="14"/>
          <w:szCs w:val="14"/>
          <w:lang w:eastAsia="en-US"/>
        </w:rPr>
        <w:t>).</w:t>
      </w:r>
    </w:p>
  </w:footnote>
  <w:footnote w:id="87">
    <w:p w14:paraId="6B60C92C" w14:textId="2D7588D2" w:rsidR="00A9731A" w:rsidRPr="00E74925" w:rsidRDefault="00A9731A" w:rsidP="00A9731A">
      <w:pPr>
        <w:pStyle w:val="Textodenotaderodap"/>
        <w:rPr>
          <w:sz w:val="14"/>
          <w:szCs w:val="14"/>
        </w:rPr>
      </w:pPr>
      <w:r w:rsidRPr="00E74925">
        <w:rPr>
          <w:rStyle w:val="Refdenotaderodap"/>
          <w:sz w:val="14"/>
          <w:szCs w:val="14"/>
        </w:rPr>
        <w:footnoteRef/>
      </w:r>
      <w:r w:rsidRPr="00E74925">
        <w:rPr>
          <w:sz w:val="14"/>
          <w:szCs w:val="14"/>
        </w:rPr>
        <w:t xml:space="preserve"> According to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and Reeder</w:t>
      </w:r>
      <w:r w:rsidRPr="00E74925">
        <w:rPr>
          <w:sz w:val="14"/>
          <w:szCs w:val="14"/>
        </w:rPr>
        <w:t>, planning for adaptation requires questioning how vulnerable is a certain context (e.g. a FRM system) to CC, how much CC can the system handle, and whether it is necessary to take new / additional measures because of CC or socioeconomic developments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and Reeder 2011, p.2</w:t>
      </w:r>
      <w:r w:rsidRPr="00E74925">
        <w:rPr>
          <w:sz w:val="14"/>
          <w:szCs w:val="14"/>
        </w:rPr>
        <w:t>).</w:t>
      </w:r>
    </w:p>
  </w:footnote>
  <w:footnote w:id="88">
    <w:p w14:paraId="255F89BA" w14:textId="3BA9F865" w:rsidR="005D5B65" w:rsidRPr="00E74925" w:rsidRDefault="005D5B65" w:rsidP="005D5B65">
      <w:pPr>
        <w:pStyle w:val="Textodenotaderodap"/>
        <w:rPr>
          <w:sz w:val="14"/>
          <w:szCs w:val="14"/>
        </w:rPr>
      </w:pPr>
      <w:r w:rsidRPr="00E74925">
        <w:rPr>
          <w:rStyle w:val="Refdenotaderodap"/>
          <w:sz w:val="14"/>
          <w:szCs w:val="14"/>
        </w:rPr>
        <w:footnoteRef/>
      </w:r>
      <w:r w:rsidRPr="00E74925">
        <w:rPr>
          <w:sz w:val="14"/>
          <w:szCs w:val="14"/>
        </w:rPr>
        <w:t xml:space="preserve">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and Reeder (2011, p.4) </w:t>
      </w:r>
      <w:r w:rsidRPr="00E74925">
        <w:rPr>
          <w:sz w:val="14"/>
          <w:szCs w:val="14"/>
        </w:rPr>
        <w:t>define ATPs as ‘</w:t>
      </w:r>
      <w:r w:rsidRPr="00E74925">
        <w:rPr>
          <w:i/>
          <w:iCs/>
          <w:sz w:val="14"/>
          <w:szCs w:val="14"/>
        </w:rPr>
        <w:t>points where the magnitude of change due to CC or SLR is such that the current strategies will no longer be able to meet the objectives and alternative strategies are needed</w:t>
      </w:r>
      <w:r w:rsidRPr="00E74925">
        <w:rPr>
          <w:sz w:val="14"/>
          <w:szCs w:val="14"/>
        </w:rPr>
        <w:t xml:space="preserve">’. The driver for taking measures is not CC </w:t>
      </w:r>
      <w:r w:rsidRPr="00E74925">
        <w:rPr>
          <w:i/>
          <w:iCs/>
          <w:sz w:val="14"/>
          <w:szCs w:val="14"/>
        </w:rPr>
        <w:t>per se</w:t>
      </w:r>
      <w:r w:rsidRPr="00E74925">
        <w:rPr>
          <w:sz w:val="14"/>
          <w:szCs w:val="14"/>
        </w:rPr>
        <w:t xml:space="preserve"> but being unable to meet objectives, indeed, </w:t>
      </w:r>
      <w:r w:rsidR="00830E17" w:rsidRPr="00E74925">
        <w:rPr>
          <w:sz w:val="14"/>
          <w:szCs w:val="14"/>
        </w:rPr>
        <w:t xml:space="preserve">CC </w:t>
      </w:r>
      <w:r w:rsidRPr="00E74925">
        <w:rPr>
          <w:sz w:val="14"/>
          <w:szCs w:val="14"/>
        </w:rPr>
        <w:t>is only one of the issues that may alter the date of an ATP, e.g. socioeconomic developments may also lead to earlier or later ATP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and Reeder 2011, p.4</w:t>
      </w:r>
      <w:r w:rsidRPr="00E74925">
        <w:rPr>
          <w:sz w:val="14"/>
          <w:szCs w:val="14"/>
        </w:rPr>
        <w:t xml:space="preserve">). </w:t>
      </w:r>
    </w:p>
  </w:footnote>
  <w:footnote w:id="89">
    <w:p w14:paraId="14A66F6A" w14:textId="77777777" w:rsidR="00354CF8" w:rsidRPr="00E74925" w:rsidRDefault="00354CF8" w:rsidP="004F08E0">
      <w:pPr>
        <w:pStyle w:val="Textodenotaderodap"/>
        <w:rPr>
          <w:sz w:val="14"/>
          <w:szCs w:val="14"/>
        </w:rPr>
      </w:pPr>
      <w:r w:rsidRPr="00E74925">
        <w:rPr>
          <w:rStyle w:val="Refdenotaderodap"/>
          <w:sz w:val="14"/>
          <w:szCs w:val="14"/>
        </w:rPr>
        <w:footnoteRef/>
      </w:r>
      <w:r w:rsidRPr="00E74925">
        <w:rPr>
          <w:sz w:val="14"/>
          <w:szCs w:val="14"/>
        </w:rPr>
        <w:t xml:space="preserve"> When the DP was initiated, the Netherlands already had FRM and FS policies / plans for</w:t>
      </w:r>
      <w:r w:rsidRPr="00E74925">
        <w:rPr>
          <w:color w:val="C00000"/>
          <w:sz w:val="14"/>
          <w:szCs w:val="14"/>
        </w:rPr>
        <w:t xml:space="preserve"> </w:t>
      </w:r>
      <w:r w:rsidRPr="00E74925">
        <w:rPr>
          <w:sz w:val="14"/>
          <w:szCs w:val="14"/>
        </w:rPr>
        <w:t>long-term in place, e.g. the ‘Room for the River’, the ‘Coastal Defence Strategy’, and the ‘Water Management Programme for the 21</w:t>
      </w:r>
      <w:r w:rsidRPr="00E74925">
        <w:rPr>
          <w:sz w:val="14"/>
          <w:szCs w:val="14"/>
          <w:vertAlign w:val="superscript"/>
        </w:rPr>
        <w:t xml:space="preserve">st </w:t>
      </w:r>
      <w:r w:rsidRPr="00E74925">
        <w:rPr>
          <w:sz w:val="14"/>
          <w:szCs w:val="14"/>
        </w:rPr>
        <w:t xml:space="preserve">century (WB21)’. These policies and their measures had to be </w:t>
      </w:r>
      <w:proofErr w:type="gramStart"/>
      <w:r w:rsidRPr="00E74925">
        <w:rPr>
          <w:sz w:val="14"/>
          <w:szCs w:val="14"/>
        </w:rPr>
        <w:t>taken into account</w:t>
      </w:r>
      <w:proofErr w:type="gramEnd"/>
      <w:r w:rsidRPr="00E74925">
        <w:rPr>
          <w:sz w:val="14"/>
          <w:szCs w:val="14"/>
        </w:rPr>
        <w:t xml:space="preserve"> by the DP when assessing thresholds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and Reeder 2011, p.7</w:t>
      </w:r>
      <w:r w:rsidRPr="00E74925">
        <w:rPr>
          <w:sz w:val="14"/>
          <w:szCs w:val="14"/>
        </w:rPr>
        <w:t>).</w:t>
      </w:r>
    </w:p>
  </w:footnote>
  <w:footnote w:id="90">
    <w:p w14:paraId="11BA7A03" w14:textId="77777777" w:rsidR="001E67AD" w:rsidRPr="00A9731A" w:rsidRDefault="001E67AD" w:rsidP="004F08E0">
      <w:pPr>
        <w:pStyle w:val="Textodenotaderodap"/>
        <w:rPr>
          <w:sz w:val="14"/>
          <w:szCs w:val="14"/>
        </w:rPr>
      </w:pPr>
      <w:r w:rsidRPr="00E74925">
        <w:rPr>
          <w:rStyle w:val="Refdenotaderodap"/>
          <w:sz w:val="14"/>
          <w:szCs w:val="14"/>
        </w:rPr>
        <w:footnoteRef/>
      </w:r>
      <w:r w:rsidRPr="00E74925">
        <w:rPr>
          <w:sz w:val="14"/>
          <w:szCs w:val="14"/>
        </w:rPr>
        <w:t xml:space="preserve"> To determine moment to take a decision (so-called ‘decision-point’), the Teams used various </w:t>
      </w:r>
      <w:proofErr w:type="gramStart"/>
      <w:r w:rsidRPr="00E74925">
        <w:rPr>
          <w:sz w:val="14"/>
          <w:szCs w:val="14"/>
        </w:rPr>
        <w:t>scenarios, and</w:t>
      </w:r>
      <w:proofErr w:type="gramEnd"/>
      <w:r w:rsidRPr="00E74925">
        <w:rPr>
          <w:sz w:val="14"/>
          <w:szCs w:val="14"/>
        </w:rPr>
        <w:t xml:space="preserve"> took into account the lead-time required for planning and implementing a measure and its complexity</w:t>
      </w:r>
      <w:r w:rsidRPr="00E74925">
        <w:rPr>
          <w:i/>
          <w:sz w:val="14"/>
          <w:szCs w:val="14"/>
        </w:rPr>
        <w:t xml:space="preserve">. </w:t>
      </w:r>
      <w:r w:rsidRPr="00E74925">
        <w:rPr>
          <w:sz w:val="14"/>
          <w:szCs w:val="14"/>
        </w:rPr>
        <w:t>The ‘decision-point’ is reached earlier than the ATP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and Reeder 2011, p.6</w:t>
      </w:r>
      <w:r w:rsidRPr="00E74925">
        <w:rPr>
          <w:sz w:val="14"/>
          <w:szCs w:val="14"/>
        </w:rPr>
        <w:t>). The decision-moments and implementation-moments depend on the ATPs of measures, but also on earlier opportunities to combine measures with other objectives, investments, and agendas (</w:t>
      </w:r>
      <w:proofErr w:type="spellStart"/>
      <w:r w:rsidRPr="00E74925">
        <w:rPr>
          <w:color w:val="7F7F7F" w:themeColor="text1" w:themeTint="80"/>
          <w:sz w:val="14"/>
          <w:szCs w:val="14"/>
        </w:rPr>
        <w:t>Jeuken</w:t>
      </w:r>
      <w:proofErr w:type="spellEnd"/>
      <w:r w:rsidRPr="00E74925">
        <w:rPr>
          <w:color w:val="7F7F7F" w:themeColor="text1" w:themeTint="80"/>
          <w:sz w:val="14"/>
          <w:szCs w:val="14"/>
        </w:rPr>
        <w:t xml:space="preserve"> and Reeder 2011, p.5</w:t>
      </w:r>
      <w:r w:rsidRPr="00E74925">
        <w:rPr>
          <w:sz w:val="14"/>
          <w:szCs w:val="14"/>
        </w:rPr>
        <w:t>).</w:t>
      </w:r>
    </w:p>
  </w:footnote>
  <w:footnote w:id="91">
    <w:p w14:paraId="0D43B2C4" w14:textId="1B502F6D" w:rsidR="007C4FBF" w:rsidRPr="00DA1B92" w:rsidRDefault="007C4FBF" w:rsidP="004F08E0">
      <w:pPr>
        <w:pStyle w:val="TEXTBODY"/>
        <w:spacing w:after="0" w:line="240" w:lineRule="auto"/>
        <w:rPr>
          <w:rFonts w:eastAsia="RijksoverheidSansText-Regular" w:cs="Arial"/>
          <w:color w:val="000000"/>
          <w:sz w:val="16"/>
          <w:szCs w:val="16"/>
        </w:rPr>
      </w:pPr>
      <w:r w:rsidRPr="00DA1B92">
        <w:rPr>
          <w:rStyle w:val="Refdenotaderodap"/>
          <w:sz w:val="14"/>
          <w:szCs w:val="14"/>
        </w:rPr>
        <w:footnoteRef/>
      </w:r>
      <w:r w:rsidRPr="00DA1B92">
        <w:rPr>
          <w:sz w:val="14"/>
          <w:szCs w:val="14"/>
        </w:rPr>
        <w:t xml:space="preserve"> To identify ATPs, the DP Team and Subprogrammes</w:t>
      </w:r>
      <w:r w:rsidRPr="00DA1B92">
        <w:rPr>
          <w:rFonts w:eastAsia="RijksoverheidSansText-Regular" w:cs="Arial"/>
          <w:i/>
          <w:iCs/>
          <w:sz w:val="14"/>
          <w:szCs w:val="14"/>
        </w:rPr>
        <w:t xml:space="preserve"> </w:t>
      </w:r>
      <w:r w:rsidRPr="00DA1B92">
        <w:rPr>
          <w:rFonts w:eastAsia="RijksoverheidSansText-Regular" w:cs="Arial"/>
          <w:sz w:val="14"/>
          <w:szCs w:val="14"/>
        </w:rPr>
        <w:t xml:space="preserve">addressed the </w:t>
      </w:r>
      <w:r w:rsidRPr="00DA1B92">
        <w:rPr>
          <w:rFonts w:eastAsia="RijksoverheidSansText-Regular" w:cs="Arial"/>
          <w:color w:val="000000"/>
          <w:sz w:val="14"/>
          <w:szCs w:val="14"/>
        </w:rPr>
        <w:t>question of ‘</w:t>
      </w:r>
      <w:r w:rsidRPr="00DA1B92">
        <w:rPr>
          <w:rFonts w:eastAsia="RijksoverheidSansText-Regular" w:cs="Arial"/>
          <w:i/>
          <w:iCs/>
          <w:color w:val="000000"/>
          <w:sz w:val="14"/>
          <w:szCs w:val="14"/>
        </w:rPr>
        <w:t>how long the current policy will suffice</w:t>
      </w:r>
      <w:r w:rsidRPr="00DA1B92">
        <w:rPr>
          <w:rFonts w:eastAsia="RijksoverheidSansText-Regular" w:cs="Arial"/>
          <w:color w:val="000000"/>
          <w:sz w:val="14"/>
          <w:szCs w:val="14"/>
        </w:rPr>
        <w:t>’</w:t>
      </w:r>
      <w:r w:rsidRPr="00DA1B92">
        <w:rPr>
          <w:rFonts w:eastAsia="RijksoverheidSansText-Regular" w:cs="Arial"/>
          <w:i/>
          <w:iCs/>
          <w:color w:val="000000"/>
          <w:sz w:val="14"/>
          <w:szCs w:val="14"/>
        </w:rPr>
        <w:t xml:space="preserve"> </w:t>
      </w:r>
      <w:r w:rsidRPr="00DA1B92">
        <w:rPr>
          <w:rFonts w:eastAsia="RijksoverheidSansText-Regular" w:cs="Arial"/>
          <w:color w:val="000000"/>
          <w:sz w:val="14"/>
          <w:szCs w:val="14"/>
        </w:rPr>
        <w:t>and ‘</w:t>
      </w:r>
      <w:r w:rsidRPr="00DA1B92">
        <w:rPr>
          <w:rFonts w:eastAsia="RijksoverheidSansText-Regular" w:cs="Arial"/>
          <w:i/>
          <w:iCs/>
          <w:color w:val="000000"/>
          <w:sz w:val="14"/>
          <w:szCs w:val="14"/>
        </w:rPr>
        <w:t>when the tipping-point (at which a policy is no longer tenable) will be reached</w:t>
      </w:r>
      <w:r w:rsidRPr="00DA1B92">
        <w:rPr>
          <w:rFonts w:eastAsia="RijksoverheidSansText-Regular" w:cs="Arial"/>
          <w:color w:val="000000"/>
          <w:sz w:val="14"/>
          <w:szCs w:val="14"/>
        </w:rPr>
        <w:t>’</w:t>
      </w:r>
      <w:r w:rsidRPr="00DA1B92">
        <w:rPr>
          <w:rFonts w:eastAsia="RijksoverheidSansText-Regular" w:cs="Arial"/>
          <w:i/>
          <w:iCs/>
          <w:color w:val="000000"/>
          <w:sz w:val="14"/>
          <w:szCs w:val="14"/>
        </w:rPr>
        <w:t xml:space="preserve"> </w:t>
      </w:r>
      <w:r w:rsidRPr="00DA1B92">
        <w:rPr>
          <w:rFonts w:eastAsia="RijksoverheidSansText-Regular" w:cs="Arial"/>
          <w:color w:val="000000"/>
          <w:sz w:val="14"/>
          <w:szCs w:val="14"/>
        </w:rPr>
        <w:t>(</w:t>
      </w:r>
      <w:r w:rsidRPr="00DA1B92">
        <w:rPr>
          <w:rFonts w:eastAsia="RijksoverheidSansText-Regular" w:cs="Arial"/>
          <w:color w:val="7F7F7F" w:themeColor="text1" w:themeTint="80"/>
          <w:sz w:val="14"/>
          <w:szCs w:val="14"/>
        </w:rPr>
        <w:t>DP 2010, p.68</w:t>
      </w:r>
      <w:r w:rsidRPr="00DA1B92">
        <w:rPr>
          <w:rFonts w:eastAsia="RijksoverheidSansText-Regular" w:cs="Arial"/>
          <w:color w:val="000000"/>
          <w:sz w:val="14"/>
          <w:szCs w:val="14"/>
        </w:rPr>
        <w:t xml:space="preserve">). </w:t>
      </w:r>
    </w:p>
  </w:footnote>
  <w:footnote w:id="92">
    <w:p w14:paraId="4F4CC99D" w14:textId="080EC3F5" w:rsidR="007C4FBF" w:rsidRPr="00DA1B92" w:rsidRDefault="007C4FBF" w:rsidP="00B455D7">
      <w:pPr>
        <w:pStyle w:val="TEXTBODY"/>
        <w:spacing w:after="0" w:line="240" w:lineRule="auto"/>
        <w:rPr>
          <w:sz w:val="14"/>
          <w:szCs w:val="14"/>
        </w:rPr>
      </w:pPr>
      <w:r w:rsidRPr="00DA1B92">
        <w:rPr>
          <w:rStyle w:val="Refdenotaderodap"/>
          <w:sz w:val="14"/>
          <w:szCs w:val="14"/>
        </w:rPr>
        <w:footnoteRef/>
      </w:r>
      <w:r w:rsidRPr="00DA1B92">
        <w:rPr>
          <w:sz w:val="14"/>
          <w:szCs w:val="14"/>
        </w:rPr>
        <w:t xml:space="preserve"> As mentioned, the design the adaptation pathways required the use of the ATP’s method, which involved analysing at which level of a climate-related variable (or other relevant parameter) a given measure is no longer suitable or acceptable and must be substituted by an alternative measure (e.g. specifying a physical threshold at which a transition of measure is needed), and, then, identifying the moment in time of such ATP by placing it (the threshold level) under different (climatic and socioeconomic) scenarios (</w:t>
      </w:r>
      <w:r w:rsidRPr="00DA1B92">
        <w:rPr>
          <w:color w:val="7F7F7F" w:themeColor="text1" w:themeTint="80"/>
          <w:sz w:val="14"/>
          <w:szCs w:val="14"/>
        </w:rPr>
        <w:t>Klijn et al. 2015</w:t>
      </w:r>
      <w:r w:rsidRPr="00DA1B92">
        <w:rPr>
          <w:color w:val="231F20"/>
          <w:sz w:val="14"/>
          <w:szCs w:val="14"/>
        </w:rPr>
        <w:t>).</w:t>
      </w:r>
      <w:r w:rsidRPr="00DA1B92">
        <w:rPr>
          <w:sz w:val="14"/>
          <w:szCs w:val="14"/>
        </w:rPr>
        <w:t xml:space="preserve"> By crossing ATPs with scenarios, it was possible to obtain information on the timing for new measures. The analysis of ATPs was, thus, essential to develop pathways (</w:t>
      </w:r>
      <w:r w:rsidRPr="00DA1B92">
        <w:rPr>
          <w:color w:val="7F7F7F" w:themeColor="text1" w:themeTint="80"/>
          <w:sz w:val="14"/>
          <w:szCs w:val="14"/>
        </w:rPr>
        <w:t>Zevenbergen et al. 2018</w:t>
      </w:r>
      <w:r w:rsidRPr="00DA1B92">
        <w:rPr>
          <w:sz w:val="14"/>
          <w:szCs w:val="14"/>
        </w:rPr>
        <w:t>).</w:t>
      </w:r>
    </w:p>
    <w:p w14:paraId="49880880" w14:textId="65D589C2" w:rsidR="00B455D7" w:rsidRPr="00665C46" w:rsidRDefault="00B455D7" w:rsidP="00665C46">
      <w:pPr>
        <w:pStyle w:val="TEXTBODY"/>
        <w:spacing w:after="0" w:line="240" w:lineRule="auto"/>
        <w:rPr>
          <w:strike/>
          <w:sz w:val="14"/>
          <w:szCs w:val="14"/>
        </w:rPr>
      </w:pPr>
      <w:r w:rsidRPr="00DA1B92">
        <w:rPr>
          <w:sz w:val="14"/>
          <w:szCs w:val="14"/>
        </w:rPr>
        <w:t xml:space="preserve">According to the </w:t>
      </w:r>
      <w:r w:rsidRPr="00DA1B92">
        <w:rPr>
          <w:i/>
          <w:iCs/>
          <w:sz w:val="14"/>
          <w:szCs w:val="14"/>
        </w:rPr>
        <w:t>ADM Implementation Guide</w:t>
      </w:r>
      <w:r w:rsidRPr="00DA1B92">
        <w:rPr>
          <w:sz w:val="14"/>
          <w:szCs w:val="14"/>
        </w:rPr>
        <w:t xml:space="preserve">, to develop </w:t>
      </w:r>
      <w:r w:rsidRPr="00DA1B92">
        <w:rPr>
          <w:i/>
          <w:iCs/>
          <w:sz w:val="14"/>
          <w:szCs w:val="14"/>
        </w:rPr>
        <w:t>robust</w:t>
      </w:r>
      <w:r w:rsidRPr="00DA1B92">
        <w:rPr>
          <w:sz w:val="14"/>
          <w:szCs w:val="14"/>
        </w:rPr>
        <w:t xml:space="preserve"> </w:t>
      </w:r>
      <w:r w:rsidRPr="00DA1B92">
        <w:rPr>
          <w:i/>
          <w:iCs/>
          <w:sz w:val="14"/>
          <w:szCs w:val="14"/>
        </w:rPr>
        <w:t>flexible strategies</w:t>
      </w:r>
      <w:r w:rsidRPr="00DA1B92">
        <w:rPr>
          <w:sz w:val="14"/>
          <w:szCs w:val="14"/>
        </w:rPr>
        <w:t>, it is necessary to identify tipping-points and design adaptation pathways (by ordering possible measures in time)</w:t>
      </w:r>
      <w:r w:rsidRPr="00DA1B92">
        <w:rPr>
          <w:rFonts w:cs="Arial"/>
          <w:sz w:val="14"/>
          <w:szCs w:val="14"/>
        </w:rPr>
        <w:t xml:space="preserve">; in specific, to make strategies </w:t>
      </w:r>
      <w:r w:rsidRPr="00DA1B92">
        <w:rPr>
          <w:rFonts w:cs="Arial"/>
          <w:i/>
          <w:iCs/>
          <w:sz w:val="14"/>
          <w:szCs w:val="14"/>
        </w:rPr>
        <w:t>flexible</w:t>
      </w:r>
      <w:r w:rsidRPr="00DA1B92">
        <w:rPr>
          <w:rFonts w:cs="Arial"/>
          <w:sz w:val="14"/>
          <w:szCs w:val="14"/>
        </w:rPr>
        <w:t>, it was important to know ‘</w:t>
      </w:r>
      <w:r w:rsidRPr="00DA1B92">
        <w:rPr>
          <w:rFonts w:cs="Arial"/>
          <w:i/>
          <w:sz w:val="14"/>
          <w:szCs w:val="14"/>
        </w:rPr>
        <w:t>when to take action or change course</w:t>
      </w:r>
      <w:r w:rsidRPr="00DA1B92">
        <w:rPr>
          <w:rFonts w:cs="Arial"/>
          <w:iCs/>
          <w:sz w:val="14"/>
          <w:szCs w:val="14"/>
        </w:rPr>
        <w:t>’,</w:t>
      </w:r>
      <w:r w:rsidRPr="00DA1B92">
        <w:rPr>
          <w:rFonts w:cs="Arial"/>
          <w:sz w:val="14"/>
          <w:szCs w:val="14"/>
        </w:rPr>
        <w:t xml:space="preserve"> i.e. when an ATP might be reached (</w:t>
      </w:r>
      <w:r w:rsidRPr="00DA1B92">
        <w:rPr>
          <w:color w:val="7F7F7F" w:themeColor="text1" w:themeTint="80"/>
          <w:sz w:val="14"/>
          <w:szCs w:val="14"/>
        </w:rPr>
        <w:t xml:space="preserve">Rhee 2012, </w:t>
      </w:r>
      <w:r w:rsidRPr="00DA1B92">
        <w:rPr>
          <w:i/>
          <w:iCs/>
          <w:color w:val="7F7F7F" w:themeColor="text1" w:themeTint="80"/>
          <w:sz w:val="14"/>
          <w:szCs w:val="14"/>
        </w:rPr>
        <w:t>in</w:t>
      </w:r>
      <w:r w:rsidRPr="00DA1B92">
        <w:rPr>
          <w:color w:val="7F7F7F" w:themeColor="text1" w:themeTint="80"/>
          <w:sz w:val="14"/>
          <w:szCs w:val="14"/>
        </w:rPr>
        <w:t xml:space="preserve"> </w:t>
      </w:r>
      <w:proofErr w:type="spellStart"/>
      <w:r w:rsidRPr="00DA1B92">
        <w:rPr>
          <w:rFonts w:cs="Arial"/>
          <w:color w:val="7F7F7F" w:themeColor="text1" w:themeTint="80"/>
          <w:sz w:val="14"/>
          <w:szCs w:val="14"/>
        </w:rPr>
        <w:t>Restemeyer</w:t>
      </w:r>
      <w:proofErr w:type="spellEnd"/>
      <w:r w:rsidRPr="00DA1B92">
        <w:rPr>
          <w:rFonts w:cs="Arial"/>
          <w:color w:val="7F7F7F" w:themeColor="text1" w:themeTint="80"/>
          <w:sz w:val="14"/>
          <w:szCs w:val="14"/>
        </w:rPr>
        <w:t xml:space="preserve"> et al. 2017, p. 931</w:t>
      </w:r>
      <w:r w:rsidRPr="00DA1B92">
        <w:rPr>
          <w:rFonts w:cs="Arial"/>
          <w:sz w:val="14"/>
          <w:szCs w:val="14"/>
        </w:rPr>
        <w:t>).</w:t>
      </w:r>
      <w:r w:rsidRPr="00A437B9">
        <w:rPr>
          <w:sz w:val="14"/>
          <w:szCs w:val="14"/>
          <w:u w:val="double"/>
        </w:rPr>
        <w:t xml:space="preserve"> </w:t>
      </w:r>
    </w:p>
  </w:footnote>
  <w:footnote w:id="93">
    <w:p w14:paraId="5482BF36" w14:textId="67C61959" w:rsidR="00D52424" w:rsidRPr="00E74925" w:rsidRDefault="00D52424" w:rsidP="00E74925">
      <w:pPr>
        <w:pStyle w:val="Textodenotaderodap"/>
        <w:rPr>
          <w:sz w:val="14"/>
          <w:szCs w:val="14"/>
        </w:rPr>
      </w:pPr>
      <w:r w:rsidRPr="00E74925">
        <w:rPr>
          <w:rStyle w:val="Refdenotaderodap"/>
          <w:sz w:val="14"/>
          <w:szCs w:val="14"/>
        </w:rPr>
        <w:footnoteRef/>
      </w:r>
      <w:r w:rsidRPr="00E74925">
        <w:rPr>
          <w:sz w:val="14"/>
          <w:szCs w:val="14"/>
        </w:rPr>
        <w:t xml:space="preserve"> The </w:t>
      </w:r>
      <w:r w:rsidRPr="00E74925">
        <w:rPr>
          <w:i/>
          <w:iCs/>
          <w:sz w:val="14"/>
          <w:szCs w:val="14"/>
        </w:rPr>
        <w:t>ADM Implementation Guide</w:t>
      </w:r>
      <w:r w:rsidRPr="00E74925">
        <w:rPr>
          <w:sz w:val="14"/>
          <w:szCs w:val="14"/>
        </w:rPr>
        <w:t xml:space="preserve"> (</w:t>
      </w:r>
      <w:r w:rsidRPr="00E74925">
        <w:rPr>
          <w:color w:val="7F7F7F" w:themeColor="text1" w:themeTint="80"/>
          <w:sz w:val="14"/>
          <w:szCs w:val="14"/>
        </w:rPr>
        <w:t>Rhee 2012</w:t>
      </w:r>
      <w:r w:rsidRPr="00E74925">
        <w:rPr>
          <w:sz w:val="14"/>
          <w:szCs w:val="14"/>
        </w:rPr>
        <w:t>) suggests working with Scenarios, Tipping-points, and Adaptation Pathways (</w:t>
      </w:r>
      <w:r w:rsidRPr="00E74925">
        <w:rPr>
          <w:i/>
          <w:iCs/>
          <w:sz w:val="14"/>
          <w:szCs w:val="14"/>
        </w:rPr>
        <w:t>in</w:t>
      </w:r>
      <w:r w:rsidRPr="00E74925">
        <w:rPr>
          <w:sz w:val="14"/>
          <w:szCs w:val="14"/>
        </w:rPr>
        <w:t xml:space="preserve"> </w:t>
      </w:r>
      <w:proofErr w:type="spellStart"/>
      <w:r w:rsidRPr="00E74925">
        <w:rPr>
          <w:color w:val="7F7F7F" w:themeColor="text1" w:themeTint="80"/>
          <w:sz w:val="14"/>
          <w:szCs w:val="14"/>
        </w:rPr>
        <w:t>Restemeyer</w:t>
      </w:r>
      <w:proofErr w:type="spellEnd"/>
      <w:r w:rsidRPr="00E74925">
        <w:rPr>
          <w:color w:val="7F7F7F" w:themeColor="text1" w:themeTint="80"/>
          <w:sz w:val="14"/>
          <w:szCs w:val="14"/>
        </w:rPr>
        <w:t xml:space="preserve"> et al. 2017, p.930</w:t>
      </w:r>
      <w:r w:rsidRPr="00E74925">
        <w:rPr>
          <w:sz w:val="14"/>
          <w:szCs w:val="14"/>
        </w:rPr>
        <w:t>); i</w:t>
      </w:r>
      <w:r w:rsidRPr="00E74925">
        <w:rPr>
          <w:rFonts w:eastAsia="Times New Roman"/>
          <w:sz w:val="14"/>
          <w:szCs w:val="14"/>
        </w:rPr>
        <w:t>dentifying tipping-points and making adaptation pathway</w:t>
      </w:r>
      <w:r w:rsidRPr="00E74925">
        <w:rPr>
          <w:sz w:val="14"/>
          <w:szCs w:val="14"/>
        </w:rPr>
        <w:t xml:space="preserve">s (which involved </w:t>
      </w:r>
      <w:r w:rsidRPr="00E74925">
        <w:rPr>
          <w:rFonts w:eastAsia="Times New Roman"/>
          <w:sz w:val="14"/>
          <w:szCs w:val="14"/>
        </w:rPr>
        <w:t>ordering various possible</w:t>
      </w:r>
      <w:r w:rsidRPr="00E74925">
        <w:rPr>
          <w:sz w:val="14"/>
          <w:szCs w:val="14"/>
        </w:rPr>
        <w:t xml:space="preserve"> </w:t>
      </w:r>
      <w:r w:rsidRPr="00E74925">
        <w:rPr>
          <w:rFonts w:eastAsia="Times New Roman"/>
          <w:sz w:val="14"/>
          <w:szCs w:val="14"/>
        </w:rPr>
        <w:t>measures in time) w</w:t>
      </w:r>
      <w:r w:rsidR="00C558D9" w:rsidRPr="00E74925">
        <w:rPr>
          <w:rFonts w:eastAsia="Times New Roman"/>
          <w:sz w:val="14"/>
          <w:szCs w:val="14"/>
        </w:rPr>
        <w:t xml:space="preserve">ere </w:t>
      </w:r>
      <w:r w:rsidRPr="00E74925">
        <w:rPr>
          <w:rFonts w:eastAsia="Times New Roman"/>
          <w:sz w:val="14"/>
          <w:szCs w:val="14"/>
        </w:rPr>
        <w:t xml:space="preserve">supposed to help in </w:t>
      </w:r>
      <w:r w:rsidR="00C558D9" w:rsidRPr="00E74925">
        <w:rPr>
          <w:rFonts w:eastAsia="Times New Roman"/>
          <w:sz w:val="14"/>
          <w:szCs w:val="14"/>
        </w:rPr>
        <w:t>finding (</w:t>
      </w:r>
      <w:r w:rsidRPr="00E74925">
        <w:rPr>
          <w:sz w:val="14"/>
          <w:szCs w:val="14"/>
        </w:rPr>
        <w:t>dev</w:t>
      </w:r>
      <w:r w:rsidR="00C558D9" w:rsidRPr="00E74925">
        <w:rPr>
          <w:sz w:val="14"/>
          <w:szCs w:val="14"/>
        </w:rPr>
        <w:t>isin</w:t>
      </w:r>
      <w:r w:rsidRPr="00E74925">
        <w:rPr>
          <w:sz w:val="14"/>
          <w:szCs w:val="14"/>
        </w:rPr>
        <w:t>g</w:t>
      </w:r>
      <w:r w:rsidR="00C558D9" w:rsidRPr="00E74925">
        <w:rPr>
          <w:sz w:val="14"/>
          <w:szCs w:val="14"/>
        </w:rPr>
        <w:t>)</w:t>
      </w:r>
      <w:r w:rsidRPr="00E74925">
        <w:rPr>
          <w:rFonts w:eastAsia="Times New Roman"/>
          <w:sz w:val="14"/>
          <w:szCs w:val="14"/>
        </w:rPr>
        <w:t xml:space="preserve"> </w:t>
      </w:r>
      <w:r w:rsidRPr="00E74925">
        <w:rPr>
          <w:rFonts w:eastAsia="Times New Roman"/>
          <w:i/>
          <w:iCs/>
          <w:sz w:val="14"/>
          <w:szCs w:val="14"/>
        </w:rPr>
        <w:t>robust and</w:t>
      </w:r>
      <w:r w:rsidRPr="00E74925">
        <w:rPr>
          <w:i/>
          <w:iCs/>
          <w:sz w:val="14"/>
          <w:szCs w:val="14"/>
        </w:rPr>
        <w:t xml:space="preserve"> </w:t>
      </w:r>
      <w:r w:rsidRPr="00E74925">
        <w:rPr>
          <w:rFonts w:eastAsia="Times New Roman"/>
          <w:i/>
          <w:iCs/>
          <w:sz w:val="14"/>
          <w:szCs w:val="14"/>
        </w:rPr>
        <w:t>flexible strategies</w:t>
      </w:r>
      <w:r w:rsidRPr="00E74925">
        <w:rPr>
          <w:sz w:val="14"/>
          <w:szCs w:val="14"/>
        </w:rPr>
        <w:t xml:space="preserve"> (</w:t>
      </w:r>
      <w:proofErr w:type="spellStart"/>
      <w:r w:rsidRPr="00E74925">
        <w:rPr>
          <w:color w:val="7F7F7F" w:themeColor="text1" w:themeTint="80"/>
          <w:sz w:val="14"/>
          <w:szCs w:val="14"/>
        </w:rPr>
        <w:t>Restemeyer</w:t>
      </w:r>
      <w:proofErr w:type="spellEnd"/>
      <w:r w:rsidRPr="00E74925">
        <w:rPr>
          <w:color w:val="7F7F7F" w:themeColor="text1" w:themeTint="80"/>
          <w:sz w:val="14"/>
          <w:szCs w:val="14"/>
        </w:rPr>
        <w:t xml:space="preserve"> et al. 2017, p.931</w:t>
      </w:r>
      <w:r w:rsidRPr="00E74925">
        <w:rPr>
          <w:sz w:val="14"/>
          <w:szCs w:val="14"/>
        </w:rPr>
        <w:t>). T</w:t>
      </w:r>
      <w:r w:rsidRPr="00E74925">
        <w:rPr>
          <w:rFonts w:eastAsia="Times New Roman"/>
          <w:sz w:val="14"/>
          <w:szCs w:val="14"/>
        </w:rPr>
        <w:t xml:space="preserve">he </w:t>
      </w:r>
      <w:r w:rsidRPr="00E74925">
        <w:rPr>
          <w:sz w:val="14"/>
          <w:szCs w:val="14"/>
        </w:rPr>
        <w:t xml:space="preserve">DP’s ADM </w:t>
      </w:r>
      <w:r w:rsidRPr="00E74925">
        <w:rPr>
          <w:rFonts w:eastAsia="Times New Roman"/>
          <w:sz w:val="14"/>
          <w:szCs w:val="14"/>
        </w:rPr>
        <w:t>approach used</w:t>
      </w:r>
      <w:r w:rsidRPr="00E74925">
        <w:rPr>
          <w:sz w:val="14"/>
          <w:szCs w:val="14"/>
        </w:rPr>
        <w:t xml:space="preserve"> </w:t>
      </w:r>
      <w:r w:rsidRPr="00E74925">
        <w:rPr>
          <w:rFonts w:eastAsia="Times New Roman"/>
          <w:sz w:val="14"/>
          <w:szCs w:val="14"/>
        </w:rPr>
        <w:t xml:space="preserve">scenarios, tipping-points and adaptation pathways </w:t>
      </w:r>
      <w:r w:rsidRPr="00E74925">
        <w:rPr>
          <w:rFonts w:eastAsia="Times New Roman"/>
          <w:i/>
          <w:iCs/>
          <w:sz w:val="14"/>
          <w:szCs w:val="14"/>
        </w:rPr>
        <w:t>to make strategies more</w:t>
      </w:r>
      <w:r w:rsidRPr="00E74925">
        <w:rPr>
          <w:i/>
          <w:iCs/>
          <w:sz w:val="14"/>
          <w:szCs w:val="14"/>
        </w:rPr>
        <w:t xml:space="preserve"> </w:t>
      </w:r>
      <w:r w:rsidRPr="00E74925">
        <w:rPr>
          <w:rFonts w:eastAsia="Times New Roman"/>
          <w:i/>
          <w:iCs/>
          <w:sz w:val="14"/>
          <w:szCs w:val="14"/>
        </w:rPr>
        <w:t>‘robust’ and ‘flexible’</w:t>
      </w:r>
      <w:r w:rsidRPr="00E74925">
        <w:rPr>
          <w:sz w:val="14"/>
          <w:szCs w:val="14"/>
        </w:rPr>
        <w:t xml:space="preserve"> (</w:t>
      </w:r>
      <w:proofErr w:type="spellStart"/>
      <w:r w:rsidRPr="00E74925">
        <w:rPr>
          <w:color w:val="7F7F7F" w:themeColor="text1" w:themeTint="80"/>
          <w:sz w:val="14"/>
          <w:szCs w:val="14"/>
        </w:rPr>
        <w:t>Restemeyer</w:t>
      </w:r>
      <w:proofErr w:type="spellEnd"/>
      <w:r w:rsidRPr="00E74925">
        <w:rPr>
          <w:color w:val="7F7F7F" w:themeColor="text1" w:themeTint="80"/>
          <w:sz w:val="14"/>
          <w:szCs w:val="14"/>
        </w:rPr>
        <w:t xml:space="preserve"> et al. 2017, p.935</w:t>
      </w:r>
      <w:r w:rsidRPr="00E74925">
        <w:rPr>
          <w:sz w:val="14"/>
          <w:szCs w:val="14"/>
        </w:rPr>
        <w:t xml:space="preserve">). </w:t>
      </w:r>
    </w:p>
  </w:footnote>
  <w:footnote w:id="94">
    <w:p w14:paraId="7F22AEF3" w14:textId="189B787C" w:rsidR="0023760E" w:rsidRPr="0023760E" w:rsidRDefault="0023760E" w:rsidP="00E74925">
      <w:pPr>
        <w:pStyle w:val="Textodenotaderodap"/>
      </w:pPr>
      <w:r w:rsidRPr="00E74925">
        <w:rPr>
          <w:rStyle w:val="Refdenotaderodap"/>
          <w:sz w:val="14"/>
          <w:szCs w:val="14"/>
        </w:rPr>
        <w:footnoteRef/>
      </w:r>
      <w:r w:rsidRPr="00E74925">
        <w:rPr>
          <w:sz w:val="14"/>
          <w:szCs w:val="14"/>
        </w:rPr>
        <w:t xml:space="preserve"> The DP aimed to develop </w:t>
      </w:r>
      <w:r w:rsidRPr="00E74925">
        <w:rPr>
          <w:i/>
          <w:iCs/>
          <w:sz w:val="14"/>
          <w:szCs w:val="14"/>
        </w:rPr>
        <w:t xml:space="preserve">strategies </w:t>
      </w:r>
      <w:r w:rsidRPr="00E74925">
        <w:rPr>
          <w:sz w:val="14"/>
          <w:szCs w:val="14"/>
        </w:rPr>
        <w:t>that were both</w:t>
      </w:r>
      <w:r w:rsidRPr="00E74925">
        <w:rPr>
          <w:i/>
          <w:iCs/>
          <w:sz w:val="14"/>
          <w:szCs w:val="14"/>
        </w:rPr>
        <w:t xml:space="preserve"> robust </w:t>
      </w:r>
      <w:r w:rsidRPr="00E74925">
        <w:rPr>
          <w:sz w:val="14"/>
          <w:szCs w:val="14"/>
        </w:rPr>
        <w:t xml:space="preserve">and </w:t>
      </w:r>
      <w:r w:rsidRPr="00E74925">
        <w:rPr>
          <w:i/>
          <w:iCs/>
          <w:sz w:val="14"/>
          <w:szCs w:val="14"/>
        </w:rPr>
        <w:t>flexible</w:t>
      </w:r>
      <w:r w:rsidRPr="00E74925">
        <w:rPr>
          <w:sz w:val="14"/>
          <w:szCs w:val="14"/>
        </w:rPr>
        <w:t xml:space="preserve"> </w:t>
      </w:r>
      <w:r w:rsidRPr="00E74925">
        <w:rPr>
          <w:color w:val="C00000"/>
          <w:sz w:val="14"/>
          <w:szCs w:val="14"/>
        </w:rPr>
        <w:t>(</w:t>
      </w:r>
      <w:r w:rsidRPr="00E74925">
        <w:rPr>
          <w:rFonts w:eastAsia="RijksoverheidSerif-Regular"/>
          <w:color w:val="7F7F7F" w:themeColor="text1" w:themeTint="80"/>
          <w:sz w:val="14"/>
          <w:szCs w:val="14"/>
        </w:rPr>
        <w:t>DP 2013, p.103</w:t>
      </w:r>
      <w:r w:rsidRPr="00E74925">
        <w:rPr>
          <w:rFonts w:eastAsia="RijksoverheidSerif-Regular"/>
          <w:sz w:val="14"/>
          <w:szCs w:val="14"/>
        </w:rPr>
        <w:t xml:space="preserve">; </w:t>
      </w:r>
      <w:r w:rsidRPr="00E74925">
        <w:rPr>
          <w:color w:val="7F7F7F" w:themeColor="text1" w:themeTint="80"/>
          <w:sz w:val="14"/>
          <w:szCs w:val="14"/>
        </w:rPr>
        <w:t>94</w:t>
      </w:r>
      <w:r w:rsidRPr="00E74925">
        <w:rPr>
          <w:color w:val="C00000"/>
          <w:sz w:val="14"/>
          <w:szCs w:val="14"/>
        </w:rPr>
        <w:t>).</w:t>
      </w:r>
    </w:p>
  </w:footnote>
  <w:footnote w:id="95">
    <w:p w14:paraId="6016FD90" w14:textId="77777777" w:rsidR="00A61A74" w:rsidRPr="00164AD9" w:rsidRDefault="00A61A74" w:rsidP="00A61A74">
      <w:pPr>
        <w:pStyle w:val="Textodenotaderodap"/>
      </w:pPr>
      <w:r w:rsidRPr="00DA1B92">
        <w:rPr>
          <w:rStyle w:val="Refdenotaderodap"/>
        </w:rPr>
        <w:footnoteRef/>
      </w:r>
      <w:r w:rsidRPr="00DA1B92">
        <w:rPr>
          <w:sz w:val="14"/>
          <w:szCs w:val="14"/>
        </w:rPr>
        <w:t xml:space="preserve"> </w:t>
      </w:r>
      <w:r w:rsidRPr="00DA1B92">
        <w:rPr>
          <w:sz w:val="14"/>
          <w:szCs w:val="20"/>
        </w:rPr>
        <w:t xml:space="preserve">To design the adaptation pathways, the method of </w:t>
      </w:r>
      <w:proofErr w:type="spellStart"/>
      <w:r w:rsidRPr="00DA1B92">
        <w:rPr>
          <w:color w:val="7F7F7F" w:themeColor="text1" w:themeTint="80"/>
          <w:sz w:val="14"/>
          <w:szCs w:val="20"/>
        </w:rPr>
        <w:t>Haasnoot</w:t>
      </w:r>
      <w:proofErr w:type="spellEnd"/>
      <w:r w:rsidRPr="00DA1B92">
        <w:rPr>
          <w:color w:val="7F7F7F" w:themeColor="text1" w:themeTint="80"/>
          <w:sz w:val="14"/>
          <w:szCs w:val="20"/>
        </w:rPr>
        <w:t xml:space="preserve"> et al. (2012, 2013) </w:t>
      </w:r>
      <w:r w:rsidRPr="00DA1B92">
        <w:rPr>
          <w:sz w:val="14"/>
          <w:szCs w:val="20"/>
        </w:rPr>
        <w:t xml:space="preserve">could be used; pathways could be </w:t>
      </w:r>
      <w:r w:rsidRPr="000A40A4">
        <w:rPr>
          <w:sz w:val="14"/>
          <w:szCs w:val="20"/>
        </w:rPr>
        <w:t>designed as series</w:t>
      </w:r>
      <w:r w:rsidRPr="00DA1B92">
        <w:rPr>
          <w:sz w:val="14"/>
          <w:szCs w:val="20"/>
        </w:rPr>
        <w:t xml:space="preserve"> of sequenced measures that provide a solution to problems (</w:t>
      </w:r>
      <w:r w:rsidRPr="00DA1B92">
        <w:rPr>
          <w:i/>
          <w:iCs/>
          <w:sz w:val="14"/>
          <w:szCs w:val="20"/>
        </w:rPr>
        <w:t>in</w:t>
      </w:r>
      <w:r w:rsidRPr="00DA1B92">
        <w:rPr>
          <w:sz w:val="14"/>
          <w:szCs w:val="20"/>
        </w:rPr>
        <w:t xml:space="preserve"> </w:t>
      </w:r>
      <w:r w:rsidRPr="00DA1B92">
        <w:rPr>
          <w:color w:val="7F7F7F" w:themeColor="text1" w:themeTint="80"/>
          <w:sz w:val="14"/>
          <w:szCs w:val="20"/>
        </w:rPr>
        <w:t>Brugge and Bruggeman</w:t>
      </w:r>
      <w:r w:rsidRPr="00DA1B92">
        <w:rPr>
          <w:sz w:val="14"/>
          <w:szCs w:val="20"/>
        </w:rPr>
        <w:t>).</w:t>
      </w:r>
    </w:p>
  </w:footnote>
  <w:footnote w:id="96">
    <w:p w14:paraId="064FFE72" w14:textId="58B936C8" w:rsidR="00D90671" w:rsidRPr="00D90671" w:rsidRDefault="00D90671" w:rsidP="00D90671">
      <w:pPr>
        <w:pStyle w:val="Textodenotaderodap"/>
      </w:pPr>
      <w:r w:rsidRPr="00D90671">
        <w:rPr>
          <w:rStyle w:val="Refdenotaderodap"/>
          <w:sz w:val="14"/>
          <w:szCs w:val="14"/>
        </w:rPr>
        <w:footnoteRef/>
      </w:r>
      <w:r w:rsidRPr="00D90671">
        <w:rPr>
          <w:sz w:val="14"/>
          <w:szCs w:val="14"/>
        </w:rPr>
        <w:t xml:space="preserve"> The DP’s ADM approach combines existing insights into working with several potential strategies, called</w:t>
      </w:r>
      <w:r w:rsidR="004268DD">
        <w:rPr>
          <w:sz w:val="14"/>
          <w:szCs w:val="14"/>
        </w:rPr>
        <w:t xml:space="preserve"> </w:t>
      </w:r>
      <w:r w:rsidRPr="00D90671">
        <w:rPr>
          <w:i/>
          <w:iCs/>
          <w:sz w:val="14"/>
          <w:szCs w:val="14"/>
        </w:rPr>
        <w:t>adaptation paths</w:t>
      </w:r>
      <w:r w:rsidRPr="00D90671">
        <w:rPr>
          <w:sz w:val="14"/>
          <w:szCs w:val="14"/>
        </w:rPr>
        <w:t>, and appraising flexibility around such solution-paths. In the DP, ADM involved developing a schematic overview with adaptation paths for tackling the tasks in a relevant area, and, in this, it assumed a bandwidth of plausible futures (Delta Scenarios), thus, starting from the current situation, the scheme charts out the next decision, moves further ahead and looks at possible amending or adaptive strategies at a later stage, including conditions under which it will be wise to shift strategies (</w:t>
      </w:r>
      <w:r w:rsidRPr="00D90671">
        <w:rPr>
          <w:color w:val="7F7F7F" w:themeColor="text1" w:themeTint="80"/>
          <w:sz w:val="14"/>
          <w:szCs w:val="14"/>
        </w:rPr>
        <w:t>DP 2011, p.48</w:t>
      </w:r>
      <w:r w:rsidRPr="00D90671">
        <w:rPr>
          <w:sz w:val="14"/>
          <w:szCs w:val="14"/>
        </w:rPr>
        <w:t xml:space="preserve">). </w:t>
      </w:r>
    </w:p>
  </w:footnote>
  <w:footnote w:id="97">
    <w:p w14:paraId="5BF2A684" w14:textId="25ADBF43" w:rsidR="00D50CEB" w:rsidRPr="00DA1B92" w:rsidRDefault="00D50CEB">
      <w:pPr>
        <w:pStyle w:val="Textodenotaderodap"/>
      </w:pPr>
      <w:r w:rsidRPr="00DA1B92">
        <w:rPr>
          <w:rStyle w:val="Refdenotaderodap"/>
          <w:sz w:val="14"/>
          <w:szCs w:val="14"/>
        </w:rPr>
        <w:footnoteRef/>
      </w:r>
      <w:r w:rsidRPr="00DA1B92">
        <w:rPr>
          <w:sz w:val="14"/>
          <w:szCs w:val="14"/>
        </w:rPr>
        <w:t xml:space="preserve"> The </w:t>
      </w:r>
      <w:r w:rsidRPr="00DA1B92">
        <w:rPr>
          <w:i/>
          <w:iCs/>
          <w:sz w:val="14"/>
          <w:szCs w:val="14"/>
        </w:rPr>
        <w:t>adaptation paths</w:t>
      </w:r>
      <w:r w:rsidRPr="00DA1B92">
        <w:rPr>
          <w:sz w:val="14"/>
          <w:szCs w:val="14"/>
        </w:rPr>
        <w:t xml:space="preserve"> were created by putting the first measures and the long-term possible options in a logical chronological order (</w:t>
      </w:r>
      <w:r w:rsidRPr="00DA1B92">
        <w:rPr>
          <w:color w:val="7F7F7F" w:themeColor="text1" w:themeTint="80"/>
          <w:sz w:val="14"/>
          <w:szCs w:val="14"/>
        </w:rPr>
        <w:t>DP 2012, p.61</w:t>
      </w:r>
      <w:r w:rsidRPr="00DA1B92">
        <w:rPr>
          <w:sz w:val="14"/>
          <w:szCs w:val="14"/>
        </w:rPr>
        <w:t xml:space="preserve">). </w:t>
      </w:r>
    </w:p>
  </w:footnote>
  <w:footnote w:id="98">
    <w:p w14:paraId="24FE4E11" w14:textId="77777777" w:rsidR="001C2189" w:rsidRPr="000A40A4" w:rsidRDefault="001C2189" w:rsidP="000A40A4">
      <w:pPr>
        <w:pStyle w:val="Textodenotaderodap"/>
        <w:rPr>
          <w:color w:val="31849B" w:themeColor="accent5" w:themeShade="BF"/>
          <w:sz w:val="14"/>
          <w:szCs w:val="14"/>
        </w:rPr>
      </w:pPr>
      <w:r w:rsidRPr="00DA1B92">
        <w:rPr>
          <w:rStyle w:val="Refdenotaderodap"/>
          <w:sz w:val="14"/>
          <w:szCs w:val="14"/>
        </w:rPr>
        <w:footnoteRef/>
      </w:r>
      <w:r w:rsidRPr="00DA1B92">
        <w:rPr>
          <w:sz w:val="14"/>
          <w:szCs w:val="14"/>
        </w:rPr>
        <w:t xml:space="preserve"> Each </w:t>
      </w:r>
      <w:r w:rsidRPr="00DA1B92">
        <w:rPr>
          <w:i/>
          <w:iCs/>
          <w:sz w:val="14"/>
          <w:szCs w:val="14"/>
        </w:rPr>
        <w:t>Preferential Strategy</w:t>
      </w:r>
      <w:r w:rsidRPr="00DA1B92">
        <w:rPr>
          <w:sz w:val="14"/>
          <w:szCs w:val="14"/>
        </w:rPr>
        <w:t xml:space="preserve"> includes possible options for the long-term, some may not be required after 2050 but are included anyway as an ‘option’. E.g. until 2050, the DP intends to gradually adapt the existing FRM system to changing conditions (SLR, increasing river discharges). This implies gradual changes in the system, e.g. in the management, maintenance and replacement of defences, in spatial organization, and in specific sectors (shipping, agriculture). After 2050, larger-scale interventions in the system will be </w:t>
      </w:r>
      <w:r w:rsidRPr="000A40A4">
        <w:rPr>
          <w:sz w:val="14"/>
          <w:szCs w:val="14"/>
        </w:rPr>
        <w:t>required, which will be carried out according to the then-existing climatic and socioeconomic conditions. A final decision on the post-2050 measures was not taken in 2014, but preparations were made for the case such measures are necessary. This required anticipating long-term conditions (</w:t>
      </w:r>
      <w:r w:rsidRPr="000A40A4">
        <w:rPr>
          <w:color w:val="7F7F7F" w:themeColor="text1" w:themeTint="80"/>
          <w:sz w:val="14"/>
          <w:szCs w:val="14"/>
        </w:rPr>
        <w:t>DP2013, p.102</w:t>
      </w:r>
      <w:r w:rsidRPr="000A40A4">
        <w:rPr>
          <w:sz w:val="14"/>
          <w:szCs w:val="14"/>
        </w:rPr>
        <w:t>).</w:t>
      </w:r>
      <w:r w:rsidRPr="000A40A4">
        <w:rPr>
          <w:sz w:val="14"/>
          <w:szCs w:val="14"/>
          <w:u w:val="single"/>
        </w:rPr>
        <w:t xml:space="preserve"> </w:t>
      </w:r>
    </w:p>
  </w:footnote>
  <w:footnote w:id="99">
    <w:p w14:paraId="41747CCF" w14:textId="56F973B2" w:rsidR="00AE72D9" w:rsidRPr="000A40A4" w:rsidRDefault="00AE72D9" w:rsidP="000A40A4">
      <w:pPr>
        <w:pStyle w:val="TEXTBODY"/>
        <w:spacing w:after="0" w:line="240" w:lineRule="auto"/>
        <w:rPr>
          <w:sz w:val="14"/>
          <w:szCs w:val="14"/>
        </w:rPr>
      </w:pPr>
      <w:r w:rsidRPr="000A40A4">
        <w:rPr>
          <w:rStyle w:val="Refdenotaderodap"/>
          <w:sz w:val="14"/>
          <w:szCs w:val="14"/>
        </w:rPr>
        <w:footnoteRef/>
      </w:r>
      <w:r w:rsidRPr="000A40A4">
        <w:rPr>
          <w:sz w:val="14"/>
          <w:szCs w:val="14"/>
        </w:rPr>
        <w:t xml:space="preserve"> The DP sought to ensure that the chosen strategies and measures provided flexibility to respond to new insights and changes, for example, in terms of ‘</w:t>
      </w:r>
      <w:r w:rsidRPr="000A40A4">
        <w:rPr>
          <w:i/>
          <w:iCs/>
          <w:sz w:val="14"/>
          <w:szCs w:val="14"/>
        </w:rPr>
        <w:t>stepping up measures</w:t>
      </w:r>
      <w:r w:rsidRPr="000A40A4">
        <w:rPr>
          <w:sz w:val="14"/>
          <w:szCs w:val="14"/>
        </w:rPr>
        <w:t>’ or ‘changing strategy’ if necessary (</w:t>
      </w:r>
      <w:r w:rsidRPr="000A40A4">
        <w:rPr>
          <w:color w:val="7F7F7F" w:themeColor="text1" w:themeTint="80"/>
          <w:sz w:val="14"/>
          <w:szCs w:val="14"/>
        </w:rPr>
        <w:t>DP 2014, p.6</w:t>
      </w:r>
      <w:r w:rsidRPr="000A40A4">
        <w:rPr>
          <w:sz w:val="14"/>
          <w:szCs w:val="14"/>
        </w:rPr>
        <w:t xml:space="preserve">). </w:t>
      </w:r>
    </w:p>
  </w:footnote>
  <w:footnote w:id="100">
    <w:p w14:paraId="14BF7415" w14:textId="77777777" w:rsidR="00106A2C" w:rsidRPr="000A40A4" w:rsidRDefault="00106A2C" w:rsidP="000A40A4">
      <w:pPr>
        <w:pStyle w:val="Textodenotaderodap"/>
        <w:rPr>
          <w:sz w:val="14"/>
          <w:szCs w:val="14"/>
        </w:rPr>
      </w:pPr>
      <w:r w:rsidRPr="000A40A4">
        <w:rPr>
          <w:rStyle w:val="Refdenotaderodap"/>
          <w:sz w:val="14"/>
          <w:szCs w:val="14"/>
        </w:rPr>
        <w:footnoteRef/>
      </w:r>
      <w:r w:rsidRPr="000A40A4">
        <w:rPr>
          <w:sz w:val="14"/>
          <w:szCs w:val="14"/>
        </w:rPr>
        <w:t xml:space="preserve"> For instance, in the</w:t>
      </w:r>
      <w:r w:rsidRPr="000A40A4">
        <w:rPr>
          <w:color w:val="C00000"/>
          <w:sz w:val="14"/>
          <w:szCs w:val="14"/>
        </w:rPr>
        <w:t xml:space="preserve"> </w:t>
      </w:r>
      <w:r w:rsidRPr="000A40A4">
        <w:rPr>
          <w:sz w:val="14"/>
          <w:szCs w:val="14"/>
        </w:rPr>
        <w:t>Preferential Strategy for the RE-D, by switching between ‘</w:t>
      </w:r>
      <w:r w:rsidRPr="000A40A4">
        <w:rPr>
          <w:i/>
          <w:iCs/>
          <w:sz w:val="14"/>
          <w:szCs w:val="14"/>
        </w:rPr>
        <w:t xml:space="preserve">more dyke reinforcements’ </w:t>
      </w:r>
      <w:r w:rsidRPr="000A40A4">
        <w:rPr>
          <w:sz w:val="14"/>
          <w:szCs w:val="14"/>
        </w:rPr>
        <w:t>and ‘</w:t>
      </w:r>
      <w:r w:rsidRPr="000A40A4">
        <w:rPr>
          <w:i/>
          <w:iCs/>
          <w:sz w:val="14"/>
          <w:szCs w:val="14"/>
        </w:rPr>
        <w:t>river widening’</w:t>
      </w:r>
      <w:r w:rsidRPr="000A40A4">
        <w:rPr>
          <w:sz w:val="14"/>
          <w:szCs w:val="14"/>
        </w:rPr>
        <w:t>, it will be possible to cope with the projected CC (indeed both measures are part of the current strategy) (</w:t>
      </w:r>
      <w:proofErr w:type="spellStart"/>
      <w:r w:rsidRPr="000A40A4">
        <w:rPr>
          <w:color w:val="7F7F7F" w:themeColor="text1" w:themeTint="80"/>
          <w:sz w:val="14"/>
          <w:szCs w:val="14"/>
        </w:rPr>
        <w:t>Jeuken</w:t>
      </w:r>
      <w:proofErr w:type="spellEnd"/>
      <w:r w:rsidRPr="000A40A4">
        <w:rPr>
          <w:color w:val="7F7F7F" w:themeColor="text1" w:themeTint="80"/>
          <w:sz w:val="14"/>
          <w:szCs w:val="14"/>
        </w:rPr>
        <w:t xml:space="preserve"> et al. 2014, p.18</w:t>
      </w:r>
      <w:r w:rsidRPr="000A40A4">
        <w:rPr>
          <w:sz w:val="14"/>
          <w:szCs w:val="14"/>
        </w:rPr>
        <w:t>).</w:t>
      </w:r>
    </w:p>
  </w:footnote>
  <w:footnote w:id="101">
    <w:p w14:paraId="0FD50906" w14:textId="77777777" w:rsidR="00106A2C" w:rsidRPr="00A14FF0" w:rsidRDefault="00106A2C" w:rsidP="000A40A4">
      <w:pPr>
        <w:pStyle w:val="Textodenotaderodap"/>
      </w:pPr>
      <w:r w:rsidRPr="000A40A4">
        <w:rPr>
          <w:rStyle w:val="Refdenotaderodap"/>
          <w:sz w:val="14"/>
          <w:szCs w:val="14"/>
        </w:rPr>
        <w:footnoteRef/>
      </w:r>
      <w:r w:rsidRPr="000A40A4">
        <w:rPr>
          <w:sz w:val="14"/>
          <w:szCs w:val="14"/>
        </w:rPr>
        <w:t xml:space="preserve"> As the lifetime of many defences comes closer (many are expected to reach the end of their technical life in the coming years), it will be necessary to implement new / additional measures, and the map of </w:t>
      </w:r>
      <w:r w:rsidRPr="000A40A4">
        <w:rPr>
          <w:i/>
          <w:iCs/>
          <w:sz w:val="14"/>
          <w:szCs w:val="14"/>
        </w:rPr>
        <w:t>adaptation pathways</w:t>
      </w:r>
      <w:r w:rsidRPr="000A40A4">
        <w:rPr>
          <w:sz w:val="14"/>
          <w:szCs w:val="14"/>
        </w:rPr>
        <w:t xml:space="preserve"> shows the measures available (</w:t>
      </w:r>
      <w:r w:rsidRPr="000A40A4">
        <w:rPr>
          <w:color w:val="7F7F7F" w:themeColor="text1" w:themeTint="80"/>
          <w:sz w:val="14"/>
          <w:szCs w:val="14"/>
        </w:rPr>
        <w:t>Alphen 2015, p.313</w:t>
      </w:r>
      <w:r w:rsidRPr="000A40A4">
        <w:rPr>
          <w:sz w:val="14"/>
          <w:szCs w:val="14"/>
        </w:rPr>
        <w:t>).</w:t>
      </w:r>
    </w:p>
  </w:footnote>
  <w:footnote w:id="102">
    <w:p w14:paraId="6D58A6BA" w14:textId="77777777" w:rsidR="007D2351" w:rsidRPr="00DA1B92" w:rsidRDefault="007D2351" w:rsidP="007D2351">
      <w:pPr>
        <w:pStyle w:val="Textodenotaderodap"/>
        <w:rPr>
          <w:sz w:val="14"/>
          <w:szCs w:val="14"/>
        </w:rPr>
      </w:pPr>
      <w:r w:rsidRPr="007D2351">
        <w:rPr>
          <w:rStyle w:val="Refdenotaderodap"/>
          <w:sz w:val="14"/>
          <w:szCs w:val="14"/>
        </w:rPr>
        <w:footnoteRef/>
      </w:r>
      <w:r w:rsidRPr="007D2351">
        <w:rPr>
          <w:rStyle w:val="Refdenotaderodap"/>
          <w:rFonts w:ascii="Arial" w:hAnsi="Arial" w:cs="Arial"/>
          <w:sz w:val="14"/>
          <w:szCs w:val="14"/>
        </w:rPr>
        <w:t xml:space="preserve"> </w:t>
      </w:r>
      <w:r w:rsidRPr="007D2351">
        <w:rPr>
          <w:rFonts w:cs="Arial"/>
          <w:sz w:val="14"/>
          <w:szCs w:val="14"/>
        </w:rPr>
        <w:t xml:space="preserve">However, for </w:t>
      </w:r>
      <w:proofErr w:type="spellStart"/>
      <w:r w:rsidRPr="007D2351">
        <w:rPr>
          <w:rFonts w:cs="Arial"/>
          <w:color w:val="7F7F7F" w:themeColor="text1" w:themeTint="80"/>
          <w:sz w:val="14"/>
          <w:szCs w:val="14"/>
        </w:rPr>
        <w:t>Restemeyer</w:t>
      </w:r>
      <w:proofErr w:type="spellEnd"/>
      <w:r w:rsidRPr="007D2351">
        <w:rPr>
          <w:rFonts w:cs="Arial"/>
          <w:color w:val="7F7F7F" w:themeColor="text1" w:themeTint="80"/>
          <w:sz w:val="14"/>
          <w:szCs w:val="14"/>
        </w:rPr>
        <w:t xml:space="preserve"> et al.</w:t>
      </w:r>
      <w:r w:rsidRPr="007D2351">
        <w:rPr>
          <w:rFonts w:cs="Arial"/>
          <w:sz w:val="14"/>
          <w:szCs w:val="14"/>
        </w:rPr>
        <w:t xml:space="preserve">, the </w:t>
      </w:r>
      <w:r w:rsidRPr="007D2351">
        <w:rPr>
          <w:rFonts w:cs="Arial"/>
          <w:i/>
          <w:iCs/>
          <w:sz w:val="14"/>
          <w:szCs w:val="14"/>
        </w:rPr>
        <w:t>Preferential Strategy of the RE-D</w:t>
      </w:r>
      <w:r w:rsidRPr="007D2351">
        <w:rPr>
          <w:rFonts w:cs="Arial"/>
          <w:sz w:val="14"/>
          <w:szCs w:val="14"/>
        </w:rPr>
        <w:t xml:space="preserve"> </w:t>
      </w:r>
      <w:r w:rsidRPr="007D2351">
        <w:rPr>
          <w:rFonts w:cs="Arial"/>
          <w:color w:val="000000"/>
          <w:sz w:val="14"/>
          <w:szCs w:val="14"/>
        </w:rPr>
        <w:t>looks quite ‘</w:t>
      </w:r>
      <w:r w:rsidRPr="007D2351">
        <w:rPr>
          <w:rFonts w:cs="Arial"/>
          <w:i/>
          <w:color w:val="000000"/>
          <w:sz w:val="14"/>
          <w:szCs w:val="14"/>
        </w:rPr>
        <w:t>determined and not so flexible’</w:t>
      </w:r>
      <w:r w:rsidRPr="007D2351">
        <w:rPr>
          <w:rFonts w:cs="Arial"/>
          <w:color w:val="000000"/>
          <w:sz w:val="14"/>
          <w:szCs w:val="14"/>
        </w:rPr>
        <w:t xml:space="preserve">: it offers little room for </w:t>
      </w:r>
      <w:r w:rsidRPr="007D2351">
        <w:rPr>
          <w:rFonts w:cs="Arial"/>
          <w:sz w:val="14"/>
          <w:szCs w:val="14"/>
        </w:rPr>
        <w:t xml:space="preserve">adjustments over time, and it </w:t>
      </w:r>
      <w:r w:rsidRPr="00DA1B92">
        <w:rPr>
          <w:sz w:val="14"/>
          <w:szCs w:val="14"/>
        </w:rPr>
        <w:t xml:space="preserve">focusses mainly on ‘prevention’ through a </w:t>
      </w:r>
      <w:r w:rsidRPr="00DA1B92">
        <w:rPr>
          <w:i/>
          <w:iCs/>
          <w:sz w:val="14"/>
          <w:szCs w:val="14"/>
        </w:rPr>
        <w:t>gradual adjustment</w:t>
      </w:r>
      <w:r w:rsidRPr="00DA1B92">
        <w:rPr>
          <w:sz w:val="14"/>
          <w:szCs w:val="14"/>
        </w:rPr>
        <w:t xml:space="preserve"> of the existing defences. Although</w:t>
      </w:r>
      <w:r w:rsidRPr="00DA1B92">
        <w:rPr>
          <w:rFonts w:cs="Arial"/>
          <w:sz w:val="14"/>
          <w:szCs w:val="14"/>
        </w:rPr>
        <w:t xml:space="preserve"> the </w:t>
      </w:r>
      <w:r w:rsidRPr="00DA1B92">
        <w:rPr>
          <w:sz w:val="14"/>
          <w:szCs w:val="14"/>
        </w:rPr>
        <w:t>Team recognized the need for spatial adaptation measures in addition to the traditional preventive measures, in this Strategy</w:t>
      </w:r>
      <w:r w:rsidRPr="00DA1B92">
        <w:rPr>
          <w:iCs/>
          <w:sz w:val="14"/>
          <w:szCs w:val="14"/>
        </w:rPr>
        <w:t>,</w:t>
      </w:r>
      <w:r w:rsidRPr="00DA1B92">
        <w:rPr>
          <w:i/>
          <w:sz w:val="14"/>
          <w:szCs w:val="14"/>
        </w:rPr>
        <w:t xml:space="preserve"> </w:t>
      </w:r>
      <w:r w:rsidRPr="00DA1B92">
        <w:rPr>
          <w:iCs/>
          <w:sz w:val="14"/>
          <w:szCs w:val="14"/>
        </w:rPr>
        <w:t>‘</w:t>
      </w:r>
      <w:r w:rsidRPr="00DA1B92">
        <w:rPr>
          <w:i/>
          <w:sz w:val="14"/>
          <w:szCs w:val="14"/>
        </w:rPr>
        <w:t>adaptability mainly gets down to gradual adjustments of certain measures</w:t>
      </w:r>
      <w:r w:rsidRPr="00DA1B92">
        <w:rPr>
          <w:iCs/>
          <w:sz w:val="14"/>
          <w:szCs w:val="14"/>
        </w:rPr>
        <w:t xml:space="preserve">’, e.g. dyke strengthening </w:t>
      </w:r>
      <w:r w:rsidRPr="00DA1B92">
        <w:rPr>
          <w:sz w:val="14"/>
          <w:szCs w:val="14"/>
        </w:rPr>
        <w:t>(</w:t>
      </w:r>
      <w:proofErr w:type="spellStart"/>
      <w:r w:rsidRPr="00DA1B92">
        <w:rPr>
          <w:color w:val="7F7F7F" w:themeColor="text1" w:themeTint="80"/>
          <w:sz w:val="14"/>
          <w:szCs w:val="14"/>
        </w:rPr>
        <w:t>Restemeyer</w:t>
      </w:r>
      <w:proofErr w:type="spellEnd"/>
      <w:r w:rsidRPr="00DA1B92">
        <w:rPr>
          <w:color w:val="7F7F7F" w:themeColor="text1" w:themeTint="80"/>
          <w:sz w:val="14"/>
          <w:szCs w:val="14"/>
        </w:rPr>
        <w:t xml:space="preserve"> et al.2017, p.932, 934-935</w:t>
      </w:r>
      <w:r w:rsidRPr="00DA1B92">
        <w:rPr>
          <w:sz w:val="14"/>
          <w:szCs w:val="14"/>
        </w:rPr>
        <w:t>).</w:t>
      </w:r>
    </w:p>
  </w:footnote>
  <w:footnote w:id="103">
    <w:p w14:paraId="1D317F6E" w14:textId="57A47A11" w:rsidR="00A441C4" w:rsidRPr="00C34F71" w:rsidRDefault="00A441C4" w:rsidP="007D2351">
      <w:pPr>
        <w:pStyle w:val="Textodenotaderodap"/>
      </w:pPr>
      <w:r w:rsidRPr="00DA1B92">
        <w:rPr>
          <w:rStyle w:val="Refdenotaderodap"/>
          <w:sz w:val="14"/>
          <w:szCs w:val="14"/>
        </w:rPr>
        <w:footnoteRef/>
      </w:r>
      <w:r w:rsidRPr="00DA1B92">
        <w:rPr>
          <w:sz w:val="14"/>
          <w:szCs w:val="14"/>
        </w:rPr>
        <w:t xml:space="preserve"> ADM seeks to avoid over- and under-investments, and insight into pathways was useful for this. One way of reducing the risk of over-investment is to delay a measure until more knowledge is available (a hurried implementation reduces the possibility of including new knowledge). However, it also important to avoid taking measures too late (under-investment). The lead-time required to plan and implement measures must be considered, to avoid under- and over-investments</w:t>
      </w:r>
      <w:r w:rsidRPr="007D2351">
        <w:rPr>
          <w:sz w:val="14"/>
          <w:szCs w:val="14"/>
        </w:rPr>
        <w:t xml:space="preserve"> (</w:t>
      </w:r>
      <w:r w:rsidRPr="007D2351">
        <w:rPr>
          <w:color w:val="7F7F7F" w:themeColor="text1" w:themeTint="80"/>
          <w:sz w:val="14"/>
          <w:szCs w:val="14"/>
        </w:rPr>
        <w:t>Marchand and Ludwig 2014</w:t>
      </w:r>
      <w:r w:rsidRPr="007D2351">
        <w:rPr>
          <w:sz w:val="14"/>
          <w:szCs w:val="14"/>
        </w:rPr>
        <w:t>).</w:t>
      </w:r>
    </w:p>
  </w:footnote>
  <w:footnote w:id="104">
    <w:p w14:paraId="786CD672" w14:textId="77777777" w:rsidR="00DD5A40" w:rsidRPr="00DA1B92" w:rsidRDefault="00DD5A40" w:rsidP="00DD5A40">
      <w:pPr>
        <w:pStyle w:val="Textodenotaderodap"/>
        <w:rPr>
          <w:sz w:val="14"/>
          <w:szCs w:val="14"/>
        </w:rPr>
      </w:pPr>
      <w:r w:rsidRPr="00DA1B92">
        <w:rPr>
          <w:rStyle w:val="Refdenotaderodap"/>
          <w:sz w:val="14"/>
          <w:szCs w:val="14"/>
        </w:rPr>
        <w:footnoteRef/>
      </w:r>
      <w:r w:rsidRPr="00DA1B92">
        <w:rPr>
          <w:sz w:val="14"/>
          <w:szCs w:val="14"/>
        </w:rPr>
        <w:t xml:space="preserve"> In this sense, they can be deemed sub-elements or ingredients of this 3</w:t>
      </w:r>
      <w:r w:rsidRPr="00DA1B92">
        <w:rPr>
          <w:sz w:val="14"/>
          <w:szCs w:val="14"/>
          <w:vertAlign w:val="superscript"/>
        </w:rPr>
        <w:t>rd</w:t>
      </w:r>
      <w:r w:rsidRPr="00DA1B92">
        <w:rPr>
          <w:sz w:val="14"/>
          <w:szCs w:val="14"/>
        </w:rPr>
        <w:t xml:space="preserve"> key-element (the development of </w:t>
      </w:r>
      <w:r w:rsidRPr="00DA1B92">
        <w:rPr>
          <w:i/>
          <w:iCs/>
          <w:sz w:val="14"/>
          <w:szCs w:val="14"/>
        </w:rPr>
        <w:t>a robust and flexible set of actions</w:t>
      </w:r>
      <w:r w:rsidRPr="00DA1B92">
        <w:rPr>
          <w:sz w:val="14"/>
          <w:szCs w:val="14"/>
        </w:rPr>
        <w:t xml:space="preserve">, through the ‘APs method’).  </w:t>
      </w:r>
    </w:p>
  </w:footnote>
  <w:footnote w:id="105">
    <w:p w14:paraId="6D0A751F" w14:textId="77777777" w:rsidR="00A61A74" w:rsidRPr="00DA1B92" w:rsidRDefault="00A61A74" w:rsidP="00A61A74">
      <w:pPr>
        <w:pStyle w:val="TEXTBODY"/>
        <w:spacing w:after="0" w:line="240" w:lineRule="auto"/>
        <w:rPr>
          <w:sz w:val="16"/>
          <w:szCs w:val="16"/>
        </w:rPr>
      </w:pPr>
      <w:r w:rsidRPr="00DA1B92">
        <w:rPr>
          <w:rStyle w:val="Refdenotaderodap"/>
          <w:sz w:val="14"/>
          <w:szCs w:val="14"/>
        </w:rPr>
        <w:footnoteRef/>
      </w:r>
      <w:r w:rsidRPr="00DA1B92">
        <w:rPr>
          <w:sz w:val="14"/>
          <w:szCs w:val="14"/>
        </w:rPr>
        <w:t xml:space="preserve"> ADM seeks to avoid </w:t>
      </w:r>
      <w:r w:rsidRPr="00DA1B92">
        <w:rPr>
          <w:i/>
          <w:iCs/>
          <w:sz w:val="14"/>
          <w:szCs w:val="14"/>
        </w:rPr>
        <w:t>over- and under-investment</w:t>
      </w:r>
      <w:r w:rsidRPr="00DA1B92">
        <w:rPr>
          <w:rFonts w:eastAsia="RijksoverheidSansText-Regular"/>
          <w:sz w:val="14"/>
          <w:szCs w:val="14"/>
        </w:rPr>
        <w:t xml:space="preserve"> (</w:t>
      </w:r>
      <w:r w:rsidRPr="00DA1B92">
        <w:rPr>
          <w:rFonts w:eastAsia="RijksoverheidSansText-Regular"/>
          <w:color w:val="7F7F7F" w:themeColor="text1" w:themeTint="80"/>
          <w:sz w:val="14"/>
          <w:szCs w:val="14"/>
        </w:rPr>
        <w:t>DP 2010, p.70;</w:t>
      </w:r>
      <w:r w:rsidRPr="00DA1B92">
        <w:rPr>
          <w:rFonts w:eastAsia="RijksoverheidSansText-Regular" w:cs="Arial"/>
          <w:color w:val="7F7F7F" w:themeColor="text1" w:themeTint="80"/>
          <w:sz w:val="14"/>
          <w:szCs w:val="14"/>
        </w:rPr>
        <w:t xml:space="preserve"> 2011, p.8; </w:t>
      </w:r>
      <w:r w:rsidRPr="00DA1B92">
        <w:rPr>
          <w:color w:val="7F7F7F" w:themeColor="text1" w:themeTint="80"/>
          <w:sz w:val="14"/>
          <w:szCs w:val="14"/>
        </w:rPr>
        <w:t xml:space="preserve">Haegen and </w:t>
      </w:r>
      <w:proofErr w:type="spellStart"/>
      <w:r w:rsidRPr="00DA1B92">
        <w:rPr>
          <w:color w:val="7F7F7F" w:themeColor="text1" w:themeTint="80"/>
          <w:sz w:val="14"/>
          <w:szCs w:val="14"/>
        </w:rPr>
        <w:t>Wieriks</w:t>
      </w:r>
      <w:proofErr w:type="spellEnd"/>
      <w:r w:rsidRPr="00DA1B92">
        <w:rPr>
          <w:color w:val="7F7F7F" w:themeColor="text1" w:themeTint="80"/>
          <w:sz w:val="14"/>
          <w:szCs w:val="14"/>
        </w:rPr>
        <w:t xml:space="preserve"> 2015; Brugge and Bruggeman</w:t>
      </w:r>
      <w:r w:rsidRPr="00DA1B92">
        <w:rPr>
          <w:rFonts w:eastAsia="RijksoverheidSansText-Regular" w:cs="Arial"/>
          <w:color w:val="000000"/>
          <w:sz w:val="14"/>
          <w:szCs w:val="14"/>
        </w:rPr>
        <w:t xml:space="preserve">), it aims at </w:t>
      </w:r>
      <w:r w:rsidRPr="00DA1B92">
        <w:rPr>
          <w:rFonts w:eastAsia="RijksoverheidSansText-Regular" w:cs="Arial"/>
          <w:sz w:val="14"/>
          <w:szCs w:val="14"/>
        </w:rPr>
        <w:t>implementing measures ‘</w:t>
      </w:r>
      <w:r w:rsidRPr="00DA1B92">
        <w:rPr>
          <w:rFonts w:cs="Arial"/>
          <w:i/>
          <w:iCs/>
          <w:sz w:val="14"/>
          <w:szCs w:val="14"/>
        </w:rPr>
        <w:t>neither too early or too late, too much or too little’</w:t>
      </w:r>
      <w:r w:rsidRPr="00DA1B92">
        <w:rPr>
          <w:sz w:val="14"/>
          <w:szCs w:val="14"/>
        </w:rPr>
        <w:t xml:space="preserve"> (</w:t>
      </w:r>
      <w:r w:rsidRPr="00DA1B92">
        <w:rPr>
          <w:color w:val="7F7F7F" w:themeColor="text1" w:themeTint="80"/>
          <w:sz w:val="14"/>
          <w:szCs w:val="14"/>
        </w:rPr>
        <w:t xml:space="preserve">DP 2014, p.49; </w:t>
      </w:r>
      <w:r w:rsidRPr="00DA1B92">
        <w:rPr>
          <w:rFonts w:eastAsia="RijksoverheidSansText-Regular" w:cs="Arial"/>
          <w:color w:val="7F7F7F" w:themeColor="text1" w:themeTint="80"/>
          <w:sz w:val="14"/>
          <w:szCs w:val="14"/>
        </w:rPr>
        <w:t>2011, p.16, 45;</w:t>
      </w:r>
      <w:r w:rsidRPr="00DA1B92">
        <w:rPr>
          <w:rFonts w:eastAsia="RijksoverheidSansText-Regular"/>
          <w:color w:val="7F7F7F" w:themeColor="text1" w:themeTint="80"/>
          <w:sz w:val="14"/>
          <w:szCs w:val="14"/>
        </w:rPr>
        <w:t xml:space="preserve"> 2012, p.88;</w:t>
      </w:r>
      <w:r w:rsidRPr="00DA1B92">
        <w:rPr>
          <w:rFonts w:eastAsia="RijksoverheidSansText-Regular" w:cs="Arial"/>
          <w:color w:val="7F7F7F" w:themeColor="text1" w:themeTint="80"/>
          <w:sz w:val="14"/>
          <w:szCs w:val="14"/>
        </w:rPr>
        <w:t xml:space="preserve"> </w:t>
      </w:r>
      <w:r w:rsidRPr="00DA1B92">
        <w:rPr>
          <w:color w:val="7F7F7F" w:themeColor="text1" w:themeTint="80"/>
          <w:sz w:val="14"/>
          <w:szCs w:val="14"/>
        </w:rPr>
        <w:t>Klijn et al. 2015; Vink et al. 2013</w:t>
      </w:r>
      <w:r w:rsidRPr="00DA1B92">
        <w:rPr>
          <w:sz w:val="14"/>
          <w:szCs w:val="14"/>
        </w:rPr>
        <w:t>), ensuring that the right measures are taken at the right time (</w:t>
      </w:r>
      <w:r w:rsidRPr="00DA1B92">
        <w:rPr>
          <w:color w:val="7F7F7F" w:themeColor="text1" w:themeTint="80"/>
          <w:sz w:val="14"/>
          <w:szCs w:val="14"/>
        </w:rPr>
        <w:t xml:space="preserve">DP 2013, p.102; 2012, p.88; </w:t>
      </w:r>
      <w:proofErr w:type="spellStart"/>
      <w:r w:rsidRPr="00DA1B92">
        <w:rPr>
          <w:color w:val="7F7F7F" w:themeColor="text1" w:themeTint="80"/>
          <w:sz w:val="14"/>
          <w:szCs w:val="14"/>
        </w:rPr>
        <w:t>Gersonius</w:t>
      </w:r>
      <w:proofErr w:type="spellEnd"/>
      <w:r w:rsidRPr="00DA1B92">
        <w:rPr>
          <w:color w:val="7F7F7F" w:themeColor="text1" w:themeTint="80"/>
          <w:sz w:val="14"/>
          <w:szCs w:val="14"/>
        </w:rPr>
        <w:t xml:space="preserve"> et al. 2016; Zandvoort et al. 2018</w:t>
      </w:r>
      <w:r w:rsidRPr="00DA1B92">
        <w:rPr>
          <w:sz w:val="14"/>
          <w:szCs w:val="14"/>
        </w:rPr>
        <w:t>). ADM aims to ensure that the necessary measures are taken, whilst keeping open options that might be required in the future (</w:t>
      </w:r>
      <w:r w:rsidRPr="00DA1B92">
        <w:rPr>
          <w:color w:val="7F7F7F" w:themeColor="text1" w:themeTint="80"/>
          <w:sz w:val="14"/>
          <w:szCs w:val="14"/>
        </w:rPr>
        <w:t>Rhee 2012; Werners et al. 2016; DP 2014, p.49</w:t>
      </w:r>
      <w:r w:rsidRPr="00DA1B92">
        <w:rPr>
          <w:rFonts w:eastAsia="RijksoverheidSansText-Regular" w:cs="Arial"/>
          <w:color w:val="7F7F7F" w:themeColor="text1" w:themeTint="80"/>
          <w:sz w:val="14"/>
          <w:szCs w:val="14"/>
        </w:rPr>
        <w:t>; 2011, p.16, 45;</w:t>
      </w:r>
      <w:r w:rsidRPr="00DA1B92">
        <w:rPr>
          <w:rFonts w:eastAsia="RijksoverheidSansText-Regular"/>
          <w:color w:val="7F7F7F" w:themeColor="text1" w:themeTint="80"/>
          <w:sz w:val="14"/>
          <w:szCs w:val="14"/>
        </w:rPr>
        <w:t xml:space="preserve"> 2012, p.88</w:t>
      </w:r>
      <w:r w:rsidRPr="00DA1B92">
        <w:rPr>
          <w:sz w:val="14"/>
          <w:szCs w:val="14"/>
        </w:rPr>
        <w:t>).</w:t>
      </w:r>
      <w:r w:rsidRPr="00DA1B92">
        <w:rPr>
          <w:sz w:val="12"/>
          <w:szCs w:val="12"/>
        </w:rPr>
        <w:t xml:space="preserve"> </w:t>
      </w:r>
    </w:p>
  </w:footnote>
  <w:footnote w:id="106">
    <w:p w14:paraId="05025E70" w14:textId="77777777" w:rsidR="00AC348F" w:rsidRPr="00D962BD" w:rsidRDefault="00AC348F" w:rsidP="00AC348F">
      <w:pPr>
        <w:pStyle w:val="TEXTBODY"/>
        <w:spacing w:after="0" w:line="240" w:lineRule="auto"/>
        <w:rPr>
          <w:color w:val="C00000"/>
          <w:sz w:val="14"/>
          <w:szCs w:val="14"/>
        </w:rPr>
      </w:pPr>
      <w:r w:rsidRPr="00DA1B92">
        <w:rPr>
          <w:rStyle w:val="Refdenotaderodap"/>
          <w:sz w:val="14"/>
          <w:szCs w:val="14"/>
        </w:rPr>
        <w:footnoteRef/>
      </w:r>
      <w:r w:rsidRPr="00DA1B92">
        <w:rPr>
          <w:sz w:val="14"/>
          <w:szCs w:val="14"/>
        </w:rPr>
        <w:t xml:space="preserve"> It can be argued that this was not only one of the ADM principles, but also an element essential to develop a </w:t>
      </w:r>
      <w:r w:rsidRPr="00DA1B92">
        <w:rPr>
          <w:i/>
          <w:iCs/>
          <w:sz w:val="14"/>
          <w:szCs w:val="14"/>
        </w:rPr>
        <w:t>robust adaptive strategy</w:t>
      </w:r>
      <w:r w:rsidRPr="00DA1B92">
        <w:rPr>
          <w:sz w:val="14"/>
          <w:szCs w:val="14"/>
        </w:rPr>
        <w:t xml:space="preserve"> (in each </w:t>
      </w:r>
      <w:r w:rsidRPr="00DA1B92">
        <w:rPr>
          <w:i/>
          <w:iCs/>
          <w:sz w:val="14"/>
          <w:szCs w:val="14"/>
        </w:rPr>
        <w:t>Preferential Strategy</w:t>
      </w:r>
      <w:r w:rsidRPr="00DA1B92">
        <w:rPr>
          <w:sz w:val="14"/>
          <w:szCs w:val="14"/>
        </w:rPr>
        <w:t xml:space="preserve">) and to make the DP an </w:t>
      </w:r>
      <w:r w:rsidRPr="00DA1B92">
        <w:rPr>
          <w:i/>
          <w:iCs/>
          <w:sz w:val="14"/>
          <w:szCs w:val="14"/>
        </w:rPr>
        <w:t>adaptable policy-programme</w:t>
      </w:r>
      <w:r w:rsidRPr="00DA1B92">
        <w:rPr>
          <w:sz w:val="14"/>
          <w:szCs w:val="14"/>
        </w:rPr>
        <w:t xml:space="preserve">. </w:t>
      </w:r>
    </w:p>
  </w:footnote>
  <w:footnote w:id="107">
    <w:p w14:paraId="453C111C" w14:textId="6334FE36" w:rsidR="00A61A74" w:rsidRPr="00A748CB" w:rsidRDefault="00A61A74" w:rsidP="00A61A74">
      <w:pPr>
        <w:pStyle w:val="TEXTBODY"/>
        <w:spacing w:after="0" w:line="240" w:lineRule="auto"/>
        <w:rPr>
          <w:color w:val="C00000"/>
          <w:sz w:val="14"/>
          <w:szCs w:val="14"/>
        </w:rPr>
      </w:pPr>
      <w:r w:rsidRPr="00A748CB">
        <w:rPr>
          <w:rStyle w:val="Refdenotaderodap"/>
          <w:sz w:val="14"/>
          <w:szCs w:val="14"/>
        </w:rPr>
        <w:footnoteRef/>
      </w:r>
      <w:r w:rsidRPr="00A748CB">
        <w:rPr>
          <w:sz w:val="14"/>
          <w:szCs w:val="14"/>
        </w:rPr>
        <w:t xml:space="preserve"> </w:t>
      </w:r>
      <w:r w:rsidRPr="00A748CB">
        <w:rPr>
          <w:rFonts w:eastAsiaTheme="minorHAnsi"/>
          <w:sz w:val="14"/>
          <w:szCs w:val="14"/>
          <w:lang w:eastAsia="en-US"/>
        </w:rPr>
        <w:t xml:space="preserve">Each </w:t>
      </w:r>
      <w:r w:rsidRPr="00A748CB">
        <w:rPr>
          <w:sz w:val="14"/>
          <w:szCs w:val="14"/>
        </w:rPr>
        <w:t>pathway is a sequence of actions over time to achieve the defined objectives (</w:t>
      </w:r>
      <w:r w:rsidRPr="00A748CB">
        <w:rPr>
          <w:color w:val="7F7F7F" w:themeColor="text1" w:themeTint="80"/>
          <w:sz w:val="14"/>
          <w:szCs w:val="14"/>
        </w:rPr>
        <w:t>Marchand and Ludwig 2014, p.2, 13</w:t>
      </w:r>
      <w:r w:rsidRPr="00A748CB">
        <w:rPr>
          <w:sz w:val="14"/>
          <w:szCs w:val="14"/>
        </w:rPr>
        <w:t xml:space="preserve">, based on </w:t>
      </w:r>
      <w:proofErr w:type="spellStart"/>
      <w:r w:rsidRPr="00A748CB">
        <w:rPr>
          <w:color w:val="7F7F7F" w:themeColor="text1" w:themeTint="80"/>
          <w:sz w:val="14"/>
          <w:szCs w:val="14"/>
        </w:rPr>
        <w:t>Haasnoot</w:t>
      </w:r>
      <w:proofErr w:type="spellEnd"/>
      <w:r w:rsidRPr="00A748CB">
        <w:rPr>
          <w:color w:val="7F7F7F" w:themeColor="text1" w:themeTint="80"/>
          <w:sz w:val="14"/>
          <w:szCs w:val="14"/>
        </w:rPr>
        <w:t xml:space="preserve"> 2013</w:t>
      </w:r>
      <w:r w:rsidRPr="00A748CB">
        <w:rPr>
          <w:sz w:val="14"/>
          <w:szCs w:val="14"/>
        </w:rPr>
        <w:t>).</w:t>
      </w:r>
      <w:r w:rsidRPr="00A748CB">
        <w:rPr>
          <w:iCs/>
          <w:sz w:val="14"/>
          <w:szCs w:val="14"/>
        </w:rPr>
        <w:t xml:space="preserve"> </w:t>
      </w:r>
      <w:r w:rsidRPr="00A748CB">
        <w:rPr>
          <w:sz w:val="14"/>
          <w:szCs w:val="14"/>
        </w:rPr>
        <w:t>ADM</w:t>
      </w:r>
      <w:r w:rsidRPr="00A748CB">
        <w:rPr>
          <w:color w:val="C00000"/>
          <w:sz w:val="14"/>
          <w:szCs w:val="14"/>
        </w:rPr>
        <w:t xml:space="preserve"> </w:t>
      </w:r>
      <w:r w:rsidRPr="00A748CB">
        <w:rPr>
          <w:sz w:val="14"/>
          <w:szCs w:val="14"/>
        </w:rPr>
        <w:t>builds on the idea of developing diverse trajectories that the dynamic system might follow as time unfolds, i.e. various pathways (</w:t>
      </w:r>
      <w:r w:rsidRPr="00A748CB">
        <w:rPr>
          <w:color w:val="7F7F7F" w:themeColor="text1" w:themeTint="80"/>
          <w:sz w:val="14"/>
          <w:szCs w:val="14"/>
        </w:rPr>
        <w:t>Zandvoort et al. 2018, p.190</w:t>
      </w:r>
      <w:r w:rsidRPr="00A748CB">
        <w:rPr>
          <w:sz w:val="14"/>
          <w:szCs w:val="14"/>
        </w:rPr>
        <w:t xml:space="preserve">). </w:t>
      </w:r>
      <w:r w:rsidRPr="00A748CB">
        <w:rPr>
          <w:rFonts w:eastAsiaTheme="minorHAnsi"/>
          <w:sz w:val="14"/>
          <w:szCs w:val="14"/>
          <w:lang w:eastAsia="en-US"/>
        </w:rPr>
        <w:t>According to this principle, adaptation pathways</w:t>
      </w:r>
      <w:r w:rsidRPr="00A748CB">
        <w:rPr>
          <w:rFonts w:eastAsiaTheme="minorHAnsi"/>
          <w:i/>
          <w:iCs/>
          <w:sz w:val="14"/>
          <w:szCs w:val="14"/>
          <w:lang w:eastAsia="en-US"/>
        </w:rPr>
        <w:t xml:space="preserve"> </w:t>
      </w:r>
      <w:r w:rsidRPr="00A748CB">
        <w:rPr>
          <w:sz w:val="14"/>
          <w:szCs w:val="14"/>
        </w:rPr>
        <w:t xml:space="preserve">should be created with successive actions over time, rather than a final solution defined for a certain point in the future </w:t>
      </w:r>
      <w:r w:rsidRPr="00A748CB">
        <w:rPr>
          <w:color w:val="231F20"/>
          <w:sz w:val="14"/>
          <w:szCs w:val="14"/>
        </w:rPr>
        <w:t>(</w:t>
      </w:r>
      <w:r w:rsidRPr="00A748CB">
        <w:rPr>
          <w:color w:val="7F7F7F" w:themeColor="text1" w:themeTint="80"/>
          <w:sz w:val="14"/>
          <w:szCs w:val="14"/>
        </w:rPr>
        <w:t>Rhee 2012,</w:t>
      </w:r>
      <w:r w:rsidRPr="00A748CB">
        <w:rPr>
          <w:i/>
          <w:iCs/>
          <w:color w:val="7F7F7F" w:themeColor="text1" w:themeTint="80"/>
          <w:sz w:val="14"/>
          <w:szCs w:val="14"/>
        </w:rPr>
        <w:t xml:space="preserve"> in</w:t>
      </w:r>
      <w:r w:rsidRPr="00A748CB">
        <w:rPr>
          <w:color w:val="7F7F7F" w:themeColor="text1" w:themeTint="80"/>
          <w:sz w:val="14"/>
          <w:szCs w:val="14"/>
        </w:rPr>
        <w:t xml:space="preserve"> Klijn et al. 2016, 2015</w:t>
      </w:r>
      <w:r w:rsidRPr="00A748CB">
        <w:rPr>
          <w:color w:val="231F20"/>
          <w:sz w:val="14"/>
          <w:szCs w:val="14"/>
        </w:rPr>
        <w:t>).</w:t>
      </w:r>
      <w:r w:rsidRPr="00A748CB">
        <w:rPr>
          <w:sz w:val="14"/>
          <w:szCs w:val="14"/>
        </w:rPr>
        <w:t xml:space="preserve"> Adaptation pathways offer ‘</w:t>
      </w:r>
      <w:r w:rsidRPr="00A748CB">
        <w:rPr>
          <w:i/>
          <w:iCs/>
          <w:sz w:val="14"/>
          <w:szCs w:val="14"/>
        </w:rPr>
        <w:t>coherent sequences of measures and potential options, which may be triggered before an ATP occurs</w:t>
      </w:r>
      <w:r w:rsidRPr="00A748CB">
        <w:rPr>
          <w:sz w:val="14"/>
          <w:szCs w:val="14"/>
        </w:rPr>
        <w:t>’ (</w:t>
      </w:r>
      <w:r w:rsidRPr="00A748CB">
        <w:rPr>
          <w:color w:val="7F7F7F" w:themeColor="text1" w:themeTint="80"/>
          <w:sz w:val="14"/>
          <w:szCs w:val="14"/>
        </w:rPr>
        <w:t xml:space="preserve">Zevenbergen et al. 2018, </w:t>
      </w:r>
      <w:r w:rsidRPr="00A748CB">
        <w:rPr>
          <w:sz w:val="14"/>
          <w:szCs w:val="14"/>
        </w:rPr>
        <w:t xml:space="preserve">based on </w:t>
      </w:r>
      <w:proofErr w:type="spellStart"/>
      <w:r w:rsidRPr="00A748CB">
        <w:rPr>
          <w:color w:val="7F7F7F" w:themeColor="text1" w:themeTint="80"/>
          <w:sz w:val="14"/>
          <w:szCs w:val="14"/>
        </w:rPr>
        <w:t>Haasnoot</w:t>
      </w:r>
      <w:proofErr w:type="spellEnd"/>
      <w:r w:rsidRPr="00A748CB">
        <w:rPr>
          <w:color w:val="7F7F7F" w:themeColor="text1" w:themeTint="80"/>
          <w:sz w:val="14"/>
          <w:szCs w:val="14"/>
        </w:rPr>
        <w:t xml:space="preserve"> et al. 2012, 2013</w:t>
      </w:r>
      <w:r w:rsidRPr="00A748CB">
        <w:rPr>
          <w:sz w:val="14"/>
          <w:szCs w:val="14"/>
        </w:rPr>
        <w:t>).</w:t>
      </w:r>
      <w:r w:rsidRPr="00A748CB">
        <w:rPr>
          <w:color w:val="231F20"/>
          <w:sz w:val="14"/>
          <w:szCs w:val="14"/>
        </w:rPr>
        <w:t xml:space="preserve"> Once a tipping-point is in sight, a switch to a new measure is needed, and, in this way, a pathway arises; t</w:t>
      </w:r>
      <w:r w:rsidRPr="00A748CB">
        <w:rPr>
          <w:sz w:val="14"/>
          <w:szCs w:val="14"/>
        </w:rPr>
        <w:t>he various pathways provide possible trajectories to achieve the objectives (</w:t>
      </w:r>
      <w:proofErr w:type="spellStart"/>
      <w:r w:rsidRPr="00A748CB">
        <w:rPr>
          <w:color w:val="7F7F7F" w:themeColor="text1" w:themeTint="80"/>
          <w:sz w:val="14"/>
          <w:szCs w:val="14"/>
        </w:rPr>
        <w:t>Haasnoot</w:t>
      </w:r>
      <w:proofErr w:type="spellEnd"/>
      <w:r w:rsidRPr="00A748CB">
        <w:rPr>
          <w:color w:val="7F7F7F" w:themeColor="text1" w:themeTint="80"/>
          <w:sz w:val="14"/>
          <w:szCs w:val="14"/>
        </w:rPr>
        <w:t xml:space="preserve"> et al. 2012, </w:t>
      </w:r>
      <w:r w:rsidRPr="00A748CB">
        <w:rPr>
          <w:i/>
          <w:iCs/>
          <w:color w:val="7F7F7F" w:themeColor="text1" w:themeTint="80"/>
          <w:sz w:val="14"/>
          <w:szCs w:val="14"/>
        </w:rPr>
        <w:t xml:space="preserve">in </w:t>
      </w:r>
      <w:r w:rsidRPr="00A748CB">
        <w:rPr>
          <w:color w:val="7F7F7F" w:themeColor="text1" w:themeTint="80"/>
          <w:sz w:val="14"/>
          <w:szCs w:val="14"/>
        </w:rPr>
        <w:t>Zandvoort et al. 2018, p.191</w:t>
      </w:r>
      <w:r w:rsidRPr="00A748CB">
        <w:rPr>
          <w:sz w:val="14"/>
          <w:szCs w:val="14"/>
        </w:rPr>
        <w:t xml:space="preserve">). In </w:t>
      </w:r>
      <w:r w:rsidRPr="00A748CB">
        <w:rPr>
          <w:color w:val="231F20"/>
          <w:sz w:val="14"/>
          <w:szCs w:val="14"/>
        </w:rPr>
        <w:t>ADM, pathways are like ‘</w:t>
      </w:r>
      <w:r w:rsidRPr="00A748CB">
        <w:rPr>
          <w:i/>
          <w:iCs/>
          <w:color w:val="231F20"/>
          <w:sz w:val="14"/>
          <w:szCs w:val="14"/>
        </w:rPr>
        <w:t>successions of measures over time</w:t>
      </w:r>
      <w:r w:rsidRPr="00A748CB">
        <w:rPr>
          <w:color w:val="231F20"/>
          <w:sz w:val="14"/>
          <w:szCs w:val="14"/>
        </w:rPr>
        <w:t>’, which are explored under many plausible transient scenarios of CC and socioeconomic development (</w:t>
      </w:r>
      <w:r w:rsidRPr="00A748CB">
        <w:rPr>
          <w:color w:val="7F7F7F" w:themeColor="text1" w:themeTint="80"/>
          <w:sz w:val="14"/>
          <w:szCs w:val="14"/>
        </w:rPr>
        <w:t xml:space="preserve">Haegen and </w:t>
      </w:r>
      <w:proofErr w:type="spellStart"/>
      <w:r w:rsidRPr="00A748CB">
        <w:rPr>
          <w:color w:val="7F7F7F" w:themeColor="text1" w:themeTint="80"/>
          <w:sz w:val="14"/>
          <w:szCs w:val="14"/>
        </w:rPr>
        <w:t>Wieriks</w:t>
      </w:r>
      <w:proofErr w:type="spellEnd"/>
      <w:r w:rsidRPr="00A748CB">
        <w:rPr>
          <w:color w:val="7F7F7F" w:themeColor="text1" w:themeTint="80"/>
          <w:sz w:val="14"/>
          <w:szCs w:val="14"/>
        </w:rPr>
        <w:t xml:space="preserve"> 2015, p.50</w:t>
      </w:r>
      <w:r w:rsidRPr="00A748CB">
        <w:rPr>
          <w:color w:val="231F20"/>
          <w:sz w:val="14"/>
          <w:szCs w:val="14"/>
        </w:rPr>
        <w:t>).</w:t>
      </w:r>
    </w:p>
    <w:p w14:paraId="2C6939E9" w14:textId="77777777" w:rsidR="00A61A74" w:rsidRPr="00A748CB" w:rsidRDefault="00A61A74" w:rsidP="00A61A74">
      <w:pPr>
        <w:pStyle w:val="TEXTBODY"/>
        <w:spacing w:after="0" w:line="240" w:lineRule="auto"/>
        <w:rPr>
          <w:sz w:val="14"/>
          <w:szCs w:val="14"/>
        </w:rPr>
      </w:pPr>
      <w:r w:rsidRPr="00A748CB">
        <w:rPr>
          <w:sz w:val="14"/>
          <w:szCs w:val="14"/>
        </w:rPr>
        <w:t>With the APs method, the Subprogrammes could assemble sequences of measures and plan the activation of such measures (</w:t>
      </w:r>
      <w:r w:rsidRPr="00A748CB">
        <w:rPr>
          <w:color w:val="7F7F7F" w:themeColor="text1" w:themeTint="80"/>
          <w:sz w:val="14"/>
          <w:szCs w:val="14"/>
        </w:rPr>
        <w:t>Zandvoort et al. 2018, p.189</w:t>
      </w:r>
      <w:r w:rsidRPr="00A748CB">
        <w:rPr>
          <w:sz w:val="14"/>
          <w:szCs w:val="14"/>
        </w:rPr>
        <w:t>). A pathway is a sequence of measures that may be activated before an ATP occurs (</w:t>
      </w:r>
      <w:proofErr w:type="spellStart"/>
      <w:r w:rsidRPr="00A748CB">
        <w:rPr>
          <w:color w:val="7F7F7F" w:themeColor="text1" w:themeTint="80"/>
          <w:sz w:val="14"/>
          <w:szCs w:val="14"/>
        </w:rPr>
        <w:t>Gersonius</w:t>
      </w:r>
      <w:proofErr w:type="spellEnd"/>
      <w:r w:rsidRPr="00A748CB">
        <w:rPr>
          <w:color w:val="7F7F7F" w:themeColor="text1" w:themeTint="80"/>
          <w:sz w:val="14"/>
          <w:szCs w:val="14"/>
        </w:rPr>
        <w:t xml:space="preserve"> et al. 2016, p.204</w:t>
      </w:r>
      <w:r w:rsidRPr="00A748CB">
        <w:rPr>
          <w:sz w:val="14"/>
          <w:szCs w:val="14"/>
        </w:rPr>
        <w:t>).</w:t>
      </w:r>
    </w:p>
  </w:footnote>
  <w:footnote w:id="108">
    <w:p w14:paraId="5BDF7835" w14:textId="77777777" w:rsidR="00A61A74" w:rsidRPr="00A748CB" w:rsidRDefault="00A61A74" w:rsidP="0034350B">
      <w:pPr>
        <w:pStyle w:val="Textodenotaderodap"/>
        <w:rPr>
          <w:sz w:val="14"/>
          <w:szCs w:val="14"/>
        </w:rPr>
      </w:pPr>
      <w:r w:rsidRPr="00A748CB">
        <w:rPr>
          <w:rStyle w:val="Refdenotaderodap"/>
          <w:sz w:val="14"/>
          <w:szCs w:val="14"/>
        </w:rPr>
        <w:footnoteRef/>
      </w:r>
      <w:r w:rsidRPr="00A748CB">
        <w:rPr>
          <w:sz w:val="14"/>
          <w:szCs w:val="14"/>
        </w:rPr>
        <w:t xml:space="preserve"> Each of the </w:t>
      </w:r>
      <w:r w:rsidRPr="00A748CB">
        <w:rPr>
          <w:i/>
          <w:iCs/>
          <w:sz w:val="14"/>
          <w:szCs w:val="14"/>
        </w:rPr>
        <w:t>Promising Strategies</w:t>
      </w:r>
      <w:r w:rsidRPr="00A748CB">
        <w:rPr>
          <w:sz w:val="14"/>
          <w:szCs w:val="14"/>
        </w:rPr>
        <w:t xml:space="preserve"> (of each Regional Subprogrammes) offers a cohesive, logical set of promising strategies (</w:t>
      </w:r>
      <w:r w:rsidRPr="00A748CB">
        <w:rPr>
          <w:color w:val="7F7F7F" w:themeColor="text1" w:themeTint="80"/>
          <w:sz w:val="14"/>
          <w:szCs w:val="14"/>
        </w:rPr>
        <w:t xml:space="preserve">DP </w:t>
      </w:r>
      <w:r w:rsidRPr="00A748CB">
        <w:rPr>
          <w:rFonts w:eastAsia="RijksoverheidSansText-Regular"/>
          <w:color w:val="7F7F7F" w:themeColor="text1" w:themeTint="80"/>
          <w:sz w:val="14"/>
          <w:szCs w:val="14"/>
        </w:rPr>
        <w:t>2012, p.81</w:t>
      </w:r>
      <w:r w:rsidRPr="00A748CB">
        <w:rPr>
          <w:sz w:val="14"/>
          <w:szCs w:val="14"/>
        </w:rPr>
        <w:t>).</w:t>
      </w:r>
    </w:p>
  </w:footnote>
  <w:footnote w:id="109">
    <w:p w14:paraId="27137DEB" w14:textId="77777777" w:rsidR="00A61A74" w:rsidRPr="00A748CB" w:rsidRDefault="00A61A74" w:rsidP="0034350B">
      <w:pPr>
        <w:pStyle w:val="TEXTBODY"/>
        <w:spacing w:after="0" w:line="240" w:lineRule="auto"/>
        <w:rPr>
          <w:sz w:val="14"/>
          <w:szCs w:val="14"/>
        </w:rPr>
      </w:pPr>
      <w:r w:rsidRPr="00A748CB">
        <w:rPr>
          <w:rStyle w:val="Refdenotaderodap"/>
          <w:sz w:val="14"/>
          <w:szCs w:val="14"/>
        </w:rPr>
        <w:footnoteRef/>
      </w:r>
      <w:r w:rsidRPr="00A748CB">
        <w:rPr>
          <w:sz w:val="14"/>
          <w:szCs w:val="14"/>
        </w:rPr>
        <w:t xml:space="preserve"> Each </w:t>
      </w:r>
      <w:r w:rsidRPr="00A748CB">
        <w:rPr>
          <w:i/>
          <w:iCs/>
          <w:sz w:val="14"/>
          <w:szCs w:val="14"/>
        </w:rPr>
        <w:t xml:space="preserve">Preferential Strategy </w:t>
      </w:r>
      <w:r w:rsidRPr="00A748CB">
        <w:rPr>
          <w:sz w:val="14"/>
          <w:szCs w:val="14"/>
        </w:rPr>
        <w:t>(per region) delivers a set (or sets) of measures, which includes measures planned for the short-term linked to other measures for the mid- and long-term (</w:t>
      </w:r>
      <w:r w:rsidRPr="00A748CB">
        <w:rPr>
          <w:color w:val="7F7F7F" w:themeColor="text1" w:themeTint="80"/>
          <w:sz w:val="14"/>
          <w:szCs w:val="14"/>
        </w:rPr>
        <w:t>DP 2013, p.56</w:t>
      </w:r>
      <w:r w:rsidRPr="00A748CB">
        <w:rPr>
          <w:sz w:val="14"/>
          <w:szCs w:val="14"/>
        </w:rPr>
        <w:t xml:space="preserve">).  </w:t>
      </w:r>
    </w:p>
  </w:footnote>
  <w:footnote w:id="110">
    <w:p w14:paraId="31D27318" w14:textId="77777777" w:rsidR="00A61A74" w:rsidRPr="00A748CB" w:rsidRDefault="00A61A74" w:rsidP="0034350B">
      <w:pPr>
        <w:pStyle w:val="TEXTBODY"/>
        <w:spacing w:after="0" w:line="240" w:lineRule="auto"/>
        <w:rPr>
          <w:sz w:val="14"/>
          <w:szCs w:val="14"/>
        </w:rPr>
      </w:pPr>
      <w:r w:rsidRPr="00A748CB">
        <w:rPr>
          <w:rStyle w:val="Refdenotaderodap"/>
          <w:sz w:val="14"/>
          <w:szCs w:val="14"/>
        </w:rPr>
        <w:footnoteRef/>
      </w:r>
      <w:r w:rsidRPr="00A748CB">
        <w:rPr>
          <w:sz w:val="14"/>
          <w:szCs w:val="14"/>
        </w:rPr>
        <w:t xml:space="preserve"> The </w:t>
      </w:r>
      <w:r w:rsidRPr="00A748CB">
        <w:rPr>
          <w:i/>
          <w:iCs/>
          <w:sz w:val="14"/>
          <w:szCs w:val="14"/>
        </w:rPr>
        <w:t>Preferential Strategies</w:t>
      </w:r>
      <w:r w:rsidRPr="00A748CB">
        <w:rPr>
          <w:sz w:val="14"/>
          <w:szCs w:val="14"/>
        </w:rPr>
        <w:t xml:space="preserve"> contain the measures for each area; e</w:t>
      </w:r>
      <w:r w:rsidRPr="00A748CB">
        <w:rPr>
          <w:rFonts w:cs="Arial"/>
          <w:sz w:val="14"/>
          <w:szCs w:val="14"/>
        </w:rPr>
        <w:t xml:space="preserve">ach </w:t>
      </w:r>
      <w:r w:rsidRPr="00A748CB">
        <w:rPr>
          <w:rFonts w:cs="Arial"/>
          <w:i/>
          <w:iCs/>
          <w:sz w:val="14"/>
          <w:szCs w:val="14"/>
        </w:rPr>
        <w:t>Preferential Strategy</w:t>
      </w:r>
      <w:r w:rsidRPr="00A748CB">
        <w:rPr>
          <w:rFonts w:cs="Arial"/>
          <w:sz w:val="14"/>
          <w:szCs w:val="14"/>
        </w:rPr>
        <w:t xml:space="preserve"> defines aims / goals, and it specifies measures to meet the objectives in the short-, mid- and long-term, and </w:t>
      </w:r>
      <w:r w:rsidRPr="00A748CB">
        <w:rPr>
          <w:sz w:val="14"/>
          <w:szCs w:val="14"/>
        </w:rPr>
        <w:t>concrete specifications for each region) (</w:t>
      </w:r>
      <w:r w:rsidRPr="00A748CB">
        <w:rPr>
          <w:rFonts w:eastAsia="RijksoverheidSansText-Regular"/>
          <w:color w:val="7F7F7F" w:themeColor="text1" w:themeTint="80"/>
          <w:sz w:val="14"/>
          <w:szCs w:val="14"/>
        </w:rPr>
        <w:t xml:space="preserve">DP 2012, p.35; </w:t>
      </w:r>
      <w:r w:rsidRPr="00A748CB">
        <w:rPr>
          <w:color w:val="7F7F7F" w:themeColor="text1" w:themeTint="80"/>
          <w:sz w:val="14"/>
          <w:szCs w:val="14"/>
        </w:rPr>
        <w:t xml:space="preserve">2013, p.16, 32, 36, 94; 2014, p.6, 47, 49, 46; </w:t>
      </w:r>
      <w:r w:rsidRPr="00A748CB">
        <w:rPr>
          <w:rFonts w:eastAsia="RijksoverheidSansText-Regular"/>
          <w:color w:val="7F7F7F" w:themeColor="text1" w:themeTint="80"/>
          <w:sz w:val="14"/>
          <w:szCs w:val="14"/>
        </w:rPr>
        <w:t xml:space="preserve">2013, p.94; </w:t>
      </w:r>
      <w:r w:rsidRPr="00A748CB">
        <w:rPr>
          <w:rFonts w:cs="Arial"/>
          <w:color w:val="7F7F7F" w:themeColor="text1" w:themeTint="80"/>
          <w:sz w:val="14"/>
          <w:szCs w:val="14"/>
        </w:rPr>
        <w:t>2016, p.6</w:t>
      </w:r>
      <w:r w:rsidRPr="00A748CB">
        <w:rPr>
          <w:sz w:val="14"/>
          <w:szCs w:val="14"/>
        </w:rPr>
        <w:t xml:space="preserve">). Each Regional Subprogramme developed a </w:t>
      </w:r>
      <w:r w:rsidRPr="00A748CB">
        <w:rPr>
          <w:i/>
          <w:iCs/>
          <w:sz w:val="14"/>
          <w:szCs w:val="14"/>
        </w:rPr>
        <w:t>Preferential Strategy</w:t>
      </w:r>
      <w:r w:rsidRPr="00A748CB">
        <w:rPr>
          <w:sz w:val="14"/>
          <w:szCs w:val="14"/>
        </w:rPr>
        <w:t xml:space="preserve"> for FRM for its region (DP 2014, p.8, 46, 132).</w:t>
      </w:r>
    </w:p>
    <w:p w14:paraId="71962793" w14:textId="13080592" w:rsidR="00A61A74" w:rsidRPr="00A748CB" w:rsidRDefault="00A61A74" w:rsidP="0034350B">
      <w:pPr>
        <w:pStyle w:val="TEXTBODY"/>
        <w:spacing w:after="0" w:line="240" w:lineRule="auto"/>
        <w:rPr>
          <w:sz w:val="14"/>
          <w:szCs w:val="14"/>
        </w:rPr>
      </w:pPr>
      <w:r w:rsidRPr="00A748CB">
        <w:rPr>
          <w:sz w:val="14"/>
          <w:szCs w:val="14"/>
        </w:rPr>
        <w:t xml:space="preserve">A </w:t>
      </w:r>
      <w:r w:rsidRPr="00A748CB">
        <w:rPr>
          <w:i/>
          <w:iCs/>
          <w:sz w:val="14"/>
          <w:szCs w:val="14"/>
        </w:rPr>
        <w:t>Preferential Strategy</w:t>
      </w:r>
      <w:r w:rsidRPr="00A748CB">
        <w:rPr>
          <w:sz w:val="14"/>
          <w:szCs w:val="14"/>
        </w:rPr>
        <w:t xml:space="preserve"> contains measures to address FRM tasks in the short-, mid- and long-term</w:t>
      </w:r>
      <w:r w:rsidRPr="00A748CB">
        <w:rPr>
          <w:rStyle w:val="Refdenotaderodap"/>
          <w:sz w:val="14"/>
          <w:szCs w:val="14"/>
        </w:rPr>
        <w:t xml:space="preserve"> </w:t>
      </w:r>
      <w:r w:rsidRPr="00A748CB">
        <w:rPr>
          <w:sz w:val="14"/>
          <w:szCs w:val="14"/>
        </w:rPr>
        <w:t>(</w:t>
      </w:r>
      <w:r w:rsidRPr="00A748CB">
        <w:rPr>
          <w:color w:val="7F7F7F" w:themeColor="text1" w:themeTint="80"/>
          <w:sz w:val="14"/>
          <w:szCs w:val="14"/>
        </w:rPr>
        <w:t>DP 2014, p.49, 6</w:t>
      </w:r>
      <w:r w:rsidRPr="00A748CB">
        <w:rPr>
          <w:sz w:val="14"/>
          <w:szCs w:val="14"/>
        </w:rPr>
        <w:t xml:space="preserve">). Within the measures for the long-term, there may be: (1) measures </w:t>
      </w:r>
      <w:r w:rsidRPr="00A748CB">
        <w:rPr>
          <w:i/>
          <w:iCs/>
          <w:sz w:val="14"/>
          <w:szCs w:val="14"/>
        </w:rPr>
        <w:t>already certain to be required in the long-term</w:t>
      </w:r>
      <w:r w:rsidRPr="00A748CB">
        <w:rPr>
          <w:sz w:val="14"/>
          <w:szCs w:val="14"/>
        </w:rPr>
        <w:t xml:space="preserve"> (e.g. dyke improvements in places where no alternatives are available); and (2) measures not yet certain to be needed and that will depend on climatic and socioeconomic developments (</w:t>
      </w:r>
      <w:r w:rsidRPr="00A748CB">
        <w:rPr>
          <w:color w:val="7F7F7F" w:themeColor="text1" w:themeTint="80"/>
          <w:sz w:val="14"/>
          <w:szCs w:val="14"/>
        </w:rPr>
        <w:t>DP 2014, p.49</w:t>
      </w:r>
      <w:r w:rsidRPr="00A748CB">
        <w:rPr>
          <w:sz w:val="14"/>
          <w:szCs w:val="14"/>
        </w:rPr>
        <w:t xml:space="preserve">). </w:t>
      </w:r>
      <w:r w:rsidRPr="00A748CB">
        <w:rPr>
          <w:rFonts w:cs="Arial"/>
          <w:sz w:val="14"/>
          <w:szCs w:val="14"/>
        </w:rPr>
        <w:t>The final decision on the measures for the long-term will be taken later and will depend on the developments in the next decades. This is in line with one of the mottos of ADM: making what is needed now and identifying which measures can be implemented if the conditions change.</w:t>
      </w:r>
      <w:r w:rsidRPr="00A748CB">
        <w:rPr>
          <w:rFonts w:cs="Arial"/>
          <w:color w:val="C00000"/>
          <w:sz w:val="14"/>
          <w:szCs w:val="14"/>
        </w:rPr>
        <w:t xml:space="preserve"> </w:t>
      </w:r>
      <w:r w:rsidRPr="00A748CB">
        <w:rPr>
          <w:sz w:val="14"/>
          <w:szCs w:val="14"/>
        </w:rPr>
        <w:t xml:space="preserve">Thus, a </w:t>
      </w:r>
      <w:r w:rsidRPr="00A748CB">
        <w:rPr>
          <w:i/>
          <w:iCs/>
          <w:sz w:val="14"/>
          <w:szCs w:val="14"/>
        </w:rPr>
        <w:t>Strategy</w:t>
      </w:r>
      <w:r w:rsidRPr="00A748CB">
        <w:rPr>
          <w:sz w:val="14"/>
          <w:szCs w:val="14"/>
        </w:rPr>
        <w:t xml:space="preserve"> usually contains ‘options’ left open for future decision (envisioning long-term options in plans is a key feature of ADM) (</w:t>
      </w:r>
      <w:r w:rsidRPr="00A748CB">
        <w:rPr>
          <w:color w:val="7F7F7F" w:themeColor="text1" w:themeTint="80"/>
          <w:sz w:val="14"/>
          <w:szCs w:val="14"/>
        </w:rPr>
        <w:t>DP 2014, p.49, 62</w:t>
      </w:r>
      <w:r w:rsidRPr="00A748CB">
        <w:rPr>
          <w:sz w:val="14"/>
          <w:szCs w:val="14"/>
        </w:rPr>
        <w:t xml:space="preserve">). This also helped to identify which locations might be needed for implementing such measures in the future, and to prevent developments that could render such measures unviable. Dutch government can use several tools for this purpose, e.g. by defining ‘area reservations’ in a </w:t>
      </w:r>
      <w:r w:rsidRPr="00A748CB">
        <w:rPr>
          <w:i/>
          <w:iCs/>
          <w:sz w:val="14"/>
          <w:szCs w:val="14"/>
        </w:rPr>
        <w:t>General Rule on Spatial Planning</w:t>
      </w:r>
      <w:r w:rsidRPr="00A748CB">
        <w:rPr>
          <w:sz w:val="14"/>
          <w:szCs w:val="14"/>
        </w:rPr>
        <w:t xml:space="preserve"> called ‘Barro’ (</w:t>
      </w:r>
      <w:r w:rsidRPr="00A748CB">
        <w:rPr>
          <w:color w:val="7F7F7F" w:themeColor="text1" w:themeTint="80"/>
          <w:sz w:val="14"/>
          <w:szCs w:val="14"/>
        </w:rPr>
        <w:t>DP 2014, p.49, 62</w:t>
      </w:r>
      <w:r w:rsidRPr="00A748CB">
        <w:rPr>
          <w:sz w:val="14"/>
          <w:szCs w:val="14"/>
        </w:rPr>
        <w:t>).</w:t>
      </w:r>
    </w:p>
  </w:footnote>
  <w:footnote w:id="111">
    <w:p w14:paraId="287913A9" w14:textId="6BE85B11" w:rsidR="00A61A74" w:rsidRPr="00A748CB" w:rsidRDefault="00A61A74" w:rsidP="00737447">
      <w:pPr>
        <w:pStyle w:val="TEXTBODY"/>
        <w:spacing w:after="0" w:line="240" w:lineRule="auto"/>
        <w:rPr>
          <w:b/>
          <w:bCs/>
          <w:color w:val="C00000"/>
          <w:sz w:val="16"/>
          <w:szCs w:val="16"/>
        </w:rPr>
      </w:pPr>
      <w:r w:rsidRPr="00A748CB">
        <w:rPr>
          <w:rStyle w:val="Refdenotaderodap"/>
          <w:sz w:val="14"/>
          <w:szCs w:val="14"/>
        </w:rPr>
        <w:footnoteRef/>
      </w:r>
      <w:r w:rsidRPr="00A748CB">
        <w:rPr>
          <w:sz w:val="14"/>
          <w:szCs w:val="14"/>
        </w:rPr>
        <w:t xml:space="preserve"> In each </w:t>
      </w:r>
      <w:r w:rsidRPr="00A748CB">
        <w:rPr>
          <w:i/>
          <w:iCs/>
          <w:sz w:val="14"/>
          <w:szCs w:val="14"/>
        </w:rPr>
        <w:t>Preferential Strategy</w:t>
      </w:r>
      <w:r w:rsidRPr="00A748CB">
        <w:rPr>
          <w:sz w:val="14"/>
          <w:szCs w:val="14"/>
        </w:rPr>
        <w:t xml:space="preserve"> and in most </w:t>
      </w:r>
      <w:r w:rsidRPr="00A748CB">
        <w:rPr>
          <w:i/>
          <w:iCs/>
          <w:sz w:val="14"/>
          <w:szCs w:val="14"/>
        </w:rPr>
        <w:t>Delta Decisions</w:t>
      </w:r>
      <w:r w:rsidRPr="00A748CB">
        <w:rPr>
          <w:sz w:val="14"/>
          <w:szCs w:val="14"/>
        </w:rPr>
        <w:t>, there is a map of ‘</w:t>
      </w:r>
      <w:r w:rsidRPr="00A748CB">
        <w:rPr>
          <w:i/>
          <w:iCs/>
          <w:sz w:val="14"/>
          <w:szCs w:val="14"/>
        </w:rPr>
        <w:t>adaptation path(s)</w:t>
      </w:r>
      <w:r w:rsidRPr="00A748CB">
        <w:rPr>
          <w:sz w:val="14"/>
          <w:szCs w:val="14"/>
        </w:rPr>
        <w:t>’.</w:t>
      </w:r>
      <w:r w:rsidR="00737447" w:rsidRPr="00A748CB">
        <w:rPr>
          <w:sz w:val="14"/>
          <w:szCs w:val="14"/>
        </w:rPr>
        <w:t xml:space="preserve"> In the DP, each </w:t>
      </w:r>
      <w:r w:rsidR="00737447" w:rsidRPr="00A748CB">
        <w:rPr>
          <w:i/>
          <w:iCs/>
          <w:sz w:val="14"/>
          <w:szCs w:val="14"/>
        </w:rPr>
        <w:t>Preferential Strategy</w:t>
      </w:r>
      <w:r w:rsidR="00737447" w:rsidRPr="00A748CB">
        <w:rPr>
          <w:sz w:val="14"/>
          <w:szCs w:val="14"/>
        </w:rPr>
        <w:t xml:space="preserve"> contains a set of measures sequenced over time, i.e. a pathway. The adaptation pathways are called ‘</w:t>
      </w:r>
      <w:r w:rsidR="00737447" w:rsidRPr="00A748CB">
        <w:rPr>
          <w:i/>
          <w:iCs/>
          <w:sz w:val="14"/>
          <w:szCs w:val="14"/>
        </w:rPr>
        <w:t xml:space="preserve">adaptation </w:t>
      </w:r>
      <w:proofErr w:type="gramStart"/>
      <w:r w:rsidR="00737447" w:rsidRPr="00A748CB">
        <w:rPr>
          <w:i/>
          <w:iCs/>
          <w:sz w:val="14"/>
          <w:szCs w:val="14"/>
        </w:rPr>
        <w:t>paths</w:t>
      </w:r>
      <w:r w:rsidR="00737447" w:rsidRPr="00A748CB">
        <w:rPr>
          <w:sz w:val="14"/>
          <w:szCs w:val="14"/>
        </w:rPr>
        <w:t>’</w:t>
      </w:r>
      <w:proofErr w:type="gramEnd"/>
      <w:r w:rsidR="00737447" w:rsidRPr="00A748CB">
        <w:rPr>
          <w:sz w:val="14"/>
          <w:szCs w:val="14"/>
        </w:rPr>
        <w:t xml:space="preserve">. Each </w:t>
      </w:r>
      <w:r w:rsidR="00737447" w:rsidRPr="00A748CB">
        <w:rPr>
          <w:i/>
          <w:iCs/>
          <w:sz w:val="14"/>
          <w:szCs w:val="14"/>
        </w:rPr>
        <w:t>Preferential Strategy</w:t>
      </w:r>
      <w:r w:rsidR="00737447" w:rsidRPr="00A748CB">
        <w:rPr>
          <w:sz w:val="14"/>
          <w:szCs w:val="14"/>
        </w:rPr>
        <w:t xml:space="preserve"> has a map with one or more </w:t>
      </w:r>
      <w:r w:rsidR="00737447" w:rsidRPr="00A748CB">
        <w:rPr>
          <w:i/>
          <w:iCs/>
          <w:sz w:val="14"/>
          <w:szCs w:val="14"/>
        </w:rPr>
        <w:t>adaptation paths</w:t>
      </w:r>
      <w:r w:rsidR="00737447" w:rsidRPr="00A748CB">
        <w:rPr>
          <w:sz w:val="14"/>
          <w:szCs w:val="14"/>
        </w:rPr>
        <w:t xml:space="preserve">. Each </w:t>
      </w:r>
      <w:r w:rsidR="00737447" w:rsidRPr="00A748CB">
        <w:rPr>
          <w:i/>
          <w:iCs/>
          <w:sz w:val="14"/>
          <w:szCs w:val="14"/>
        </w:rPr>
        <w:t>adaptation path</w:t>
      </w:r>
      <w:r w:rsidR="00737447" w:rsidRPr="00A748CB">
        <w:rPr>
          <w:sz w:val="14"/>
          <w:szCs w:val="14"/>
        </w:rPr>
        <w:t xml:space="preserve"> (pathway) is a set of several sequenced measures over time, i.e. a sequence of actions for the short- (2030), mid- (2050) and long-term (2100). </w:t>
      </w:r>
    </w:p>
  </w:footnote>
  <w:footnote w:id="112">
    <w:p w14:paraId="47F40B8B" w14:textId="77777777" w:rsidR="00A61A74" w:rsidRPr="0034350B" w:rsidRDefault="00A61A74" w:rsidP="0034350B">
      <w:pPr>
        <w:pStyle w:val="TEXTBODY"/>
        <w:spacing w:after="0" w:line="240" w:lineRule="auto"/>
        <w:rPr>
          <w:sz w:val="16"/>
          <w:szCs w:val="16"/>
        </w:rPr>
      </w:pPr>
      <w:r w:rsidRPr="00A748CB">
        <w:rPr>
          <w:rStyle w:val="Refdenotaderodap"/>
          <w:sz w:val="14"/>
          <w:szCs w:val="14"/>
        </w:rPr>
        <w:footnoteRef/>
      </w:r>
      <w:r w:rsidRPr="00A748CB">
        <w:rPr>
          <w:sz w:val="14"/>
          <w:szCs w:val="14"/>
        </w:rPr>
        <w:t xml:space="preserve"> The map of </w:t>
      </w:r>
      <w:r w:rsidRPr="00A748CB">
        <w:rPr>
          <w:i/>
          <w:iCs/>
          <w:sz w:val="14"/>
          <w:szCs w:val="14"/>
        </w:rPr>
        <w:t>adaptation paths</w:t>
      </w:r>
      <w:r w:rsidRPr="00A748CB">
        <w:rPr>
          <w:sz w:val="14"/>
          <w:szCs w:val="14"/>
        </w:rPr>
        <w:t xml:space="preserve"> shows the measures available for the short-term (2030) and mid-term (2050), and possible options to keep open for the long-term (up to 2100); it may include (anticipatory or preparatory) measures required to keep open options for the long-term (e.g. measures necessary to shift from the current measure to another in the future, like research studies on a particular option) (</w:t>
      </w:r>
      <w:proofErr w:type="spellStart"/>
      <w:r w:rsidRPr="00A748CB">
        <w:rPr>
          <w:color w:val="7F7F7F" w:themeColor="text1" w:themeTint="80"/>
          <w:sz w:val="14"/>
          <w:szCs w:val="14"/>
        </w:rPr>
        <w:t>Gersonius</w:t>
      </w:r>
      <w:proofErr w:type="spellEnd"/>
      <w:r w:rsidRPr="00A748CB">
        <w:rPr>
          <w:color w:val="7F7F7F" w:themeColor="text1" w:themeTint="80"/>
          <w:sz w:val="14"/>
          <w:szCs w:val="14"/>
        </w:rPr>
        <w:t xml:space="preserve"> et al. 2016 p. 211</w:t>
      </w:r>
      <w:r w:rsidRPr="00A748CB">
        <w:rPr>
          <w:sz w:val="14"/>
          <w:szCs w:val="14"/>
        </w:rPr>
        <w:t xml:space="preserve">). In each </w:t>
      </w:r>
      <w:r w:rsidRPr="00A748CB">
        <w:rPr>
          <w:i/>
          <w:iCs/>
          <w:sz w:val="14"/>
          <w:szCs w:val="14"/>
        </w:rPr>
        <w:t>Preferential Strategy</w:t>
      </w:r>
      <w:r w:rsidRPr="00A748CB">
        <w:rPr>
          <w:sz w:val="14"/>
          <w:szCs w:val="14"/>
        </w:rPr>
        <w:t xml:space="preserve">, the map of </w:t>
      </w:r>
      <w:r w:rsidRPr="00A748CB">
        <w:rPr>
          <w:i/>
          <w:iCs/>
          <w:sz w:val="14"/>
          <w:szCs w:val="14"/>
        </w:rPr>
        <w:t>adaptation path(s)</w:t>
      </w:r>
      <w:r w:rsidRPr="00A748CB">
        <w:rPr>
          <w:sz w:val="14"/>
          <w:szCs w:val="14"/>
        </w:rPr>
        <w:t xml:space="preserve"> </w:t>
      </w:r>
      <w:r w:rsidRPr="00A748CB">
        <w:rPr>
          <w:rFonts w:cs="Arial"/>
          <w:sz w:val="14"/>
          <w:szCs w:val="14"/>
        </w:rPr>
        <w:t xml:space="preserve">identifies measures that must </w:t>
      </w:r>
      <w:proofErr w:type="spellStart"/>
      <w:r w:rsidRPr="00A748CB">
        <w:rPr>
          <w:rFonts w:cs="Arial"/>
          <w:sz w:val="14"/>
          <w:szCs w:val="14"/>
        </w:rPr>
        <w:t>taken</w:t>
      </w:r>
      <w:proofErr w:type="spellEnd"/>
      <w:r w:rsidRPr="00A748CB">
        <w:rPr>
          <w:rFonts w:cs="Arial"/>
          <w:sz w:val="14"/>
          <w:szCs w:val="14"/>
        </w:rPr>
        <w:t xml:space="preserve"> in the short-term and possible measures (options) for the long-term on which a decision will be taken in due time.</w:t>
      </w:r>
      <w:r w:rsidRPr="0034350B">
        <w:rPr>
          <w:rFonts w:cs="Arial"/>
          <w:sz w:val="14"/>
          <w:szCs w:val="14"/>
        </w:rPr>
        <w:t xml:space="preserve"> </w:t>
      </w:r>
    </w:p>
  </w:footnote>
  <w:footnote w:id="113">
    <w:p w14:paraId="28C56233" w14:textId="7DD3BAFE" w:rsidR="007456F7" w:rsidRPr="00A748CB" w:rsidRDefault="007456F7" w:rsidP="007456F7">
      <w:pPr>
        <w:pStyle w:val="TEXTBODY"/>
        <w:spacing w:after="0" w:line="240" w:lineRule="auto"/>
        <w:jc w:val="left"/>
        <w:rPr>
          <w:sz w:val="14"/>
          <w:szCs w:val="14"/>
        </w:rPr>
      </w:pPr>
      <w:r w:rsidRPr="00A748CB">
        <w:rPr>
          <w:rStyle w:val="Refdenotaderodap"/>
          <w:sz w:val="14"/>
          <w:szCs w:val="14"/>
        </w:rPr>
        <w:footnoteRef/>
      </w:r>
      <w:r w:rsidRPr="00A748CB">
        <w:rPr>
          <w:sz w:val="14"/>
          <w:szCs w:val="14"/>
        </w:rPr>
        <w:t xml:space="preserve"> The APs’ approach also served to identify </w:t>
      </w:r>
      <w:r w:rsidRPr="00A748CB">
        <w:rPr>
          <w:i/>
          <w:iCs/>
          <w:sz w:val="14"/>
          <w:szCs w:val="14"/>
        </w:rPr>
        <w:t>decision-moments</w:t>
      </w:r>
      <w:r w:rsidRPr="00A748CB">
        <w:rPr>
          <w:sz w:val="14"/>
          <w:szCs w:val="14"/>
        </w:rPr>
        <w:t xml:space="preserve"> (</w:t>
      </w:r>
      <w:proofErr w:type="spellStart"/>
      <w:r w:rsidRPr="00A748CB">
        <w:rPr>
          <w:color w:val="7F7F7F" w:themeColor="text1" w:themeTint="80"/>
          <w:sz w:val="14"/>
          <w:szCs w:val="14"/>
        </w:rPr>
        <w:t>Jeuken</w:t>
      </w:r>
      <w:proofErr w:type="spellEnd"/>
      <w:r w:rsidRPr="00A748CB">
        <w:rPr>
          <w:color w:val="7F7F7F" w:themeColor="text1" w:themeTint="80"/>
          <w:sz w:val="14"/>
          <w:szCs w:val="14"/>
        </w:rPr>
        <w:t xml:space="preserve"> and Reeder 2011, p.6; </w:t>
      </w:r>
      <w:proofErr w:type="spellStart"/>
      <w:r w:rsidRPr="00A748CB">
        <w:rPr>
          <w:color w:val="7F7F7F" w:themeColor="text1" w:themeTint="80"/>
          <w:sz w:val="14"/>
          <w:szCs w:val="14"/>
        </w:rPr>
        <w:t>Jeuken</w:t>
      </w:r>
      <w:proofErr w:type="spellEnd"/>
      <w:r w:rsidRPr="00A748CB">
        <w:rPr>
          <w:color w:val="7F7F7F" w:themeColor="text1" w:themeTint="80"/>
          <w:sz w:val="14"/>
          <w:szCs w:val="14"/>
        </w:rPr>
        <w:t xml:space="preserve"> et al. 2014, p.10</w:t>
      </w:r>
      <w:r w:rsidRPr="00A748CB">
        <w:rPr>
          <w:sz w:val="14"/>
          <w:szCs w:val="14"/>
        </w:rPr>
        <w:t xml:space="preserve">). In the DP, the moment for implementing a new measure and the associated </w:t>
      </w:r>
      <w:r w:rsidRPr="00A748CB">
        <w:rPr>
          <w:i/>
          <w:iCs/>
          <w:sz w:val="14"/>
          <w:szCs w:val="14"/>
        </w:rPr>
        <w:t>decision-moment</w:t>
      </w:r>
      <w:r w:rsidRPr="00A748CB">
        <w:rPr>
          <w:sz w:val="14"/>
          <w:szCs w:val="14"/>
        </w:rPr>
        <w:t xml:space="preserve"> not only depend on thresholds and ATPs of prior measures,</w:t>
      </w:r>
      <w:r w:rsidRPr="00A748CB">
        <w:rPr>
          <w:i/>
          <w:iCs/>
          <w:sz w:val="14"/>
          <w:szCs w:val="14"/>
        </w:rPr>
        <w:t xml:space="preserve"> </w:t>
      </w:r>
      <w:r w:rsidRPr="00A748CB">
        <w:rPr>
          <w:sz w:val="14"/>
          <w:szCs w:val="14"/>
        </w:rPr>
        <w:t xml:space="preserve">but also on opportunities to combine such measure with other investments thematically and spatially (e.g. dyke reinforcements combined with urban projects), on the lead-time required to plan and design the measure, and its complexity (the </w:t>
      </w:r>
      <w:r w:rsidRPr="00A748CB">
        <w:rPr>
          <w:i/>
          <w:iCs/>
          <w:sz w:val="14"/>
          <w:szCs w:val="14"/>
        </w:rPr>
        <w:t>decision-moment</w:t>
      </w:r>
      <w:r w:rsidRPr="00A748CB">
        <w:rPr>
          <w:sz w:val="14"/>
          <w:szCs w:val="14"/>
        </w:rPr>
        <w:t xml:space="preserve"> occurs prior to the ATP) (</w:t>
      </w:r>
      <w:proofErr w:type="spellStart"/>
      <w:r w:rsidRPr="00A748CB">
        <w:rPr>
          <w:color w:val="7F7F7F" w:themeColor="text1" w:themeTint="80"/>
          <w:sz w:val="14"/>
          <w:szCs w:val="14"/>
        </w:rPr>
        <w:t>Jeuken</w:t>
      </w:r>
      <w:proofErr w:type="spellEnd"/>
      <w:r w:rsidRPr="00A748CB">
        <w:rPr>
          <w:color w:val="7F7F7F" w:themeColor="text1" w:themeTint="80"/>
          <w:sz w:val="14"/>
          <w:szCs w:val="14"/>
        </w:rPr>
        <w:t xml:space="preserve"> and Reeder 2011, p.6-7</w:t>
      </w:r>
      <w:r w:rsidRPr="00A748CB">
        <w:rPr>
          <w:sz w:val="14"/>
          <w:szCs w:val="14"/>
        </w:rPr>
        <w:t xml:space="preserve">). </w:t>
      </w:r>
    </w:p>
  </w:footnote>
  <w:footnote w:id="114">
    <w:p w14:paraId="57443092" w14:textId="57FE72AB" w:rsidR="007D2351" w:rsidRPr="00A748CB" w:rsidRDefault="007D2351" w:rsidP="007D2351">
      <w:pPr>
        <w:pStyle w:val="TEXTBODY"/>
        <w:spacing w:after="0" w:line="240" w:lineRule="auto"/>
        <w:rPr>
          <w:sz w:val="16"/>
          <w:szCs w:val="16"/>
        </w:rPr>
      </w:pPr>
      <w:r w:rsidRPr="00A748CB">
        <w:rPr>
          <w:rStyle w:val="Refdenotaderodap"/>
          <w:sz w:val="14"/>
          <w:szCs w:val="14"/>
        </w:rPr>
        <w:footnoteRef/>
      </w:r>
      <w:r w:rsidRPr="00A748CB">
        <w:rPr>
          <w:sz w:val="14"/>
          <w:szCs w:val="14"/>
        </w:rPr>
        <w:t xml:space="preserve"> In synthesis, in the DP, strategy-making was based on the ADM approach. ADM builds on an important element to develop strategies: the </w:t>
      </w:r>
      <w:r w:rsidRPr="00A748CB">
        <w:rPr>
          <w:i/>
          <w:iCs/>
          <w:sz w:val="14"/>
          <w:szCs w:val="14"/>
        </w:rPr>
        <w:t>construction of pathways</w:t>
      </w:r>
      <w:r w:rsidRPr="00A748CB">
        <w:rPr>
          <w:sz w:val="14"/>
          <w:szCs w:val="14"/>
        </w:rPr>
        <w:t>. ADM, and the design of pathways, also require the assessment of the flexibility of measures and pathways, the scanning of options to keep open, and the combination of measures with investments and agendas of diverse actors (</w:t>
      </w:r>
      <w:r w:rsidRPr="00A748CB">
        <w:rPr>
          <w:color w:val="7F7F7F" w:themeColor="text1" w:themeTint="80"/>
          <w:sz w:val="14"/>
          <w:szCs w:val="14"/>
        </w:rPr>
        <w:t>Zandvoort et al. 2018, p.190</w:t>
      </w:r>
      <w:r w:rsidRPr="00A748CB">
        <w:rPr>
          <w:sz w:val="14"/>
          <w:szCs w:val="14"/>
        </w:rPr>
        <w:t xml:space="preserve">). These aspects are patent in the DP’s Strategies for FRM. </w:t>
      </w:r>
    </w:p>
  </w:footnote>
  <w:footnote w:id="115">
    <w:p w14:paraId="786BA278" w14:textId="77777777" w:rsidR="00A61A74" w:rsidRPr="004306D6" w:rsidRDefault="00A61A74" w:rsidP="00A61A74">
      <w:pPr>
        <w:pStyle w:val="TEXTBODY"/>
        <w:spacing w:after="0" w:line="240" w:lineRule="auto"/>
      </w:pPr>
      <w:r w:rsidRPr="00A748CB">
        <w:rPr>
          <w:rStyle w:val="Refdenotaderodap"/>
          <w:sz w:val="14"/>
          <w:szCs w:val="14"/>
        </w:rPr>
        <w:footnoteRef/>
      </w:r>
      <w:r w:rsidRPr="00A748CB">
        <w:rPr>
          <w:sz w:val="14"/>
          <w:szCs w:val="14"/>
        </w:rPr>
        <w:t xml:space="preserve"> The Subprogrammes assessed the </w:t>
      </w:r>
      <w:r w:rsidRPr="00A748CB">
        <w:rPr>
          <w:i/>
          <w:iCs/>
          <w:sz w:val="14"/>
          <w:szCs w:val="14"/>
        </w:rPr>
        <w:t xml:space="preserve">flexibility </w:t>
      </w:r>
      <w:r w:rsidRPr="00A748CB">
        <w:rPr>
          <w:sz w:val="14"/>
          <w:szCs w:val="14"/>
        </w:rPr>
        <w:t xml:space="preserve">of the strategies in a simplified way, for instance, by examining if it is easy to realize measures step-by-step or adjust them to accommodate to changes as these occur </w:t>
      </w:r>
      <w:r w:rsidRPr="00A748CB">
        <w:rPr>
          <w:rFonts w:eastAsia="RijksoverheidSansText-Regular"/>
          <w:color w:val="000000"/>
          <w:sz w:val="14"/>
          <w:szCs w:val="14"/>
        </w:rPr>
        <w:t>(</w:t>
      </w:r>
      <w:r w:rsidRPr="00A748CB">
        <w:rPr>
          <w:rFonts w:eastAsia="RijksoverheidSansText-Regular"/>
          <w:color w:val="7F7F7F" w:themeColor="text1" w:themeTint="80"/>
          <w:sz w:val="14"/>
          <w:szCs w:val="14"/>
        </w:rPr>
        <w:t>DP 2012, p.88</w:t>
      </w:r>
      <w:r w:rsidRPr="00A748CB">
        <w:rPr>
          <w:rFonts w:eastAsia="RijksoverheidSansText-Regular"/>
          <w:color w:val="000000"/>
          <w:sz w:val="14"/>
          <w:szCs w:val="14"/>
        </w:rPr>
        <w:t>,</w:t>
      </w:r>
      <w:r w:rsidRPr="00A748CB">
        <w:rPr>
          <w:rFonts w:eastAsia="RijksoverheidSansText-Regular"/>
          <w:color w:val="7F7F7F" w:themeColor="text1" w:themeTint="80"/>
          <w:sz w:val="14"/>
          <w:szCs w:val="14"/>
        </w:rPr>
        <w:t>90</w:t>
      </w:r>
      <w:r w:rsidRPr="00A748CB">
        <w:rPr>
          <w:rFonts w:eastAsia="RijksoverheidSansText-Regular"/>
          <w:color w:val="000000"/>
          <w:sz w:val="14"/>
          <w:szCs w:val="14"/>
        </w:rPr>
        <w:t>).</w:t>
      </w:r>
      <w:r w:rsidRPr="00A748CB">
        <w:rPr>
          <w:color w:val="C00000"/>
          <w:sz w:val="14"/>
          <w:szCs w:val="14"/>
        </w:rPr>
        <w:t xml:space="preserve"> </w:t>
      </w:r>
      <w:r w:rsidRPr="00A748CB">
        <w:rPr>
          <w:sz w:val="14"/>
          <w:szCs w:val="14"/>
        </w:rPr>
        <w:t xml:space="preserve"> Each Subprogramme should assess if its </w:t>
      </w:r>
      <w:r w:rsidRPr="00A748CB">
        <w:rPr>
          <w:i/>
          <w:iCs/>
          <w:sz w:val="14"/>
          <w:szCs w:val="14"/>
        </w:rPr>
        <w:t>Strategy</w:t>
      </w:r>
      <w:r w:rsidRPr="00A748CB">
        <w:rPr>
          <w:sz w:val="14"/>
          <w:szCs w:val="14"/>
        </w:rPr>
        <w:t xml:space="preserve"> was </w:t>
      </w:r>
      <w:r w:rsidRPr="00A748CB">
        <w:rPr>
          <w:i/>
          <w:iCs/>
          <w:sz w:val="14"/>
          <w:szCs w:val="14"/>
        </w:rPr>
        <w:t>robust</w:t>
      </w:r>
      <w:r w:rsidRPr="00A748CB">
        <w:rPr>
          <w:sz w:val="14"/>
          <w:szCs w:val="14"/>
        </w:rPr>
        <w:t xml:space="preserve"> and</w:t>
      </w:r>
      <w:r w:rsidRPr="00A748CB">
        <w:rPr>
          <w:i/>
          <w:iCs/>
          <w:sz w:val="14"/>
          <w:szCs w:val="14"/>
        </w:rPr>
        <w:t xml:space="preserve"> flexible</w:t>
      </w:r>
      <w:r w:rsidRPr="00A748CB">
        <w:rPr>
          <w:sz w:val="14"/>
          <w:szCs w:val="14"/>
        </w:rPr>
        <w:t>, among other aspects (</w:t>
      </w:r>
      <w:r w:rsidRPr="00A748CB">
        <w:rPr>
          <w:color w:val="7F7F7F" w:themeColor="text1" w:themeTint="80"/>
          <w:sz w:val="14"/>
          <w:szCs w:val="14"/>
        </w:rPr>
        <w:t>DP 2013, p.95</w:t>
      </w:r>
      <w:r w:rsidRPr="00A748CB">
        <w:rPr>
          <w:sz w:val="14"/>
          <w:szCs w:val="14"/>
        </w:rPr>
        <w:t xml:space="preserve">). The </w:t>
      </w:r>
      <w:r w:rsidRPr="00A748CB">
        <w:rPr>
          <w:i/>
          <w:iCs/>
          <w:sz w:val="14"/>
          <w:szCs w:val="14"/>
        </w:rPr>
        <w:t xml:space="preserve">Preferential Strategies </w:t>
      </w:r>
      <w:r w:rsidRPr="00A748CB">
        <w:rPr>
          <w:sz w:val="14"/>
          <w:szCs w:val="14"/>
        </w:rPr>
        <w:t xml:space="preserve">were subjected to a </w:t>
      </w:r>
      <w:r w:rsidRPr="00A748CB">
        <w:rPr>
          <w:i/>
          <w:iCs/>
          <w:sz w:val="14"/>
          <w:szCs w:val="14"/>
        </w:rPr>
        <w:t>robustness assessment</w:t>
      </w:r>
      <w:r w:rsidRPr="00A748CB">
        <w:rPr>
          <w:sz w:val="14"/>
          <w:szCs w:val="14"/>
        </w:rPr>
        <w:t xml:space="preserve"> under worst-case events beyond the scope of the </w:t>
      </w:r>
      <w:r w:rsidRPr="00A748CB">
        <w:rPr>
          <w:i/>
          <w:iCs/>
          <w:sz w:val="14"/>
          <w:szCs w:val="14"/>
        </w:rPr>
        <w:t>Delta Scenarios</w:t>
      </w:r>
      <w:r w:rsidRPr="00A748CB">
        <w:rPr>
          <w:sz w:val="14"/>
          <w:szCs w:val="14"/>
        </w:rPr>
        <w:t xml:space="preserve"> (e.g. a SLR greater than 85cm in 2100), which showed that the </w:t>
      </w:r>
      <w:r w:rsidRPr="00A748CB">
        <w:rPr>
          <w:i/>
          <w:iCs/>
          <w:sz w:val="14"/>
          <w:szCs w:val="14"/>
        </w:rPr>
        <w:t>Delta Decision on the Rhine-Meuse Delta</w:t>
      </w:r>
      <w:r w:rsidRPr="00A748CB">
        <w:rPr>
          <w:sz w:val="14"/>
          <w:szCs w:val="14"/>
        </w:rPr>
        <w:t xml:space="preserve">, the </w:t>
      </w:r>
      <w:r w:rsidRPr="00A748CB">
        <w:rPr>
          <w:i/>
          <w:iCs/>
          <w:sz w:val="14"/>
          <w:szCs w:val="14"/>
        </w:rPr>
        <w:t>Decision on Sand</w:t>
      </w:r>
      <w:r w:rsidRPr="00A748CB">
        <w:rPr>
          <w:sz w:val="14"/>
          <w:szCs w:val="14"/>
        </w:rPr>
        <w:t xml:space="preserve">, and all </w:t>
      </w:r>
      <w:r w:rsidRPr="00A748CB">
        <w:rPr>
          <w:i/>
          <w:iCs/>
          <w:sz w:val="14"/>
          <w:szCs w:val="14"/>
        </w:rPr>
        <w:t>Preferential Strategies</w:t>
      </w:r>
      <w:r w:rsidRPr="00A748CB">
        <w:rPr>
          <w:sz w:val="14"/>
          <w:szCs w:val="14"/>
        </w:rPr>
        <w:t>, were satisfactory even in worst-case events (</w:t>
      </w:r>
      <w:r w:rsidRPr="00A748CB">
        <w:rPr>
          <w:color w:val="7F7F7F" w:themeColor="text1" w:themeTint="80"/>
          <w:sz w:val="14"/>
          <w:szCs w:val="14"/>
        </w:rPr>
        <w:t>DP 2014, p.135, 8</w:t>
      </w:r>
      <w:r w:rsidRPr="00A748CB">
        <w:rPr>
          <w:sz w:val="14"/>
          <w:szCs w:val="14"/>
        </w:rPr>
        <w:t>).</w:t>
      </w:r>
    </w:p>
  </w:footnote>
  <w:footnote w:id="116">
    <w:p w14:paraId="5444C0AA" w14:textId="19C465A1" w:rsidR="00A61A74" w:rsidRPr="008649BD" w:rsidRDefault="00A61A74" w:rsidP="000F5D70">
      <w:pPr>
        <w:pStyle w:val="Textodenotaderodap"/>
        <w:rPr>
          <w:sz w:val="14"/>
          <w:szCs w:val="14"/>
        </w:rPr>
      </w:pPr>
      <w:r w:rsidRPr="008649BD">
        <w:rPr>
          <w:rStyle w:val="Refdenotaderodap"/>
          <w:sz w:val="14"/>
          <w:szCs w:val="14"/>
        </w:rPr>
        <w:footnoteRef/>
      </w:r>
      <w:r w:rsidRPr="008649BD">
        <w:rPr>
          <w:sz w:val="14"/>
          <w:szCs w:val="14"/>
        </w:rPr>
        <w:t xml:space="preserve"> for example: P1 was met through</w:t>
      </w:r>
      <w:r w:rsidRPr="008649BD">
        <w:rPr>
          <w:i/>
          <w:iCs/>
          <w:sz w:val="14"/>
          <w:szCs w:val="14"/>
        </w:rPr>
        <w:t xml:space="preserve"> paths</w:t>
      </w:r>
      <w:r w:rsidRPr="008649BD">
        <w:rPr>
          <w:sz w:val="14"/>
          <w:szCs w:val="14"/>
        </w:rPr>
        <w:t xml:space="preserve"> that connect short-term measures to long-term tasks; P2 is ensured </w:t>
      </w:r>
      <w:r w:rsidR="000F5D70" w:rsidRPr="008649BD">
        <w:rPr>
          <w:sz w:val="14"/>
          <w:szCs w:val="14"/>
        </w:rPr>
        <w:t>e.g.</w:t>
      </w:r>
      <w:r w:rsidRPr="008649BD">
        <w:rPr>
          <w:sz w:val="14"/>
          <w:szCs w:val="14"/>
        </w:rPr>
        <w:t xml:space="preserve"> / mainly by taking measures</w:t>
      </w:r>
      <w:r w:rsidRPr="008649BD">
        <w:rPr>
          <w:i/>
          <w:iCs/>
          <w:sz w:val="14"/>
          <w:szCs w:val="14"/>
        </w:rPr>
        <w:t xml:space="preserve"> step-by-step</w:t>
      </w:r>
      <w:r w:rsidRPr="008649BD">
        <w:rPr>
          <w:sz w:val="14"/>
          <w:szCs w:val="14"/>
        </w:rPr>
        <w:t xml:space="preserve"> and </w:t>
      </w:r>
      <w:r w:rsidRPr="008649BD">
        <w:rPr>
          <w:i/>
          <w:iCs/>
          <w:sz w:val="14"/>
          <w:szCs w:val="14"/>
        </w:rPr>
        <w:t>leaving options open</w:t>
      </w:r>
      <w:r w:rsidRPr="008649BD">
        <w:rPr>
          <w:sz w:val="14"/>
          <w:szCs w:val="14"/>
        </w:rPr>
        <w:t>; P3 reflects in the design of</w:t>
      </w:r>
      <w:r w:rsidRPr="008649BD">
        <w:rPr>
          <w:i/>
          <w:iCs/>
          <w:sz w:val="14"/>
          <w:szCs w:val="14"/>
        </w:rPr>
        <w:t xml:space="preserve"> adaptation paths</w:t>
      </w:r>
      <w:r w:rsidRPr="008649BD">
        <w:rPr>
          <w:sz w:val="14"/>
          <w:szCs w:val="14"/>
        </w:rPr>
        <w:t xml:space="preserve"> as part of each </w:t>
      </w:r>
      <w:r w:rsidRPr="008649BD">
        <w:rPr>
          <w:i/>
          <w:iCs/>
          <w:sz w:val="14"/>
          <w:szCs w:val="14"/>
        </w:rPr>
        <w:t xml:space="preserve">Preferential Strategy </w:t>
      </w:r>
      <w:r w:rsidRPr="008649BD">
        <w:rPr>
          <w:sz w:val="14"/>
          <w:szCs w:val="14"/>
        </w:rPr>
        <w:t xml:space="preserve">(a map of </w:t>
      </w:r>
      <w:r w:rsidRPr="008649BD">
        <w:rPr>
          <w:i/>
          <w:iCs/>
          <w:sz w:val="14"/>
          <w:szCs w:val="14"/>
        </w:rPr>
        <w:t>adaptation paths</w:t>
      </w:r>
      <w:r w:rsidRPr="008649BD">
        <w:rPr>
          <w:sz w:val="14"/>
          <w:szCs w:val="14"/>
        </w:rPr>
        <w:t xml:space="preserve"> was produced in each </w:t>
      </w:r>
      <w:r w:rsidRPr="008649BD">
        <w:rPr>
          <w:i/>
          <w:iCs/>
          <w:sz w:val="14"/>
          <w:szCs w:val="14"/>
        </w:rPr>
        <w:t>Preferential Strategy</w:t>
      </w:r>
      <w:r w:rsidRPr="008649BD">
        <w:rPr>
          <w:sz w:val="14"/>
          <w:szCs w:val="14"/>
        </w:rPr>
        <w:t xml:space="preserve">, indicating </w:t>
      </w:r>
      <w:r w:rsidRPr="008649BD">
        <w:rPr>
          <w:i/>
          <w:iCs/>
          <w:sz w:val="14"/>
          <w:szCs w:val="14"/>
        </w:rPr>
        <w:t xml:space="preserve">what </w:t>
      </w:r>
      <w:r w:rsidRPr="008649BD">
        <w:rPr>
          <w:sz w:val="14"/>
          <w:szCs w:val="14"/>
        </w:rPr>
        <w:t xml:space="preserve">and </w:t>
      </w:r>
      <w:r w:rsidRPr="008649BD">
        <w:rPr>
          <w:i/>
          <w:iCs/>
          <w:sz w:val="14"/>
          <w:szCs w:val="14"/>
        </w:rPr>
        <w:t xml:space="preserve">when </w:t>
      </w:r>
      <w:r w:rsidRPr="008649BD">
        <w:rPr>
          <w:sz w:val="14"/>
          <w:szCs w:val="14"/>
        </w:rPr>
        <w:t>measures are necessary; and, depending on actual developments, measures may be changed, switched, taken sooner or later) (</w:t>
      </w:r>
      <w:r w:rsidRPr="008649BD">
        <w:rPr>
          <w:color w:val="7F7F7F" w:themeColor="text1" w:themeTint="80"/>
          <w:sz w:val="14"/>
          <w:szCs w:val="14"/>
        </w:rPr>
        <w:t>DP 2014, p.47</w:t>
      </w:r>
      <w:r w:rsidRPr="008649BD">
        <w:rPr>
          <w:sz w:val="14"/>
          <w:szCs w:val="14"/>
        </w:rPr>
        <w:t>).</w:t>
      </w:r>
      <w:r w:rsidRPr="008649BD">
        <w:rPr>
          <w:sz w:val="14"/>
          <w:szCs w:val="14"/>
          <w:u w:val="single"/>
          <w:vertAlign w:val="superscript"/>
        </w:rPr>
        <w:t xml:space="preserve">  </w:t>
      </w:r>
    </w:p>
  </w:footnote>
  <w:footnote w:id="117">
    <w:p w14:paraId="473FBD41" w14:textId="2AA06E5B" w:rsidR="00BA2E52" w:rsidRPr="008649BD" w:rsidRDefault="00BA2E52" w:rsidP="00D52424">
      <w:pPr>
        <w:pStyle w:val="TEXTBODY"/>
        <w:spacing w:after="0" w:line="240" w:lineRule="auto"/>
        <w:rPr>
          <w:sz w:val="14"/>
          <w:szCs w:val="14"/>
        </w:rPr>
      </w:pPr>
      <w:r w:rsidRPr="008649BD">
        <w:rPr>
          <w:rStyle w:val="Refdenotaderodap"/>
          <w:sz w:val="14"/>
          <w:szCs w:val="14"/>
        </w:rPr>
        <w:footnoteRef/>
      </w:r>
      <w:r w:rsidRPr="008649BD">
        <w:rPr>
          <w:sz w:val="14"/>
          <w:szCs w:val="14"/>
        </w:rPr>
        <w:t xml:space="preserve"> As noted by </w:t>
      </w:r>
      <w:proofErr w:type="spellStart"/>
      <w:r w:rsidRPr="008649BD">
        <w:rPr>
          <w:color w:val="7F7F7F" w:themeColor="text1" w:themeTint="80"/>
          <w:sz w:val="14"/>
          <w:szCs w:val="14"/>
        </w:rPr>
        <w:t>Restemeyer</w:t>
      </w:r>
      <w:proofErr w:type="spellEnd"/>
      <w:r w:rsidRPr="008649BD">
        <w:rPr>
          <w:color w:val="7F7F7F" w:themeColor="text1" w:themeTint="80"/>
          <w:sz w:val="14"/>
          <w:szCs w:val="14"/>
        </w:rPr>
        <w:t xml:space="preserve"> et al. </w:t>
      </w:r>
      <w:r w:rsidRPr="008649BD">
        <w:rPr>
          <w:sz w:val="14"/>
          <w:szCs w:val="14"/>
        </w:rPr>
        <w:t>one of the main conditions for making a policy plan ‘</w:t>
      </w:r>
      <w:r w:rsidRPr="008649BD">
        <w:rPr>
          <w:i/>
          <w:iCs/>
          <w:sz w:val="14"/>
          <w:szCs w:val="14"/>
        </w:rPr>
        <w:t>adaptive</w:t>
      </w:r>
      <w:r w:rsidRPr="008649BD">
        <w:rPr>
          <w:sz w:val="14"/>
          <w:szCs w:val="14"/>
        </w:rPr>
        <w:t xml:space="preserve">’ is the elaboration of </w:t>
      </w:r>
      <w:r w:rsidRPr="008649BD">
        <w:rPr>
          <w:i/>
          <w:iCs/>
          <w:sz w:val="14"/>
          <w:szCs w:val="14"/>
        </w:rPr>
        <w:t xml:space="preserve">flexible </w:t>
      </w:r>
      <w:r w:rsidRPr="008649BD">
        <w:rPr>
          <w:sz w:val="14"/>
          <w:szCs w:val="14"/>
        </w:rPr>
        <w:t xml:space="preserve">strategies, </w:t>
      </w:r>
      <w:r w:rsidR="000F5D70" w:rsidRPr="008649BD">
        <w:rPr>
          <w:sz w:val="14"/>
          <w:szCs w:val="14"/>
        </w:rPr>
        <w:t>and</w:t>
      </w:r>
      <w:r w:rsidR="00D52424" w:rsidRPr="008649BD">
        <w:rPr>
          <w:sz w:val="14"/>
          <w:szCs w:val="14"/>
        </w:rPr>
        <w:t xml:space="preserve"> recent</w:t>
      </w:r>
      <w:r w:rsidR="000F5D70" w:rsidRPr="008649BD">
        <w:rPr>
          <w:sz w:val="14"/>
          <w:szCs w:val="14"/>
        </w:rPr>
        <w:t xml:space="preserve"> literature suggest</w:t>
      </w:r>
      <w:r w:rsidR="00D52424" w:rsidRPr="008649BD">
        <w:rPr>
          <w:sz w:val="14"/>
          <w:szCs w:val="14"/>
        </w:rPr>
        <w:t>s</w:t>
      </w:r>
      <w:r w:rsidR="000F5D70" w:rsidRPr="008649BD">
        <w:rPr>
          <w:sz w:val="14"/>
          <w:szCs w:val="14"/>
        </w:rPr>
        <w:t xml:space="preserve"> three interrelated tools to make long-term plans more adaptable - </w:t>
      </w:r>
      <w:r w:rsidRPr="008649BD">
        <w:rPr>
          <w:sz w:val="14"/>
          <w:szCs w:val="14"/>
        </w:rPr>
        <w:t>scenarios, tipping-points, and adaptation pathways (</w:t>
      </w:r>
      <w:proofErr w:type="spellStart"/>
      <w:r w:rsidRPr="008649BD">
        <w:rPr>
          <w:color w:val="7F7F7F" w:themeColor="text1" w:themeTint="80"/>
          <w:sz w:val="14"/>
          <w:szCs w:val="14"/>
        </w:rPr>
        <w:t>Restemeyer</w:t>
      </w:r>
      <w:proofErr w:type="spellEnd"/>
      <w:r w:rsidRPr="008649BD">
        <w:rPr>
          <w:color w:val="7F7F7F" w:themeColor="text1" w:themeTint="80"/>
          <w:sz w:val="14"/>
          <w:szCs w:val="14"/>
        </w:rPr>
        <w:t xml:space="preserve"> et al. 2017, p.</w:t>
      </w:r>
      <w:r w:rsidR="000F5D70" w:rsidRPr="008649BD">
        <w:rPr>
          <w:color w:val="7F7F7F" w:themeColor="text1" w:themeTint="80"/>
          <w:sz w:val="14"/>
          <w:szCs w:val="14"/>
        </w:rPr>
        <w:t xml:space="preserve">922, 923, </w:t>
      </w:r>
      <w:r w:rsidRPr="008649BD">
        <w:rPr>
          <w:color w:val="7F7F7F" w:themeColor="text1" w:themeTint="80"/>
          <w:sz w:val="14"/>
          <w:szCs w:val="14"/>
        </w:rPr>
        <w:t>935</w:t>
      </w:r>
      <w:r w:rsidRPr="008649BD">
        <w:rPr>
          <w:sz w:val="14"/>
          <w:szCs w:val="14"/>
        </w:rPr>
        <w:t xml:space="preserve">). </w:t>
      </w:r>
    </w:p>
  </w:footnote>
  <w:footnote w:id="118">
    <w:p w14:paraId="08D8CB9E" w14:textId="16DD37F5" w:rsidR="00380062" w:rsidRPr="00380062" w:rsidRDefault="00380062" w:rsidP="00380062">
      <w:pPr>
        <w:pStyle w:val="TEXTBODY"/>
        <w:spacing w:after="0" w:line="240" w:lineRule="auto"/>
        <w:rPr>
          <w:sz w:val="16"/>
          <w:szCs w:val="16"/>
        </w:rPr>
      </w:pPr>
      <w:r w:rsidRPr="008649BD">
        <w:rPr>
          <w:rStyle w:val="Refdenotaderodap"/>
          <w:sz w:val="14"/>
          <w:szCs w:val="14"/>
        </w:rPr>
        <w:footnoteRef/>
      </w:r>
      <w:r w:rsidRPr="008649BD">
        <w:rPr>
          <w:sz w:val="14"/>
          <w:szCs w:val="14"/>
        </w:rPr>
        <w:t xml:space="preserve"> </w:t>
      </w:r>
      <w:proofErr w:type="spellStart"/>
      <w:r w:rsidRPr="008649BD">
        <w:rPr>
          <w:color w:val="7F7F7F" w:themeColor="text1" w:themeTint="80"/>
          <w:sz w:val="14"/>
          <w:szCs w:val="14"/>
        </w:rPr>
        <w:t>Jeuken</w:t>
      </w:r>
      <w:proofErr w:type="spellEnd"/>
      <w:r w:rsidRPr="008649BD">
        <w:rPr>
          <w:color w:val="7F7F7F" w:themeColor="text1" w:themeTint="80"/>
          <w:sz w:val="14"/>
          <w:szCs w:val="14"/>
        </w:rPr>
        <w:t xml:space="preserve"> and Reeder </w:t>
      </w:r>
      <w:r w:rsidRPr="008649BD">
        <w:rPr>
          <w:sz w:val="14"/>
          <w:szCs w:val="14"/>
        </w:rPr>
        <w:t xml:space="preserve">note that a key element of the Adaptive Planning approach applied in the DP, i.e. of the ADM approach, was </w:t>
      </w:r>
      <w:r w:rsidRPr="008649BD">
        <w:rPr>
          <w:i/>
          <w:iCs/>
          <w:sz w:val="14"/>
          <w:szCs w:val="14"/>
        </w:rPr>
        <w:t>finding flexible strategies (that do not block further adaptation measures when necessary)</w:t>
      </w:r>
      <w:r w:rsidRPr="008649BD">
        <w:rPr>
          <w:sz w:val="14"/>
          <w:szCs w:val="14"/>
        </w:rPr>
        <w:t xml:space="preserve">, and </w:t>
      </w:r>
      <w:r w:rsidRPr="008649BD">
        <w:rPr>
          <w:i/>
          <w:iCs/>
          <w:sz w:val="14"/>
          <w:szCs w:val="14"/>
        </w:rPr>
        <w:t xml:space="preserve">avoiding irreversible investments as much as possible </w:t>
      </w:r>
      <w:r w:rsidRPr="008649BD">
        <w:rPr>
          <w:sz w:val="14"/>
          <w:szCs w:val="14"/>
        </w:rPr>
        <w:t>(</w:t>
      </w:r>
      <w:proofErr w:type="spellStart"/>
      <w:r w:rsidRPr="008649BD">
        <w:rPr>
          <w:color w:val="7F7F7F" w:themeColor="text1" w:themeTint="80"/>
          <w:sz w:val="14"/>
          <w:szCs w:val="14"/>
        </w:rPr>
        <w:t>Jeuken</w:t>
      </w:r>
      <w:proofErr w:type="spellEnd"/>
      <w:r w:rsidRPr="008649BD">
        <w:rPr>
          <w:color w:val="7F7F7F" w:themeColor="text1" w:themeTint="80"/>
          <w:sz w:val="14"/>
          <w:szCs w:val="14"/>
        </w:rPr>
        <w:t xml:space="preserve"> and Reeder 2011, p.2-3</w:t>
      </w:r>
      <w:r w:rsidRPr="008649BD">
        <w:rPr>
          <w:sz w:val="14"/>
          <w:szCs w:val="14"/>
        </w:rPr>
        <w:t>), by using the ‘APs approach’</w:t>
      </w:r>
      <w:r w:rsidRPr="00A748CB">
        <w:rPr>
          <w:sz w:val="16"/>
          <w:szCs w:val="16"/>
        </w:rPr>
        <w:t>.</w:t>
      </w:r>
      <w:r w:rsidRPr="00380062">
        <w:rPr>
          <w:sz w:val="16"/>
          <w:szCs w:val="16"/>
        </w:rPr>
        <w:t xml:space="preserve"> </w:t>
      </w:r>
    </w:p>
  </w:footnote>
  <w:footnote w:id="119">
    <w:p w14:paraId="4E701804" w14:textId="1EF8034E" w:rsidR="00033E5F" w:rsidRPr="00033E5F" w:rsidRDefault="00033E5F" w:rsidP="00AD6F08">
      <w:pPr>
        <w:pStyle w:val="Textodenotaderodap"/>
      </w:pPr>
      <w:r w:rsidRPr="00AD6F08">
        <w:rPr>
          <w:rStyle w:val="Refdenotaderodap"/>
          <w:sz w:val="14"/>
          <w:szCs w:val="14"/>
        </w:rPr>
        <w:footnoteRef/>
      </w:r>
      <w:r w:rsidRPr="00AD6F08">
        <w:rPr>
          <w:sz w:val="14"/>
          <w:szCs w:val="14"/>
        </w:rPr>
        <w:t xml:space="preserve"> </w:t>
      </w:r>
      <w:r w:rsidRPr="00A748CB">
        <w:rPr>
          <w:sz w:val="14"/>
          <w:szCs w:val="14"/>
        </w:rPr>
        <w:t>As the seriousness and timing of CC are uncertain, the DP decided (in 2011) that it would create a monitoring system to provide early signals of CC and detect thresholds / tipping-points (</w:t>
      </w:r>
      <w:r w:rsidRPr="00AD6F08">
        <w:rPr>
          <w:color w:val="7F7F7F" w:themeColor="text1" w:themeTint="80"/>
          <w:sz w:val="14"/>
          <w:szCs w:val="14"/>
        </w:rPr>
        <w:t>Werners et al. 2016</w:t>
      </w:r>
      <w:r w:rsidRPr="00AD6F08">
        <w:rPr>
          <w:sz w:val="14"/>
          <w:szCs w:val="14"/>
        </w:rPr>
        <w:t>).</w:t>
      </w:r>
    </w:p>
  </w:footnote>
  <w:footnote w:id="120">
    <w:p w14:paraId="7550E0E2" w14:textId="77777777" w:rsidR="00E21F28" w:rsidRPr="000A40A4" w:rsidRDefault="00E21F28" w:rsidP="00E21F28">
      <w:pPr>
        <w:pStyle w:val="TEXTBODY"/>
        <w:spacing w:after="0" w:line="240" w:lineRule="auto"/>
        <w:rPr>
          <w:sz w:val="14"/>
          <w:szCs w:val="14"/>
        </w:rPr>
      </w:pPr>
      <w:r w:rsidRPr="000A40A4">
        <w:rPr>
          <w:rStyle w:val="Refdenotaderodap"/>
          <w:sz w:val="14"/>
          <w:szCs w:val="14"/>
        </w:rPr>
        <w:footnoteRef/>
      </w:r>
      <w:r w:rsidRPr="000A40A4">
        <w:rPr>
          <w:sz w:val="14"/>
          <w:szCs w:val="14"/>
        </w:rPr>
        <w:t xml:space="preserve"> Importantly, although the DP operates in </w:t>
      </w:r>
      <w:r w:rsidRPr="000A40A4">
        <w:rPr>
          <w:i/>
          <w:iCs/>
          <w:sz w:val="14"/>
          <w:szCs w:val="14"/>
        </w:rPr>
        <w:t>a dynamic environment</w:t>
      </w:r>
      <w:r w:rsidRPr="000A40A4">
        <w:rPr>
          <w:sz w:val="14"/>
          <w:szCs w:val="14"/>
        </w:rPr>
        <w:t>, with</w:t>
      </w:r>
      <w:r w:rsidRPr="000A40A4">
        <w:rPr>
          <w:i/>
          <w:iCs/>
          <w:sz w:val="14"/>
          <w:szCs w:val="14"/>
        </w:rPr>
        <w:t xml:space="preserve"> </w:t>
      </w:r>
      <w:r w:rsidRPr="000A40A4">
        <w:rPr>
          <w:sz w:val="14"/>
          <w:szCs w:val="14"/>
        </w:rPr>
        <w:t xml:space="preserve">ongoing developments, a </w:t>
      </w:r>
      <w:r w:rsidRPr="000A40A4">
        <w:rPr>
          <w:i/>
          <w:iCs/>
          <w:sz w:val="14"/>
          <w:szCs w:val="14"/>
        </w:rPr>
        <w:t>continuous adaptation of all the strategies to those developments is neither feasible nor necessary</w:t>
      </w:r>
      <w:r w:rsidRPr="000A40A4">
        <w:rPr>
          <w:sz w:val="14"/>
          <w:szCs w:val="14"/>
        </w:rPr>
        <w:t xml:space="preserve">, and this implies finding an appropriate </w:t>
      </w:r>
      <w:r w:rsidRPr="000A40A4">
        <w:rPr>
          <w:i/>
          <w:iCs/>
          <w:sz w:val="14"/>
          <w:szCs w:val="14"/>
        </w:rPr>
        <w:t xml:space="preserve">rhythmicity for the adaptation of strategies and plans </w:t>
      </w:r>
      <w:r w:rsidRPr="000A40A4">
        <w:rPr>
          <w:rFonts w:cs="Arial"/>
          <w:bCs/>
          <w:sz w:val="14"/>
          <w:szCs w:val="14"/>
        </w:rPr>
        <w:t>(</w:t>
      </w:r>
      <w:r w:rsidRPr="000A40A4">
        <w:rPr>
          <w:rFonts w:cs="Arial"/>
          <w:bCs/>
          <w:color w:val="7F7F7F" w:themeColor="text1" w:themeTint="80"/>
          <w:sz w:val="14"/>
          <w:szCs w:val="14"/>
        </w:rPr>
        <w:t>DP 2016, p.61</w:t>
      </w:r>
      <w:r w:rsidRPr="000A40A4">
        <w:rPr>
          <w:rFonts w:cs="Arial"/>
          <w:bCs/>
          <w:sz w:val="14"/>
          <w:szCs w:val="14"/>
        </w:rPr>
        <w:t>).</w:t>
      </w:r>
      <w:r w:rsidRPr="000A40A4">
        <w:rPr>
          <w:sz w:val="14"/>
          <w:szCs w:val="14"/>
        </w:rPr>
        <w:t xml:space="preserve"> </w:t>
      </w:r>
    </w:p>
  </w:footnote>
  <w:footnote w:id="121">
    <w:p w14:paraId="3AD02ECB" w14:textId="0A0E9F0F" w:rsidR="00E21F28" w:rsidRPr="000A40A4" w:rsidRDefault="00E21F28" w:rsidP="00E21F28">
      <w:pPr>
        <w:pStyle w:val="Textodenotaderodap"/>
        <w:rPr>
          <w:sz w:val="14"/>
          <w:szCs w:val="14"/>
        </w:rPr>
      </w:pPr>
      <w:r w:rsidRPr="000A40A4">
        <w:rPr>
          <w:rStyle w:val="Refdenotaderodap"/>
          <w:sz w:val="14"/>
          <w:szCs w:val="14"/>
        </w:rPr>
        <w:footnoteRef/>
      </w:r>
      <w:r w:rsidRPr="000A40A4">
        <w:rPr>
          <w:sz w:val="14"/>
          <w:szCs w:val="14"/>
        </w:rPr>
        <w:t xml:space="preserve"> </w:t>
      </w:r>
      <w:r w:rsidRPr="000A40A4">
        <w:rPr>
          <w:rFonts w:cs="Arial"/>
          <w:sz w:val="14"/>
          <w:szCs w:val="14"/>
        </w:rPr>
        <w:t>The results of the 1</w:t>
      </w:r>
      <w:r w:rsidRPr="000A40A4">
        <w:rPr>
          <w:rFonts w:cs="Arial"/>
          <w:sz w:val="14"/>
          <w:szCs w:val="14"/>
          <w:vertAlign w:val="superscript"/>
        </w:rPr>
        <w:t>st</w:t>
      </w:r>
      <w:r w:rsidRPr="000A40A4">
        <w:rPr>
          <w:rFonts w:cs="Arial"/>
          <w:sz w:val="14"/>
          <w:szCs w:val="14"/>
        </w:rPr>
        <w:t xml:space="preserve"> review were expected to be published in DP 2020</w:t>
      </w:r>
      <w:r w:rsidR="00A225CE" w:rsidRPr="000A40A4">
        <w:rPr>
          <w:rFonts w:cs="Arial"/>
          <w:sz w:val="14"/>
          <w:szCs w:val="14"/>
        </w:rPr>
        <w:t xml:space="preserve"> (for 2021</w:t>
      </w:r>
      <w:proofErr w:type="gramStart"/>
      <w:r w:rsidR="00A225CE" w:rsidRPr="000A40A4">
        <w:rPr>
          <w:rFonts w:cs="Arial"/>
          <w:sz w:val="14"/>
          <w:szCs w:val="14"/>
        </w:rPr>
        <w:t>)</w:t>
      </w:r>
      <w:r w:rsidRPr="000A40A4">
        <w:rPr>
          <w:rFonts w:cs="Arial"/>
          <w:sz w:val="14"/>
          <w:szCs w:val="14"/>
        </w:rPr>
        <w:t>, and</w:t>
      </w:r>
      <w:proofErr w:type="gramEnd"/>
      <w:r w:rsidRPr="000A40A4">
        <w:rPr>
          <w:rFonts w:cs="Arial"/>
          <w:sz w:val="14"/>
          <w:szCs w:val="14"/>
        </w:rPr>
        <w:t xml:space="preserve"> explain to which extent the goals set out in DP2014 are being achieved in time (</w:t>
      </w:r>
      <w:r w:rsidRPr="000A40A4">
        <w:rPr>
          <w:rFonts w:cs="Arial"/>
          <w:color w:val="7F7F7F" w:themeColor="text1" w:themeTint="80"/>
          <w:sz w:val="14"/>
          <w:szCs w:val="14"/>
        </w:rPr>
        <w:t>DP 2018, p.22</w:t>
      </w:r>
      <w:r w:rsidRPr="000A40A4">
        <w:rPr>
          <w:rFonts w:cs="Arial"/>
          <w:sz w:val="14"/>
          <w:szCs w:val="14"/>
        </w:rPr>
        <w:t>).</w:t>
      </w:r>
    </w:p>
  </w:footnote>
  <w:footnote w:id="122">
    <w:p w14:paraId="319561B4" w14:textId="77777777" w:rsidR="00C178BC" w:rsidRPr="00C34F71" w:rsidRDefault="00C178BC" w:rsidP="00C178BC">
      <w:pPr>
        <w:pStyle w:val="Textodenotaderodap"/>
      </w:pPr>
      <w:r w:rsidRPr="000A40A4">
        <w:rPr>
          <w:rStyle w:val="Refdenotaderodap"/>
          <w:sz w:val="14"/>
          <w:szCs w:val="14"/>
        </w:rPr>
        <w:footnoteRef/>
      </w:r>
      <w:r w:rsidRPr="000A40A4">
        <w:rPr>
          <w:sz w:val="14"/>
          <w:szCs w:val="14"/>
        </w:rPr>
        <w:t xml:space="preserve"> Importantly, prior to the MAA system, there was already a monitoring system for evaluating national water policies (</w:t>
      </w:r>
      <w:proofErr w:type="spellStart"/>
      <w:r w:rsidRPr="000A40A4">
        <w:rPr>
          <w:color w:val="7F7F7F" w:themeColor="text1" w:themeTint="80"/>
          <w:sz w:val="14"/>
          <w:szCs w:val="14"/>
        </w:rPr>
        <w:t>Jeuken</w:t>
      </w:r>
      <w:proofErr w:type="spellEnd"/>
      <w:r w:rsidRPr="000A40A4">
        <w:rPr>
          <w:color w:val="7F7F7F" w:themeColor="text1" w:themeTint="80"/>
          <w:sz w:val="14"/>
          <w:szCs w:val="14"/>
        </w:rPr>
        <w:t xml:space="preserve"> et al. 2014, p.22</w:t>
      </w:r>
      <w:r w:rsidRPr="000A40A4">
        <w:rPr>
          <w:sz w:val="14"/>
          <w:szCs w:val="14"/>
        </w:rPr>
        <w:t xml:space="preserve">). Moreover, the law already defined that the condition of dykes and dunes must be checked every 6 years against projected water levels, storm surge conditions and predefined criteria (e.g. on the strength and height required). If dykes and dunes fail to meet these criteria, they must be improved considering the necessary robustness for the next 50 years. In the coast, </w:t>
      </w:r>
      <w:proofErr w:type="gramStart"/>
      <w:r w:rsidRPr="000A40A4">
        <w:rPr>
          <w:sz w:val="14"/>
          <w:szCs w:val="14"/>
        </w:rPr>
        <w:t>more or less sand</w:t>
      </w:r>
      <w:proofErr w:type="gramEnd"/>
      <w:r w:rsidRPr="000A40A4">
        <w:rPr>
          <w:sz w:val="14"/>
          <w:szCs w:val="14"/>
        </w:rPr>
        <w:t xml:space="preserve"> must be nourished depending on the results of monitoring of the coastline position. In this case, thresholds are ‘a moving target’: they can vary over time depending on several aspects (claims on space available, public acceptance of measures, costs, non-quantifiable aspects) (</w:t>
      </w:r>
      <w:proofErr w:type="spellStart"/>
      <w:r w:rsidRPr="000A40A4">
        <w:rPr>
          <w:color w:val="7F7F7F" w:themeColor="text1" w:themeTint="80"/>
          <w:sz w:val="14"/>
          <w:szCs w:val="14"/>
        </w:rPr>
        <w:t>Jeuken</w:t>
      </w:r>
      <w:proofErr w:type="spellEnd"/>
      <w:r w:rsidRPr="000A40A4">
        <w:rPr>
          <w:color w:val="7F7F7F" w:themeColor="text1" w:themeTint="80"/>
          <w:sz w:val="14"/>
          <w:szCs w:val="14"/>
        </w:rPr>
        <w:t xml:space="preserve"> and Reeder 2011, p.8</w:t>
      </w:r>
      <w:r w:rsidRPr="000A40A4">
        <w:rPr>
          <w:sz w:val="14"/>
          <w:szCs w:val="14"/>
        </w:rPr>
        <w:t xml:space="preserve">).   </w:t>
      </w:r>
    </w:p>
  </w:footnote>
  <w:footnote w:id="123">
    <w:p w14:paraId="1B7A62A5" w14:textId="0FE3D6AB" w:rsidR="00B82D0E" w:rsidRPr="000A40A4" w:rsidRDefault="00B82D0E">
      <w:pPr>
        <w:pStyle w:val="Textodenotaderodap"/>
        <w:rPr>
          <w:sz w:val="14"/>
          <w:szCs w:val="14"/>
        </w:rPr>
      </w:pPr>
      <w:r w:rsidRPr="000A40A4">
        <w:rPr>
          <w:rStyle w:val="Refdenotaderodap"/>
          <w:sz w:val="14"/>
          <w:szCs w:val="14"/>
        </w:rPr>
        <w:footnoteRef/>
      </w:r>
      <w:r w:rsidRPr="000A40A4">
        <w:rPr>
          <w:sz w:val="14"/>
          <w:szCs w:val="14"/>
        </w:rPr>
        <w:t xml:space="preserve"> ADM differs from the traditional Adaptive Management. The scientific basis of ADM lies in </w:t>
      </w:r>
      <w:r w:rsidRPr="000A40A4">
        <w:rPr>
          <w:i/>
          <w:iCs/>
          <w:sz w:val="14"/>
          <w:szCs w:val="14"/>
        </w:rPr>
        <w:t>Adaptive Planning</w:t>
      </w:r>
      <w:r w:rsidRPr="000A40A4">
        <w:rPr>
          <w:sz w:val="14"/>
          <w:szCs w:val="14"/>
        </w:rPr>
        <w:t xml:space="preserve"> (</w:t>
      </w:r>
      <w:proofErr w:type="spellStart"/>
      <w:r w:rsidRPr="000A40A4">
        <w:rPr>
          <w:color w:val="7F7F7F" w:themeColor="text1" w:themeTint="80"/>
          <w:sz w:val="14"/>
          <w:szCs w:val="14"/>
        </w:rPr>
        <w:t>Kwakkel</w:t>
      </w:r>
      <w:proofErr w:type="spellEnd"/>
      <w:r w:rsidRPr="000A40A4">
        <w:rPr>
          <w:color w:val="7F7F7F" w:themeColor="text1" w:themeTint="80"/>
          <w:sz w:val="14"/>
          <w:szCs w:val="14"/>
        </w:rPr>
        <w:t xml:space="preserve"> et al. 2012; Ranger et al. 2013</w:t>
      </w:r>
      <w:r w:rsidRPr="000A40A4">
        <w:rPr>
          <w:sz w:val="14"/>
          <w:szCs w:val="14"/>
        </w:rPr>
        <w:t>), namely in Adaptation Pathways and Adaptation Tipping-Points (</w:t>
      </w:r>
      <w:r w:rsidRPr="000A40A4">
        <w:rPr>
          <w:color w:val="7F7F7F" w:themeColor="text1" w:themeTint="80"/>
          <w:sz w:val="14"/>
          <w:szCs w:val="14"/>
        </w:rPr>
        <w:t>Werners et al. 2016; DP 2011, p.48,70</w:t>
      </w:r>
      <w:r w:rsidRPr="000A40A4">
        <w:rPr>
          <w:sz w:val="14"/>
          <w:szCs w:val="14"/>
        </w:rPr>
        <w:t xml:space="preserve">). </w:t>
      </w:r>
    </w:p>
    <w:p w14:paraId="75AA646E" w14:textId="106662BF" w:rsidR="00B82D0E" w:rsidRPr="000A40A4" w:rsidRDefault="00B82D0E" w:rsidP="00B82D0E">
      <w:pPr>
        <w:autoSpaceDE w:val="0"/>
        <w:autoSpaceDN w:val="0"/>
        <w:adjustRightInd w:val="0"/>
        <w:spacing w:after="0" w:line="240" w:lineRule="auto"/>
        <w:jc w:val="left"/>
        <w:rPr>
          <w:rFonts w:ascii="Times New Roman" w:eastAsiaTheme="minorHAnsi" w:hAnsi="Times New Roman"/>
          <w:color w:val="000000"/>
          <w:sz w:val="14"/>
          <w:szCs w:val="14"/>
          <w:lang w:val="en-US" w:eastAsia="en-US"/>
        </w:rPr>
      </w:pPr>
      <w:r w:rsidRPr="000A40A4">
        <w:rPr>
          <w:rFonts w:ascii="Times New Roman" w:eastAsiaTheme="minorHAnsi" w:hAnsi="Times New Roman"/>
          <w:color w:val="000000"/>
          <w:sz w:val="14"/>
          <w:szCs w:val="14"/>
          <w:lang w:val="en-US" w:eastAsia="en-US"/>
        </w:rPr>
        <w:t xml:space="preserve">The new ‘adaptive delta planning’ mentioned by the DP Commissioner in 2010 (later renamed as </w:t>
      </w:r>
      <w:r w:rsidRPr="000A40A4">
        <w:rPr>
          <w:rFonts w:ascii="Times New Roman" w:eastAsiaTheme="minorHAnsi" w:hAnsi="Times New Roman"/>
          <w:i/>
          <w:iCs/>
          <w:color w:val="000000"/>
          <w:sz w:val="14"/>
          <w:szCs w:val="14"/>
          <w:lang w:val="en-US" w:eastAsia="en-US"/>
        </w:rPr>
        <w:t>Adaptive Delta Management</w:t>
      </w:r>
      <w:r w:rsidRPr="000A40A4">
        <w:rPr>
          <w:rFonts w:ascii="Times New Roman" w:eastAsiaTheme="minorHAnsi" w:hAnsi="Times New Roman"/>
          <w:color w:val="000000"/>
          <w:sz w:val="14"/>
          <w:szCs w:val="14"/>
          <w:lang w:val="en-US" w:eastAsia="en-US"/>
        </w:rPr>
        <w:t xml:space="preserve">) corresponds well with the </w:t>
      </w:r>
      <w:r w:rsidRPr="000A40A4">
        <w:rPr>
          <w:rFonts w:ascii="Times New Roman" w:eastAsiaTheme="minorHAnsi" w:hAnsi="Times New Roman"/>
          <w:i/>
          <w:iCs/>
          <w:color w:val="000000"/>
          <w:sz w:val="14"/>
          <w:szCs w:val="14"/>
          <w:lang w:val="en-US" w:eastAsia="en-US"/>
        </w:rPr>
        <w:t>Dynamic Adaptive Policy Pathways approach</w:t>
      </w:r>
      <w:r w:rsidRPr="000A40A4">
        <w:rPr>
          <w:rFonts w:ascii="Times New Roman" w:eastAsiaTheme="minorHAnsi" w:hAnsi="Times New Roman"/>
          <w:color w:val="000000"/>
          <w:sz w:val="14"/>
          <w:szCs w:val="14"/>
          <w:lang w:val="en-US" w:eastAsia="en-US"/>
        </w:rPr>
        <w:t xml:space="preserve"> (DAPP) presented by </w:t>
      </w:r>
      <w:proofErr w:type="spellStart"/>
      <w:r w:rsidRPr="000A40A4">
        <w:rPr>
          <w:rFonts w:ascii="Times New Roman" w:eastAsiaTheme="minorHAnsi" w:hAnsi="Times New Roman"/>
          <w:color w:val="7F7F7F" w:themeColor="text1" w:themeTint="80"/>
          <w:sz w:val="14"/>
          <w:szCs w:val="14"/>
          <w:lang w:val="en-US" w:eastAsia="en-US"/>
        </w:rPr>
        <w:t>Haasnoot</w:t>
      </w:r>
      <w:proofErr w:type="spellEnd"/>
      <w:r w:rsidRPr="000A40A4">
        <w:rPr>
          <w:rFonts w:ascii="Times New Roman" w:eastAsiaTheme="minorHAnsi" w:hAnsi="Times New Roman"/>
          <w:color w:val="7F7F7F" w:themeColor="text1" w:themeTint="80"/>
          <w:sz w:val="14"/>
          <w:szCs w:val="14"/>
          <w:lang w:val="en-US" w:eastAsia="en-US"/>
        </w:rPr>
        <w:t xml:space="preserve"> et al. (2013); </w:t>
      </w:r>
      <w:r w:rsidRPr="000A40A4">
        <w:rPr>
          <w:rFonts w:ascii="Times New Roman" w:eastAsiaTheme="minorHAnsi" w:hAnsi="Times New Roman"/>
          <w:color w:val="000000"/>
          <w:sz w:val="14"/>
          <w:szCs w:val="14"/>
          <w:lang w:val="en-US" w:eastAsia="en-US"/>
        </w:rPr>
        <w:t>and the DP offered a study-case to test the applicability of the DAPP (</w:t>
      </w:r>
      <w:proofErr w:type="spellStart"/>
      <w:r w:rsidRPr="000A40A4">
        <w:rPr>
          <w:rFonts w:ascii="Times New Roman" w:eastAsiaTheme="minorHAnsi" w:hAnsi="Times New Roman"/>
          <w:color w:val="7F7F7F" w:themeColor="text1" w:themeTint="80"/>
          <w:sz w:val="14"/>
          <w:szCs w:val="14"/>
          <w:lang w:val="en-US" w:eastAsia="en-US"/>
        </w:rPr>
        <w:t>Haasnoot</w:t>
      </w:r>
      <w:proofErr w:type="spellEnd"/>
      <w:r w:rsidRPr="000A40A4">
        <w:rPr>
          <w:rFonts w:ascii="Times New Roman" w:eastAsiaTheme="minorHAnsi" w:hAnsi="Times New Roman"/>
          <w:color w:val="7F7F7F" w:themeColor="text1" w:themeTint="80"/>
          <w:sz w:val="14"/>
          <w:szCs w:val="14"/>
          <w:lang w:val="en-US" w:eastAsia="en-US"/>
        </w:rPr>
        <w:t xml:space="preserve"> et al. 2013, p.490</w:t>
      </w:r>
      <w:r w:rsidRPr="000A40A4">
        <w:rPr>
          <w:rFonts w:ascii="Times New Roman" w:eastAsiaTheme="minorHAnsi" w:hAnsi="Times New Roman"/>
          <w:color w:val="000000"/>
          <w:sz w:val="14"/>
          <w:szCs w:val="14"/>
          <w:lang w:val="en-US" w:eastAsia="en-US"/>
        </w:rPr>
        <w:t xml:space="preserve">). ADM is based on, and similar to, DAPP (which builds on </w:t>
      </w:r>
      <w:r w:rsidRPr="000A40A4">
        <w:rPr>
          <w:rFonts w:ascii="Times New Roman" w:eastAsiaTheme="minorHAnsi" w:hAnsi="Times New Roman"/>
          <w:i/>
          <w:iCs/>
          <w:color w:val="000000"/>
          <w:sz w:val="14"/>
          <w:szCs w:val="14"/>
          <w:lang w:val="en-US" w:eastAsia="en-US"/>
        </w:rPr>
        <w:t>Adaptive Policymaking</w:t>
      </w:r>
      <w:r w:rsidRPr="000A40A4">
        <w:rPr>
          <w:rFonts w:ascii="Times New Roman" w:eastAsiaTheme="minorHAnsi" w:hAnsi="Times New Roman"/>
          <w:color w:val="000000"/>
          <w:sz w:val="14"/>
          <w:szCs w:val="14"/>
          <w:lang w:val="en-US" w:eastAsia="en-US"/>
        </w:rPr>
        <w:t xml:space="preserve"> (APM) and </w:t>
      </w:r>
      <w:r w:rsidRPr="000A40A4">
        <w:rPr>
          <w:rFonts w:ascii="Times New Roman" w:eastAsiaTheme="minorHAnsi" w:hAnsi="Times New Roman"/>
          <w:i/>
          <w:iCs/>
          <w:color w:val="000000"/>
          <w:sz w:val="14"/>
          <w:szCs w:val="14"/>
          <w:lang w:val="en-US" w:eastAsia="en-US"/>
        </w:rPr>
        <w:t>Adaptation Pathways</w:t>
      </w:r>
      <w:r w:rsidRPr="000A40A4">
        <w:rPr>
          <w:rFonts w:ascii="Times New Roman" w:eastAsiaTheme="minorHAnsi" w:hAnsi="Times New Roman"/>
          <w:color w:val="000000"/>
          <w:sz w:val="14"/>
          <w:szCs w:val="14"/>
          <w:lang w:val="en-US" w:eastAsia="en-US"/>
        </w:rPr>
        <w:t xml:space="preserve"> (APs), however, it was developed in the policy context of the DP (</w:t>
      </w:r>
      <w:proofErr w:type="spellStart"/>
      <w:r w:rsidRPr="000A40A4">
        <w:rPr>
          <w:rFonts w:ascii="Times New Roman" w:eastAsiaTheme="minorHAnsi" w:hAnsi="Times New Roman"/>
          <w:color w:val="7F7F7F" w:themeColor="text1" w:themeTint="80"/>
          <w:sz w:val="14"/>
          <w:szCs w:val="14"/>
          <w:lang w:val="en-US" w:eastAsia="en-US"/>
        </w:rPr>
        <w:t>Gersonius</w:t>
      </w:r>
      <w:proofErr w:type="spellEnd"/>
      <w:r w:rsidRPr="000A40A4">
        <w:rPr>
          <w:rFonts w:ascii="Times New Roman" w:eastAsiaTheme="minorHAnsi" w:hAnsi="Times New Roman"/>
          <w:color w:val="7F7F7F" w:themeColor="text1" w:themeTint="80"/>
          <w:sz w:val="14"/>
          <w:szCs w:val="14"/>
          <w:lang w:val="en-US" w:eastAsia="en-US"/>
        </w:rPr>
        <w:t xml:space="preserve"> et al. 2016, Buuren et al. 2016</w:t>
      </w:r>
      <w:r w:rsidRPr="000A40A4">
        <w:rPr>
          <w:rFonts w:ascii="Times New Roman" w:eastAsiaTheme="minorHAnsi" w:hAnsi="Times New Roman"/>
          <w:color w:val="000000"/>
          <w:sz w:val="14"/>
          <w:szCs w:val="14"/>
          <w:lang w:val="en-US" w:eastAsia="en-US"/>
        </w:rPr>
        <w:t xml:space="preserve">); the scientific basis for ADM also lies in the concepts of </w:t>
      </w:r>
      <w:r w:rsidRPr="000A40A4">
        <w:rPr>
          <w:rFonts w:ascii="Times New Roman" w:eastAsiaTheme="minorHAnsi" w:hAnsi="Times New Roman"/>
          <w:i/>
          <w:iCs/>
          <w:color w:val="000000"/>
          <w:sz w:val="14"/>
          <w:szCs w:val="14"/>
          <w:lang w:val="en-US" w:eastAsia="en-US"/>
        </w:rPr>
        <w:t>Adaptive Planning</w:t>
      </w:r>
      <w:r w:rsidRPr="000A40A4">
        <w:rPr>
          <w:rFonts w:ascii="Times New Roman" w:eastAsiaTheme="minorHAnsi" w:hAnsi="Times New Roman"/>
          <w:color w:val="000000"/>
          <w:sz w:val="14"/>
          <w:szCs w:val="14"/>
          <w:lang w:val="en-US" w:eastAsia="en-US"/>
        </w:rPr>
        <w:t xml:space="preserve"> (</w:t>
      </w:r>
      <w:proofErr w:type="spellStart"/>
      <w:r w:rsidRPr="000A40A4">
        <w:rPr>
          <w:rFonts w:ascii="Times New Roman" w:eastAsiaTheme="minorHAnsi" w:hAnsi="Times New Roman"/>
          <w:color w:val="7F7F7F" w:themeColor="text1" w:themeTint="80"/>
          <w:sz w:val="14"/>
          <w:szCs w:val="14"/>
          <w:lang w:val="en-US" w:eastAsia="en-US"/>
        </w:rPr>
        <w:t>Kwakkel</w:t>
      </w:r>
      <w:proofErr w:type="spellEnd"/>
      <w:r w:rsidRPr="000A40A4">
        <w:rPr>
          <w:rFonts w:ascii="Times New Roman" w:eastAsiaTheme="minorHAnsi" w:hAnsi="Times New Roman"/>
          <w:color w:val="7F7F7F" w:themeColor="text1" w:themeTint="80"/>
          <w:sz w:val="14"/>
          <w:szCs w:val="14"/>
          <w:lang w:val="en-US" w:eastAsia="en-US"/>
        </w:rPr>
        <w:t xml:space="preserve"> et al. 2012; Ranger et al. 2013</w:t>
      </w:r>
      <w:r w:rsidRPr="000A40A4">
        <w:rPr>
          <w:rFonts w:ascii="Times New Roman" w:eastAsiaTheme="minorHAnsi" w:hAnsi="Times New Roman"/>
          <w:color w:val="000000"/>
          <w:sz w:val="14"/>
          <w:szCs w:val="14"/>
          <w:lang w:val="en-US" w:eastAsia="en-US"/>
        </w:rPr>
        <w:t xml:space="preserve">) and </w:t>
      </w:r>
      <w:r w:rsidRPr="000A40A4">
        <w:rPr>
          <w:rFonts w:ascii="Times New Roman" w:eastAsiaTheme="minorHAnsi" w:hAnsi="Times New Roman"/>
          <w:i/>
          <w:iCs/>
          <w:color w:val="000000"/>
          <w:sz w:val="14"/>
          <w:szCs w:val="14"/>
          <w:lang w:val="en-US" w:eastAsia="en-US"/>
        </w:rPr>
        <w:t>Adaptation Tipping-Points</w:t>
      </w:r>
      <w:r w:rsidRPr="000A40A4">
        <w:rPr>
          <w:rFonts w:ascii="Times New Roman" w:eastAsiaTheme="minorHAnsi" w:hAnsi="Times New Roman"/>
          <w:color w:val="000000"/>
          <w:sz w:val="14"/>
          <w:szCs w:val="14"/>
          <w:lang w:val="en-US" w:eastAsia="en-US"/>
        </w:rPr>
        <w:t xml:space="preserve"> (ATPs) (</w:t>
      </w:r>
      <w:proofErr w:type="spellStart"/>
      <w:r w:rsidRPr="000A40A4">
        <w:rPr>
          <w:rFonts w:ascii="Times New Roman" w:eastAsiaTheme="minorHAnsi" w:hAnsi="Times New Roman"/>
          <w:color w:val="7F7F7F" w:themeColor="text1" w:themeTint="80"/>
          <w:sz w:val="14"/>
          <w:szCs w:val="14"/>
          <w:lang w:val="en-US" w:eastAsia="en-US"/>
        </w:rPr>
        <w:t>Kwadijk</w:t>
      </w:r>
      <w:proofErr w:type="spellEnd"/>
      <w:r w:rsidRPr="000A40A4">
        <w:rPr>
          <w:rFonts w:ascii="Times New Roman" w:eastAsiaTheme="minorHAnsi" w:hAnsi="Times New Roman"/>
          <w:color w:val="7F7F7F" w:themeColor="text1" w:themeTint="80"/>
          <w:sz w:val="14"/>
          <w:szCs w:val="14"/>
          <w:lang w:val="en-US" w:eastAsia="en-US"/>
        </w:rPr>
        <w:t xml:space="preserve"> et al. 2010</w:t>
      </w:r>
      <w:r w:rsidRPr="000A40A4">
        <w:rPr>
          <w:rFonts w:ascii="Times New Roman" w:eastAsiaTheme="minorHAnsi" w:hAnsi="Times New Roman"/>
          <w:color w:val="000000"/>
          <w:sz w:val="14"/>
          <w:szCs w:val="14"/>
          <w:lang w:val="en-US" w:eastAsia="en-US"/>
        </w:rPr>
        <w:t>) (</w:t>
      </w:r>
      <w:r w:rsidRPr="000A40A4">
        <w:rPr>
          <w:rFonts w:ascii="Times New Roman" w:eastAsiaTheme="minorHAnsi" w:hAnsi="Times New Roman"/>
          <w:i/>
          <w:iCs/>
          <w:color w:val="7F7F7F" w:themeColor="text1" w:themeTint="80"/>
          <w:sz w:val="14"/>
          <w:szCs w:val="14"/>
          <w:lang w:val="en-US" w:eastAsia="en-US"/>
        </w:rPr>
        <w:t>in</w:t>
      </w:r>
      <w:r w:rsidRPr="000A40A4">
        <w:rPr>
          <w:rFonts w:ascii="Times New Roman" w:eastAsiaTheme="minorHAnsi" w:hAnsi="Times New Roman"/>
          <w:color w:val="7F7F7F" w:themeColor="text1" w:themeTint="80"/>
          <w:sz w:val="14"/>
          <w:szCs w:val="14"/>
          <w:lang w:val="en-US" w:eastAsia="en-US"/>
        </w:rPr>
        <w:t xml:space="preserve"> Werners et al. 2016</w:t>
      </w:r>
      <w:r w:rsidRPr="000A40A4">
        <w:rPr>
          <w:rFonts w:ascii="Times New Roman" w:eastAsiaTheme="minorHAnsi" w:hAnsi="Times New Roman"/>
          <w:color w:val="000000"/>
          <w:sz w:val="14"/>
          <w:szCs w:val="14"/>
          <w:lang w:val="en-US" w:eastAsia="en-US"/>
        </w:rPr>
        <w:t>). Moreover, the DP’s ADM is based on ‘Planned Adaptation’ (</w:t>
      </w:r>
      <w:r w:rsidRPr="000A40A4">
        <w:rPr>
          <w:rFonts w:ascii="Times New Roman" w:eastAsiaTheme="minorHAnsi" w:hAnsi="Times New Roman"/>
          <w:color w:val="7F7F7F" w:themeColor="text1" w:themeTint="80"/>
          <w:sz w:val="14"/>
          <w:szCs w:val="14"/>
          <w:lang w:val="en-US" w:eastAsia="en-US"/>
        </w:rPr>
        <w:t>Petersen and Bloemen 2015</w:t>
      </w:r>
      <w:r w:rsidRPr="000A40A4">
        <w:rPr>
          <w:rFonts w:ascii="Times New Roman" w:eastAsiaTheme="minorHAnsi" w:hAnsi="Times New Roman"/>
          <w:color w:val="000000"/>
          <w:sz w:val="14"/>
          <w:szCs w:val="14"/>
          <w:lang w:val="en-US" w:eastAsia="en-US"/>
        </w:rPr>
        <w:t>). Overall, ADM stemmed from a combination of existent insights and work about ‘several potential strategies’, ‘adaptation paths / solution paths’, and into the appraisal of the flexibility of such paths (</w:t>
      </w:r>
      <w:r w:rsidRPr="000A40A4">
        <w:rPr>
          <w:rFonts w:ascii="Times New Roman" w:eastAsiaTheme="minorHAnsi" w:hAnsi="Times New Roman"/>
          <w:color w:val="7F7F7F" w:themeColor="text1" w:themeTint="80"/>
          <w:sz w:val="14"/>
          <w:szCs w:val="14"/>
          <w:lang w:val="en-US" w:eastAsia="en-US"/>
        </w:rPr>
        <w:t>DP 2011, p.48,70</w:t>
      </w:r>
      <w:r w:rsidRPr="000A40A4">
        <w:rPr>
          <w:rFonts w:ascii="Times New Roman" w:eastAsiaTheme="minorHAnsi" w:hAnsi="Times New Roman"/>
          <w:color w:val="000000"/>
          <w:sz w:val="14"/>
          <w:szCs w:val="14"/>
          <w:lang w:val="en-US" w:eastAsia="en-US"/>
        </w:rPr>
        <w:t xml:space="preserve">). Besides that, other two examples served as source of inspiration: the TE2100 Project, and the </w:t>
      </w:r>
      <w:proofErr w:type="spellStart"/>
      <w:r w:rsidRPr="000A40A4">
        <w:rPr>
          <w:rFonts w:ascii="Times New Roman" w:eastAsiaTheme="minorHAnsi" w:hAnsi="Times New Roman"/>
          <w:color w:val="000000"/>
          <w:sz w:val="14"/>
          <w:szCs w:val="14"/>
          <w:lang w:val="en-US" w:eastAsia="en-US"/>
        </w:rPr>
        <w:t>programme</w:t>
      </w:r>
      <w:proofErr w:type="spellEnd"/>
      <w:r w:rsidRPr="000A40A4">
        <w:rPr>
          <w:rFonts w:ascii="Times New Roman" w:eastAsiaTheme="minorHAnsi" w:hAnsi="Times New Roman"/>
          <w:color w:val="000000"/>
          <w:sz w:val="14"/>
          <w:szCs w:val="14"/>
          <w:lang w:val="en-US" w:eastAsia="en-US"/>
        </w:rPr>
        <w:t xml:space="preserve"> of restructuring of Hamburg port area (</w:t>
      </w:r>
      <w:r w:rsidRPr="000A40A4">
        <w:rPr>
          <w:rFonts w:ascii="Times New Roman" w:eastAsiaTheme="minorHAnsi" w:hAnsi="Times New Roman"/>
          <w:color w:val="7F7F7F" w:themeColor="text1" w:themeTint="80"/>
          <w:sz w:val="14"/>
          <w:szCs w:val="14"/>
          <w:lang w:val="en-US" w:eastAsia="en-US"/>
        </w:rPr>
        <w:t>DP 2011, p.45, 55</w:t>
      </w:r>
      <w:r w:rsidRPr="000A40A4">
        <w:rPr>
          <w:rFonts w:ascii="Times New Roman" w:eastAsiaTheme="minorHAnsi" w:hAnsi="Times New Roman"/>
          <w:color w:val="000000"/>
          <w:sz w:val="14"/>
          <w:szCs w:val="14"/>
          <w:lang w:val="en-US" w:eastAsia="en-US"/>
        </w:rPr>
        <w:t>). Inspired by TE2100 Project’s approach, the DP developed its own adaptive planning approach (ADM) (</w:t>
      </w:r>
      <w:r w:rsidRPr="000A40A4">
        <w:rPr>
          <w:rFonts w:ascii="Times New Roman" w:eastAsiaTheme="minorHAnsi" w:hAnsi="Times New Roman"/>
          <w:color w:val="7F7F7F" w:themeColor="text1" w:themeTint="80"/>
          <w:sz w:val="14"/>
          <w:szCs w:val="14"/>
          <w:lang w:val="en-US" w:eastAsia="en-US"/>
        </w:rPr>
        <w:t>Zevenbergen et al. 2018</w:t>
      </w:r>
      <w:r w:rsidRPr="000A40A4">
        <w:rPr>
          <w:rFonts w:ascii="Times New Roman" w:eastAsiaTheme="minorHAnsi" w:hAnsi="Times New Roman"/>
          <w:color w:val="000000"/>
          <w:sz w:val="14"/>
          <w:szCs w:val="14"/>
          <w:lang w:val="en-US" w:eastAsia="en-US"/>
        </w:rPr>
        <w:t xml:space="preserve">). </w:t>
      </w:r>
    </w:p>
    <w:p w14:paraId="11180843" w14:textId="71A42700" w:rsidR="00B82D0E" w:rsidRPr="000A40A4" w:rsidRDefault="00B82D0E" w:rsidP="00B82D0E">
      <w:pPr>
        <w:pStyle w:val="Textodenotaderodap"/>
        <w:rPr>
          <w:sz w:val="14"/>
          <w:szCs w:val="14"/>
        </w:rPr>
      </w:pPr>
      <w:r w:rsidRPr="000A40A4">
        <w:rPr>
          <w:rFonts w:eastAsiaTheme="minorHAnsi"/>
          <w:color w:val="000000"/>
          <w:sz w:val="14"/>
          <w:szCs w:val="14"/>
          <w:lang w:val="en-US"/>
        </w:rPr>
        <w:t>ADM is different from the Adaptive Management (AM) usually referred in literature (</w:t>
      </w:r>
      <w:r w:rsidR="00CD4D3D" w:rsidRPr="000A40A4">
        <w:rPr>
          <w:rFonts w:eastAsiaTheme="minorHAnsi"/>
          <w:color w:val="000000"/>
          <w:sz w:val="14"/>
          <w:szCs w:val="14"/>
          <w:lang w:val="en-US"/>
        </w:rPr>
        <w:t>AM of</w:t>
      </w:r>
      <w:r w:rsidRPr="000A40A4">
        <w:rPr>
          <w:rFonts w:eastAsiaTheme="minorHAnsi"/>
          <w:color w:val="000000"/>
          <w:sz w:val="14"/>
          <w:szCs w:val="14"/>
          <w:lang w:val="en-US"/>
        </w:rPr>
        <w:t xml:space="preserve"> </w:t>
      </w:r>
      <w:r w:rsidRPr="000A40A4">
        <w:rPr>
          <w:rFonts w:eastAsiaTheme="minorHAnsi"/>
          <w:color w:val="7F7F7F" w:themeColor="text1" w:themeTint="80"/>
          <w:sz w:val="14"/>
          <w:szCs w:val="14"/>
          <w:lang w:val="en-US"/>
        </w:rPr>
        <w:t>Holling 197</w:t>
      </w:r>
      <w:r w:rsidR="00CD4D3D" w:rsidRPr="000A40A4">
        <w:rPr>
          <w:rFonts w:eastAsiaTheme="minorHAnsi"/>
          <w:color w:val="7F7F7F" w:themeColor="text1" w:themeTint="80"/>
          <w:sz w:val="14"/>
          <w:szCs w:val="14"/>
          <w:lang w:val="en-US"/>
        </w:rPr>
        <w:t>8</w:t>
      </w:r>
      <w:r w:rsidRPr="000A40A4">
        <w:rPr>
          <w:rFonts w:eastAsiaTheme="minorHAnsi"/>
          <w:color w:val="000000"/>
          <w:sz w:val="14"/>
          <w:szCs w:val="14"/>
          <w:lang w:val="en-US"/>
        </w:rPr>
        <w:t>), because: 1) it is anticipatory rather than responsive (it focusses on planning in anticipation rather than reactive responses); 2) it explicitly takes into account, and deal with, uncertainties about the future in the planning and management; 3) AM focusses on trial-and-error experiments and monitoring of developments, while ADM recognizes that, for some variables, the signals of CC cannot be derived from monitoring / measurement soon enough (due to large natural climate variability), hence, ex-ante assessments and anticipatory planning are needed; (4) the concepts of ‘robustness’ and ‘flexibility’ are essential in ADM (</w:t>
      </w:r>
      <w:r w:rsidRPr="000A40A4">
        <w:rPr>
          <w:rFonts w:eastAsiaTheme="minorHAnsi"/>
          <w:color w:val="7F7F7F" w:themeColor="text1" w:themeTint="80"/>
          <w:sz w:val="14"/>
          <w:szCs w:val="14"/>
          <w:lang w:val="en-US"/>
        </w:rPr>
        <w:t>Klijn et al. 2016</w:t>
      </w:r>
      <w:r w:rsidRPr="000A40A4">
        <w:rPr>
          <w:rFonts w:eastAsiaTheme="minorHAnsi"/>
          <w:color w:val="000000"/>
          <w:sz w:val="14"/>
          <w:szCs w:val="14"/>
          <w:lang w:val="en-US"/>
        </w:rPr>
        <w:t>). A new aspect of ADM in relation to AM is the use of ATPs and APs (</w:t>
      </w:r>
      <w:r w:rsidRPr="000A40A4">
        <w:rPr>
          <w:rFonts w:eastAsiaTheme="minorHAnsi"/>
          <w:color w:val="7F7F7F" w:themeColor="text1" w:themeTint="80"/>
          <w:sz w:val="14"/>
          <w:szCs w:val="14"/>
          <w:lang w:val="en-US"/>
        </w:rPr>
        <w:t>Zevenbergen et al. 2018</w:t>
      </w:r>
      <w:r w:rsidRPr="000A40A4">
        <w:rPr>
          <w:rFonts w:eastAsiaTheme="minorHAnsi"/>
          <w:color w:val="000000"/>
          <w:sz w:val="14"/>
          <w:szCs w:val="14"/>
          <w:lang w:val="en-US"/>
        </w:rPr>
        <w:t>).</w:t>
      </w:r>
    </w:p>
  </w:footnote>
  <w:footnote w:id="124">
    <w:p w14:paraId="0BBF94DB" w14:textId="77777777" w:rsidR="00F71492" w:rsidRPr="00C34F71" w:rsidRDefault="00F71492" w:rsidP="00F71492">
      <w:pPr>
        <w:pStyle w:val="Textodenotaderodap"/>
      </w:pPr>
      <w:r w:rsidRPr="000A40A4">
        <w:rPr>
          <w:rStyle w:val="Refdenotaderodap"/>
          <w:sz w:val="14"/>
          <w:szCs w:val="14"/>
        </w:rPr>
        <w:footnoteRef/>
      </w:r>
      <w:r w:rsidRPr="000A40A4">
        <w:rPr>
          <w:rFonts w:ascii="Arial" w:hAnsi="Arial" w:cs="Arial"/>
          <w:sz w:val="14"/>
          <w:szCs w:val="14"/>
        </w:rPr>
        <w:t xml:space="preserve"> </w:t>
      </w:r>
      <w:r w:rsidRPr="000A40A4">
        <w:rPr>
          <w:sz w:val="14"/>
          <w:szCs w:val="14"/>
        </w:rPr>
        <w:t>Flexibility (capacity to be flexible) can be</w:t>
      </w:r>
      <w:r w:rsidRPr="000A40A4">
        <w:rPr>
          <w:i/>
          <w:iCs/>
          <w:sz w:val="14"/>
          <w:szCs w:val="14"/>
        </w:rPr>
        <w:t xml:space="preserve"> flexibility</w:t>
      </w:r>
      <w:r w:rsidRPr="000A40A4">
        <w:rPr>
          <w:sz w:val="14"/>
          <w:szCs w:val="14"/>
        </w:rPr>
        <w:t xml:space="preserve"> to switch to other strategies when needed, in the face of uncertain future changes, it has elements of experimentation and learning. Adaptive capacity refers to capacities, attributes, and resources to undertake adaptation; it concerns the ability to anticipate, innovate and generate experience in dealing with change and learn from mistakes (</w:t>
      </w:r>
      <w:r w:rsidRPr="000A40A4">
        <w:rPr>
          <w:color w:val="7F7F7F" w:themeColor="text1" w:themeTint="80"/>
          <w:sz w:val="14"/>
          <w:szCs w:val="14"/>
        </w:rPr>
        <w:t xml:space="preserve">Haegen and </w:t>
      </w:r>
      <w:proofErr w:type="spellStart"/>
      <w:r w:rsidRPr="000A40A4">
        <w:rPr>
          <w:color w:val="7F7F7F" w:themeColor="text1" w:themeTint="80"/>
          <w:sz w:val="14"/>
          <w:szCs w:val="14"/>
        </w:rPr>
        <w:t>Wieriks</w:t>
      </w:r>
      <w:proofErr w:type="spellEnd"/>
      <w:r w:rsidRPr="000A40A4">
        <w:rPr>
          <w:color w:val="7F7F7F" w:themeColor="text1" w:themeTint="80"/>
          <w:sz w:val="14"/>
          <w:szCs w:val="14"/>
        </w:rPr>
        <w:t xml:space="preserve"> 2015</w:t>
      </w:r>
      <w:r w:rsidRPr="000A40A4">
        <w:rPr>
          <w:sz w:val="14"/>
          <w:szCs w:val="14"/>
        </w:rPr>
        <w:t>).</w:t>
      </w:r>
    </w:p>
  </w:footnote>
  <w:footnote w:id="125">
    <w:p w14:paraId="0A3CDF1B" w14:textId="77777777" w:rsidR="000A0954" w:rsidRPr="00A748CB" w:rsidRDefault="000A0954" w:rsidP="000A0954">
      <w:pPr>
        <w:pStyle w:val="Textodenotaderodap"/>
        <w:rPr>
          <w:sz w:val="14"/>
          <w:szCs w:val="14"/>
        </w:rPr>
      </w:pPr>
      <w:r w:rsidRPr="00A748CB">
        <w:rPr>
          <w:rStyle w:val="Refdenotaderodap"/>
          <w:sz w:val="14"/>
          <w:szCs w:val="14"/>
        </w:rPr>
        <w:footnoteRef/>
      </w:r>
      <w:r w:rsidRPr="00A748CB">
        <w:rPr>
          <w:sz w:val="14"/>
          <w:szCs w:val="14"/>
        </w:rPr>
        <w:t xml:space="preserve"> To ensure a</w:t>
      </w:r>
      <w:r w:rsidRPr="00A748CB">
        <w:rPr>
          <w:i/>
          <w:iCs/>
          <w:sz w:val="14"/>
          <w:szCs w:val="14"/>
        </w:rPr>
        <w:t xml:space="preserve"> sustainable and robust FRM </w:t>
      </w:r>
      <w:r w:rsidRPr="00A748CB">
        <w:rPr>
          <w:sz w:val="14"/>
          <w:szCs w:val="14"/>
        </w:rPr>
        <w:t xml:space="preserve">and cope with climatic extremes, the country should be </w:t>
      </w:r>
      <w:r w:rsidRPr="00A748CB">
        <w:rPr>
          <w:i/>
          <w:iCs/>
          <w:sz w:val="14"/>
          <w:szCs w:val="14"/>
        </w:rPr>
        <w:t>prepared for various scenarios</w:t>
      </w:r>
      <w:r w:rsidRPr="00A748CB">
        <w:rPr>
          <w:sz w:val="14"/>
          <w:szCs w:val="14"/>
        </w:rPr>
        <w:t xml:space="preserve"> (</w:t>
      </w:r>
      <w:r w:rsidRPr="00A748CB">
        <w:rPr>
          <w:color w:val="7F7F7F" w:themeColor="text1" w:themeTint="80"/>
          <w:sz w:val="14"/>
          <w:szCs w:val="14"/>
        </w:rPr>
        <w:t>DP 2014, p.6</w:t>
      </w:r>
      <w:r w:rsidRPr="00A748CB">
        <w:rPr>
          <w:sz w:val="14"/>
          <w:szCs w:val="14"/>
        </w:rPr>
        <w:t>).</w:t>
      </w:r>
    </w:p>
  </w:footnote>
  <w:footnote w:id="126">
    <w:p w14:paraId="5C47C608" w14:textId="77777777" w:rsidR="000A0954" w:rsidRPr="00A748CB" w:rsidRDefault="000A0954" w:rsidP="000A0954">
      <w:pPr>
        <w:pStyle w:val="Textodenotaderodap"/>
        <w:rPr>
          <w:rFonts w:cs="Arial"/>
          <w:sz w:val="14"/>
          <w:szCs w:val="14"/>
        </w:rPr>
      </w:pPr>
      <w:r w:rsidRPr="00A748CB">
        <w:rPr>
          <w:rStyle w:val="Refdenotaderodap"/>
          <w:sz w:val="14"/>
          <w:szCs w:val="14"/>
        </w:rPr>
        <w:footnoteRef/>
      </w:r>
      <w:r w:rsidRPr="00A748CB">
        <w:rPr>
          <w:sz w:val="14"/>
          <w:szCs w:val="14"/>
        </w:rPr>
        <w:t xml:space="preserve"> According to the </w:t>
      </w:r>
      <w:r w:rsidRPr="00A748CB">
        <w:rPr>
          <w:i/>
          <w:iCs/>
          <w:sz w:val="14"/>
          <w:szCs w:val="14"/>
        </w:rPr>
        <w:t>ADM Implementation Guide</w:t>
      </w:r>
      <w:r w:rsidRPr="00A748CB">
        <w:rPr>
          <w:sz w:val="14"/>
          <w:szCs w:val="14"/>
        </w:rPr>
        <w:t xml:space="preserve">, to develop </w:t>
      </w:r>
      <w:r w:rsidRPr="00A748CB">
        <w:rPr>
          <w:i/>
          <w:iCs/>
          <w:sz w:val="14"/>
          <w:szCs w:val="14"/>
        </w:rPr>
        <w:t>robust</w:t>
      </w:r>
      <w:r w:rsidRPr="00A748CB">
        <w:rPr>
          <w:sz w:val="14"/>
          <w:szCs w:val="14"/>
        </w:rPr>
        <w:t xml:space="preserve"> </w:t>
      </w:r>
      <w:r w:rsidRPr="00A748CB">
        <w:rPr>
          <w:i/>
          <w:iCs/>
          <w:sz w:val="14"/>
          <w:szCs w:val="14"/>
        </w:rPr>
        <w:t>flexible strategies</w:t>
      </w:r>
      <w:r w:rsidRPr="00A748CB">
        <w:rPr>
          <w:sz w:val="14"/>
          <w:szCs w:val="14"/>
        </w:rPr>
        <w:t>, it is necessary to identify tipping-points and design adaptation pathways (by ordering possible measures in time)</w:t>
      </w:r>
      <w:r w:rsidRPr="00A748CB">
        <w:rPr>
          <w:rFonts w:cs="Arial"/>
          <w:sz w:val="14"/>
          <w:szCs w:val="14"/>
        </w:rPr>
        <w:t xml:space="preserve">; in specific, to make strategies </w:t>
      </w:r>
      <w:r w:rsidRPr="00A748CB">
        <w:rPr>
          <w:rFonts w:cs="Arial"/>
          <w:i/>
          <w:iCs/>
          <w:sz w:val="14"/>
          <w:szCs w:val="14"/>
        </w:rPr>
        <w:t>flexible</w:t>
      </w:r>
      <w:r w:rsidRPr="00A748CB">
        <w:rPr>
          <w:rFonts w:cs="Arial"/>
          <w:sz w:val="14"/>
          <w:szCs w:val="14"/>
        </w:rPr>
        <w:t>, it was important to know ‘</w:t>
      </w:r>
      <w:r w:rsidRPr="00A748CB">
        <w:rPr>
          <w:rFonts w:cs="Arial"/>
          <w:i/>
          <w:sz w:val="14"/>
          <w:szCs w:val="14"/>
        </w:rPr>
        <w:t>when to take action or change course</w:t>
      </w:r>
      <w:r w:rsidRPr="00A748CB">
        <w:rPr>
          <w:rFonts w:cs="Arial"/>
          <w:iCs/>
          <w:sz w:val="14"/>
          <w:szCs w:val="14"/>
        </w:rPr>
        <w:t>’,</w:t>
      </w:r>
      <w:r w:rsidRPr="00A748CB">
        <w:rPr>
          <w:rFonts w:cs="Arial"/>
          <w:sz w:val="14"/>
          <w:szCs w:val="14"/>
        </w:rPr>
        <w:t xml:space="preserve"> i.e. when an ATP might be reached (</w:t>
      </w:r>
      <w:r w:rsidRPr="00A748CB">
        <w:rPr>
          <w:color w:val="7F7F7F" w:themeColor="text1" w:themeTint="80"/>
          <w:sz w:val="14"/>
          <w:szCs w:val="14"/>
        </w:rPr>
        <w:t xml:space="preserve">Rhee 2012, </w:t>
      </w:r>
      <w:r w:rsidRPr="00A748CB">
        <w:rPr>
          <w:i/>
          <w:iCs/>
          <w:color w:val="7F7F7F" w:themeColor="text1" w:themeTint="80"/>
          <w:sz w:val="14"/>
          <w:szCs w:val="14"/>
        </w:rPr>
        <w:t>in</w:t>
      </w:r>
      <w:r w:rsidRPr="00A748CB">
        <w:rPr>
          <w:color w:val="7F7F7F" w:themeColor="text1" w:themeTint="80"/>
          <w:sz w:val="14"/>
          <w:szCs w:val="14"/>
        </w:rPr>
        <w:t xml:space="preserve"> </w:t>
      </w:r>
      <w:proofErr w:type="spellStart"/>
      <w:r w:rsidRPr="00A748CB">
        <w:rPr>
          <w:rFonts w:cs="Arial"/>
          <w:color w:val="7F7F7F" w:themeColor="text1" w:themeTint="80"/>
          <w:sz w:val="14"/>
          <w:szCs w:val="14"/>
        </w:rPr>
        <w:t>Restemeyer</w:t>
      </w:r>
      <w:proofErr w:type="spellEnd"/>
      <w:r w:rsidRPr="00A748CB">
        <w:rPr>
          <w:rFonts w:cs="Arial"/>
          <w:color w:val="7F7F7F" w:themeColor="text1" w:themeTint="80"/>
          <w:sz w:val="14"/>
          <w:szCs w:val="14"/>
        </w:rPr>
        <w:t xml:space="preserve"> et al. 2017, p. 931</w:t>
      </w:r>
      <w:r w:rsidRPr="00A748CB">
        <w:rPr>
          <w:rFonts w:cs="Arial"/>
          <w:sz w:val="14"/>
          <w:szCs w:val="14"/>
        </w:rPr>
        <w:t>).</w:t>
      </w:r>
    </w:p>
  </w:footnote>
  <w:footnote w:id="127">
    <w:p w14:paraId="4884F5BA" w14:textId="77777777" w:rsidR="000A0954" w:rsidRPr="00A748CB" w:rsidRDefault="000A0954" w:rsidP="000A0954">
      <w:pPr>
        <w:pStyle w:val="Textodenotaderodap"/>
      </w:pPr>
      <w:r w:rsidRPr="00A748CB">
        <w:rPr>
          <w:rStyle w:val="Refdenotaderodap"/>
          <w:sz w:val="14"/>
          <w:szCs w:val="14"/>
        </w:rPr>
        <w:footnoteRef/>
      </w:r>
      <w:r w:rsidRPr="00A748CB">
        <w:rPr>
          <w:sz w:val="14"/>
          <w:szCs w:val="14"/>
        </w:rPr>
        <w:t xml:space="preserve"> </w:t>
      </w:r>
      <w:r w:rsidRPr="00A748CB">
        <w:rPr>
          <w:noProof/>
          <w:sz w:val="14"/>
          <w:szCs w:val="14"/>
        </w:rPr>
        <w:t>In</w:t>
      </w:r>
      <w:r w:rsidRPr="00A748CB">
        <w:rPr>
          <w:color w:val="C00000"/>
          <w:sz w:val="14"/>
          <w:szCs w:val="14"/>
        </w:rPr>
        <w:t xml:space="preserve"> </w:t>
      </w:r>
      <w:r w:rsidRPr="00A748CB">
        <w:rPr>
          <w:sz w:val="14"/>
          <w:szCs w:val="14"/>
        </w:rPr>
        <w:t xml:space="preserve">ADM, </w:t>
      </w:r>
      <w:r w:rsidRPr="00A748CB">
        <w:rPr>
          <w:color w:val="231F20"/>
          <w:sz w:val="14"/>
          <w:szCs w:val="14"/>
        </w:rPr>
        <w:t xml:space="preserve">ATPs are understood </w:t>
      </w:r>
      <w:r w:rsidRPr="00A748CB">
        <w:rPr>
          <w:sz w:val="14"/>
          <w:szCs w:val="14"/>
        </w:rPr>
        <w:t>as ‘</w:t>
      </w:r>
      <w:r w:rsidRPr="00A748CB">
        <w:rPr>
          <w:i/>
          <w:sz w:val="14"/>
          <w:szCs w:val="14"/>
        </w:rPr>
        <w:t xml:space="preserve">points where the magnitude of change due to socioeconomic developments, climate change or sea-level rise is such that the current strategy </w:t>
      </w:r>
      <w:r w:rsidRPr="00A748CB">
        <w:rPr>
          <w:iCs/>
          <w:sz w:val="14"/>
          <w:szCs w:val="14"/>
        </w:rPr>
        <w:t>(measure)</w:t>
      </w:r>
      <w:r w:rsidRPr="00A748CB">
        <w:rPr>
          <w:i/>
          <w:sz w:val="14"/>
          <w:szCs w:val="14"/>
        </w:rPr>
        <w:t xml:space="preserve"> will no longer be able to</w:t>
      </w:r>
      <w:r w:rsidRPr="00A748CB">
        <w:rPr>
          <w:i/>
          <w:sz w:val="12"/>
          <w:szCs w:val="12"/>
        </w:rPr>
        <w:t xml:space="preserve"> </w:t>
      </w:r>
      <w:r w:rsidRPr="00A748CB">
        <w:rPr>
          <w:i/>
          <w:sz w:val="14"/>
          <w:szCs w:val="14"/>
        </w:rPr>
        <w:t>meet the objectives</w:t>
      </w:r>
      <w:r w:rsidRPr="00A748CB">
        <w:rPr>
          <w:sz w:val="14"/>
          <w:szCs w:val="14"/>
        </w:rPr>
        <w:t>’ (</w:t>
      </w:r>
      <w:r w:rsidRPr="00A748CB">
        <w:rPr>
          <w:i/>
          <w:iCs/>
          <w:sz w:val="14"/>
          <w:szCs w:val="14"/>
        </w:rPr>
        <w:t xml:space="preserve">in </w:t>
      </w:r>
      <w:r w:rsidRPr="00A748CB">
        <w:rPr>
          <w:color w:val="595959" w:themeColor="text1" w:themeTint="A6"/>
          <w:sz w:val="14"/>
          <w:szCs w:val="14"/>
        </w:rPr>
        <w:t xml:space="preserve">Zevenbergen et al. 2018, p.4, </w:t>
      </w:r>
      <w:r w:rsidRPr="00A748CB">
        <w:rPr>
          <w:sz w:val="14"/>
          <w:szCs w:val="14"/>
        </w:rPr>
        <w:t xml:space="preserve">based on </w:t>
      </w:r>
      <w:proofErr w:type="spellStart"/>
      <w:r w:rsidRPr="00A748CB">
        <w:rPr>
          <w:color w:val="595959" w:themeColor="text1" w:themeTint="A6"/>
          <w:sz w:val="14"/>
          <w:szCs w:val="14"/>
        </w:rPr>
        <w:t>Kwadijk</w:t>
      </w:r>
      <w:proofErr w:type="spellEnd"/>
      <w:r w:rsidRPr="00A748CB">
        <w:rPr>
          <w:color w:val="595959" w:themeColor="text1" w:themeTint="A6"/>
          <w:sz w:val="14"/>
          <w:szCs w:val="14"/>
        </w:rPr>
        <w:t xml:space="preserve"> et al. 2010;</w:t>
      </w:r>
      <w:r w:rsidRPr="00A748CB">
        <w:rPr>
          <w:color w:val="7F7F7F" w:themeColor="text1" w:themeTint="80"/>
          <w:sz w:val="14"/>
          <w:szCs w:val="14"/>
        </w:rPr>
        <w:t xml:space="preserve"> Haegen and </w:t>
      </w:r>
      <w:proofErr w:type="spellStart"/>
      <w:r w:rsidRPr="00A748CB">
        <w:rPr>
          <w:color w:val="7F7F7F" w:themeColor="text1" w:themeTint="80"/>
          <w:sz w:val="14"/>
          <w:szCs w:val="14"/>
        </w:rPr>
        <w:t>Wieriks</w:t>
      </w:r>
      <w:proofErr w:type="spellEnd"/>
      <w:r w:rsidRPr="00A748CB">
        <w:rPr>
          <w:color w:val="7F7F7F" w:themeColor="text1" w:themeTint="80"/>
          <w:sz w:val="14"/>
          <w:szCs w:val="14"/>
        </w:rPr>
        <w:t xml:space="preserve"> 2015, p.51</w:t>
      </w:r>
      <w:r w:rsidRPr="00A748CB">
        <w:rPr>
          <w:sz w:val="14"/>
          <w:szCs w:val="14"/>
        </w:rPr>
        <w:t>). An ATP indicates conditions under which a given measure fails and other measure is needed (e.g. a level of SLR at which a storm surge barrier ceases to function); thus, a switch to a new measure is needed once an ATP is in sight</w:t>
      </w:r>
      <w:r w:rsidRPr="00A748CB">
        <w:rPr>
          <w:color w:val="231F20"/>
          <w:sz w:val="14"/>
          <w:szCs w:val="14"/>
        </w:rPr>
        <w:t xml:space="preserve"> (</w:t>
      </w:r>
      <w:r w:rsidRPr="00A748CB">
        <w:rPr>
          <w:color w:val="7F7F7F" w:themeColor="text1" w:themeTint="80"/>
          <w:sz w:val="14"/>
          <w:szCs w:val="14"/>
        </w:rPr>
        <w:t xml:space="preserve">Haegen and </w:t>
      </w:r>
      <w:proofErr w:type="spellStart"/>
      <w:r w:rsidRPr="00A748CB">
        <w:rPr>
          <w:color w:val="7F7F7F" w:themeColor="text1" w:themeTint="80"/>
          <w:sz w:val="14"/>
          <w:szCs w:val="14"/>
        </w:rPr>
        <w:t>Wieriks</w:t>
      </w:r>
      <w:proofErr w:type="spellEnd"/>
      <w:r w:rsidRPr="00A748CB">
        <w:rPr>
          <w:color w:val="7F7F7F" w:themeColor="text1" w:themeTint="80"/>
          <w:sz w:val="14"/>
          <w:szCs w:val="14"/>
        </w:rPr>
        <w:t xml:space="preserve"> 2015, p.51</w:t>
      </w:r>
      <w:r w:rsidRPr="00A748CB">
        <w:rPr>
          <w:color w:val="231F20"/>
          <w:sz w:val="14"/>
          <w:szCs w:val="14"/>
        </w:rPr>
        <w:t>)</w:t>
      </w:r>
      <w:r w:rsidRPr="00A748CB">
        <w:rPr>
          <w:sz w:val="14"/>
          <w:szCs w:val="14"/>
        </w:rPr>
        <w:t>. In ADM, ATPs correspond to points / conditions under which the existing (current) management actions / measures or policies become ‘</w:t>
      </w:r>
      <w:r w:rsidRPr="00A748CB">
        <w:rPr>
          <w:i/>
          <w:iCs/>
          <w:sz w:val="14"/>
          <w:szCs w:val="14"/>
        </w:rPr>
        <w:t>too expensive, technically impossible or societally unacceptable</w:t>
      </w:r>
      <w:r w:rsidRPr="00A748CB">
        <w:rPr>
          <w:sz w:val="14"/>
          <w:szCs w:val="14"/>
        </w:rPr>
        <w:t>’; the date of an ATP indicates an ‘expiration date’ at which a given measure or policy ceases to be feasible (</w:t>
      </w:r>
      <w:r w:rsidRPr="00A748CB">
        <w:rPr>
          <w:color w:val="7F7F7F" w:themeColor="text1" w:themeTint="80"/>
          <w:sz w:val="14"/>
          <w:szCs w:val="14"/>
        </w:rPr>
        <w:t xml:space="preserve">Rhee 2012, p.18, </w:t>
      </w:r>
      <w:r w:rsidRPr="00A748CB">
        <w:rPr>
          <w:i/>
          <w:iCs/>
          <w:color w:val="7F7F7F" w:themeColor="text1" w:themeTint="80"/>
          <w:sz w:val="14"/>
          <w:szCs w:val="14"/>
        </w:rPr>
        <w:t xml:space="preserve">in </w:t>
      </w:r>
      <w:r w:rsidRPr="00A748CB">
        <w:rPr>
          <w:color w:val="7F7F7F" w:themeColor="text1" w:themeTint="80"/>
          <w:sz w:val="14"/>
          <w:szCs w:val="14"/>
        </w:rPr>
        <w:t>Zandvoort et al. 2018, p.190</w:t>
      </w:r>
      <w:r w:rsidRPr="00A748CB">
        <w:rPr>
          <w:sz w:val="14"/>
          <w:szCs w:val="14"/>
        </w:rPr>
        <w:t>). More precisely, in ADM, ATPs indicate conditions under which a given measure ceases to be effective or acceptable (or no longer suffices), and a new measure is required (source).</w:t>
      </w:r>
    </w:p>
  </w:footnote>
  <w:footnote w:id="128">
    <w:p w14:paraId="2FD3ABBA" w14:textId="77777777" w:rsidR="000A0954" w:rsidRPr="005C145B" w:rsidRDefault="000A0954" w:rsidP="000A0954">
      <w:pPr>
        <w:pStyle w:val="Textodenotaderodap"/>
        <w:rPr>
          <w:sz w:val="14"/>
          <w:szCs w:val="14"/>
        </w:rPr>
      </w:pPr>
      <w:r w:rsidRPr="00A748CB">
        <w:rPr>
          <w:rStyle w:val="Refdenotaderodap"/>
          <w:sz w:val="14"/>
          <w:szCs w:val="14"/>
        </w:rPr>
        <w:footnoteRef/>
      </w:r>
      <w:r w:rsidRPr="00A748CB">
        <w:rPr>
          <w:sz w:val="14"/>
          <w:szCs w:val="14"/>
        </w:rPr>
        <w:t xml:space="preserve"> According to </w:t>
      </w:r>
      <w:proofErr w:type="spellStart"/>
      <w:r w:rsidRPr="00A748CB">
        <w:rPr>
          <w:color w:val="7F7F7F" w:themeColor="text1" w:themeTint="80"/>
          <w:sz w:val="14"/>
          <w:szCs w:val="14"/>
        </w:rPr>
        <w:t>Jeuken</w:t>
      </w:r>
      <w:proofErr w:type="spellEnd"/>
      <w:r w:rsidRPr="00A748CB">
        <w:rPr>
          <w:color w:val="7F7F7F" w:themeColor="text1" w:themeTint="80"/>
          <w:sz w:val="14"/>
          <w:szCs w:val="14"/>
        </w:rPr>
        <w:t xml:space="preserve"> and Reeder</w:t>
      </w:r>
      <w:r w:rsidRPr="00A748CB">
        <w:rPr>
          <w:sz w:val="14"/>
          <w:szCs w:val="14"/>
        </w:rPr>
        <w:t>, adaptation planning requires questioning how vulnerable is a certain context (e.g. a FRM system) to CC, how much CC can the system handle, and whether it is necessary to take new / additional measures because of CC or socioeconomic developments (</w:t>
      </w:r>
      <w:proofErr w:type="spellStart"/>
      <w:r w:rsidRPr="00A748CB">
        <w:rPr>
          <w:color w:val="7F7F7F" w:themeColor="text1" w:themeTint="80"/>
          <w:sz w:val="14"/>
          <w:szCs w:val="14"/>
        </w:rPr>
        <w:t>Jeuken</w:t>
      </w:r>
      <w:proofErr w:type="spellEnd"/>
      <w:r w:rsidRPr="00A748CB">
        <w:rPr>
          <w:color w:val="7F7F7F" w:themeColor="text1" w:themeTint="80"/>
          <w:sz w:val="14"/>
          <w:szCs w:val="14"/>
        </w:rPr>
        <w:t xml:space="preserve"> and Reeder 2011, p.2</w:t>
      </w:r>
      <w:r w:rsidRPr="00A748CB">
        <w:rPr>
          <w:sz w:val="14"/>
          <w:szCs w:val="14"/>
        </w:rPr>
        <w:t>).</w:t>
      </w:r>
    </w:p>
  </w:footnote>
  <w:footnote w:id="129">
    <w:p w14:paraId="666FB92A" w14:textId="77777777" w:rsidR="000A0954" w:rsidRPr="00A748CB" w:rsidRDefault="000A0954" w:rsidP="000A0954">
      <w:pPr>
        <w:pStyle w:val="TEXTBODY"/>
        <w:spacing w:after="0" w:line="240" w:lineRule="auto"/>
        <w:rPr>
          <w:rFonts w:eastAsia="RijksoverheidSansText-Regular" w:cs="Arial"/>
          <w:color w:val="000000"/>
          <w:sz w:val="14"/>
          <w:szCs w:val="14"/>
        </w:rPr>
      </w:pPr>
      <w:r w:rsidRPr="00416EFF">
        <w:rPr>
          <w:rStyle w:val="Refdenotaderodap"/>
          <w:sz w:val="14"/>
          <w:szCs w:val="14"/>
        </w:rPr>
        <w:footnoteRef/>
      </w:r>
      <w:r w:rsidRPr="00416EFF">
        <w:rPr>
          <w:sz w:val="14"/>
          <w:szCs w:val="14"/>
        </w:rPr>
        <w:t xml:space="preserve"> </w:t>
      </w:r>
      <w:r w:rsidRPr="00A748CB">
        <w:rPr>
          <w:sz w:val="14"/>
          <w:szCs w:val="14"/>
        </w:rPr>
        <w:t>To identify ATPs, the DP Team and Subprogrammes</w:t>
      </w:r>
      <w:r w:rsidRPr="00A748CB">
        <w:rPr>
          <w:rFonts w:eastAsia="RijksoverheidSansText-Regular" w:cs="Arial"/>
          <w:i/>
          <w:iCs/>
          <w:sz w:val="14"/>
          <w:szCs w:val="14"/>
        </w:rPr>
        <w:t xml:space="preserve"> </w:t>
      </w:r>
      <w:r w:rsidRPr="00A748CB">
        <w:rPr>
          <w:rFonts w:eastAsia="RijksoverheidSansText-Regular" w:cs="Arial"/>
          <w:sz w:val="14"/>
          <w:szCs w:val="14"/>
        </w:rPr>
        <w:t xml:space="preserve">addressed the </w:t>
      </w:r>
      <w:r w:rsidRPr="00416EFF">
        <w:rPr>
          <w:rFonts w:eastAsia="RijksoverheidSansText-Regular" w:cs="Arial"/>
          <w:color w:val="000000"/>
          <w:sz w:val="14"/>
          <w:szCs w:val="14"/>
        </w:rPr>
        <w:t>question of ‘</w:t>
      </w:r>
      <w:r w:rsidRPr="00416EFF">
        <w:rPr>
          <w:rFonts w:eastAsia="RijksoverheidSansText-Regular" w:cs="Arial"/>
          <w:i/>
          <w:iCs/>
          <w:color w:val="000000"/>
          <w:sz w:val="14"/>
          <w:szCs w:val="14"/>
        </w:rPr>
        <w:t>how long the current policy will suffice</w:t>
      </w:r>
      <w:r w:rsidRPr="00416EFF">
        <w:rPr>
          <w:rFonts w:eastAsia="RijksoverheidSansText-Regular" w:cs="Arial"/>
          <w:color w:val="000000"/>
          <w:sz w:val="14"/>
          <w:szCs w:val="14"/>
        </w:rPr>
        <w:t>’</w:t>
      </w:r>
      <w:r w:rsidRPr="00416EFF">
        <w:rPr>
          <w:rFonts w:eastAsia="RijksoverheidSansText-Regular" w:cs="Arial"/>
          <w:i/>
          <w:iCs/>
          <w:color w:val="000000"/>
          <w:sz w:val="14"/>
          <w:szCs w:val="14"/>
        </w:rPr>
        <w:t xml:space="preserve"> </w:t>
      </w:r>
      <w:r w:rsidRPr="00416EFF">
        <w:rPr>
          <w:rFonts w:eastAsia="RijksoverheidSansText-Regular" w:cs="Arial"/>
          <w:color w:val="000000"/>
          <w:sz w:val="14"/>
          <w:szCs w:val="14"/>
        </w:rPr>
        <w:t>and ‘</w:t>
      </w:r>
      <w:r w:rsidRPr="00416EFF">
        <w:rPr>
          <w:rFonts w:eastAsia="RijksoverheidSansText-Regular" w:cs="Arial"/>
          <w:i/>
          <w:iCs/>
          <w:color w:val="000000"/>
          <w:sz w:val="14"/>
          <w:szCs w:val="14"/>
        </w:rPr>
        <w:t xml:space="preserve">when the tipping-point (at which a policy is no </w:t>
      </w:r>
      <w:r w:rsidRPr="00A748CB">
        <w:rPr>
          <w:rFonts w:eastAsia="RijksoverheidSansText-Regular" w:cs="Arial"/>
          <w:i/>
          <w:iCs/>
          <w:color w:val="000000"/>
          <w:sz w:val="14"/>
          <w:szCs w:val="14"/>
        </w:rPr>
        <w:t>longer tenable) will be reached</w:t>
      </w:r>
      <w:r w:rsidRPr="00A748CB">
        <w:rPr>
          <w:rFonts w:eastAsia="RijksoverheidSansText-Regular" w:cs="Arial"/>
          <w:color w:val="000000"/>
          <w:sz w:val="14"/>
          <w:szCs w:val="14"/>
        </w:rPr>
        <w:t>’</w:t>
      </w:r>
      <w:r w:rsidRPr="00A748CB">
        <w:rPr>
          <w:rFonts w:eastAsia="RijksoverheidSansText-Regular" w:cs="Arial"/>
          <w:i/>
          <w:iCs/>
          <w:color w:val="000000"/>
          <w:sz w:val="14"/>
          <w:szCs w:val="14"/>
        </w:rPr>
        <w:t xml:space="preserve"> </w:t>
      </w:r>
      <w:r w:rsidRPr="00A748CB">
        <w:rPr>
          <w:rFonts w:eastAsia="RijksoverheidSansText-Regular" w:cs="Arial"/>
          <w:color w:val="000000"/>
          <w:sz w:val="14"/>
          <w:szCs w:val="14"/>
        </w:rPr>
        <w:t>(</w:t>
      </w:r>
      <w:r w:rsidRPr="00A748CB">
        <w:rPr>
          <w:rFonts w:eastAsia="RijksoverheidSansText-Regular" w:cs="Arial"/>
          <w:color w:val="7F7F7F" w:themeColor="text1" w:themeTint="80"/>
          <w:sz w:val="14"/>
          <w:szCs w:val="14"/>
        </w:rPr>
        <w:t>DP 2010, p.68</w:t>
      </w:r>
      <w:r w:rsidRPr="00A748CB">
        <w:rPr>
          <w:rFonts w:eastAsia="RijksoverheidSansText-Regular" w:cs="Arial"/>
          <w:color w:val="000000"/>
          <w:sz w:val="14"/>
          <w:szCs w:val="14"/>
        </w:rPr>
        <w:t>).</w:t>
      </w:r>
      <w:r w:rsidRPr="00A748CB">
        <w:rPr>
          <w:rFonts w:eastAsia="RijksoverheidSansText-Regular" w:cs="Arial"/>
          <w:color w:val="000000"/>
          <w:sz w:val="12"/>
          <w:szCs w:val="12"/>
        </w:rPr>
        <w:t xml:space="preserve">  </w:t>
      </w:r>
      <w:r w:rsidRPr="00A748CB">
        <w:rPr>
          <w:rFonts w:eastAsia="RijksoverheidSansText-Regular" w:cs="Arial"/>
          <w:color w:val="000000"/>
          <w:sz w:val="14"/>
          <w:szCs w:val="14"/>
        </w:rPr>
        <w:t>The DP used scenarios to</w:t>
      </w:r>
      <w:r w:rsidRPr="00A748CB">
        <w:rPr>
          <w:rFonts w:eastAsia="RijksoverheidSansText-Regular" w:cs="Arial"/>
          <w:i/>
          <w:iCs/>
          <w:color w:val="000000"/>
          <w:sz w:val="14"/>
          <w:szCs w:val="14"/>
        </w:rPr>
        <w:t xml:space="preserve"> map out how much longer current policy and management are</w:t>
      </w:r>
      <w:r w:rsidRPr="00A748CB">
        <w:rPr>
          <w:rFonts w:ascii="RijksoverheidSansText-Regular" w:eastAsia="RijksoverheidSansText-Regular" w:hAnsiTheme="minorHAnsi" w:cs="RijksoverheidSansText-Regular"/>
          <w:i/>
          <w:iCs/>
          <w:sz w:val="14"/>
          <w:szCs w:val="14"/>
          <w:lang w:eastAsia="en-US"/>
        </w:rPr>
        <w:t xml:space="preserve"> </w:t>
      </w:r>
      <w:r w:rsidRPr="00A748CB">
        <w:rPr>
          <w:rFonts w:eastAsia="RijksoverheidSansText-Regular" w:cs="Arial"/>
          <w:i/>
          <w:iCs/>
          <w:color w:val="000000"/>
          <w:sz w:val="14"/>
          <w:szCs w:val="14"/>
        </w:rPr>
        <w:t>expected to suffice and when adjustments will be required; in other words, when will we reach the tipping points for our water system</w:t>
      </w:r>
      <w:r w:rsidRPr="00A748CB">
        <w:rPr>
          <w:rFonts w:eastAsia="RijksoverheidSansText-Regular" w:cs="Arial"/>
          <w:color w:val="000000"/>
          <w:sz w:val="14"/>
          <w:szCs w:val="14"/>
        </w:rPr>
        <w:t xml:space="preserve"> (</w:t>
      </w:r>
      <w:r w:rsidRPr="00A748CB">
        <w:rPr>
          <w:rFonts w:eastAsia="RijksoverheidSansText-Regular" w:cs="Arial"/>
          <w:color w:val="7F7F7F" w:themeColor="text1" w:themeTint="80"/>
          <w:sz w:val="14"/>
          <w:szCs w:val="14"/>
        </w:rPr>
        <w:t>DP 2010, p.3-4, 32, 36, 68-69</w:t>
      </w:r>
      <w:r w:rsidRPr="00A748CB">
        <w:rPr>
          <w:rFonts w:eastAsia="RijksoverheidSansText-Regular" w:cs="Arial"/>
          <w:color w:val="000000"/>
          <w:sz w:val="14"/>
          <w:szCs w:val="14"/>
        </w:rPr>
        <w:t>).</w:t>
      </w:r>
    </w:p>
    <w:p w14:paraId="671F5BBE" w14:textId="77777777" w:rsidR="000A0954" w:rsidRPr="00A748CB" w:rsidRDefault="000A0954" w:rsidP="000A0954">
      <w:pPr>
        <w:pStyle w:val="TEXTBODY"/>
        <w:spacing w:after="0" w:line="240" w:lineRule="auto"/>
        <w:rPr>
          <w:rFonts w:eastAsia="RijksoverheidSansText-Regular" w:cs="Arial"/>
          <w:color w:val="000000"/>
          <w:sz w:val="16"/>
          <w:szCs w:val="16"/>
        </w:rPr>
      </w:pPr>
      <w:r w:rsidRPr="00A748CB">
        <w:rPr>
          <w:sz w:val="14"/>
          <w:szCs w:val="14"/>
        </w:rPr>
        <w:t xml:space="preserve">In 2011/2012, the DP stimulated the Subprogrammes to assess </w:t>
      </w:r>
      <w:r w:rsidRPr="00A748CB">
        <w:rPr>
          <w:i/>
          <w:sz w:val="14"/>
          <w:szCs w:val="14"/>
        </w:rPr>
        <w:t xml:space="preserve">how much longer current policies and management practices were expected to suffice and when adjustments would be required </w:t>
      </w:r>
      <w:r w:rsidRPr="00A748CB">
        <w:rPr>
          <w:sz w:val="14"/>
          <w:szCs w:val="14"/>
        </w:rPr>
        <w:t>(</w:t>
      </w:r>
      <w:r w:rsidRPr="00A748CB">
        <w:rPr>
          <w:color w:val="7F7F7F" w:themeColor="text1" w:themeTint="80"/>
          <w:sz w:val="14"/>
          <w:szCs w:val="14"/>
        </w:rPr>
        <w:t>Werners et al. 2016</w:t>
      </w:r>
      <w:r w:rsidRPr="00A748CB">
        <w:rPr>
          <w:sz w:val="14"/>
          <w:szCs w:val="14"/>
        </w:rPr>
        <w:t>) – which is related with the identification of the first ATPs: a failure of existing policy or management measures.</w:t>
      </w:r>
    </w:p>
  </w:footnote>
  <w:footnote w:id="130">
    <w:p w14:paraId="390F7FE9" w14:textId="77777777" w:rsidR="000A0954" w:rsidRPr="00B46422" w:rsidRDefault="000A0954" w:rsidP="000A0954">
      <w:pPr>
        <w:pStyle w:val="Textodenotaderodap"/>
        <w:rPr>
          <w:sz w:val="14"/>
          <w:szCs w:val="14"/>
        </w:rPr>
      </w:pPr>
      <w:r w:rsidRPr="00A748CB">
        <w:rPr>
          <w:rStyle w:val="Refdenotaderodap"/>
          <w:sz w:val="14"/>
          <w:szCs w:val="14"/>
        </w:rPr>
        <w:footnoteRef/>
      </w:r>
      <w:r w:rsidRPr="00A748CB">
        <w:rPr>
          <w:sz w:val="14"/>
          <w:szCs w:val="14"/>
        </w:rPr>
        <w:t xml:space="preserve"> In the DP, the </w:t>
      </w:r>
      <w:r w:rsidRPr="00A748CB">
        <w:rPr>
          <w:i/>
          <w:iCs/>
          <w:sz w:val="14"/>
          <w:szCs w:val="14"/>
        </w:rPr>
        <w:t>decision-moments</w:t>
      </w:r>
      <w:r w:rsidRPr="00A748CB">
        <w:rPr>
          <w:sz w:val="14"/>
          <w:szCs w:val="14"/>
        </w:rPr>
        <w:t xml:space="preserve"> and </w:t>
      </w:r>
      <w:r w:rsidRPr="00A748CB">
        <w:rPr>
          <w:i/>
          <w:iCs/>
          <w:sz w:val="14"/>
          <w:szCs w:val="14"/>
        </w:rPr>
        <w:t>implementation-moments</w:t>
      </w:r>
      <w:r w:rsidRPr="00A748CB">
        <w:rPr>
          <w:sz w:val="14"/>
          <w:szCs w:val="14"/>
        </w:rPr>
        <w:t xml:space="preserve"> depend on the ATPs of measures, but also on the lead-time required for designing and implementing a measure, and on early opportunities to combine measures with other investments (</w:t>
      </w:r>
      <w:proofErr w:type="spellStart"/>
      <w:r w:rsidRPr="00A748CB">
        <w:rPr>
          <w:color w:val="7F7F7F" w:themeColor="text1" w:themeTint="80"/>
          <w:sz w:val="14"/>
          <w:szCs w:val="14"/>
        </w:rPr>
        <w:t>Jeuken</w:t>
      </w:r>
      <w:proofErr w:type="spellEnd"/>
      <w:r w:rsidRPr="00A748CB">
        <w:rPr>
          <w:color w:val="7F7F7F" w:themeColor="text1" w:themeTint="80"/>
          <w:sz w:val="14"/>
          <w:szCs w:val="14"/>
        </w:rPr>
        <w:t xml:space="preserve"> and Reeder 2011, p.5</w:t>
      </w:r>
      <w:r w:rsidRPr="00A748CB">
        <w:rPr>
          <w:sz w:val="14"/>
          <w:szCs w:val="14"/>
        </w:rPr>
        <w:t xml:space="preserve">). To determine moment to take a decision (so-called ‘decision-point’), the Teams used various </w:t>
      </w:r>
      <w:proofErr w:type="gramStart"/>
      <w:r w:rsidRPr="00A748CB">
        <w:rPr>
          <w:sz w:val="14"/>
          <w:szCs w:val="14"/>
        </w:rPr>
        <w:t>scenarios, and</w:t>
      </w:r>
      <w:proofErr w:type="gramEnd"/>
      <w:r w:rsidRPr="00A748CB">
        <w:rPr>
          <w:sz w:val="14"/>
          <w:szCs w:val="14"/>
        </w:rPr>
        <w:t xml:space="preserve"> took into account the lead-time required for planning and implementing a measure and its complexity</w:t>
      </w:r>
      <w:r w:rsidRPr="00A748CB">
        <w:rPr>
          <w:i/>
          <w:sz w:val="14"/>
          <w:szCs w:val="14"/>
        </w:rPr>
        <w:t xml:space="preserve">. </w:t>
      </w:r>
      <w:r w:rsidRPr="00A748CB">
        <w:rPr>
          <w:sz w:val="14"/>
          <w:szCs w:val="14"/>
        </w:rPr>
        <w:t>The ‘decision-point’ is reached earlier than the ATP (</w:t>
      </w:r>
      <w:proofErr w:type="spellStart"/>
      <w:r w:rsidRPr="00A748CB">
        <w:rPr>
          <w:color w:val="7F7F7F" w:themeColor="text1" w:themeTint="80"/>
          <w:sz w:val="14"/>
          <w:szCs w:val="14"/>
        </w:rPr>
        <w:t>Jeuken</w:t>
      </w:r>
      <w:proofErr w:type="spellEnd"/>
      <w:r w:rsidRPr="00A748CB">
        <w:rPr>
          <w:color w:val="7F7F7F" w:themeColor="text1" w:themeTint="80"/>
          <w:sz w:val="14"/>
          <w:szCs w:val="14"/>
        </w:rPr>
        <w:t xml:space="preserve"> and Reeder 2011, p.6</w:t>
      </w:r>
      <w:r w:rsidRPr="00A748CB">
        <w:rPr>
          <w:sz w:val="14"/>
          <w:szCs w:val="14"/>
        </w:rPr>
        <w:t>). The decision-moments and implementation-moments depend on the ATPs of measures, but also on earlier opportunities to combine measures with other objectives, investments, and agendas (</w:t>
      </w:r>
      <w:proofErr w:type="spellStart"/>
      <w:r w:rsidRPr="00A748CB">
        <w:rPr>
          <w:color w:val="7F7F7F" w:themeColor="text1" w:themeTint="80"/>
          <w:sz w:val="14"/>
          <w:szCs w:val="14"/>
        </w:rPr>
        <w:t>Jeuken</w:t>
      </w:r>
      <w:proofErr w:type="spellEnd"/>
      <w:r w:rsidRPr="00A748CB">
        <w:rPr>
          <w:color w:val="7F7F7F" w:themeColor="text1" w:themeTint="80"/>
          <w:sz w:val="14"/>
          <w:szCs w:val="14"/>
        </w:rPr>
        <w:t xml:space="preserve"> and Reeder 2011, p.5</w:t>
      </w:r>
      <w:r w:rsidRPr="00A748CB">
        <w:rPr>
          <w:sz w:val="14"/>
          <w:szCs w:val="14"/>
        </w:rPr>
        <w:t>).</w:t>
      </w:r>
    </w:p>
  </w:footnote>
  <w:footnote w:id="131">
    <w:p w14:paraId="22AAD919" w14:textId="77777777" w:rsidR="000A0954" w:rsidRPr="000A40A4" w:rsidRDefault="000A0954" w:rsidP="000A0954">
      <w:pPr>
        <w:pStyle w:val="Textodenotaderodap"/>
        <w:rPr>
          <w:sz w:val="14"/>
          <w:szCs w:val="14"/>
        </w:rPr>
      </w:pPr>
      <w:r w:rsidRPr="00B1163F">
        <w:rPr>
          <w:rStyle w:val="Refdenotaderodap"/>
          <w:sz w:val="14"/>
          <w:szCs w:val="14"/>
        </w:rPr>
        <w:footnoteRef/>
      </w:r>
      <w:r w:rsidRPr="00B1163F">
        <w:rPr>
          <w:sz w:val="14"/>
          <w:szCs w:val="14"/>
        </w:rPr>
        <w:t xml:space="preserve"> T</w:t>
      </w:r>
      <w:r w:rsidRPr="00B1163F">
        <w:rPr>
          <w:rFonts w:eastAsia="Times New Roman"/>
          <w:sz w:val="14"/>
          <w:szCs w:val="14"/>
        </w:rPr>
        <w:t xml:space="preserve">he </w:t>
      </w:r>
      <w:r w:rsidRPr="00B1163F">
        <w:rPr>
          <w:sz w:val="14"/>
          <w:szCs w:val="14"/>
        </w:rPr>
        <w:t xml:space="preserve">DP’s ADM </w:t>
      </w:r>
      <w:r w:rsidRPr="00B1163F">
        <w:rPr>
          <w:rFonts w:eastAsia="Times New Roman"/>
          <w:sz w:val="14"/>
          <w:szCs w:val="14"/>
        </w:rPr>
        <w:t xml:space="preserve">approach utilizes scenarios, tipping-points and adaptation pathways </w:t>
      </w:r>
      <w:r w:rsidRPr="00B1163F">
        <w:rPr>
          <w:rFonts w:eastAsia="Times New Roman"/>
          <w:i/>
          <w:iCs/>
          <w:sz w:val="14"/>
          <w:szCs w:val="14"/>
        </w:rPr>
        <w:t>to make strategies more</w:t>
      </w:r>
      <w:r w:rsidRPr="00B1163F">
        <w:rPr>
          <w:i/>
          <w:iCs/>
          <w:sz w:val="14"/>
          <w:szCs w:val="14"/>
        </w:rPr>
        <w:t xml:space="preserve"> </w:t>
      </w:r>
      <w:r w:rsidRPr="00B1163F">
        <w:rPr>
          <w:rFonts w:eastAsia="Times New Roman"/>
          <w:i/>
          <w:iCs/>
          <w:sz w:val="14"/>
          <w:szCs w:val="14"/>
        </w:rPr>
        <w:t>robust and flexible</w:t>
      </w:r>
      <w:r w:rsidRPr="00B1163F">
        <w:rPr>
          <w:sz w:val="14"/>
          <w:szCs w:val="14"/>
        </w:rPr>
        <w:t xml:space="preserve"> (</w:t>
      </w:r>
      <w:proofErr w:type="spellStart"/>
      <w:r w:rsidRPr="00B1163F">
        <w:rPr>
          <w:color w:val="7F7F7F" w:themeColor="text1" w:themeTint="80"/>
          <w:sz w:val="14"/>
          <w:szCs w:val="14"/>
        </w:rPr>
        <w:t>Restemeyer</w:t>
      </w:r>
      <w:proofErr w:type="spellEnd"/>
      <w:r w:rsidRPr="00B1163F">
        <w:rPr>
          <w:color w:val="7F7F7F" w:themeColor="text1" w:themeTint="80"/>
          <w:sz w:val="14"/>
          <w:szCs w:val="14"/>
        </w:rPr>
        <w:t xml:space="preserve"> et al. 2017, p.935</w:t>
      </w:r>
      <w:r w:rsidRPr="00B1163F">
        <w:rPr>
          <w:sz w:val="14"/>
          <w:szCs w:val="14"/>
        </w:rPr>
        <w:t xml:space="preserve">). </w:t>
      </w:r>
      <w:r>
        <w:rPr>
          <w:sz w:val="14"/>
          <w:szCs w:val="14"/>
        </w:rPr>
        <w:t xml:space="preserve"> </w:t>
      </w:r>
      <w:r w:rsidRPr="000A40A4">
        <w:rPr>
          <w:sz w:val="14"/>
          <w:szCs w:val="14"/>
          <w:lang w:val="en-US"/>
        </w:rPr>
        <w:t xml:space="preserve">One of the </w:t>
      </w:r>
      <w:r w:rsidRPr="000A40A4">
        <w:rPr>
          <w:i/>
          <w:iCs/>
          <w:sz w:val="14"/>
          <w:szCs w:val="14"/>
          <w:lang w:val="en-US"/>
        </w:rPr>
        <w:t>building blocks</w:t>
      </w:r>
      <w:r w:rsidRPr="000A40A4">
        <w:rPr>
          <w:sz w:val="14"/>
          <w:szCs w:val="14"/>
          <w:lang w:val="en-US"/>
        </w:rPr>
        <w:t xml:space="preserve"> for ADM is </w:t>
      </w:r>
      <w:r w:rsidRPr="000A40A4">
        <w:rPr>
          <w:i/>
          <w:iCs/>
          <w:sz w:val="14"/>
          <w:szCs w:val="14"/>
          <w:lang w:val="en-US"/>
        </w:rPr>
        <w:t>the development of adaptive pathways</w:t>
      </w:r>
      <w:r w:rsidRPr="000A40A4">
        <w:rPr>
          <w:sz w:val="14"/>
          <w:szCs w:val="14"/>
          <w:lang w:val="en-US"/>
        </w:rPr>
        <w:t xml:space="preserve"> (</w:t>
      </w:r>
      <w:r w:rsidRPr="000A40A4">
        <w:rPr>
          <w:color w:val="7F7F7F" w:themeColor="text1" w:themeTint="80"/>
          <w:sz w:val="14"/>
          <w:szCs w:val="14"/>
          <w:lang w:val="en-US"/>
        </w:rPr>
        <w:t>Marchand and Ludwig 2014, p.17</w:t>
      </w:r>
      <w:r w:rsidRPr="000A40A4">
        <w:rPr>
          <w:sz w:val="14"/>
          <w:szCs w:val="14"/>
          <w:lang w:val="en-US"/>
        </w:rPr>
        <w:t>).</w:t>
      </w:r>
    </w:p>
  </w:footnote>
  <w:footnote w:id="132">
    <w:p w14:paraId="0F576A8D" w14:textId="77777777" w:rsidR="000A0954" w:rsidRPr="001522F8" w:rsidRDefault="000A0954" w:rsidP="000A0954">
      <w:pPr>
        <w:pStyle w:val="Textodenotaderodap"/>
        <w:rPr>
          <w:sz w:val="14"/>
          <w:szCs w:val="14"/>
        </w:rPr>
      </w:pPr>
      <w:r w:rsidRPr="000A40A4">
        <w:rPr>
          <w:rStyle w:val="Refdenotaderodap"/>
          <w:sz w:val="14"/>
          <w:szCs w:val="14"/>
        </w:rPr>
        <w:footnoteRef/>
      </w:r>
      <w:r w:rsidRPr="000A40A4">
        <w:rPr>
          <w:sz w:val="14"/>
          <w:szCs w:val="14"/>
        </w:rPr>
        <w:t xml:space="preserve"> To design the adaptation pathways, the method of </w:t>
      </w:r>
      <w:proofErr w:type="spellStart"/>
      <w:r w:rsidRPr="000A40A4">
        <w:rPr>
          <w:color w:val="7F7F7F" w:themeColor="text1" w:themeTint="80"/>
          <w:sz w:val="14"/>
          <w:szCs w:val="14"/>
        </w:rPr>
        <w:t>Haasnoot</w:t>
      </w:r>
      <w:proofErr w:type="spellEnd"/>
      <w:r w:rsidRPr="000A40A4">
        <w:rPr>
          <w:color w:val="7F7F7F" w:themeColor="text1" w:themeTint="80"/>
          <w:sz w:val="14"/>
          <w:szCs w:val="14"/>
        </w:rPr>
        <w:t xml:space="preserve"> et al. (2012, 2013) </w:t>
      </w:r>
      <w:r w:rsidRPr="000A40A4">
        <w:rPr>
          <w:sz w:val="14"/>
          <w:szCs w:val="14"/>
        </w:rPr>
        <w:t>could be used; pathways could be designed as</w:t>
      </w:r>
      <w:r w:rsidRPr="000A40A4">
        <w:rPr>
          <w:b/>
          <w:bCs/>
          <w:sz w:val="14"/>
          <w:szCs w:val="14"/>
        </w:rPr>
        <w:t xml:space="preserve"> series</w:t>
      </w:r>
      <w:r w:rsidRPr="000A40A4">
        <w:rPr>
          <w:sz w:val="14"/>
          <w:szCs w:val="14"/>
        </w:rPr>
        <w:t xml:space="preserve"> of sequenced measures that provide a</w:t>
      </w:r>
      <w:r w:rsidRPr="001522F8">
        <w:rPr>
          <w:sz w:val="14"/>
          <w:szCs w:val="14"/>
        </w:rPr>
        <w:t xml:space="preserve"> solution to problems (</w:t>
      </w:r>
      <w:r w:rsidRPr="001522F8">
        <w:rPr>
          <w:i/>
          <w:iCs/>
          <w:sz w:val="14"/>
          <w:szCs w:val="14"/>
        </w:rPr>
        <w:t>in</w:t>
      </w:r>
      <w:r w:rsidRPr="001522F8">
        <w:rPr>
          <w:sz w:val="14"/>
          <w:szCs w:val="14"/>
        </w:rPr>
        <w:t xml:space="preserve"> </w:t>
      </w:r>
      <w:r w:rsidRPr="001522F8">
        <w:rPr>
          <w:color w:val="7F7F7F" w:themeColor="text1" w:themeTint="80"/>
          <w:sz w:val="14"/>
          <w:szCs w:val="14"/>
        </w:rPr>
        <w:t>Brugge and Bruggeman</w:t>
      </w:r>
      <w:r w:rsidRPr="001522F8">
        <w:rPr>
          <w:sz w:val="14"/>
          <w:szCs w:val="14"/>
        </w:rPr>
        <w:t xml:space="preserve">). </w:t>
      </w:r>
    </w:p>
    <w:p w14:paraId="279F6E3A" w14:textId="77777777" w:rsidR="000A0954" w:rsidRPr="001522F8" w:rsidRDefault="000A0954" w:rsidP="000A0954">
      <w:pPr>
        <w:pStyle w:val="Textodenotaderodap"/>
        <w:rPr>
          <w:sz w:val="14"/>
          <w:szCs w:val="14"/>
        </w:rPr>
      </w:pPr>
      <w:r w:rsidRPr="001522F8">
        <w:rPr>
          <w:sz w:val="14"/>
          <w:szCs w:val="14"/>
        </w:rPr>
        <w:t>The APs approach is one of the Adaptive Planning approaches (</w:t>
      </w:r>
      <w:proofErr w:type="spellStart"/>
      <w:r w:rsidRPr="001522F8">
        <w:rPr>
          <w:color w:val="7F7F7F" w:themeColor="text1" w:themeTint="80"/>
          <w:sz w:val="14"/>
          <w:szCs w:val="14"/>
        </w:rPr>
        <w:t>Haasnoot</w:t>
      </w:r>
      <w:proofErr w:type="spellEnd"/>
      <w:r w:rsidRPr="001522F8">
        <w:rPr>
          <w:color w:val="7F7F7F" w:themeColor="text1" w:themeTint="80"/>
          <w:sz w:val="14"/>
          <w:szCs w:val="14"/>
        </w:rPr>
        <w:t xml:space="preserve"> et al. 2012, 2013; Walker et al. 2013</w:t>
      </w:r>
      <w:r w:rsidRPr="001522F8">
        <w:rPr>
          <w:sz w:val="14"/>
          <w:szCs w:val="14"/>
        </w:rPr>
        <w:t>).</w:t>
      </w:r>
    </w:p>
    <w:p w14:paraId="2A547A18" w14:textId="77777777" w:rsidR="000A0954" w:rsidRPr="001522F8" w:rsidRDefault="000A0954" w:rsidP="000A0954">
      <w:pPr>
        <w:pStyle w:val="TEXTBODY"/>
        <w:spacing w:after="0" w:line="240" w:lineRule="auto"/>
        <w:rPr>
          <w:sz w:val="14"/>
          <w:szCs w:val="14"/>
          <w:lang w:val="en-US"/>
        </w:rPr>
      </w:pPr>
      <w:r w:rsidRPr="001522F8">
        <w:rPr>
          <w:sz w:val="14"/>
          <w:szCs w:val="14"/>
        </w:rPr>
        <w:t xml:space="preserve">To develop </w:t>
      </w:r>
      <w:r w:rsidRPr="001522F8">
        <w:rPr>
          <w:i/>
          <w:iCs/>
          <w:sz w:val="14"/>
          <w:szCs w:val="14"/>
        </w:rPr>
        <w:t>flexible</w:t>
      </w:r>
      <w:r w:rsidRPr="001522F8">
        <w:rPr>
          <w:sz w:val="14"/>
          <w:szCs w:val="14"/>
        </w:rPr>
        <w:t xml:space="preserve"> </w:t>
      </w:r>
      <w:r w:rsidRPr="001522F8">
        <w:rPr>
          <w:i/>
          <w:iCs/>
          <w:sz w:val="14"/>
          <w:szCs w:val="14"/>
        </w:rPr>
        <w:t>strategies</w:t>
      </w:r>
      <w:r w:rsidRPr="001522F8">
        <w:rPr>
          <w:sz w:val="14"/>
          <w:szCs w:val="14"/>
        </w:rPr>
        <w:t>, the DP used the methods of ATPs and APs (the APs served to develop</w:t>
      </w:r>
      <w:r w:rsidRPr="001522F8">
        <w:rPr>
          <w:i/>
          <w:iCs/>
          <w:sz w:val="14"/>
          <w:szCs w:val="14"/>
        </w:rPr>
        <w:t xml:space="preserve"> flexible strategies</w:t>
      </w:r>
      <w:r w:rsidRPr="001522F8">
        <w:rPr>
          <w:sz w:val="14"/>
          <w:szCs w:val="14"/>
        </w:rPr>
        <w:t>) (</w:t>
      </w:r>
      <w:proofErr w:type="spellStart"/>
      <w:r w:rsidRPr="001522F8">
        <w:rPr>
          <w:color w:val="7F7F7F" w:themeColor="text1" w:themeTint="80"/>
          <w:sz w:val="14"/>
          <w:szCs w:val="14"/>
        </w:rPr>
        <w:t>Jeuken</w:t>
      </w:r>
      <w:proofErr w:type="spellEnd"/>
      <w:r w:rsidRPr="001522F8">
        <w:rPr>
          <w:color w:val="7F7F7F" w:themeColor="text1" w:themeTint="80"/>
          <w:sz w:val="14"/>
          <w:szCs w:val="14"/>
        </w:rPr>
        <w:t xml:space="preserve"> and Reeder 2011, p.5</w:t>
      </w:r>
      <w:r w:rsidRPr="001522F8">
        <w:rPr>
          <w:sz w:val="14"/>
          <w:szCs w:val="14"/>
        </w:rPr>
        <w:t xml:space="preserve">). The </w:t>
      </w:r>
      <w:r w:rsidRPr="001522F8">
        <w:rPr>
          <w:sz w:val="14"/>
          <w:szCs w:val="14"/>
          <w:lang w:val="en-US"/>
        </w:rPr>
        <w:t xml:space="preserve">method of adaptation pathways has been applied in all </w:t>
      </w:r>
      <w:proofErr w:type="spellStart"/>
      <w:r w:rsidRPr="001522F8">
        <w:rPr>
          <w:sz w:val="14"/>
          <w:szCs w:val="14"/>
          <w:lang w:val="en-US"/>
        </w:rPr>
        <w:t>Subprogrammes</w:t>
      </w:r>
      <w:proofErr w:type="spellEnd"/>
      <w:r w:rsidRPr="001522F8">
        <w:rPr>
          <w:sz w:val="14"/>
          <w:szCs w:val="14"/>
          <w:lang w:val="en-US"/>
        </w:rPr>
        <w:t xml:space="preserve"> (working with adaptation pathways) (</w:t>
      </w:r>
      <w:r w:rsidRPr="001522F8">
        <w:rPr>
          <w:color w:val="7F7F7F" w:themeColor="text1" w:themeTint="80"/>
          <w:sz w:val="14"/>
          <w:szCs w:val="14"/>
          <w:lang w:val="en-US"/>
        </w:rPr>
        <w:t>Marchand and Ludwig 2014, p.27</w:t>
      </w:r>
      <w:r w:rsidRPr="001522F8">
        <w:rPr>
          <w:sz w:val="14"/>
          <w:szCs w:val="14"/>
          <w:lang w:val="en-US"/>
        </w:rPr>
        <w:t>).</w:t>
      </w:r>
    </w:p>
    <w:p w14:paraId="05DCA817" w14:textId="77777777" w:rsidR="000A0954" w:rsidRPr="001522F8" w:rsidRDefault="000A0954" w:rsidP="000A0954">
      <w:pPr>
        <w:pStyle w:val="Textodenotaderodap"/>
        <w:rPr>
          <w:sz w:val="14"/>
          <w:szCs w:val="12"/>
        </w:rPr>
      </w:pPr>
      <w:r w:rsidRPr="001522F8">
        <w:rPr>
          <w:sz w:val="14"/>
          <w:szCs w:val="12"/>
        </w:rPr>
        <w:t xml:space="preserve">The APs approach, as employed in ADM, is an adaptive approach to design ‘strategies’ as pathways – i.e. </w:t>
      </w:r>
      <w:r w:rsidRPr="001522F8">
        <w:rPr>
          <w:i/>
          <w:iCs/>
          <w:sz w:val="14"/>
          <w:szCs w:val="12"/>
        </w:rPr>
        <w:t>to develop a set of measures along adaptive pathways</w:t>
      </w:r>
      <w:r w:rsidRPr="001522F8">
        <w:rPr>
          <w:sz w:val="14"/>
          <w:szCs w:val="12"/>
        </w:rPr>
        <w:t xml:space="preserve"> – which incorporates flexibility to switch to other measures and strategies when needed, in view uncertain future CC and socioeconomic developments (</w:t>
      </w:r>
      <w:r w:rsidRPr="001522F8">
        <w:rPr>
          <w:rFonts w:eastAsiaTheme="minorHAnsi"/>
          <w:i/>
          <w:iCs/>
          <w:sz w:val="14"/>
          <w:szCs w:val="14"/>
        </w:rPr>
        <w:t>an</w:t>
      </w:r>
      <w:r w:rsidRPr="001522F8">
        <w:rPr>
          <w:rFonts w:eastAsiaTheme="minorHAnsi"/>
          <w:i/>
          <w:iCs/>
          <w:color w:val="231F20"/>
          <w:sz w:val="14"/>
          <w:szCs w:val="14"/>
        </w:rPr>
        <w:t xml:space="preserve"> adaptive approach that allows for switching between strategies along adaptation pathways when needed in view of socio-economic developments or climate change</w:t>
      </w:r>
      <w:r w:rsidRPr="001522F8">
        <w:rPr>
          <w:rFonts w:eastAsiaTheme="minorHAnsi"/>
          <w:color w:val="231F20"/>
          <w:sz w:val="14"/>
          <w:szCs w:val="14"/>
        </w:rPr>
        <w:t xml:space="preserve">) </w:t>
      </w:r>
      <w:r w:rsidRPr="001522F8">
        <w:rPr>
          <w:color w:val="C00000"/>
          <w:sz w:val="14"/>
          <w:szCs w:val="12"/>
        </w:rPr>
        <w:t>(</w:t>
      </w:r>
      <w:r w:rsidRPr="001522F8">
        <w:rPr>
          <w:color w:val="7F7F7F" w:themeColor="text1" w:themeTint="80"/>
          <w:sz w:val="14"/>
          <w:szCs w:val="12"/>
        </w:rPr>
        <w:t xml:space="preserve">Haegen and </w:t>
      </w:r>
      <w:proofErr w:type="spellStart"/>
      <w:r w:rsidRPr="001522F8">
        <w:rPr>
          <w:color w:val="7F7F7F" w:themeColor="text1" w:themeTint="80"/>
          <w:sz w:val="14"/>
          <w:szCs w:val="12"/>
        </w:rPr>
        <w:t>Wieriks</w:t>
      </w:r>
      <w:proofErr w:type="spellEnd"/>
      <w:r w:rsidRPr="001522F8">
        <w:rPr>
          <w:color w:val="7F7F7F" w:themeColor="text1" w:themeTint="80"/>
          <w:sz w:val="14"/>
          <w:szCs w:val="12"/>
        </w:rPr>
        <w:t xml:space="preserve"> 2015, p.55, 54, 56</w:t>
      </w:r>
      <w:r w:rsidRPr="001522F8">
        <w:rPr>
          <w:color w:val="C00000"/>
          <w:sz w:val="14"/>
          <w:szCs w:val="12"/>
        </w:rPr>
        <w:t>)</w:t>
      </w:r>
      <w:r w:rsidRPr="001522F8">
        <w:rPr>
          <w:sz w:val="14"/>
          <w:szCs w:val="12"/>
        </w:rPr>
        <w:t>.</w:t>
      </w:r>
    </w:p>
  </w:footnote>
  <w:footnote w:id="133">
    <w:p w14:paraId="7D2924C3" w14:textId="77777777" w:rsidR="000A0954" w:rsidRPr="001522F8" w:rsidRDefault="000A0954" w:rsidP="000A0954">
      <w:pPr>
        <w:pStyle w:val="TEXTBODY"/>
        <w:spacing w:after="0" w:line="240" w:lineRule="auto"/>
        <w:rPr>
          <w:sz w:val="16"/>
          <w:szCs w:val="16"/>
        </w:rPr>
      </w:pPr>
      <w:r w:rsidRPr="001522F8">
        <w:rPr>
          <w:rStyle w:val="Refdenotaderodap"/>
          <w:sz w:val="14"/>
          <w:szCs w:val="14"/>
        </w:rPr>
        <w:footnoteRef/>
      </w:r>
      <w:r w:rsidRPr="001522F8">
        <w:rPr>
          <w:sz w:val="14"/>
          <w:szCs w:val="14"/>
        </w:rPr>
        <w:t xml:space="preserve"> Importantly, the development of the </w:t>
      </w:r>
      <w:r w:rsidRPr="001522F8">
        <w:rPr>
          <w:i/>
          <w:iCs/>
          <w:sz w:val="14"/>
          <w:szCs w:val="14"/>
        </w:rPr>
        <w:t>Preferential Strategies</w:t>
      </w:r>
      <w:r w:rsidRPr="001522F8">
        <w:rPr>
          <w:sz w:val="14"/>
          <w:szCs w:val="14"/>
        </w:rPr>
        <w:t xml:space="preserve"> was based on the ADM approach and its four basic principles</w:t>
      </w:r>
      <w:r w:rsidRPr="001522F8">
        <w:rPr>
          <w:b/>
          <w:bCs/>
          <w:sz w:val="14"/>
          <w:szCs w:val="14"/>
        </w:rPr>
        <w:t xml:space="preserve"> </w:t>
      </w:r>
      <w:r w:rsidRPr="001522F8">
        <w:rPr>
          <w:sz w:val="14"/>
          <w:szCs w:val="14"/>
        </w:rPr>
        <w:t>(</w:t>
      </w:r>
      <w:r w:rsidRPr="001522F8">
        <w:rPr>
          <w:color w:val="7F7F7F" w:themeColor="text1" w:themeTint="80"/>
          <w:sz w:val="14"/>
          <w:szCs w:val="14"/>
        </w:rPr>
        <w:t xml:space="preserve">DP 2014, p.47, 12; 2017, p.7; </w:t>
      </w:r>
      <w:r w:rsidRPr="001522F8">
        <w:rPr>
          <w:rFonts w:eastAsia="RijksoverheidSansText-Regular"/>
          <w:color w:val="7F7F7F" w:themeColor="text1" w:themeTint="80"/>
          <w:sz w:val="14"/>
          <w:szCs w:val="14"/>
        </w:rPr>
        <w:t>2011, p.18</w:t>
      </w:r>
      <w:r w:rsidRPr="001522F8">
        <w:rPr>
          <w:sz w:val="14"/>
          <w:szCs w:val="14"/>
        </w:rPr>
        <w:t xml:space="preserve">). Such principles are patent in the </w:t>
      </w:r>
      <w:r w:rsidRPr="001522F8">
        <w:rPr>
          <w:i/>
          <w:iCs/>
          <w:sz w:val="14"/>
          <w:szCs w:val="14"/>
        </w:rPr>
        <w:t>Preferential Strategies</w:t>
      </w:r>
      <w:r w:rsidRPr="001522F8">
        <w:rPr>
          <w:sz w:val="14"/>
          <w:szCs w:val="14"/>
        </w:rPr>
        <w:t xml:space="preserve"> in several ways, for example: P1 was met through</w:t>
      </w:r>
      <w:r w:rsidRPr="001522F8">
        <w:rPr>
          <w:i/>
          <w:iCs/>
          <w:sz w:val="14"/>
          <w:szCs w:val="14"/>
        </w:rPr>
        <w:t xml:space="preserve"> paths</w:t>
      </w:r>
      <w:r w:rsidRPr="001522F8">
        <w:rPr>
          <w:sz w:val="14"/>
          <w:szCs w:val="14"/>
        </w:rPr>
        <w:t xml:space="preserve"> that connect short-term measures to long-term tasks; P2 is ensured e.g. / mainly by taking measures</w:t>
      </w:r>
      <w:r w:rsidRPr="001522F8">
        <w:rPr>
          <w:i/>
          <w:iCs/>
          <w:sz w:val="14"/>
          <w:szCs w:val="14"/>
        </w:rPr>
        <w:t xml:space="preserve"> step-by-step</w:t>
      </w:r>
      <w:r w:rsidRPr="001522F8">
        <w:rPr>
          <w:sz w:val="14"/>
          <w:szCs w:val="14"/>
        </w:rPr>
        <w:t xml:space="preserve"> and </w:t>
      </w:r>
      <w:r w:rsidRPr="001522F8">
        <w:rPr>
          <w:i/>
          <w:iCs/>
          <w:sz w:val="14"/>
          <w:szCs w:val="14"/>
        </w:rPr>
        <w:t>leaving options open</w:t>
      </w:r>
      <w:r w:rsidRPr="001522F8">
        <w:rPr>
          <w:sz w:val="14"/>
          <w:szCs w:val="14"/>
        </w:rPr>
        <w:t>; P3 is reflected in the design of</w:t>
      </w:r>
      <w:r w:rsidRPr="001522F8">
        <w:rPr>
          <w:i/>
          <w:iCs/>
          <w:sz w:val="14"/>
          <w:szCs w:val="14"/>
        </w:rPr>
        <w:t xml:space="preserve"> adaptation paths</w:t>
      </w:r>
      <w:r w:rsidRPr="001522F8">
        <w:rPr>
          <w:sz w:val="14"/>
          <w:szCs w:val="14"/>
        </w:rPr>
        <w:t xml:space="preserve"> as part of each </w:t>
      </w:r>
      <w:r w:rsidRPr="001522F8">
        <w:rPr>
          <w:i/>
          <w:iCs/>
          <w:sz w:val="14"/>
          <w:szCs w:val="14"/>
        </w:rPr>
        <w:t xml:space="preserve">Preferential Strategy </w:t>
      </w:r>
      <w:r w:rsidRPr="001522F8">
        <w:rPr>
          <w:sz w:val="14"/>
          <w:szCs w:val="14"/>
        </w:rPr>
        <w:t xml:space="preserve">(a map of </w:t>
      </w:r>
      <w:r w:rsidRPr="001522F8">
        <w:rPr>
          <w:i/>
          <w:iCs/>
          <w:sz w:val="14"/>
          <w:szCs w:val="14"/>
        </w:rPr>
        <w:t>adaptation paths</w:t>
      </w:r>
      <w:r w:rsidRPr="001522F8">
        <w:rPr>
          <w:sz w:val="14"/>
          <w:szCs w:val="14"/>
        </w:rPr>
        <w:t xml:space="preserve"> was produced in each </w:t>
      </w:r>
      <w:r w:rsidRPr="001522F8">
        <w:rPr>
          <w:i/>
          <w:iCs/>
          <w:sz w:val="14"/>
          <w:szCs w:val="14"/>
        </w:rPr>
        <w:t>Preferential Strategy</w:t>
      </w:r>
      <w:r w:rsidRPr="001522F8">
        <w:rPr>
          <w:sz w:val="14"/>
          <w:szCs w:val="14"/>
        </w:rPr>
        <w:t xml:space="preserve">, indicating </w:t>
      </w:r>
      <w:r w:rsidRPr="001522F8">
        <w:rPr>
          <w:i/>
          <w:iCs/>
          <w:sz w:val="14"/>
          <w:szCs w:val="14"/>
        </w:rPr>
        <w:t xml:space="preserve">what </w:t>
      </w:r>
      <w:r w:rsidRPr="001522F8">
        <w:rPr>
          <w:sz w:val="14"/>
          <w:szCs w:val="14"/>
        </w:rPr>
        <w:t xml:space="preserve">and </w:t>
      </w:r>
      <w:r w:rsidRPr="001522F8">
        <w:rPr>
          <w:i/>
          <w:iCs/>
          <w:sz w:val="14"/>
          <w:szCs w:val="14"/>
        </w:rPr>
        <w:t xml:space="preserve">when </w:t>
      </w:r>
      <w:r w:rsidRPr="001522F8">
        <w:rPr>
          <w:sz w:val="14"/>
          <w:szCs w:val="14"/>
        </w:rPr>
        <w:t xml:space="preserve">measures are necessary; and, depending on actual developments, measures may be changed, switched, taken sooner or later); </w:t>
      </w:r>
      <w:r w:rsidRPr="001522F8">
        <w:rPr>
          <w:b/>
          <w:bCs/>
          <w:sz w:val="14"/>
          <w:szCs w:val="14"/>
        </w:rPr>
        <w:t xml:space="preserve">P4 </w:t>
      </w:r>
      <w:r w:rsidRPr="001522F8">
        <w:rPr>
          <w:sz w:val="14"/>
          <w:szCs w:val="14"/>
        </w:rPr>
        <w:t>was delivered by linking the FRM measures envisioned to other objectives and ambitions in the area (</w:t>
      </w:r>
      <w:r w:rsidRPr="001522F8">
        <w:rPr>
          <w:color w:val="7F7F7F" w:themeColor="text1" w:themeTint="80"/>
          <w:sz w:val="14"/>
          <w:szCs w:val="14"/>
        </w:rPr>
        <w:t>DP 2014, p.47</w:t>
      </w:r>
      <w:r w:rsidRPr="001522F8">
        <w:rPr>
          <w:sz w:val="14"/>
          <w:szCs w:val="14"/>
        </w:rPr>
        <w:t>).</w:t>
      </w:r>
    </w:p>
  </w:footnote>
  <w:footnote w:id="134">
    <w:p w14:paraId="2E7445B3" w14:textId="77777777" w:rsidR="000A0954" w:rsidRPr="001522F8" w:rsidRDefault="000A0954" w:rsidP="000A0954">
      <w:pPr>
        <w:pStyle w:val="TEXTBODY"/>
        <w:spacing w:after="0" w:line="240" w:lineRule="auto"/>
        <w:rPr>
          <w:sz w:val="14"/>
          <w:szCs w:val="14"/>
        </w:rPr>
      </w:pPr>
      <w:r w:rsidRPr="001522F8">
        <w:rPr>
          <w:rStyle w:val="Refdenotaderodap"/>
          <w:sz w:val="14"/>
          <w:szCs w:val="14"/>
        </w:rPr>
        <w:footnoteRef/>
      </w:r>
      <w:r w:rsidRPr="001522F8">
        <w:rPr>
          <w:sz w:val="14"/>
          <w:szCs w:val="14"/>
        </w:rPr>
        <w:t xml:space="preserve"> A </w:t>
      </w:r>
      <w:r w:rsidRPr="001522F8">
        <w:rPr>
          <w:i/>
          <w:iCs/>
          <w:sz w:val="14"/>
          <w:szCs w:val="14"/>
        </w:rPr>
        <w:t>Preferential Strategy</w:t>
      </w:r>
      <w:r w:rsidRPr="001522F8">
        <w:rPr>
          <w:sz w:val="14"/>
          <w:szCs w:val="14"/>
        </w:rPr>
        <w:t xml:space="preserve"> contains measures to address FRM tasks in the short- (2030), mid- (2050) and long-term (2100) </w:t>
      </w:r>
      <w:r w:rsidRPr="001522F8">
        <w:rPr>
          <w:rStyle w:val="Refdenotaderodap"/>
          <w:sz w:val="14"/>
          <w:szCs w:val="14"/>
        </w:rPr>
        <w:t xml:space="preserve"> </w:t>
      </w:r>
      <w:r w:rsidRPr="001522F8">
        <w:rPr>
          <w:sz w:val="14"/>
          <w:szCs w:val="14"/>
        </w:rPr>
        <w:t>(</w:t>
      </w:r>
      <w:r w:rsidRPr="001522F8">
        <w:rPr>
          <w:color w:val="7F7F7F" w:themeColor="text1" w:themeTint="80"/>
          <w:sz w:val="14"/>
          <w:szCs w:val="14"/>
        </w:rPr>
        <w:t>DP 2014, p.49, 6</w:t>
      </w:r>
      <w:r w:rsidRPr="001522F8">
        <w:rPr>
          <w:sz w:val="14"/>
          <w:szCs w:val="14"/>
        </w:rPr>
        <w:t xml:space="preserve">). </w:t>
      </w:r>
      <w:r w:rsidRPr="001522F8">
        <w:rPr>
          <w:rFonts w:cs="Arial"/>
          <w:sz w:val="14"/>
          <w:szCs w:val="14"/>
        </w:rPr>
        <w:t>A</w:t>
      </w:r>
      <w:r w:rsidRPr="001522F8">
        <w:rPr>
          <w:sz w:val="14"/>
          <w:szCs w:val="14"/>
        </w:rPr>
        <w:t xml:space="preserve"> </w:t>
      </w:r>
      <w:r w:rsidRPr="001522F8">
        <w:rPr>
          <w:i/>
          <w:iCs/>
          <w:sz w:val="14"/>
          <w:szCs w:val="14"/>
        </w:rPr>
        <w:t>Strategy</w:t>
      </w:r>
      <w:r w:rsidRPr="001522F8">
        <w:rPr>
          <w:sz w:val="14"/>
          <w:szCs w:val="14"/>
        </w:rPr>
        <w:t xml:space="preserve"> usually contains ‘options’ left open for future decision (envisioning long-term options in plans is a key feature of ADM); </w:t>
      </w:r>
      <w:r w:rsidRPr="001522F8">
        <w:rPr>
          <w:rFonts w:cs="Arial"/>
          <w:sz w:val="14"/>
          <w:szCs w:val="14"/>
        </w:rPr>
        <w:t xml:space="preserve">the final decision on the measures for the long-term will be taken later and will depend on the developments in the next decades. </w:t>
      </w:r>
      <w:r w:rsidRPr="001522F8">
        <w:rPr>
          <w:sz w:val="14"/>
          <w:szCs w:val="14"/>
        </w:rPr>
        <w:t>(</w:t>
      </w:r>
      <w:r w:rsidRPr="001522F8">
        <w:rPr>
          <w:color w:val="7F7F7F" w:themeColor="text1" w:themeTint="80"/>
          <w:sz w:val="14"/>
          <w:szCs w:val="14"/>
        </w:rPr>
        <w:t>DP 2014, p.49, 62</w:t>
      </w:r>
      <w:r w:rsidRPr="001522F8">
        <w:rPr>
          <w:sz w:val="14"/>
          <w:szCs w:val="14"/>
        </w:rPr>
        <w:t>).</w:t>
      </w:r>
    </w:p>
  </w:footnote>
  <w:footnote w:id="135">
    <w:p w14:paraId="3DA2BD6B" w14:textId="77777777" w:rsidR="000A0954" w:rsidRPr="001522F8" w:rsidRDefault="000A0954" w:rsidP="000A0954">
      <w:pPr>
        <w:pStyle w:val="TEXTBODY"/>
        <w:spacing w:after="0" w:line="240" w:lineRule="auto"/>
        <w:rPr>
          <w:color w:val="C00000"/>
          <w:sz w:val="14"/>
          <w:szCs w:val="14"/>
        </w:rPr>
      </w:pPr>
      <w:r w:rsidRPr="001522F8">
        <w:rPr>
          <w:rStyle w:val="Refdenotaderodap"/>
          <w:sz w:val="14"/>
          <w:szCs w:val="14"/>
        </w:rPr>
        <w:footnoteRef/>
      </w:r>
      <w:r w:rsidRPr="001522F8">
        <w:rPr>
          <w:sz w:val="14"/>
          <w:szCs w:val="14"/>
        </w:rPr>
        <w:t xml:space="preserve"> </w:t>
      </w:r>
      <w:r w:rsidRPr="001522F8">
        <w:rPr>
          <w:rFonts w:eastAsiaTheme="minorHAnsi"/>
          <w:sz w:val="14"/>
          <w:szCs w:val="14"/>
          <w:lang w:eastAsia="en-US"/>
        </w:rPr>
        <w:t xml:space="preserve">Each </w:t>
      </w:r>
      <w:r w:rsidRPr="001522F8">
        <w:rPr>
          <w:sz w:val="14"/>
          <w:szCs w:val="14"/>
        </w:rPr>
        <w:t>pathway is a sequence of actions over time to achieve the defined objectives (</w:t>
      </w:r>
      <w:r w:rsidRPr="001522F8">
        <w:rPr>
          <w:color w:val="7F7F7F" w:themeColor="text1" w:themeTint="80"/>
          <w:sz w:val="14"/>
          <w:szCs w:val="14"/>
        </w:rPr>
        <w:t>Marchand and Ludwig 2014, p.2, 13</w:t>
      </w:r>
      <w:r w:rsidRPr="001522F8">
        <w:rPr>
          <w:sz w:val="14"/>
          <w:szCs w:val="14"/>
        </w:rPr>
        <w:t xml:space="preserve">, based on </w:t>
      </w:r>
      <w:proofErr w:type="spellStart"/>
      <w:r w:rsidRPr="001522F8">
        <w:rPr>
          <w:color w:val="7F7F7F" w:themeColor="text1" w:themeTint="80"/>
          <w:sz w:val="14"/>
          <w:szCs w:val="14"/>
        </w:rPr>
        <w:t>Haasnoot</w:t>
      </w:r>
      <w:proofErr w:type="spellEnd"/>
      <w:r w:rsidRPr="001522F8">
        <w:rPr>
          <w:color w:val="7F7F7F" w:themeColor="text1" w:themeTint="80"/>
          <w:sz w:val="14"/>
          <w:szCs w:val="14"/>
        </w:rPr>
        <w:t xml:space="preserve"> 2013</w:t>
      </w:r>
      <w:r w:rsidRPr="001522F8">
        <w:rPr>
          <w:sz w:val="14"/>
          <w:szCs w:val="14"/>
        </w:rPr>
        <w:t>).</w:t>
      </w:r>
      <w:r w:rsidRPr="001522F8">
        <w:rPr>
          <w:iCs/>
          <w:sz w:val="14"/>
          <w:szCs w:val="14"/>
        </w:rPr>
        <w:t xml:space="preserve"> </w:t>
      </w:r>
      <w:r w:rsidRPr="001522F8">
        <w:rPr>
          <w:sz w:val="14"/>
          <w:szCs w:val="14"/>
        </w:rPr>
        <w:t>ADM</w:t>
      </w:r>
      <w:r w:rsidRPr="001522F8">
        <w:rPr>
          <w:color w:val="C00000"/>
          <w:sz w:val="14"/>
          <w:szCs w:val="14"/>
        </w:rPr>
        <w:t xml:space="preserve"> </w:t>
      </w:r>
      <w:r w:rsidRPr="001522F8">
        <w:rPr>
          <w:sz w:val="14"/>
          <w:szCs w:val="14"/>
        </w:rPr>
        <w:t>builds on the idea of developing diverse trajectories that the dynamic system might follow as time unfolds, i.e. various pathways (</w:t>
      </w:r>
      <w:r w:rsidRPr="001522F8">
        <w:rPr>
          <w:color w:val="7F7F7F" w:themeColor="text1" w:themeTint="80"/>
          <w:sz w:val="14"/>
          <w:szCs w:val="14"/>
        </w:rPr>
        <w:t>Zandvoort et al. 2018, p.190</w:t>
      </w:r>
      <w:r w:rsidRPr="001522F8">
        <w:rPr>
          <w:sz w:val="14"/>
          <w:szCs w:val="14"/>
        </w:rPr>
        <w:t xml:space="preserve">). </w:t>
      </w:r>
      <w:r w:rsidRPr="001522F8">
        <w:rPr>
          <w:rFonts w:eastAsiaTheme="minorHAnsi"/>
          <w:sz w:val="14"/>
          <w:szCs w:val="14"/>
          <w:lang w:eastAsia="en-US"/>
        </w:rPr>
        <w:t>According to this principle, adaptation pathways</w:t>
      </w:r>
      <w:r w:rsidRPr="001522F8">
        <w:rPr>
          <w:rFonts w:eastAsiaTheme="minorHAnsi"/>
          <w:i/>
          <w:iCs/>
          <w:sz w:val="14"/>
          <w:szCs w:val="14"/>
          <w:lang w:eastAsia="en-US"/>
        </w:rPr>
        <w:t xml:space="preserve"> </w:t>
      </w:r>
      <w:r w:rsidRPr="001522F8">
        <w:rPr>
          <w:sz w:val="14"/>
          <w:szCs w:val="14"/>
        </w:rPr>
        <w:t xml:space="preserve">should be created with successive actions over time, rather than a final solution defined for a certain point in the future </w:t>
      </w:r>
      <w:r w:rsidRPr="001522F8">
        <w:rPr>
          <w:color w:val="231F20"/>
          <w:sz w:val="14"/>
          <w:szCs w:val="14"/>
        </w:rPr>
        <w:t>(</w:t>
      </w:r>
      <w:r w:rsidRPr="001522F8">
        <w:rPr>
          <w:color w:val="7F7F7F" w:themeColor="text1" w:themeTint="80"/>
          <w:sz w:val="14"/>
          <w:szCs w:val="14"/>
        </w:rPr>
        <w:t>Rhee 2012,</w:t>
      </w:r>
      <w:r w:rsidRPr="001522F8">
        <w:rPr>
          <w:i/>
          <w:iCs/>
          <w:color w:val="7F7F7F" w:themeColor="text1" w:themeTint="80"/>
          <w:sz w:val="14"/>
          <w:szCs w:val="14"/>
        </w:rPr>
        <w:t xml:space="preserve"> in</w:t>
      </w:r>
      <w:r w:rsidRPr="001522F8">
        <w:rPr>
          <w:color w:val="7F7F7F" w:themeColor="text1" w:themeTint="80"/>
          <w:sz w:val="14"/>
          <w:szCs w:val="14"/>
        </w:rPr>
        <w:t xml:space="preserve"> Klijn et al. 2016, 2015</w:t>
      </w:r>
      <w:r w:rsidRPr="001522F8">
        <w:rPr>
          <w:color w:val="231F20"/>
          <w:sz w:val="14"/>
          <w:szCs w:val="14"/>
        </w:rPr>
        <w:t>).</w:t>
      </w:r>
      <w:r w:rsidRPr="001522F8">
        <w:rPr>
          <w:sz w:val="14"/>
          <w:szCs w:val="14"/>
        </w:rPr>
        <w:t xml:space="preserve"> Adaptation pathways offer ‘</w:t>
      </w:r>
      <w:r w:rsidRPr="001522F8">
        <w:rPr>
          <w:i/>
          <w:iCs/>
          <w:sz w:val="14"/>
          <w:szCs w:val="14"/>
        </w:rPr>
        <w:t>coherent sequences of measures and potential options, which may be triggered before an ATP occurs</w:t>
      </w:r>
      <w:r w:rsidRPr="001522F8">
        <w:rPr>
          <w:sz w:val="14"/>
          <w:szCs w:val="14"/>
        </w:rPr>
        <w:t>’ (</w:t>
      </w:r>
      <w:r w:rsidRPr="001522F8">
        <w:rPr>
          <w:color w:val="7F7F7F" w:themeColor="text1" w:themeTint="80"/>
          <w:sz w:val="14"/>
          <w:szCs w:val="14"/>
        </w:rPr>
        <w:t xml:space="preserve">Zevenbergen et al. 2018, </w:t>
      </w:r>
      <w:r w:rsidRPr="001522F8">
        <w:rPr>
          <w:sz w:val="14"/>
          <w:szCs w:val="14"/>
        </w:rPr>
        <w:t xml:space="preserve">based on </w:t>
      </w:r>
      <w:proofErr w:type="spellStart"/>
      <w:r w:rsidRPr="001522F8">
        <w:rPr>
          <w:color w:val="7F7F7F" w:themeColor="text1" w:themeTint="80"/>
          <w:sz w:val="14"/>
          <w:szCs w:val="14"/>
        </w:rPr>
        <w:t>Haasnoot</w:t>
      </w:r>
      <w:proofErr w:type="spellEnd"/>
      <w:r w:rsidRPr="001522F8">
        <w:rPr>
          <w:color w:val="7F7F7F" w:themeColor="text1" w:themeTint="80"/>
          <w:sz w:val="14"/>
          <w:szCs w:val="14"/>
        </w:rPr>
        <w:t xml:space="preserve"> et al. 2012, 2013</w:t>
      </w:r>
      <w:r w:rsidRPr="001522F8">
        <w:rPr>
          <w:sz w:val="14"/>
          <w:szCs w:val="14"/>
        </w:rPr>
        <w:t>).</w:t>
      </w:r>
      <w:r w:rsidRPr="001522F8">
        <w:rPr>
          <w:color w:val="231F20"/>
          <w:sz w:val="14"/>
          <w:szCs w:val="14"/>
        </w:rPr>
        <w:t xml:space="preserve"> Once a tipping-point is in sight, a switch to a new measure is needed, and, in this way, a pathway arises; t</w:t>
      </w:r>
      <w:r w:rsidRPr="001522F8">
        <w:rPr>
          <w:sz w:val="14"/>
          <w:szCs w:val="14"/>
        </w:rPr>
        <w:t>he various pathways provide possible trajectories to achieve the objectives (</w:t>
      </w:r>
      <w:proofErr w:type="spellStart"/>
      <w:r w:rsidRPr="001522F8">
        <w:rPr>
          <w:color w:val="7F7F7F" w:themeColor="text1" w:themeTint="80"/>
          <w:sz w:val="14"/>
          <w:szCs w:val="14"/>
        </w:rPr>
        <w:t>Haasnoot</w:t>
      </w:r>
      <w:proofErr w:type="spellEnd"/>
      <w:r w:rsidRPr="001522F8">
        <w:rPr>
          <w:color w:val="7F7F7F" w:themeColor="text1" w:themeTint="80"/>
          <w:sz w:val="14"/>
          <w:szCs w:val="14"/>
        </w:rPr>
        <w:t xml:space="preserve"> et al. 2012, </w:t>
      </w:r>
      <w:r w:rsidRPr="001522F8">
        <w:rPr>
          <w:i/>
          <w:iCs/>
          <w:color w:val="7F7F7F" w:themeColor="text1" w:themeTint="80"/>
          <w:sz w:val="14"/>
          <w:szCs w:val="14"/>
        </w:rPr>
        <w:t xml:space="preserve">in </w:t>
      </w:r>
      <w:r w:rsidRPr="001522F8">
        <w:rPr>
          <w:color w:val="7F7F7F" w:themeColor="text1" w:themeTint="80"/>
          <w:sz w:val="14"/>
          <w:szCs w:val="14"/>
        </w:rPr>
        <w:t>Zandvoort et al. 2018, p.191</w:t>
      </w:r>
      <w:r w:rsidRPr="001522F8">
        <w:rPr>
          <w:sz w:val="14"/>
          <w:szCs w:val="14"/>
        </w:rPr>
        <w:t xml:space="preserve">). In </w:t>
      </w:r>
      <w:r w:rsidRPr="001522F8">
        <w:rPr>
          <w:color w:val="231F20"/>
          <w:sz w:val="14"/>
          <w:szCs w:val="14"/>
        </w:rPr>
        <w:t>ADM, pathways are like ‘</w:t>
      </w:r>
      <w:r w:rsidRPr="001522F8">
        <w:rPr>
          <w:i/>
          <w:iCs/>
          <w:color w:val="231F20"/>
          <w:sz w:val="14"/>
          <w:szCs w:val="14"/>
        </w:rPr>
        <w:t>successions of measures over time</w:t>
      </w:r>
      <w:r w:rsidRPr="001522F8">
        <w:rPr>
          <w:color w:val="231F20"/>
          <w:sz w:val="14"/>
          <w:szCs w:val="14"/>
        </w:rPr>
        <w:t>’, which are explored under many plausible transient scenarios of CC and socioeconomic development (</w:t>
      </w:r>
      <w:r w:rsidRPr="001522F8">
        <w:rPr>
          <w:color w:val="7F7F7F" w:themeColor="text1" w:themeTint="80"/>
          <w:sz w:val="14"/>
          <w:szCs w:val="14"/>
        </w:rPr>
        <w:t xml:space="preserve">Haegen and </w:t>
      </w:r>
      <w:proofErr w:type="spellStart"/>
      <w:r w:rsidRPr="001522F8">
        <w:rPr>
          <w:color w:val="7F7F7F" w:themeColor="text1" w:themeTint="80"/>
          <w:sz w:val="14"/>
          <w:szCs w:val="14"/>
        </w:rPr>
        <w:t>Wieriks</w:t>
      </w:r>
      <w:proofErr w:type="spellEnd"/>
      <w:r w:rsidRPr="001522F8">
        <w:rPr>
          <w:color w:val="7F7F7F" w:themeColor="text1" w:themeTint="80"/>
          <w:sz w:val="14"/>
          <w:szCs w:val="14"/>
        </w:rPr>
        <w:t xml:space="preserve"> 2015, p.50</w:t>
      </w:r>
      <w:r w:rsidRPr="001522F8">
        <w:rPr>
          <w:color w:val="231F20"/>
          <w:sz w:val="14"/>
          <w:szCs w:val="14"/>
        </w:rPr>
        <w:t xml:space="preserve">). </w:t>
      </w:r>
      <w:r w:rsidRPr="001522F8">
        <w:rPr>
          <w:color w:val="C00000"/>
          <w:sz w:val="14"/>
          <w:szCs w:val="14"/>
        </w:rPr>
        <w:t xml:space="preserve"> </w:t>
      </w:r>
      <w:r w:rsidRPr="001522F8">
        <w:rPr>
          <w:sz w:val="14"/>
          <w:szCs w:val="14"/>
        </w:rPr>
        <w:t>A pathway is a sequence of measures that may be activated before an ATP occurs (</w:t>
      </w:r>
      <w:proofErr w:type="spellStart"/>
      <w:r w:rsidRPr="001522F8">
        <w:rPr>
          <w:color w:val="7F7F7F" w:themeColor="text1" w:themeTint="80"/>
          <w:sz w:val="14"/>
          <w:szCs w:val="14"/>
        </w:rPr>
        <w:t>Gersonius</w:t>
      </w:r>
      <w:proofErr w:type="spellEnd"/>
      <w:r w:rsidRPr="001522F8">
        <w:rPr>
          <w:color w:val="7F7F7F" w:themeColor="text1" w:themeTint="80"/>
          <w:sz w:val="14"/>
          <w:szCs w:val="14"/>
        </w:rPr>
        <w:t xml:space="preserve"> et al. 2016, p.204</w:t>
      </w:r>
      <w:r w:rsidRPr="001522F8">
        <w:rPr>
          <w:sz w:val="14"/>
          <w:szCs w:val="14"/>
        </w:rPr>
        <w:t>).</w:t>
      </w:r>
    </w:p>
  </w:footnote>
  <w:footnote w:id="136">
    <w:p w14:paraId="27498019" w14:textId="77777777" w:rsidR="000A0954" w:rsidRPr="001522F8" w:rsidRDefault="000A0954" w:rsidP="000A0954">
      <w:pPr>
        <w:pStyle w:val="TEXTBODY"/>
        <w:spacing w:after="0" w:line="240" w:lineRule="auto"/>
        <w:rPr>
          <w:color w:val="231F20"/>
          <w:sz w:val="14"/>
          <w:szCs w:val="14"/>
        </w:rPr>
      </w:pPr>
      <w:r w:rsidRPr="001522F8">
        <w:rPr>
          <w:rStyle w:val="Refdenotaderodap"/>
          <w:sz w:val="14"/>
          <w:szCs w:val="14"/>
        </w:rPr>
        <w:footnoteRef/>
      </w:r>
      <w:r w:rsidRPr="001522F8">
        <w:rPr>
          <w:sz w:val="14"/>
          <w:szCs w:val="14"/>
        </w:rPr>
        <w:t xml:space="preserve"> To develop </w:t>
      </w:r>
      <w:r w:rsidRPr="001522F8">
        <w:rPr>
          <w:i/>
          <w:iCs/>
          <w:sz w:val="14"/>
          <w:szCs w:val="14"/>
        </w:rPr>
        <w:t>adaptation paths</w:t>
      </w:r>
      <w:r w:rsidRPr="001522F8">
        <w:rPr>
          <w:sz w:val="14"/>
          <w:szCs w:val="14"/>
        </w:rPr>
        <w:t>, the Subprogrammes used the ATPs and APs methods (</w:t>
      </w:r>
      <w:r w:rsidRPr="001522F8">
        <w:rPr>
          <w:color w:val="7F7F7F" w:themeColor="text1" w:themeTint="80"/>
          <w:sz w:val="14"/>
          <w:szCs w:val="14"/>
        </w:rPr>
        <w:t>Zandvoort et al.2018</w:t>
      </w:r>
      <w:r w:rsidRPr="001522F8">
        <w:rPr>
          <w:sz w:val="14"/>
          <w:szCs w:val="14"/>
        </w:rPr>
        <w:t xml:space="preserve">). The design of the </w:t>
      </w:r>
      <w:r w:rsidRPr="001522F8">
        <w:rPr>
          <w:i/>
          <w:iCs/>
          <w:sz w:val="14"/>
          <w:szCs w:val="14"/>
        </w:rPr>
        <w:t>adaptation paths</w:t>
      </w:r>
      <w:r w:rsidRPr="001522F8">
        <w:rPr>
          <w:sz w:val="14"/>
          <w:szCs w:val="14"/>
        </w:rPr>
        <w:t xml:space="preserve"> implied the identification of tipping-points (</w:t>
      </w:r>
      <w:r w:rsidRPr="001522F8">
        <w:rPr>
          <w:color w:val="7F7F7F" w:themeColor="text1" w:themeTint="80"/>
          <w:sz w:val="14"/>
          <w:szCs w:val="14"/>
        </w:rPr>
        <w:t>Buuren et al. 2016</w:t>
      </w:r>
      <w:r w:rsidRPr="001522F8">
        <w:rPr>
          <w:sz w:val="14"/>
          <w:szCs w:val="14"/>
        </w:rPr>
        <w:t xml:space="preserve">), i.e. it implied defining the conditions under which changing of measure is necessary </w:t>
      </w:r>
      <w:r w:rsidRPr="001522F8">
        <w:rPr>
          <w:bCs/>
          <w:sz w:val="14"/>
          <w:szCs w:val="14"/>
        </w:rPr>
        <w:t>(</w:t>
      </w:r>
      <w:r w:rsidRPr="001522F8">
        <w:rPr>
          <w:bCs/>
          <w:color w:val="7F7F7F" w:themeColor="text1" w:themeTint="80"/>
          <w:sz w:val="14"/>
          <w:szCs w:val="14"/>
        </w:rPr>
        <w:t>DP 2013, p.95</w:t>
      </w:r>
      <w:r w:rsidRPr="001522F8">
        <w:rPr>
          <w:bCs/>
          <w:sz w:val="14"/>
          <w:szCs w:val="14"/>
        </w:rPr>
        <w:t xml:space="preserve">). </w:t>
      </w:r>
      <w:r w:rsidRPr="001522F8">
        <w:rPr>
          <w:sz w:val="14"/>
          <w:szCs w:val="14"/>
        </w:rPr>
        <w:t xml:space="preserve">The design of </w:t>
      </w:r>
      <w:r w:rsidRPr="001522F8">
        <w:rPr>
          <w:i/>
          <w:iCs/>
          <w:sz w:val="14"/>
          <w:szCs w:val="14"/>
        </w:rPr>
        <w:t xml:space="preserve">paths </w:t>
      </w:r>
      <w:r w:rsidRPr="001522F8">
        <w:rPr>
          <w:sz w:val="14"/>
          <w:szCs w:val="14"/>
        </w:rPr>
        <w:t xml:space="preserve">implied the analysis of </w:t>
      </w:r>
      <w:r w:rsidRPr="001522F8">
        <w:rPr>
          <w:i/>
          <w:iCs/>
          <w:sz w:val="14"/>
          <w:szCs w:val="14"/>
        </w:rPr>
        <w:t>Adaptation Tipping-Points</w:t>
      </w:r>
      <w:r w:rsidRPr="001522F8">
        <w:rPr>
          <w:sz w:val="14"/>
          <w:szCs w:val="14"/>
        </w:rPr>
        <w:t xml:space="preserve"> (ATPs, see </w:t>
      </w:r>
      <w:proofErr w:type="spellStart"/>
      <w:r w:rsidRPr="001522F8">
        <w:rPr>
          <w:color w:val="7F7F7F" w:themeColor="text1" w:themeTint="80"/>
          <w:sz w:val="14"/>
          <w:szCs w:val="14"/>
        </w:rPr>
        <w:t>Kwadijk</w:t>
      </w:r>
      <w:proofErr w:type="spellEnd"/>
      <w:r w:rsidRPr="001522F8">
        <w:rPr>
          <w:color w:val="7F7F7F" w:themeColor="text1" w:themeTint="80"/>
          <w:sz w:val="14"/>
          <w:szCs w:val="14"/>
        </w:rPr>
        <w:t xml:space="preserve"> et al. 2010</w:t>
      </w:r>
      <w:r w:rsidRPr="001522F8">
        <w:rPr>
          <w:sz w:val="14"/>
          <w:szCs w:val="14"/>
        </w:rPr>
        <w:t xml:space="preserve">); ATPs were essential for phasing the possible measures within each </w:t>
      </w:r>
      <w:r w:rsidRPr="001522F8">
        <w:rPr>
          <w:i/>
          <w:iCs/>
          <w:sz w:val="14"/>
          <w:szCs w:val="14"/>
        </w:rPr>
        <w:t>Strategy</w:t>
      </w:r>
      <w:r w:rsidRPr="001522F8">
        <w:rPr>
          <w:sz w:val="14"/>
          <w:szCs w:val="14"/>
        </w:rPr>
        <w:t xml:space="preserve"> (</w:t>
      </w:r>
      <w:r w:rsidRPr="001522F8">
        <w:rPr>
          <w:i/>
          <w:iCs/>
          <w:sz w:val="14"/>
          <w:szCs w:val="14"/>
        </w:rPr>
        <w:t>in</w:t>
      </w:r>
      <w:r w:rsidRPr="001522F8">
        <w:rPr>
          <w:sz w:val="14"/>
          <w:szCs w:val="14"/>
        </w:rPr>
        <w:t xml:space="preserve"> </w:t>
      </w:r>
      <w:proofErr w:type="spellStart"/>
      <w:r w:rsidRPr="001522F8">
        <w:rPr>
          <w:color w:val="7F7F7F" w:themeColor="text1" w:themeTint="80"/>
          <w:sz w:val="14"/>
          <w:szCs w:val="14"/>
        </w:rPr>
        <w:t>Jeuken</w:t>
      </w:r>
      <w:proofErr w:type="spellEnd"/>
      <w:r w:rsidRPr="001522F8">
        <w:rPr>
          <w:color w:val="7F7F7F" w:themeColor="text1" w:themeTint="80"/>
          <w:sz w:val="14"/>
          <w:szCs w:val="14"/>
        </w:rPr>
        <w:t xml:space="preserve"> et al. 2014, p.17</w:t>
      </w:r>
      <w:r w:rsidRPr="001522F8">
        <w:rPr>
          <w:sz w:val="14"/>
          <w:szCs w:val="14"/>
        </w:rPr>
        <w:t>). To design the pathways, the method of ATPs was applied: o</w:t>
      </w:r>
      <w:r w:rsidRPr="001522F8">
        <w:rPr>
          <w:color w:val="231F20"/>
          <w:sz w:val="14"/>
          <w:szCs w:val="14"/>
        </w:rPr>
        <w:t>nce an ATP was in sight, a new measure was needed (</w:t>
      </w:r>
      <w:r w:rsidRPr="001522F8">
        <w:rPr>
          <w:color w:val="7F7F7F" w:themeColor="text1" w:themeTint="80"/>
          <w:sz w:val="14"/>
          <w:szCs w:val="14"/>
        </w:rPr>
        <w:t xml:space="preserve">Haegen and </w:t>
      </w:r>
      <w:proofErr w:type="spellStart"/>
      <w:r w:rsidRPr="001522F8">
        <w:rPr>
          <w:color w:val="7F7F7F" w:themeColor="text1" w:themeTint="80"/>
          <w:sz w:val="14"/>
          <w:szCs w:val="14"/>
        </w:rPr>
        <w:t>Wieriks</w:t>
      </w:r>
      <w:proofErr w:type="spellEnd"/>
      <w:r w:rsidRPr="001522F8">
        <w:rPr>
          <w:color w:val="7F7F7F" w:themeColor="text1" w:themeTint="80"/>
          <w:sz w:val="14"/>
          <w:szCs w:val="14"/>
        </w:rPr>
        <w:t xml:space="preserve"> 2015, p.51</w:t>
      </w:r>
      <w:r w:rsidRPr="001522F8">
        <w:rPr>
          <w:color w:val="231F20"/>
          <w:sz w:val="14"/>
          <w:szCs w:val="14"/>
        </w:rPr>
        <w:t>).</w:t>
      </w:r>
    </w:p>
  </w:footnote>
  <w:footnote w:id="137">
    <w:p w14:paraId="49C40AD6" w14:textId="77777777" w:rsidR="000A0954" w:rsidRPr="00416EFF" w:rsidRDefault="000A0954" w:rsidP="000A0954">
      <w:pPr>
        <w:pStyle w:val="Textodenotaderodap"/>
        <w:rPr>
          <w:sz w:val="14"/>
          <w:szCs w:val="14"/>
        </w:rPr>
      </w:pPr>
      <w:r w:rsidRPr="00416EFF">
        <w:rPr>
          <w:rStyle w:val="Refdenotaderodap"/>
          <w:sz w:val="14"/>
          <w:szCs w:val="14"/>
        </w:rPr>
        <w:footnoteRef/>
      </w:r>
      <w:r w:rsidRPr="00416EFF">
        <w:rPr>
          <w:sz w:val="14"/>
          <w:szCs w:val="14"/>
        </w:rPr>
        <w:t xml:space="preserve"> </w:t>
      </w:r>
      <w:r w:rsidRPr="001522F8">
        <w:rPr>
          <w:sz w:val="14"/>
          <w:szCs w:val="14"/>
        </w:rPr>
        <w:t xml:space="preserve">For instance, the Subprogramme for the Rhine Estuary-Drechtsteden, in its </w:t>
      </w:r>
      <w:r w:rsidRPr="001522F8">
        <w:rPr>
          <w:i/>
          <w:iCs/>
          <w:sz w:val="14"/>
          <w:szCs w:val="14"/>
        </w:rPr>
        <w:t>Preferential Strategy for FRM</w:t>
      </w:r>
      <w:r w:rsidRPr="001522F8">
        <w:rPr>
          <w:sz w:val="14"/>
          <w:szCs w:val="14"/>
        </w:rPr>
        <w:t xml:space="preserve">, developed an </w:t>
      </w:r>
      <w:r w:rsidRPr="001522F8">
        <w:rPr>
          <w:i/>
          <w:iCs/>
          <w:sz w:val="14"/>
          <w:szCs w:val="14"/>
        </w:rPr>
        <w:t>adaptation path</w:t>
      </w:r>
      <w:r w:rsidRPr="001522F8">
        <w:rPr>
          <w:sz w:val="14"/>
          <w:szCs w:val="14"/>
        </w:rPr>
        <w:t xml:space="preserve"> that indicates diverse measures and at what times these will be required </w:t>
      </w:r>
      <w:r w:rsidRPr="00416EFF">
        <w:rPr>
          <w:sz w:val="14"/>
          <w:szCs w:val="14"/>
        </w:rPr>
        <w:t>(</w:t>
      </w:r>
      <w:r w:rsidRPr="00416EFF">
        <w:rPr>
          <w:color w:val="7F7F7F" w:themeColor="text1" w:themeTint="80"/>
          <w:sz w:val="14"/>
          <w:szCs w:val="14"/>
        </w:rPr>
        <w:t xml:space="preserve">DP 2012, p.90; </w:t>
      </w:r>
      <w:proofErr w:type="spellStart"/>
      <w:r w:rsidRPr="00416EFF">
        <w:rPr>
          <w:color w:val="7F7F7F" w:themeColor="text1" w:themeTint="80"/>
          <w:sz w:val="14"/>
          <w:szCs w:val="14"/>
        </w:rPr>
        <w:t>Gersonius</w:t>
      </w:r>
      <w:proofErr w:type="spellEnd"/>
      <w:r w:rsidRPr="00416EFF">
        <w:rPr>
          <w:color w:val="7F7F7F" w:themeColor="text1" w:themeTint="80"/>
          <w:sz w:val="14"/>
          <w:szCs w:val="14"/>
        </w:rPr>
        <w:t xml:space="preserve"> et al. 2016 p. 211</w:t>
      </w:r>
      <w:r w:rsidRPr="00416EFF">
        <w:rPr>
          <w:sz w:val="14"/>
          <w:szCs w:val="14"/>
        </w:rPr>
        <w:t>).</w:t>
      </w:r>
    </w:p>
  </w:footnote>
  <w:footnote w:id="138">
    <w:p w14:paraId="00E07FB9" w14:textId="7EEDC246" w:rsidR="000A0954" w:rsidRPr="00AD2164" w:rsidRDefault="000A0954" w:rsidP="000A0954">
      <w:pPr>
        <w:pStyle w:val="TEXTBODY"/>
        <w:spacing w:after="0" w:line="240" w:lineRule="auto"/>
        <w:rPr>
          <w:bCs/>
          <w:sz w:val="16"/>
          <w:szCs w:val="16"/>
        </w:rPr>
      </w:pPr>
      <w:r w:rsidRPr="001522F8">
        <w:rPr>
          <w:rStyle w:val="Refdenotaderodap"/>
          <w:sz w:val="14"/>
          <w:szCs w:val="14"/>
        </w:rPr>
        <w:footnoteRef/>
      </w:r>
      <w:r w:rsidRPr="001522F8">
        <w:rPr>
          <w:sz w:val="14"/>
          <w:szCs w:val="14"/>
        </w:rPr>
        <w:t xml:space="preserve"> I</w:t>
      </w:r>
      <w:r w:rsidR="001522F8" w:rsidRPr="001522F8">
        <w:rPr>
          <w:sz w:val="14"/>
          <w:szCs w:val="14"/>
        </w:rPr>
        <w:t xml:space="preserve">n </w:t>
      </w:r>
      <w:r w:rsidRPr="001522F8">
        <w:rPr>
          <w:sz w:val="14"/>
          <w:szCs w:val="14"/>
        </w:rPr>
        <w:t xml:space="preserve">the ADM process, </w:t>
      </w:r>
      <w:r w:rsidRPr="001522F8">
        <w:rPr>
          <w:b/>
          <w:bCs/>
          <w:sz w:val="14"/>
          <w:szCs w:val="14"/>
        </w:rPr>
        <w:t xml:space="preserve">Step 4 </w:t>
      </w:r>
      <w:r w:rsidRPr="001522F8">
        <w:rPr>
          <w:sz w:val="14"/>
          <w:szCs w:val="14"/>
        </w:rPr>
        <w:t>requires specifying</w:t>
      </w:r>
      <w:r w:rsidRPr="001522F8">
        <w:rPr>
          <w:color w:val="C00000"/>
          <w:sz w:val="14"/>
          <w:szCs w:val="14"/>
        </w:rPr>
        <w:t xml:space="preserve"> </w:t>
      </w:r>
      <w:r w:rsidRPr="001522F8">
        <w:rPr>
          <w:sz w:val="14"/>
          <w:szCs w:val="14"/>
        </w:rPr>
        <w:t>indicators and triggers (critical values at which it is necessary to activate actions, or make adjustments to the strategy or shift of measure) (</w:t>
      </w:r>
      <w:proofErr w:type="spellStart"/>
      <w:r w:rsidR="005C558F" w:rsidRPr="001522F8">
        <w:rPr>
          <w:color w:val="7F7F7F" w:themeColor="text1" w:themeTint="80"/>
          <w:sz w:val="14"/>
          <w:szCs w:val="14"/>
        </w:rPr>
        <w:t>Deltares</w:t>
      </w:r>
      <w:proofErr w:type="spellEnd"/>
      <w:r w:rsidR="005C558F" w:rsidRPr="001522F8">
        <w:rPr>
          <w:color w:val="7F7F7F" w:themeColor="text1" w:themeTint="80"/>
          <w:sz w:val="14"/>
          <w:szCs w:val="14"/>
        </w:rPr>
        <w:t xml:space="preserve"> 2018</w:t>
      </w:r>
      <w:r w:rsidRPr="001522F8">
        <w:rPr>
          <w:color w:val="7F7F7F" w:themeColor="text1" w:themeTint="80"/>
          <w:sz w:val="14"/>
          <w:szCs w:val="14"/>
        </w:rPr>
        <w:t xml:space="preserve">, p.2-3; </w:t>
      </w:r>
      <w:proofErr w:type="spellStart"/>
      <w:r w:rsidRPr="001522F8">
        <w:rPr>
          <w:color w:val="7F7F7F" w:themeColor="text1" w:themeTint="80"/>
          <w:sz w:val="14"/>
          <w:szCs w:val="14"/>
        </w:rPr>
        <w:t>Jeuken</w:t>
      </w:r>
      <w:proofErr w:type="spellEnd"/>
      <w:r w:rsidRPr="001522F8">
        <w:rPr>
          <w:color w:val="7F7F7F" w:themeColor="text1" w:themeTint="80"/>
          <w:sz w:val="14"/>
          <w:szCs w:val="14"/>
        </w:rPr>
        <w:t xml:space="preserve"> et al. 2014, p.4-5; </w:t>
      </w:r>
      <w:proofErr w:type="spellStart"/>
      <w:r w:rsidRPr="001522F8">
        <w:rPr>
          <w:color w:val="7F7F7F" w:themeColor="text1" w:themeTint="80"/>
          <w:sz w:val="14"/>
          <w:szCs w:val="14"/>
        </w:rPr>
        <w:t>Haasnoot</w:t>
      </w:r>
      <w:proofErr w:type="spellEnd"/>
      <w:r w:rsidRPr="001522F8">
        <w:rPr>
          <w:color w:val="7F7F7F" w:themeColor="text1" w:themeTint="80"/>
          <w:sz w:val="14"/>
          <w:szCs w:val="14"/>
        </w:rPr>
        <w:t xml:space="preserve"> and </w:t>
      </w:r>
      <w:proofErr w:type="spellStart"/>
      <w:r w:rsidRPr="001522F8">
        <w:rPr>
          <w:color w:val="7F7F7F" w:themeColor="text1" w:themeTint="80"/>
          <w:sz w:val="14"/>
          <w:szCs w:val="14"/>
        </w:rPr>
        <w:t>Jeuken</w:t>
      </w:r>
      <w:proofErr w:type="spellEnd"/>
      <w:r w:rsidRPr="001522F8">
        <w:rPr>
          <w:color w:val="7F7F7F" w:themeColor="text1" w:themeTint="80"/>
          <w:sz w:val="14"/>
          <w:szCs w:val="14"/>
        </w:rPr>
        <w:t>; Marchand and Ludwig 2014; Brugge and Bruggeman, p.4-5</w:t>
      </w:r>
      <w:r w:rsidRPr="001522F8">
        <w:rPr>
          <w:sz w:val="14"/>
          <w:szCs w:val="14"/>
        </w:rPr>
        <w:t xml:space="preserve">); thus, in a broader sense, Step 4 implies the definition of a </w:t>
      </w:r>
      <w:r w:rsidRPr="001522F8">
        <w:rPr>
          <w:bCs/>
          <w:sz w:val="14"/>
          <w:szCs w:val="14"/>
        </w:rPr>
        <w:t>monitoring system</w:t>
      </w:r>
      <w:r w:rsidRPr="001522F8">
        <w:rPr>
          <w:sz w:val="14"/>
          <w:szCs w:val="14"/>
        </w:rPr>
        <w:t xml:space="preserve"> that collects information on indicators (</w:t>
      </w:r>
      <w:proofErr w:type="spellStart"/>
      <w:r w:rsidRPr="001522F8">
        <w:rPr>
          <w:color w:val="7F7F7F" w:themeColor="text1" w:themeTint="80"/>
          <w:sz w:val="14"/>
          <w:szCs w:val="14"/>
        </w:rPr>
        <w:t>Haasnoot</w:t>
      </w:r>
      <w:proofErr w:type="spellEnd"/>
      <w:r w:rsidRPr="001522F8">
        <w:rPr>
          <w:color w:val="7F7F7F" w:themeColor="text1" w:themeTint="80"/>
          <w:sz w:val="14"/>
          <w:szCs w:val="14"/>
        </w:rPr>
        <w:t xml:space="preserve"> and </w:t>
      </w:r>
      <w:proofErr w:type="spellStart"/>
      <w:r w:rsidRPr="001522F8">
        <w:rPr>
          <w:color w:val="7F7F7F" w:themeColor="text1" w:themeTint="80"/>
          <w:sz w:val="14"/>
          <w:szCs w:val="14"/>
        </w:rPr>
        <w:t>Jeuken</w:t>
      </w:r>
      <w:proofErr w:type="spellEnd"/>
      <w:r w:rsidRPr="001522F8">
        <w:rPr>
          <w:sz w:val="14"/>
          <w:szCs w:val="14"/>
        </w:rPr>
        <w:t>) and mechanisms to adjust the plan / strategy if necessary (</w:t>
      </w:r>
      <w:proofErr w:type="spellStart"/>
      <w:r w:rsidR="005C558F" w:rsidRPr="001522F8">
        <w:rPr>
          <w:color w:val="7F7F7F" w:themeColor="text1" w:themeTint="80"/>
          <w:sz w:val="14"/>
          <w:szCs w:val="14"/>
        </w:rPr>
        <w:t>Deltares</w:t>
      </w:r>
      <w:proofErr w:type="spellEnd"/>
      <w:r w:rsidR="005C558F" w:rsidRPr="001522F8">
        <w:rPr>
          <w:color w:val="7F7F7F" w:themeColor="text1" w:themeTint="80"/>
          <w:sz w:val="14"/>
          <w:szCs w:val="14"/>
        </w:rPr>
        <w:t xml:space="preserve"> 2018</w:t>
      </w:r>
      <w:r w:rsidRPr="001522F8">
        <w:rPr>
          <w:color w:val="7F7F7F" w:themeColor="text1" w:themeTint="80"/>
          <w:sz w:val="14"/>
          <w:szCs w:val="14"/>
        </w:rPr>
        <w:t>, p.2-3</w:t>
      </w:r>
      <w:r w:rsidRPr="001522F8">
        <w:rPr>
          <w:sz w:val="14"/>
          <w:szCs w:val="14"/>
        </w:rPr>
        <w:t xml:space="preserve">; </w:t>
      </w:r>
      <w:proofErr w:type="spellStart"/>
      <w:r w:rsidRPr="001522F8">
        <w:rPr>
          <w:color w:val="7F7F7F" w:themeColor="text1" w:themeTint="80"/>
          <w:sz w:val="14"/>
          <w:szCs w:val="14"/>
          <w:lang w:val="en-US"/>
        </w:rPr>
        <w:t>Gersonius</w:t>
      </w:r>
      <w:proofErr w:type="spellEnd"/>
      <w:r w:rsidRPr="001522F8">
        <w:rPr>
          <w:color w:val="7F7F7F" w:themeColor="text1" w:themeTint="80"/>
          <w:sz w:val="14"/>
          <w:szCs w:val="14"/>
          <w:lang w:val="en-US"/>
        </w:rPr>
        <w:t xml:space="preserve"> et al. 2016, p.204-206</w:t>
      </w:r>
      <w:r w:rsidRPr="001522F8">
        <w:rPr>
          <w:sz w:val="14"/>
          <w:szCs w:val="14"/>
          <w:lang w:val="en-US"/>
        </w:rPr>
        <w:t xml:space="preserve">). </w:t>
      </w:r>
      <w:r w:rsidRPr="001522F8">
        <w:rPr>
          <w:sz w:val="14"/>
          <w:szCs w:val="14"/>
        </w:rPr>
        <w:t xml:space="preserve">Moreover, </w:t>
      </w:r>
      <w:r w:rsidRPr="001522F8">
        <w:rPr>
          <w:b/>
          <w:bCs/>
          <w:sz w:val="14"/>
          <w:szCs w:val="14"/>
        </w:rPr>
        <w:t>Step 6</w:t>
      </w:r>
      <w:r w:rsidRPr="001522F8">
        <w:rPr>
          <w:sz w:val="14"/>
          <w:szCs w:val="14"/>
        </w:rPr>
        <w:t xml:space="preserve"> consists of monitoring and evaluating climatic, physical, and socioeconomic changes, implemented measures, and progresses in knowledge, and also regularly reassessing the Plan/Strategy, and, if necessary, reviewing or adjusting it (</w:t>
      </w:r>
      <w:proofErr w:type="spellStart"/>
      <w:r w:rsidRPr="001522F8">
        <w:rPr>
          <w:color w:val="7F7F7F" w:themeColor="text1" w:themeTint="80"/>
          <w:sz w:val="14"/>
          <w:szCs w:val="14"/>
        </w:rPr>
        <w:t>Haasnoot</w:t>
      </w:r>
      <w:proofErr w:type="spellEnd"/>
      <w:r w:rsidRPr="001522F8">
        <w:rPr>
          <w:color w:val="7F7F7F" w:themeColor="text1" w:themeTint="80"/>
          <w:sz w:val="14"/>
          <w:szCs w:val="14"/>
        </w:rPr>
        <w:t xml:space="preserve"> and </w:t>
      </w:r>
      <w:proofErr w:type="spellStart"/>
      <w:r w:rsidRPr="001522F8">
        <w:rPr>
          <w:color w:val="7F7F7F" w:themeColor="text1" w:themeTint="80"/>
          <w:sz w:val="14"/>
          <w:szCs w:val="14"/>
        </w:rPr>
        <w:t>Jeuken</w:t>
      </w:r>
      <w:proofErr w:type="spellEnd"/>
      <w:r w:rsidRPr="001522F8">
        <w:rPr>
          <w:sz w:val="14"/>
          <w:szCs w:val="14"/>
        </w:rPr>
        <w:t>); the latter implies assessing if and when it is necessary to adapt the plan / strategy (e.g. shift from a measure to another, change strategies or measures, or anticipate / delay measures) (</w:t>
      </w:r>
      <w:proofErr w:type="spellStart"/>
      <w:r w:rsidR="005C558F" w:rsidRPr="001522F8">
        <w:rPr>
          <w:color w:val="7F7F7F" w:themeColor="text1" w:themeTint="80"/>
          <w:sz w:val="14"/>
          <w:szCs w:val="14"/>
        </w:rPr>
        <w:t>Deltares</w:t>
      </w:r>
      <w:proofErr w:type="spellEnd"/>
      <w:r w:rsidR="005C558F" w:rsidRPr="001522F8">
        <w:rPr>
          <w:color w:val="7F7F7F" w:themeColor="text1" w:themeTint="80"/>
          <w:sz w:val="14"/>
          <w:szCs w:val="14"/>
        </w:rPr>
        <w:t xml:space="preserve"> 2018</w:t>
      </w:r>
      <w:r w:rsidRPr="001522F8">
        <w:rPr>
          <w:color w:val="7F7F7F" w:themeColor="text1" w:themeTint="80"/>
          <w:sz w:val="14"/>
          <w:szCs w:val="14"/>
        </w:rPr>
        <w:t>, p.2-3, 5</w:t>
      </w:r>
      <w:r w:rsidRPr="001522F8">
        <w:rPr>
          <w:sz w:val="14"/>
          <w:szCs w:val="14"/>
        </w:rPr>
        <w:t xml:space="preserve">; </w:t>
      </w:r>
      <w:proofErr w:type="spellStart"/>
      <w:r w:rsidRPr="001522F8">
        <w:rPr>
          <w:color w:val="7F7F7F" w:themeColor="text1" w:themeTint="80"/>
          <w:sz w:val="14"/>
          <w:szCs w:val="14"/>
        </w:rPr>
        <w:t>Jeuken</w:t>
      </w:r>
      <w:proofErr w:type="spellEnd"/>
      <w:r w:rsidRPr="001522F8">
        <w:rPr>
          <w:color w:val="7F7F7F" w:themeColor="text1" w:themeTint="80"/>
          <w:sz w:val="14"/>
          <w:szCs w:val="14"/>
        </w:rPr>
        <w:t xml:space="preserve"> et al. 2014, p. 4</w:t>
      </w:r>
      <w:r w:rsidRPr="001522F8">
        <w:rPr>
          <w:sz w:val="14"/>
          <w:szCs w:val="14"/>
        </w:rPr>
        <w:t xml:space="preserve">; </w:t>
      </w:r>
      <w:r w:rsidRPr="001522F8">
        <w:rPr>
          <w:color w:val="7F7F7F" w:themeColor="text1" w:themeTint="80"/>
          <w:sz w:val="14"/>
          <w:szCs w:val="14"/>
        </w:rPr>
        <w:t>Brugge and Bruggeman, p.4-5</w:t>
      </w:r>
      <w:r w:rsidRPr="001522F8">
        <w:rPr>
          <w:sz w:val="14"/>
          <w:szCs w:val="14"/>
        </w:rPr>
        <w:t>).</w:t>
      </w:r>
      <w:r w:rsidRPr="001522F8">
        <w:rPr>
          <w:color w:val="C00000"/>
          <w:sz w:val="14"/>
          <w:szCs w:val="14"/>
        </w:rPr>
        <w:t xml:space="preserve"> </w:t>
      </w:r>
      <w:r w:rsidRPr="001522F8">
        <w:rPr>
          <w:b/>
          <w:bCs/>
          <w:sz w:val="14"/>
          <w:szCs w:val="14"/>
        </w:rPr>
        <w:t>Step 6</w:t>
      </w:r>
      <w:r w:rsidRPr="001522F8">
        <w:rPr>
          <w:sz w:val="14"/>
          <w:szCs w:val="14"/>
        </w:rPr>
        <w:t xml:space="preserve"> is essential to ensure an adaptive planning and management. The monitoring system indicates the rate and direction of risks and their implications for adjusting the plan, it allows the adjustment of the plan / strategy - its measures or their timing (</w:t>
      </w:r>
      <w:r w:rsidRPr="001522F8">
        <w:rPr>
          <w:color w:val="7F7F7F" w:themeColor="text1" w:themeTint="80"/>
          <w:sz w:val="14"/>
          <w:szCs w:val="14"/>
        </w:rPr>
        <w:t>Brugge and Bruggeman, p.4-5</w:t>
      </w:r>
      <w:r w:rsidRPr="001522F8">
        <w:rPr>
          <w:sz w:val="14"/>
          <w:szCs w:val="14"/>
        </w:rPr>
        <w:t>).</w:t>
      </w:r>
    </w:p>
  </w:footnote>
  <w:footnote w:id="139">
    <w:p w14:paraId="3F9096BA" w14:textId="382CCF9C" w:rsidR="000A0954" w:rsidRPr="00EB6D30" w:rsidRDefault="000A0954" w:rsidP="000A0954">
      <w:pPr>
        <w:pStyle w:val="TEXTBODY"/>
        <w:spacing w:after="0" w:line="240" w:lineRule="auto"/>
        <w:rPr>
          <w:color w:val="C00000"/>
          <w:sz w:val="14"/>
          <w:szCs w:val="14"/>
          <w:lang w:val="en-US"/>
        </w:rPr>
      </w:pPr>
      <w:r w:rsidRPr="00416EFF">
        <w:rPr>
          <w:rStyle w:val="Refdenotaderodap"/>
          <w:sz w:val="14"/>
          <w:szCs w:val="14"/>
        </w:rPr>
        <w:footnoteRef/>
      </w:r>
      <w:r w:rsidRPr="00416EFF">
        <w:rPr>
          <w:sz w:val="14"/>
          <w:szCs w:val="14"/>
        </w:rPr>
        <w:t xml:space="preserve"> Importantly, </w:t>
      </w:r>
      <w:r w:rsidRPr="00416EFF">
        <w:rPr>
          <w:bCs/>
          <w:sz w:val="14"/>
          <w:szCs w:val="14"/>
        </w:rPr>
        <w:t xml:space="preserve">the ADM </w:t>
      </w:r>
      <w:r w:rsidRPr="00416EFF">
        <w:rPr>
          <w:sz w:val="14"/>
          <w:szCs w:val="14"/>
        </w:rPr>
        <w:t>process differs from the traditional adaptation planning approaches because the starting point of the analysis of ‘</w:t>
      </w:r>
      <w:r w:rsidRPr="00416EFF">
        <w:rPr>
          <w:i/>
          <w:iCs/>
          <w:sz w:val="14"/>
          <w:szCs w:val="14"/>
        </w:rPr>
        <w:t>how long will the current strategies be effective under different scenarios</w:t>
      </w:r>
      <w:r w:rsidRPr="00416EFF">
        <w:rPr>
          <w:sz w:val="14"/>
          <w:szCs w:val="14"/>
        </w:rPr>
        <w:t>’,</w:t>
      </w:r>
      <w:r w:rsidRPr="00416EFF">
        <w:rPr>
          <w:iCs/>
          <w:sz w:val="14"/>
          <w:szCs w:val="14"/>
        </w:rPr>
        <w:t xml:space="preserve"> which leads to the exploration of alternative measures and the design of multiple solution-pathways (rather than a single solution that is designed for a ‘business-as-usual’ scenario or worst scenario)</w:t>
      </w:r>
      <w:r w:rsidRPr="00416EFF">
        <w:rPr>
          <w:sz w:val="14"/>
          <w:szCs w:val="14"/>
        </w:rPr>
        <w:t xml:space="preserve"> (</w:t>
      </w:r>
      <w:proofErr w:type="spellStart"/>
      <w:r w:rsidR="005C558F">
        <w:rPr>
          <w:color w:val="7F7F7F" w:themeColor="text1" w:themeTint="80"/>
          <w:sz w:val="14"/>
          <w:szCs w:val="14"/>
        </w:rPr>
        <w:t>Deltares</w:t>
      </w:r>
      <w:proofErr w:type="spellEnd"/>
      <w:r w:rsidR="005C558F">
        <w:rPr>
          <w:color w:val="7F7F7F" w:themeColor="text1" w:themeTint="80"/>
          <w:sz w:val="14"/>
          <w:szCs w:val="14"/>
        </w:rPr>
        <w:t xml:space="preserve"> 2018</w:t>
      </w:r>
      <w:r w:rsidRPr="00416EFF">
        <w:rPr>
          <w:color w:val="7F7F7F" w:themeColor="text1" w:themeTint="80"/>
          <w:sz w:val="14"/>
          <w:szCs w:val="14"/>
        </w:rPr>
        <w:t>, p.4, 3</w:t>
      </w:r>
      <w:r w:rsidRPr="00416EFF">
        <w:rPr>
          <w:sz w:val="14"/>
          <w:szCs w:val="14"/>
        </w:rPr>
        <w:t>). Moreover,</w:t>
      </w:r>
      <w:r w:rsidRPr="00416EFF">
        <w:rPr>
          <w:b/>
          <w:bCs/>
          <w:sz w:val="14"/>
          <w:szCs w:val="14"/>
        </w:rPr>
        <w:t xml:space="preserve"> </w:t>
      </w:r>
      <w:r w:rsidRPr="00416EFF">
        <w:rPr>
          <w:sz w:val="14"/>
          <w:szCs w:val="14"/>
        </w:rPr>
        <w:t xml:space="preserve">ADM is different from the traditional Dutch practice of flood risk management because it requires an </w:t>
      </w:r>
      <w:r w:rsidRPr="00416EFF">
        <w:rPr>
          <w:i/>
          <w:sz w:val="14"/>
          <w:szCs w:val="14"/>
        </w:rPr>
        <w:t>adaptive flood risk management</w:t>
      </w:r>
      <w:r w:rsidRPr="00416EFF">
        <w:rPr>
          <w:sz w:val="14"/>
          <w:szCs w:val="14"/>
        </w:rPr>
        <w:t xml:space="preserve"> (</w:t>
      </w:r>
      <w:r w:rsidRPr="00416EFF">
        <w:rPr>
          <w:color w:val="7F7F7F" w:themeColor="text1" w:themeTint="80"/>
          <w:sz w:val="14"/>
          <w:szCs w:val="14"/>
        </w:rPr>
        <w:t>Klijn et al. 2015, p.848</w:t>
      </w:r>
      <w:r w:rsidRPr="00416EFF">
        <w:rPr>
          <w:sz w:val="14"/>
          <w:szCs w:val="14"/>
        </w:rPr>
        <w:t xml:space="preserve">); indeed, with ADM, the DP aims to manage risks and respond to potential problems </w:t>
      </w:r>
      <w:r w:rsidRPr="00416EFF">
        <w:rPr>
          <w:i/>
          <w:iCs/>
          <w:sz w:val="14"/>
          <w:szCs w:val="14"/>
        </w:rPr>
        <w:t>in a timely and adaptive manner</w:t>
      </w:r>
      <w:r w:rsidRPr="00416EFF">
        <w:rPr>
          <w:sz w:val="14"/>
          <w:szCs w:val="14"/>
        </w:rPr>
        <w:t xml:space="preserve"> (</w:t>
      </w:r>
      <w:r w:rsidRPr="00416EFF">
        <w:rPr>
          <w:color w:val="7F7F7F" w:themeColor="text1" w:themeTint="80"/>
          <w:sz w:val="14"/>
          <w:szCs w:val="14"/>
        </w:rPr>
        <w:t>DP 2018, p.14</w:t>
      </w:r>
      <w:r w:rsidRPr="00416EFF">
        <w:rPr>
          <w:sz w:val="14"/>
          <w:szCs w:val="14"/>
        </w:rPr>
        <w:t xml:space="preserve">). ADM is also different from the traditional </w:t>
      </w:r>
      <w:r w:rsidRPr="00416EFF">
        <w:rPr>
          <w:i/>
          <w:iCs/>
          <w:sz w:val="14"/>
          <w:szCs w:val="14"/>
        </w:rPr>
        <w:t>Adaptive Management</w:t>
      </w:r>
      <w:r w:rsidRPr="00416EFF">
        <w:rPr>
          <w:sz w:val="14"/>
          <w:szCs w:val="14"/>
        </w:rPr>
        <w:t xml:space="preserve"> approach; the scientific basis of ADM lies in </w:t>
      </w:r>
      <w:r w:rsidRPr="00416EFF">
        <w:rPr>
          <w:i/>
          <w:iCs/>
          <w:sz w:val="14"/>
          <w:szCs w:val="14"/>
        </w:rPr>
        <w:t>Adaptive Planning</w:t>
      </w:r>
      <w:r w:rsidRPr="00416EFF">
        <w:rPr>
          <w:sz w:val="14"/>
          <w:szCs w:val="14"/>
        </w:rPr>
        <w:t xml:space="preserve"> (</w:t>
      </w:r>
      <w:proofErr w:type="spellStart"/>
      <w:r w:rsidRPr="00416EFF">
        <w:rPr>
          <w:color w:val="7F7F7F" w:themeColor="text1" w:themeTint="80"/>
          <w:sz w:val="14"/>
          <w:szCs w:val="14"/>
        </w:rPr>
        <w:t>Kwakkel</w:t>
      </w:r>
      <w:proofErr w:type="spellEnd"/>
      <w:r w:rsidRPr="00416EFF">
        <w:rPr>
          <w:color w:val="7F7F7F" w:themeColor="text1" w:themeTint="80"/>
          <w:sz w:val="14"/>
          <w:szCs w:val="14"/>
        </w:rPr>
        <w:t xml:space="preserve"> et al. 2012; Ranger et al. 2013</w:t>
      </w:r>
      <w:r w:rsidRPr="00416EFF">
        <w:rPr>
          <w:sz w:val="14"/>
          <w:szCs w:val="14"/>
        </w:rPr>
        <w:t>), namely in Adaptation Pathways and Adaptation Tipping-Points (</w:t>
      </w:r>
      <w:r w:rsidRPr="00416EFF">
        <w:rPr>
          <w:color w:val="7F7F7F" w:themeColor="text1" w:themeTint="80"/>
          <w:sz w:val="14"/>
          <w:szCs w:val="14"/>
        </w:rPr>
        <w:t>Werners et al. 2016; DP 2011, p.48,70</w:t>
      </w:r>
      <w:r w:rsidRPr="00416EFF">
        <w:rPr>
          <w:sz w:val="14"/>
          <w:szCs w:val="14"/>
        </w:rPr>
        <w:t xml:space="preserve">). ADM also differs </w:t>
      </w:r>
      <w:r w:rsidRPr="00416EFF">
        <w:rPr>
          <w:sz w:val="14"/>
          <w:szCs w:val="14"/>
          <w:lang w:val="en-US"/>
        </w:rPr>
        <w:t>from the ‘classical’ approach where a robust solution is often chosen based on business-as-usual and worst-case scenarios (</w:t>
      </w:r>
      <w:r w:rsidRPr="00416EFF">
        <w:rPr>
          <w:color w:val="7F7F7F" w:themeColor="text1" w:themeTint="80"/>
          <w:sz w:val="14"/>
          <w:szCs w:val="14"/>
        </w:rPr>
        <w:t>Brugge and Bruggeman, p.2</w:t>
      </w:r>
      <w:r w:rsidRPr="00416EFF">
        <w:rPr>
          <w:sz w:val="14"/>
          <w:szCs w:val="14"/>
        </w:rPr>
        <w:t xml:space="preserve">). </w:t>
      </w:r>
      <w:r w:rsidRPr="00416EFF">
        <w:rPr>
          <w:rFonts w:eastAsiaTheme="minorHAnsi"/>
          <w:color w:val="000000"/>
          <w:sz w:val="14"/>
          <w:szCs w:val="14"/>
          <w:lang w:val="en-US" w:eastAsia="en-US"/>
        </w:rPr>
        <w:t xml:space="preserve">The new ‘adaptive delta planning’ mentioned by the DP Commissioner in 2010 (later renamed as </w:t>
      </w:r>
      <w:r w:rsidRPr="00416EFF">
        <w:rPr>
          <w:rFonts w:eastAsiaTheme="minorHAnsi"/>
          <w:i/>
          <w:iCs/>
          <w:color w:val="000000"/>
          <w:sz w:val="14"/>
          <w:szCs w:val="14"/>
          <w:lang w:val="en-US" w:eastAsia="en-US"/>
        </w:rPr>
        <w:t>Adaptive Delta Management</w:t>
      </w:r>
      <w:r w:rsidRPr="00416EFF">
        <w:rPr>
          <w:rFonts w:eastAsiaTheme="minorHAnsi"/>
          <w:color w:val="000000"/>
          <w:sz w:val="14"/>
          <w:szCs w:val="14"/>
          <w:lang w:val="en-US" w:eastAsia="en-US"/>
        </w:rPr>
        <w:t xml:space="preserve">) corresponds well with the </w:t>
      </w:r>
      <w:r w:rsidRPr="00416EFF">
        <w:rPr>
          <w:rFonts w:eastAsiaTheme="minorHAnsi"/>
          <w:i/>
          <w:iCs/>
          <w:color w:val="000000"/>
          <w:sz w:val="14"/>
          <w:szCs w:val="14"/>
          <w:lang w:val="en-US" w:eastAsia="en-US"/>
        </w:rPr>
        <w:t>Dynamic Adaptive Policy Pathways approach</w:t>
      </w:r>
      <w:r w:rsidRPr="00416EFF">
        <w:rPr>
          <w:rFonts w:eastAsiaTheme="minorHAnsi"/>
          <w:color w:val="000000"/>
          <w:sz w:val="14"/>
          <w:szCs w:val="14"/>
          <w:lang w:val="en-US" w:eastAsia="en-US"/>
        </w:rPr>
        <w:t xml:space="preserve"> (DAPP) presented by </w:t>
      </w:r>
      <w:proofErr w:type="spellStart"/>
      <w:r w:rsidRPr="00416EFF">
        <w:rPr>
          <w:rFonts w:eastAsiaTheme="minorHAnsi"/>
          <w:color w:val="7F7F7F" w:themeColor="text1" w:themeTint="80"/>
          <w:sz w:val="14"/>
          <w:szCs w:val="14"/>
          <w:lang w:val="en-US" w:eastAsia="en-US"/>
        </w:rPr>
        <w:t>Haasnoot</w:t>
      </w:r>
      <w:proofErr w:type="spellEnd"/>
      <w:r w:rsidRPr="00416EFF">
        <w:rPr>
          <w:rFonts w:eastAsiaTheme="minorHAnsi"/>
          <w:color w:val="7F7F7F" w:themeColor="text1" w:themeTint="80"/>
          <w:sz w:val="14"/>
          <w:szCs w:val="14"/>
          <w:lang w:val="en-US" w:eastAsia="en-US"/>
        </w:rPr>
        <w:t xml:space="preserve"> et al. (2013); </w:t>
      </w:r>
      <w:r w:rsidRPr="00416EFF">
        <w:rPr>
          <w:rFonts w:eastAsiaTheme="minorHAnsi"/>
          <w:color w:val="000000"/>
          <w:sz w:val="14"/>
          <w:szCs w:val="14"/>
          <w:lang w:val="en-US" w:eastAsia="en-US"/>
        </w:rPr>
        <w:t>and the DP offered a study-case to test the applicability of the DAPP (</w:t>
      </w:r>
      <w:proofErr w:type="spellStart"/>
      <w:r w:rsidRPr="00416EFF">
        <w:rPr>
          <w:rFonts w:eastAsiaTheme="minorHAnsi"/>
          <w:color w:val="7F7F7F" w:themeColor="text1" w:themeTint="80"/>
          <w:sz w:val="14"/>
          <w:szCs w:val="14"/>
          <w:lang w:val="en-US" w:eastAsia="en-US"/>
        </w:rPr>
        <w:t>Haasnoot</w:t>
      </w:r>
      <w:proofErr w:type="spellEnd"/>
      <w:r w:rsidRPr="00416EFF">
        <w:rPr>
          <w:rFonts w:eastAsiaTheme="minorHAnsi"/>
          <w:color w:val="7F7F7F" w:themeColor="text1" w:themeTint="80"/>
          <w:sz w:val="14"/>
          <w:szCs w:val="14"/>
          <w:lang w:val="en-US" w:eastAsia="en-US"/>
        </w:rPr>
        <w:t xml:space="preserve"> et al. 2013, p.490</w:t>
      </w:r>
      <w:r w:rsidRPr="00416EFF">
        <w:rPr>
          <w:rFonts w:eastAsiaTheme="minorHAnsi"/>
          <w:color w:val="000000"/>
          <w:sz w:val="14"/>
          <w:szCs w:val="14"/>
          <w:lang w:val="en-US" w:eastAsia="en-US"/>
        </w:rPr>
        <w:t xml:space="preserve">). ADM is based on, and </w:t>
      </w:r>
      <w:proofErr w:type="gramStart"/>
      <w:r w:rsidRPr="00416EFF">
        <w:rPr>
          <w:rFonts w:eastAsiaTheme="minorHAnsi"/>
          <w:color w:val="000000"/>
          <w:sz w:val="14"/>
          <w:szCs w:val="14"/>
          <w:lang w:val="en-US" w:eastAsia="en-US"/>
        </w:rPr>
        <w:t>similar to</w:t>
      </w:r>
      <w:proofErr w:type="gramEnd"/>
      <w:r w:rsidRPr="00416EFF">
        <w:rPr>
          <w:rFonts w:eastAsiaTheme="minorHAnsi"/>
          <w:color w:val="000000"/>
          <w:sz w:val="14"/>
          <w:szCs w:val="14"/>
          <w:lang w:val="en-US" w:eastAsia="en-US"/>
        </w:rPr>
        <w:t xml:space="preserve">, DAPP (which builds on </w:t>
      </w:r>
      <w:r w:rsidRPr="00416EFF">
        <w:rPr>
          <w:rFonts w:eastAsiaTheme="minorHAnsi"/>
          <w:i/>
          <w:iCs/>
          <w:color w:val="000000"/>
          <w:sz w:val="14"/>
          <w:szCs w:val="14"/>
          <w:lang w:val="en-US" w:eastAsia="en-US"/>
        </w:rPr>
        <w:t>Adaptive Policymaking</w:t>
      </w:r>
      <w:r w:rsidRPr="00416EFF">
        <w:rPr>
          <w:rFonts w:eastAsiaTheme="minorHAnsi"/>
          <w:color w:val="000000"/>
          <w:sz w:val="14"/>
          <w:szCs w:val="14"/>
          <w:lang w:val="en-US" w:eastAsia="en-US"/>
        </w:rPr>
        <w:t xml:space="preserve"> (APM) and </w:t>
      </w:r>
      <w:r w:rsidRPr="00416EFF">
        <w:rPr>
          <w:rFonts w:eastAsiaTheme="minorHAnsi"/>
          <w:i/>
          <w:iCs/>
          <w:color w:val="000000"/>
          <w:sz w:val="14"/>
          <w:szCs w:val="14"/>
          <w:lang w:val="en-US" w:eastAsia="en-US"/>
        </w:rPr>
        <w:t>Adaptation Pathways</w:t>
      </w:r>
      <w:r w:rsidRPr="00416EFF">
        <w:rPr>
          <w:rFonts w:eastAsiaTheme="minorHAnsi"/>
          <w:color w:val="000000"/>
          <w:sz w:val="14"/>
          <w:szCs w:val="14"/>
          <w:lang w:val="en-US" w:eastAsia="en-US"/>
        </w:rPr>
        <w:t xml:space="preserve"> (APs) (</w:t>
      </w:r>
      <w:proofErr w:type="spellStart"/>
      <w:r w:rsidRPr="00416EFF">
        <w:rPr>
          <w:rFonts w:eastAsiaTheme="minorHAnsi"/>
          <w:color w:val="7F7F7F" w:themeColor="text1" w:themeTint="80"/>
          <w:sz w:val="14"/>
          <w:szCs w:val="14"/>
          <w:lang w:val="en-US" w:eastAsia="en-US"/>
        </w:rPr>
        <w:t>Gersonius</w:t>
      </w:r>
      <w:proofErr w:type="spellEnd"/>
      <w:r w:rsidRPr="00416EFF">
        <w:rPr>
          <w:rFonts w:eastAsiaTheme="minorHAnsi"/>
          <w:color w:val="7F7F7F" w:themeColor="text1" w:themeTint="80"/>
          <w:sz w:val="14"/>
          <w:szCs w:val="14"/>
          <w:lang w:val="en-US" w:eastAsia="en-US"/>
        </w:rPr>
        <w:t xml:space="preserve"> et al. 2016, Buuren et al. 2016</w:t>
      </w:r>
      <w:r w:rsidRPr="00416EFF">
        <w:rPr>
          <w:rFonts w:eastAsiaTheme="minorHAnsi"/>
          <w:color w:val="000000"/>
          <w:sz w:val="14"/>
          <w:szCs w:val="14"/>
          <w:lang w:val="en-US" w:eastAsia="en-US"/>
        </w:rPr>
        <w:t xml:space="preserve">); the scientific basis for ADM also lies in the concepts of </w:t>
      </w:r>
      <w:r w:rsidRPr="00416EFF">
        <w:rPr>
          <w:rFonts w:eastAsiaTheme="minorHAnsi"/>
          <w:i/>
          <w:iCs/>
          <w:color w:val="000000"/>
          <w:sz w:val="14"/>
          <w:szCs w:val="14"/>
          <w:lang w:val="en-US" w:eastAsia="en-US"/>
        </w:rPr>
        <w:t>Adaptive Planning</w:t>
      </w:r>
      <w:r w:rsidRPr="00416EFF">
        <w:rPr>
          <w:rFonts w:eastAsiaTheme="minorHAnsi"/>
          <w:color w:val="000000"/>
          <w:sz w:val="14"/>
          <w:szCs w:val="14"/>
          <w:lang w:val="en-US" w:eastAsia="en-US"/>
        </w:rPr>
        <w:t xml:space="preserve"> (</w:t>
      </w:r>
      <w:proofErr w:type="spellStart"/>
      <w:r w:rsidRPr="00416EFF">
        <w:rPr>
          <w:rFonts w:eastAsiaTheme="minorHAnsi"/>
          <w:color w:val="7F7F7F" w:themeColor="text1" w:themeTint="80"/>
          <w:sz w:val="14"/>
          <w:szCs w:val="14"/>
          <w:lang w:val="en-US" w:eastAsia="en-US"/>
        </w:rPr>
        <w:t>Kwakkel</w:t>
      </w:r>
      <w:proofErr w:type="spellEnd"/>
      <w:r w:rsidRPr="00416EFF">
        <w:rPr>
          <w:rFonts w:eastAsiaTheme="minorHAnsi"/>
          <w:color w:val="7F7F7F" w:themeColor="text1" w:themeTint="80"/>
          <w:sz w:val="14"/>
          <w:szCs w:val="14"/>
          <w:lang w:val="en-US" w:eastAsia="en-US"/>
        </w:rPr>
        <w:t xml:space="preserve"> et al. 2012; Ranger et al. 2013</w:t>
      </w:r>
      <w:r w:rsidRPr="00416EFF">
        <w:rPr>
          <w:rFonts w:eastAsiaTheme="minorHAnsi"/>
          <w:color w:val="000000"/>
          <w:sz w:val="14"/>
          <w:szCs w:val="14"/>
          <w:lang w:val="en-US" w:eastAsia="en-US"/>
        </w:rPr>
        <w:t xml:space="preserve">) and </w:t>
      </w:r>
      <w:r w:rsidRPr="00416EFF">
        <w:rPr>
          <w:rFonts w:eastAsiaTheme="minorHAnsi"/>
          <w:i/>
          <w:iCs/>
          <w:color w:val="000000"/>
          <w:sz w:val="14"/>
          <w:szCs w:val="14"/>
          <w:lang w:val="en-US" w:eastAsia="en-US"/>
        </w:rPr>
        <w:t>Adaptation Tipping-Points</w:t>
      </w:r>
      <w:r w:rsidRPr="00416EFF">
        <w:rPr>
          <w:rFonts w:eastAsiaTheme="minorHAnsi"/>
          <w:color w:val="000000"/>
          <w:sz w:val="14"/>
          <w:szCs w:val="14"/>
          <w:lang w:val="en-US" w:eastAsia="en-US"/>
        </w:rPr>
        <w:t xml:space="preserve"> (ATPs) (</w:t>
      </w:r>
      <w:proofErr w:type="spellStart"/>
      <w:r w:rsidRPr="00416EFF">
        <w:rPr>
          <w:rFonts w:eastAsiaTheme="minorHAnsi"/>
          <w:color w:val="7F7F7F" w:themeColor="text1" w:themeTint="80"/>
          <w:sz w:val="14"/>
          <w:szCs w:val="14"/>
          <w:lang w:val="en-US" w:eastAsia="en-US"/>
        </w:rPr>
        <w:t>Kwadijk</w:t>
      </w:r>
      <w:proofErr w:type="spellEnd"/>
      <w:r w:rsidRPr="00416EFF">
        <w:rPr>
          <w:rFonts w:eastAsiaTheme="minorHAnsi"/>
          <w:color w:val="7F7F7F" w:themeColor="text1" w:themeTint="80"/>
          <w:sz w:val="14"/>
          <w:szCs w:val="14"/>
          <w:lang w:val="en-US" w:eastAsia="en-US"/>
        </w:rPr>
        <w:t xml:space="preserve"> et al. 2010</w:t>
      </w:r>
      <w:r w:rsidRPr="00416EFF">
        <w:rPr>
          <w:rFonts w:eastAsiaTheme="minorHAnsi"/>
          <w:color w:val="000000"/>
          <w:sz w:val="14"/>
          <w:szCs w:val="14"/>
          <w:lang w:val="en-US" w:eastAsia="en-US"/>
        </w:rPr>
        <w:t>) (</w:t>
      </w:r>
      <w:r w:rsidRPr="00416EFF">
        <w:rPr>
          <w:rFonts w:eastAsiaTheme="minorHAnsi"/>
          <w:i/>
          <w:iCs/>
          <w:color w:val="7F7F7F" w:themeColor="text1" w:themeTint="80"/>
          <w:sz w:val="14"/>
          <w:szCs w:val="14"/>
          <w:lang w:val="en-US" w:eastAsia="en-US"/>
        </w:rPr>
        <w:t>in</w:t>
      </w:r>
      <w:r w:rsidRPr="00416EFF">
        <w:rPr>
          <w:rFonts w:eastAsiaTheme="minorHAnsi"/>
          <w:color w:val="7F7F7F" w:themeColor="text1" w:themeTint="80"/>
          <w:sz w:val="14"/>
          <w:szCs w:val="14"/>
          <w:lang w:val="en-US" w:eastAsia="en-US"/>
        </w:rPr>
        <w:t xml:space="preserve"> Werners et al. 2016</w:t>
      </w:r>
      <w:r w:rsidRPr="00416EFF">
        <w:rPr>
          <w:rFonts w:eastAsiaTheme="minorHAnsi"/>
          <w:color w:val="000000"/>
          <w:sz w:val="14"/>
          <w:szCs w:val="14"/>
          <w:lang w:val="en-US" w:eastAsia="en-US"/>
        </w:rPr>
        <w:t>). Moreover, the DP’s ADM is based on ‘Planned Adaptation’ (</w:t>
      </w:r>
      <w:r w:rsidRPr="00416EFF">
        <w:rPr>
          <w:rFonts w:eastAsiaTheme="minorHAnsi"/>
          <w:color w:val="7F7F7F" w:themeColor="text1" w:themeTint="80"/>
          <w:sz w:val="14"/>
          <w:szCs w:val="14"/>
          <w:lang w:val="en-US" w:eastAsia="en-US"/>
        </w:rPr>
        <w:t>Petersen and Bloemen 2015</w:t>
      </w:r>
      <w:r w:rsidRPr="00416EFF">
        <w:rPr>
          <w:rFonts w:eastAsiaTheme="minorHAnsi"/>
          <w:color w:val="000000"/>
          <w:sz w:val="14"/>
          <w:szCs w:val="14"/>
          <w:lang w:val="en-US" w:eastAsia="en-US"/>
        </w:rPr>
        <w:t>). Overall, ADM stemmed from a combination of existent insights and work about ‘several potential strategies’, ‘adaptation paths / solution paths’ (</w:t>
      </w:r>
      <w:r w:rsidRPr="00416EFF">
        <w:rPr>
          <w:rFonts w:eastAsiaTheme="minorHAnsi"/>
          <w:color w:val="7F7F7F" w:themeColor="text1" w:themeTint="80"/>
          <w:sz w:val="14"/>
          <w:szCs w:val="14"/>
          <w:lang w:val="en-US" w:eastAsia="en-US"/>
        </w:rPr>
        <w:t>DP 2011, p.48,70</w:t>
      </w:r>
      <w:r w:rsidRPr="00416EFF">
        <w:rPr>
          <w:rFonts w:eastAsiaTheme="minorHAnsi"/>
          <w:color w:val="000000"/>
          <w:sz w:val="14"/>
          <w:szCs w:val="14"/>
          <w:lang w:val="en-US" w:eastAsia="en-US"/>
        </w:rPr>
        <w:t>). Inspired by TE2100 Project’s approach, the DP developed its own adaptive planning approach (ADM) (</w:t>
      </w:r>
      <w:r w:rsidRPr="00416EFF">
        <w:rPr>
          <w:rFonts w:eastAsiaTheme="minorHAnsi"/>
          <w:color w:val="7F7F7F" w:themeColor="text1" w:themeTint="80"/>
          <w:sz w:val="14"/>
          <w:szCs w:val="14"/>
          <w:lang w:val="en-US" w:eastAsia="en-US"/>
        </w:rPr>
        <w:t>Zevenbergen et al. 2018; DP 2011, p.45, 55</w:t>
      </w:r>
      <w:r w:rsidRPr="00416EFF">
        <w:rPr>
          <w:rFonts w:eastAsiaTheme="minorHAnsi"/>
          <w:color w:val="000000"/>
          <w:sz w:val="14"/>
          <w:szCs w:val="14"/>
          <w:lang w:val="en-US" w:eastAsia="en-US"/>
        </w:rPr>
        <w:t xml:space="preserve">). </w:t>
      </w:r>
      <w:r w:rsidRPr="00416EFF">
        <w:rPr>
          <w:rFonts w:eastAsiaTheme="minorHAnsi"/>
          <w:color w:val="000000"/>
          <w:sz w:val="14"/>
          <w:szCs w:val="14"/>
          <w:lang w:val="en-US"/>
        </w:rPr>
        <w:t xml:space="preserve">ADM is different from the Adaptive Management (AM) usually referred in literature (AM of </w:t>
      </w:r>
      <w:r w:rsidRPr="00416EFF">
        <w:rPr>
          <w:rFonts w:eastAsiaTheme="minorHAnsi"/>
          <w:color w:val="7F7F7F" w:themeColor="text1" w:themeTint="80"/>
          <w:sz w:val="14"/>
          <w:szCs w:val="14"/>
          <w:lang w:val="en-US"/>
        </w:rPr>
        <w:t>Holling 1978</w:t>
      </w:r>
      <w:r w:rsidRPr="00416EFF">
        <w:rPr>
          <w:rFonts w:eastAsiaTheme="minorHAnsi"/>
          <w:color w:val="000000"/>
          <w:sz w:val="14"/>
          <w:szCs w:val="14"/>
          <w:lang w:val="en-US"/>
        </w:rPr>
        <w:t>), because: 1) it is anticipatory rather than responsive (it focusses on planning in anticipation rather than reactive responses); 2) it explicitly takes into account, and deal with, uncertainties about the future in the planning and management; 3) AM focusses on trial-and-error experiments and monitoring of developments, while ADM recognizes that, for some variables, the signals of CC cannot be derived from monitoring / measurement soon enough (due to large natural climate variability), hence, ex-ante assessments and anticipatory planning are needed; (4) the concepts of ‘robustness’ and ‘flexibility’ are essential in ADM (</w:t>
      </w:r>
      <w:r w:rsidRPr="00416EFF">
        <w:rPr>
          <w:rFonts w:eastAsiaTheme="minorHAnsi"/>
          <w:color w:val="7F7F7F" w:themeColor="text1" w:themeTint="80"/>
          <w:sz w:val="14"/>
          <w:szCs w:val="14"/>
          <w:lang w:val="en-US"/>
        </w:rPr>
        <w:t>Klijn et al. 2016</w:t>
      </w:r>
      <w:r w:rsidRPr="00416EFF">
        <w:rPr>
          <w:rFonts w:eastAsiaTheme="minorHAnsi"/>
          <w:color w:val="000000"/>
          <w:sz w:val="14"/>
          <w:szCs w:val="14"/>
          <w:lang w:val="en-US"/>
        </w:rPr>
        <w:t>). A new aspect of ADM in relation to AM is the use of ATPs and APs (</w:t>
      </w:r>
      <w:r w:rsidRPr="00416EFF">
        <w:rPr>
          <w:rFonts w:eastAsiaTheme="minorHAnsi"/>
          <w:color w:val="7F7F7F" w:themeColor="text1" w:themeTint="80"/>
          <w:sz w:val="14"/>
          <w:szCs w:val="14"/>
          <w:lang w:val="en-US"/>
        </w:rPr>
        <w:t>Zevenbergen et al. 2018</w:t>
      </w:r>
      <w:r w:rsidRPr="00416EFF">
        <w:rPr>
          <w:rFonts w:eastAsiaTheme="minorHAnsi"/>
          <w:color w:val="000000"/>
          <w:sz w:val="14"/>
          <w:szCs w:val="14"/>
          <w:lang w:val="en-US"/>
        </w:rPr>
        <w:t>).</w:t>
      </w:r>
    </w:p>
  </w:footnote>
  <w:footnote w:id="140">
    <w:p w14:paraId="28F33218" w14:textId="77777777" w:rsidR="000A0954" w:rsidRPr="00416EFF" w:rsidRDefault="000A0954" w:rsidP="000A0954">
      <w:pPr>
        <w:pStyle w:val="Textodenotaderodap"/>
        <w:rPr>
          <w:sz w:val="14"/>
          <w:szCs w:val="14"/>
        </w:rPr>
      </w:pPr>
      <w:r w:rsidRPr="007A0103">
        <w:rPr>
          <w:rStyle w:val="Refdenotaderodap"/>
          <w:sz w:val="14"/>
          <w:szCs w:val="14"/>
        </w:rPr>
        <w:footnoteRef/>
      </w:r>
      <w:r w:rsidRPr="007A0103">
        <w:rPr>
          <w:rFonts w:ascii="Arial" w:hAnsi="Arial" w:cs="Arial"/>
          <w:sz w:val="14"/>
          <w:szCs w:val="14"/>
        </w:rPr>
        <w:t xml:space="preserve"> </w:t>
      </w:r>
      <w:r w:rsidRPr="00416EFF">
        <w:rPr>
          <w:sz w:val="14"/>
          <w:szCs w:val="14"/>
        </w:rPr>
        <w:t>Flexibility (capacity to be flexible) can be</w:t>
      </w:r>
      <w:r w:rsidRPr="00416EFF">
        <w:rPr>
          <w:i/>
          <w:iCs/>
          <w:sz w:val="14"/>
          <w:szCs w:val="14"/>
        </w:rPr>
        <w:t xml:space="preserve"> flexibility</w:t>
      </w:r>
      <w:r w:rsidRPr="00416EFF">
        <w:rPr>
          <w:sz w:val="14"/>
          <w:szCs w:val="14"/>
        </w:rPr>
        <w:t xml:space="preserve"> to switch to other strategies when needed, in the face of uncertain future changes, it has elements of experimentation and learning. Adaptive capacity refers to capacities, attributes, and resources to undertake adaptation; it concerns the ability to anticipate, innovate and generate experience in dealing with change and learn from mistakes (</w:t>
      </w:r>
      <w:r w:rsidRPr="00416EFF">
        <w:rPr>
          <w:color w:val="7F7F7F" w:themeColor="text1" w:themeTint="80"/>
          <w:sz w:val="14"/>
          <w:szCs w:val="14"/>
        </w:rPr>
        <w:t xml:space="preserve">Haegen and </w:t>
      </w:r>
      <w:proofErr w:type="spellStart"/>
      <w:r w:rsidRPr="00416EFF">
        <w:rPr>
          <w:color w:val="7F7F7F" w:themeColor="text1" w:themeTint="80"/>
          <w:sz w:val="14"/>
          <w:szCs w:val="14"/>
        </w:rPr>
        <w:t>Wieriks</w:t>
      </w:r>
      <w:proofErr w:type="spellEnd"/>
      <w:r w:rsidRPr="00416EFF">
        <w:rPr>
          <w:color w:val="7F7F7F" w:themeColor="text1" w:themeTint="80"/>
          <w:sz w:val="14"/>
          <w:szCs w:val="14"/>
        </w:rPr>
        <w:t xml:space="preserve"> 2015</w:t>
      </w:r>
      <w:r w:rsidRPr="00416EFF">
        <w:rPr>
          <w:sz w:val="14"/>
          <w:szCs w:val="14"/>
        </w:rPr>
        <w:t>).</w:t>
      </w:r>
    </w:p>
  </w:footnote>
  <w:footnote w:id="141">
    <w:p w14:paraId="3BD8410D" w14:textId="11004A9A" w:rsidR="00FA6940" w:rsidRPr="00FA6940" w:rsidRDefault="00FA6940" w:rsidP="00423896">
      <w:pPr>
        <w:pStyle w:val="TEXTBODY"/>
        <w:spacing w:after="0" w:line="240" w:lineRule="auto"/>
      </w:pPr>
      <w:r w:rsidRPr="00F8219A">
        <w:rPr>
          <w:rStyle w:val="Refdenotaderodap"/>
          <w:sz w:val="14"/>
          <w:szCs w:val="12"/>
        </w:rPr>
        <w:footnoteRef/>
      </w:r>
      <w:r w:rsidRPr="00F8219A">
        <w:rPr>
          <w:sz w:val="14"/>
          <w:szCs w:val="12"/>
        </w:rPr>
        <w:t xml:space="preserve"> Moreover, the DP highlights that a continual investment in FRM and ‘</w:t>
      </w:r>
      <w:r w:rsidRPr="00F8219A">
        <w:rPr>
          <w:i/>
          <w:sz w:val="14"/>
          <w:szCs w:val="12"/>
        </w:rPr>
        <w:t>sufficient financial resources</w:t>
      </w:r>
      <w:r w:rsidRPr="00F8219A">
        <w:rPr>
          <w:sz w:val="14"/>
          <w:szCs w:val="12"/>
        </w:rPr>
        <w:t xml:space="preserve"> </w:t>
      </w:r>
      <w:r w:rsidRPr="00F8219A">
        <w:rPr>
          <w:i/>
          <w:sz w:val="14"/>
          <w:szCs w:val="12"/>
        </w:rPr>
        <w:t>are</w:t>
      </w:r>
      <w:r w:rsidRPr="00F8219A">
        <w:rPr>
          <w:sz w:val="14"/>
          <w:szCs w:val="12"/>
        </w:rPr>
        <w:t xml:space="preserve"> </w:t>
      </w:r>
      <w:r w:rsidRPr="00F8219A">
        <w:rPr>
          <w:i/>
          <w:sz w:val="14"/>
          <w:szCs w:val="12"/>
        </w:rPr>
        <w:t>a condition for a dynamic implementation of the DP</w:t>
      </w:r>
      <w:r w:rsidRPr="00F8219A">
        <w:rPr>
          <w:sz w:val="14"/>
          <w:szCs w:val="12"/>
        </w:rPr>
        <w:t xml:space="preserve"> (</w:t>
      </w:r>
      <w:r w:rsidRPr="00F8219A">
        <w:rPr>
          <w:color w:val="7F7F7F" w:themeColor="text1" w:themeTint="80"/>
          <w:sz w:val="14"/>
          <w:szCs w:val="12"/>
        </w:rPr>
        <w:t>DP 2013, p.120; 2014, p.120</w:t>
      </w:r>
      <w:r w:rsidRPr="00F8219A">
        <w:rPr>
          <w:sz w:val="14"/>
          <w:szCs w:val="12"/>
        </w:rPr>
        <w:t xml:space="preserve">). </w:t>
      </w:r>
    </w:p>
  </w:footnote>
  <w:footnote w:id="142">
    <w:p w14:paraId="633226AD" w14:textId="046EA177" w:rsidR="00A119C8" w:rsidRPr="00D57D7F" w:rsidRDefault="00A119C8" w:rsidP="00A119C8">
      <w:pPr>
        <w:pStyle w:val="Textodenotaderodap"/>
        <w:rPr>
          <w:lang w:val="en-US"/>
        </w:rPr>
      </w:pPr>
      <w:r w:rsidRPr="00D57D7F">
        <w:rPr>
          <w:rStyle w:val="Refdenotaderodap"/>
          <w:sz w:val="14"/>
          <w:szCs w:val="14"/>
        </w:rPr>
        <w:footnoteRef/>
      </w:r>
      <w:r w:rsidRPr="00D57D7F">
        <w:rPr>
          <w:sz w:val="14"/>
          <w:szCs w:val="14"/>
        </w:rPr>
        <w:t xml:space="preserve"> Difficulty was found in determining tipping-points in situations where: a) there is large natural variability, b) intrinsically flexible strategies are used, c) there are no clear policy goals defined</w:t>
      </w:r>
      <w:r w:rsidRPr="00D57D7F">
        <w:rPr>
          <w:b/>
          <w:bCs/>
          <w:sz w:val="14"/>
          <w:szCs w:val="14"/>
        </w:rPr>
        <w:t xml:space="preserve"> </w:t>
      </w:r>
      <w:r w:rsidRPr="00D57D7F">
        <w:rPr>
          <w:bCs/>
          <w:sz w:val="14"/>
          <w:szCs w:val="14"/>
        </w:rPr>
        <w:t>(</w:t>
      </w:r>
      <w:r>
        <w:rPr>
          <w:color w:val="7F7F7F" w:themeColor="text1" w:themeTint="80"/>
          <w:sz w:val="14"/>
          <w:szCs w:val="14"/>
        </w:rPr>
        <w:t>Bloemen et al. 2018</w:t>
      </w:r>
      <w:r w:rsidRPr="00D57D7F">
        <w:rPr>
          <w:sz w:val="14"/>
          <w:szCs w:val="14"/>
        </w:rPr>
        <w:t>).</w:t>
      </w:r>
    </w:p>
  </w:footnote>
  <w:footnote w:id="143">
    <w:p w14:paraId="1602ABB1" w14:textId="77777777" w:rsidR="00A119C8" w:rsidRDefault="00A119C8" w:rsidP="00A119C8"/>
    <w:p w14:paraId="7F816DE7" w14:textId="77777777" w:rsidR="00A119C8" w:rsidRPr="0035693A" w:rsidRDefault="00A119C8" w:rsidP="00A119C8">
      <w:pPr>
        <w:pStyle w:val="Textodenotaderodap"/>
      </w:pPr>
    </w:p>
  </w:footnote>
  <w:footnote w:id="144">
    <w:p w14:paraId="35331838" w14:textId="77777777" w:rsidR="00A119C8" w:rsidRPr="0014131F" w:rsidRDefault="00A119C8" w:rsidP="00A119C8">
      <w:pPr>
        <w:pStyle w:val="Textodenotaderodap"/>
        <w:rPr>
          <w:sz w:val="14"/>
          <w:szCs w:val="14"/>
        </w:rPr>
      </w:pPr>
      <w:r w:rsidRPr="0014131F">
        <w:rPr>
          <w:rStyle w:val="Refdenotaderodap"/>
          <w:rFonts w:cs="Arial"/>
          <w:sz w:val="14"/>
          <w:szCs w:val="14"/>
        </w:rPr>
        <w:footnoteRef/>
      </w:r>
      <w:r w:rsidRPr="0014131F">
        <w:rPr>
          <w:sz w:val="14"/>
          <w:szCs w:val="14"/>
        </w:rPr>
        <w:t xml:space="preserve"> </w:t>
      </w:r>
      <w:proofErr w:type="spellStart"/>
      <w:r w:rsidRPr="0014131F">
        <w:rPr>
          <w:rFonts w:cs="Arial"/>
          <w:color w:val="595959" w:themeColor="text1" w:themeTint="A6"/>
          <w:sz w:val="14"/>
        </w:rPr>
        <w:t>Restemeyer</w:t>
      </w:r>
      <w:proofErr w:type="spellEnd"/>
      <w:r w:rsidRPr="0014131F">
        <w:rPr>
          <w:rFonts w:cs="Arial"/>
          <w:color w:val="595959" w:themeColor="text1" w:themeTint="A6"/>
          <w:sz w:val="14"/>
        </w:rPr>
        <w:t xml:space="preserve"> et al. </w:t>
      </w:r>
      <w:r w:rsidRPr="0014131F">
        <w:rPr>
          <w:rFonts w:cs="Arial"/>
          <w:sz w:val="14"/>
        </w:rPr>
        <w:t xml:space="preserve">examined </w:t>
      </w:r>
      <w:r w:rsidRPr="0014131F">
        <w:rPr>
          <w:rFonts w:cs="Arial"/>
          <w:iCs/>
          <w:sz w:val="14"/>
        </w:rPr>
        <w:t xml:space="preserve">to what extent the Strategy for FRM elaborated in the RE-D Subprogramme was flexible, and found that, in practice, the Subprogramme faced several difficulties in working with scenarios, ATPs and APs </w:t>
      </w:r>
      <w:r w:rsidRPr="0014131F">
        <w:rPr>
          <w:sz w:val="14"/>
          <w:szCs w:val="14"/>
        </w:rPr>
        <w:t>(</w:t>
      </w:r>
      <w:proofErr w:type="spellStart"/>
      <w:r w:rsidRPr="0014131F">
        <w:rPr>
          <w:rFonts w:cs="Arial"/>
          <w:color w:val="595959" w:themeColor="text1" w:themeTint="A6"/>
          <w:sz w:val="14"/>
        </w:rPr>
        <w:t>Restemeyer</w:t>
      </w:r>
      <w:proofErr w:type="spellEnd"/>
      <w:r w:rsidRPr="0014131F">
        <w:rPr>
          <w:rFonts w:cs="Arial"/>
          <w:color w:val="595959" w:themeColor="text1" w:themeTint="A6"/>
          <w:sz w:val="14"/>
        </w:rPr>
        <w:t xml:space="preserve"> et al. 2017</w:t>
      </w:r>
      <w:r w:rsidRPr="0014131F">
        <w:rPr>
          <w:rFonts w:cs="Arial"/>
          <w:iCs/>
          <w:sz w:val="14"/>
        </w:rPr>
        <w:t>).</w:t>
      </w:r>
    </w:p>
  </w:footnote>
  <w:footnote w:id="145">
    <w:p w14:paraId="0434FCDC" w14:textId="77777777" w:rsidR="00A119C8" w:rsidRPr="00C34F71" w:rsidRDefault="00A119C8" w:rsidP="00A119C8">
      <w:pPr>
        <w:pStyle w:val="Textodenotaderodap"/>
      </w:pPr>
      <w:r w:rsidRPr="0014131F">
        <w:rPr>
          <w:rStyle w:val="Refdenotaderodap"/>
          <w:rFonts w:cs="Arial"/>
          <w:sz w:val="14"/>
          <w:szCs w:val="14"/>
        </w:rPr>
        <w:footnoteRef/>
      </w:r>
      <w:r w:rsidRPr="0014131F">
        <w:rPr>
          <w:rFonts w:ascii="Arial" w:hAnsi="Arial" w:cs="Arial"/>
          <w:sz w:val="18"/>
          <w:szCs w:val="18"/>
        </w:rPr>
        <w:t xml:space="preserve"> </w:t>
      </w:r>
      <w:r w:rsidRPr="0014131F">
        <w:rPr>
          <w:rFonts w:cs="Arial"/>
          <w:sz w:val="14"/>
        </w:rPr>
        <w:t xml:space="preserve">This Strategy reflects the old belief that authorities </w:t>
      </w:r>
      <w:proofErr w:type="gramStart"/>
      <w:r w:rsidRPr="0014131F">
        <w:rPr>
          <w:rFonts w:cs="Arial"/>
          <w:sz w:val="14"/>
        </w:rPr>
        <w:t>are able to</w:t>
      </w:r>
      <w:proofErr w:type="gramEnd"/>
      <w:r w:rsidRPr="0014131F">
        <w:rPr>
          <w:rFonts w:cs="Arial"/>
          <w:sz w:val="14"/>
        </w:rPr>
        <w:t xml:space="preserve"> control flooding, but in case of technical failure of a dyke, the hinterland continues to be vulnerable. In this Strategy,</w:t>
      </w:r>
      <w:r w:rsidRPr="0014131F">
        <w:rPr>
          <w:sz w:val="14"/>
          <w:szCs w:val="14"/>
        </w:rPr>
        <w:t xml:space="preserve"> </w:t>
      </w:r>
      <w:r w:rsidRPr="0014131F">
        <w:rPr>
          <w:rFonts w:cs="Arial"/>
          <w:sz w:val="14"/>
        </w:rPr>
        <w:t>‘adaptability’ is ‘</w:t>
      </w:r>
      <w:r w:rsidRPr="0014131F">
        <w:rPr>
          <w:rFonts w:cs="Arial"/>
          <w:i/>
          <w:iCs/>
          <w:sz w:val="14"/>
        </w:rPr>
        <w:t>limited to the idea of gradual adjustments</w:t>
      </w:r>
      <w:r w:rsidRPr="0014131F">
        <w:rPr>
          <w:rFonts w:cs="Arial"/>
          <w:sz w:val="14"/>
        </w:rPr>
        <w:t>’ to existing defence system (i.e. ‘</w:t>
      </w:r>
      <w:r w:rsidRPr="0014131F">
        <w:rPr>
          <w:i/>
          <w:sz w:val="14"/>
          <w:szCs w:val="14"/>
        </w:rPr>
        <w:t xml:space="preserve">gradual adjustments of certain measures’ </w:t>
      </w:r>
      <w:r w:rsidRPr="0014131F">
        <w:rPr>
          <w:iCs/>
          <w:sz w:val="14"/>
          <w:szCs w:val="14"/>
        </w:rPr>
        <w:t xml:space="preserve">like ‘dyke improvement’) </w:t>
      </w:r>
      <w:r w:rsidRPr="0014131F">
        <w:rPr>
          <w:rFonts w:cs="Arial"/>
          <w:sz w:val="14"/>
        </w:rPr>
        <w:t>in a business-as-usual approach, less focused on improving the capacity to deal with unexcepted events and reducing the vulnerability</w:t>
      </w:r>
      <w:r w:rsidRPr="0014131F">
        <w:rPr>
          <w:iCs/>
          <w:sz w:val="14"/>
          <w:szCs w:val="14"/>
        </w:rPr>
        <w:t xml:space="preserve"> </w:t>
      </w:r>
      <w:r w:rsidRPr="0014131F">
        <w:rPr>
          <w:rFonts w:cs="Arial"/>
          <w:sz w:val="14"/>
        </w:rPr>
        <w:t>(</w:t>
      </w:r>
      <w:proofErr w:type="spellStart"/>
      <w:r w:rsidRPr="0014131F">
        <w:rPr>
          <w:rFonts w:cs="Arial"/>
          <w:color w:val="7F7F7F" w:themeColor="text1" w:themeTint="80"/>
          <w:sz w:val="14"/>
        </w:rPr>
        <w:t>Restemeyer</w:t>
      </w:r>
      <w:proofErr w:type="spellEnd"/>
      <w:r w:rsidRPr="0014131F">
        <w:rPr>
          <w:rFonts w:cs="Arial"/>
          <w:color w:val="7F7F7F" w:themeColor="text1" w:themeTint="80"/>
          <w:sz w:val="14"/>
        </w:rPr>
        <w:t xml:space="preserve"> et al. 2017, p.935</w:t>
      </w:r>
      <w:r w:rsidRPr="0014131F">
        <w:rPr>
          <w:rFonts w:cs="Arial"/>
          <w:sz w:val="14"/>
        </w:rPr>
        <w:t>).</w:t>
      </w:r>
    </w:p>
  </w:footnote>
  <w:footnote w:id="146">
    <w:p w14:paraId="7FD5263C" w14:textId="77777777" w:rsidR="00A119C8" w:rsidRPr="00F54A36" w:rsidRDefault="00A119C8" w:rsidP="00A119C8">
      <w:pPr>
        <w:pStyle w:val="Textodenotaderodap"/>
        <w:rPr>
          <w:sz w:val="14"/>
          <w:szCs w:val="14"/>
        </w:rPr>
      </w:pPr>
      <w:r w:rsidRPr="00F54A36">
        <w:rPr>
          <w:rStyle w:val="Refdenotaderodap"/>
          <w:rFonts w:cs="Arial"/>
          <w:sz w:val="14"/>
          <w:szCs w:val="14"/>
        </w:rPr>
        <w:footnoteRef/>
      </w:r>
      <w:r w:rsidRPr="00F54A36">
        <w:rPr>
          <w:sz w:val="14"/>
          <w:szCs w:val="14"/>
        </w:rPr>
        <w:t xml:space="preserve"> Dordrecht is an exception; it follows a more integrated approach. Most of the Island is protected by a dyke ring, but many parts of it were difficult to improve due to the proximity of historic buildings. Before the DP, Dordrecht had searched for alternatives, taking forward the concept of “multi-layered FRM’ and its 3 layers (</w:t>
      </w:r>
      <w:proofErr w:type="spellStart"/>
      <w:r w:rsidRPr="00F54A36">
        <w:rPr>
          <w:color w:val="595959" w:themeColor="text1" w:themeTint="A6"/>
          <w:sz w:val="14"/>
          <w:szCs w:val="14"/>
        </w:rPr>
        <w:t>Restemeyer</w:t>
      </w:r>
      <w:proofErr w:type="spellEnd"/>
      <w:r w:rsidRPr="00F54A36">
        <w:rPr>
          <w:color w:val="595959" w:themeColor="text1" w:themeTint="A6"/>
          <w:sz w:val="14"/>
          <w:szCs w:val="14"/>
        </w:rPr>
        <w:t xml:space="preserve"> et al. 2017, p 934</w:t>
      </w:r>
      <w:r w:rsidRPr="00F54A36">
        <w:rPr>
          <w:sz w:val="14"/>
          <w:szCs w:val="14"/>
        </w:rPr>
        <w:t>).</w:t>
      </w:r>
      <w:r w:rsidRPr="00F54A36">
        <w:rPr>
          <w:rFonts w:cs="Arial"/>
          <w:sz w:val="14"/>
          <w:szCs w:val="14"/>
        </w:rPr>
        <w:t xml:space="preserve"> Dordrecht is interested in ML FRM, because in case of failure of the primary defence system, flood impacts can be reduced via </w:t>
      </w:r>
      <w:r w:rsidRPr="00F54A36">
        <w:rPr>
          <w:rFonts w:cs="Arial"/>
          <w:i/>
          <w:iCs/>
          <w:sz w:val="14"/>
          <w:szCs w:val="14"/>
        </w:rPr>
        <w:t>adjusted spatial planning</w:t>
      </w:r>
      <w:r w:rsidRPr="00F54A36">
        <w:rPr>
          <w:rFonts w:cs="Arial"/>
          <w:sz w:val="14"/>
          <w:szCs w:val="14"/>
        </w:rPr>
        <w:t xml:space="preserve"> and </w:t>
      </w:r>
      <w:r w:rsidRPr="00F54A36">
        <w:rPr>
          <w:rFonts w:cs="Arial"/>
          <w:i/>
          <w:iCs/>
          <w:sz w:val="14"/>
          <w:szCs w:val="14"/>
        </w:rPr>
        <w:t>evacuation plans</w:t>
      </w:r>
      <w:r w:rsidRPr="00F54A36">
        <w:rPr>
          <w:rFonts w:cs="Arial"/>
          <w:sz w:val="14"/>
          <w:szCs w:val="14"/>
        </w:rPr>
        <w:t xml:space="preserve"> (</w:t>
      </w:r>
      <w:proofErr w:type="spellStart"/>
      <w:r w:rsidRPr="00F54A36">
        <w:rPr>
          <w:rFonts w:cs="Arial"/>
          <w:color w:val="595959" w:themeColor="text1" w:themeTint="A6"/>
          <w:sz w:val="14"/>
          <w:szCs w:val="14"/>
        </w:rPr>
        <w:t>Gersonius</w:t>
      </w:r>
      <w:proofErr w:type="spellEnd"/>
      <w:r w:rsidRPr="00F54A36">
        <w:rPr>
          <w:rFonts w:cs="Arial"/>
          <w:color w:val="595959" w:themeColor="text1" w:themeTint="A6"/>
          <w:sz w:val="14"/>
          <w:szCs w:val="14"/>
        </w:rPr>
        <w:t xml:space="preserve"> et al. 2015; </w:t>
      </w:r>
      <w:r>
        <w:rPr>
          <w:rFonts w:cs="Arial"/>
          <w:color w:val="595959" w:themeColor="text1" w:themeTint="A6"/>
          <w:sz w:val="14"/>
          <w:szCs w:val="14"/>
        </w:rPr>
        <w:t>Bloemen et al. 2018</w:t>
      </w:r>
      <w:r w:rsidRPr="00F54A36">
        <w:rPr>
          <w:rFonts w:cs="Arial"/>
          <w:sz w:val="14"/>
          <w:szCs w:val="14"/>
        </w:rPr>
        <w:t xml:space="preserve">). This Strategy considers risk communication and preparedness measures, but it does not mention how flood risk and evacuation possibilities should be communicated to citizens; this is pertinent, as 57% of Dutch citizens feel badly informed about flood risk but trust the Government to prevent flooding </w:t>
      </w:r>
      <w:r w:rsidRPr="00F54A36">
        <w:rPr>
          <w:sz w:val="14"/>
          <w:szCs w:val="14"/>
        </w:rPr>
        <w:t>(</w:t>
      </w:r>
      <w:proofErr w:type="spellStart"/>
      <w:r w:rsidRPr="00F54A36">
        <w:rPr>
          <w:color w:val="595959" w:themeColor="text1" w:themeTint="A6"/>
          <w:sz w:val="14"/>
          <w:szCs w:val="14"/>
        </w:rPr>
        <w:t>Restemeyer</w:t>
      </w:r>
      <w:proofErr w:type="spellEnd"/>
      <w:r w:rsidRPr="00F54A36">
        <w:rPr>
          <w:color w:val="595959" w:themeColor="text1" w:themeTint="A6"/>
          <w:sz w:val="14"/>
          <w:szCs w:val="14"/>
        </w:rPr>
        <w:t xml:space="preserve"> et al. 2017</w:t>
      </w:r>
      <w:r w:rsidRPr="00F54A36">
        <w:rPr>
          <w:sz w:val="14"/>
          <w:szCs w:val="14"/>
        </w:rPr>
        <w:t>).</w:t>
      </w:r>
    </w:p>
  </w:footnote>
  <w:footnote w:id="147">
    <w:p w14:paraId="2F28D358" w14:textId="77777777" w:rsidR="00A119C8" w:rsidRPr="008A2735" w:rsidRDefault="00A119C8" w:rsidP="00A119C8">
      <w:pPr>
        <w:pStyle w:val="Textodenotaderodap"/>
      </w:pPr>
      <w:r w:rsidRPr="00F54A36">
        <w:rPr>
          <w:rStyle w:val="Refdenotaderodap"/>
          <w:sz w:val="14"/>
          <w:szCs w:val="14"/>
        </w:rPr>
        <w:footnoteRef/>
      </w:r>
      <w:r w:rsidRPr="00F54A36">
        <w:rPr>
          <w:sz w:val="14"/>
          <w:szCs w:val="14"/>
        </w:rPr>
        <w:t xml:space="preserve"> </w:t>
      </w:r>
      <w:r w:rsidRPr="00F54A36">
        <w:rPr>
          <w:i/>
          <w:iCs/>
          <w:sz w:val="14"/>
          <w:szCs w:val="14"/>
        </w:rPr>
        <w:t xml:space="preserve">The cases of TE2100 and Delta Program highlight how short-term decisions are explicitly coupled with long-term options using adaptation pathways or route maps with clearly marked thresholds defining when to decide to switch from one action to another, this ensures maximum flexibility </w:t>
      </w:r>
      <w:r w:rsidRPr="00F54A36">
        <w:rPr>
          <w:sz w:val="14"/>
          <w:szCs w:val="14"/>
        </w:rPr>
        <w:t>(</w:t>
      </w:r>
      <w:proofErr w:type="spellStart"/>
      <w:r w:rsidRPr="00F54A36">
        <w:rPr>
          <w:color w:val="7F7F7F" w:themeColor="text1" w:themeTint="80"/>
          <w:sz w:val="14"/>
          <w:szCs w:val="14"/>
          <w:lang w:val="en-US"/>
        </w:rPr>
        <w:t>Jeuken</w:t>
      </w:r>
      <w:proofErr w:type="spellEnd"/>
      <w:r w:rsidRPr="00F54A36">
        <w:rPr>
          <w:color w:val="7F7F7F" w:themeColor="text1" w:themeTint="80"/>
          <w:sz w:val="14"/>
          <w:szCs w:val="14"/>
          <w:lang w:val="en-US"/>
        </w:rPr>
        <w:t xml:space="preserve"> et al. 2014, p.24</w:t>
      </w:r>
      <w:r w:rsidRPr="00F54A36">
        <w:rPr>
          <w:sz w:val="14"/>
          <w:szCs w:val="14"/>
          <w:lang w:val="en-US"/>
        </w:rPr>
        <w:t>).</w:t>
      </w:r>
      <w:r w:rsidRPr="00F54A36">
        <w:rPr>
          <w:sz w:val="12"/>
          <w:szCs w:val="12"/>
          <w:lang w:val="en-US"/>
        </w:rPr>
        <w:t xml:space="preserve"> </w:t>
      </w:r>
    </w:p>
  </w:footnote>
  <w:footnote w:id="148">
    <w:p w14:paraId="4C40A113" w14:textId="77777777" w:rsidR="00A119C8" w:rsidRPr="0014131F" w:rsidRDefault="00A119C8" w:rsidP="00A119C8">
      <w:pPr>
        <w:pStyle w:val="Textodenotaderodap"/>
        <w:rPr>
          <w:color w:val="C00000"/>
          <w:sz w:val="14"/>
          <w:szCs w:val="14"/>
        </w:rPr>
      </w:pPr>
      <w:r w:rsidRPr="000C5736">
        <w:rPr>
          <w:rStyle w:val="Refdenotaderodap"/>
          <w:sz w:val="14"/>
          <w:szCs w:val="14"/>
        </w:rPr>
        <w:footnoteRef/>
      </w:r>
      <w:r w:rsidRPr="000C5736">
        <w:rPr>
          <w:sz w:val="14"/>
          <w:szCs w:val="14"/>
        </w:rPr>
        <w:t xml:space="preserve"> </w:t>
      </w:r>
      <w:r w:rsidRPr="00ED6053">
        <w:rPr>
          <w:sz w:val="14"/>
          <w:szCs w:val="14"/>
        </w:rPr>
        <w:t xml:space="preserve">It should be noted that the flexibility offered by dyke improvement measures is limited because this type of measures is often more cost-effective than implementing multiple smaller phased / stepwise projects or investments. </w:t>
      </w:r>
      <w:proofErr w:type="gramStart"/>
      <w:r w:rsidRPr="00ED6053">
        <w:rPr>
          <w:sz w:val="14"/>
          <w:szCs w:val="14"/>
        </w:rPr>
        <w:t>Actually, measures</w:t>
      </w:r>
      <w:proofErr w:type="gramEnd"/>
      <w:r w:rsidRPr="00ED6053">
        <w:rPr>
          <w:sz w:val="14"/>
          <w:szCs w:val="14"/>
        </w:rPr>
        <w:t xml:space="preserve"> like “river widening” or “coastal sand nourishments” are better suited to be implemented in small steps </w:t>
      </w:r>
      <w:r w:rsidRPr="000C5736">
        <w:rPr>
          <w:color w:val="C00000"/>
          <w:sz w:val="14"/>
          <w:szCs w:val="14"/>
        </w:rPr>
        <w:t>(</w:t>
      </w:r>
      <w:proofErr w:type="spellStart"/>
      <w:r w:rsidRPr="000C5736">
        <w:rPr>
          <w:color w:val="7F7F7F" w:themeColor="text1" w:themeTint="80"/>
          <w:sz w:val="14"/>
          <w:szCs w:val="14"/>
        </w:rPr>
        <w:t>Jeuken</w:t>
      </w:r>
      <w:proofErr w:type="spellEnd"/>
      <w:r w:rsidRPr="000C5736">
        <w:rPr>
          <w:color w:val="7F7F7F" w:themeColor="text1" w:themeTint="80"/>
          <w:sz w:val="14"/>
          <w:szCs w:val="14"/>
        </w:rPr>
        <w:t xml:space="preserve"> et al. 2014, p.18</w:t>
      </w:r>
      <w:r w:rsidRPr="000C5736">
        <w:rPr>
          <w:color w:val="C00000"/>
          <w:sz w:val="14"/>
          <w:szCs w:val="14"/>
        </w:rPr>
        <w:t>).</w:t>
      </w:r>
      <w:r>
        <w:rPr>
          <w:color w:val="C00000"/>
          <w:sz w:val="14"/>
          <w:szCs w:val="14"/>
        </w:rPr>
        <w:t xml:space="preserve"> </w:t>
      </w:r>
      <w:r w:rsidRPr="000C5736">
        <w:rPr>
          <w:sz w:val="14"/>
          <w:szCs w:val="14"/>
        </w:rPr>
        <w:t xml:space="preserve">Nevertheless, </w:t>
      </w:r>
      <w:r w:rsidRPr="000C5736">
        <w:rPr>
          <w:iCs/>
          <w:sz w:val="14"/>
          <w:szCs w:val="14"/>
        </w:rPr>
        <w:t xml:space="preserve">the </w:t>
      </w:r>
      <w:r w:rsidRPr="00D509C4">
        <w:rPr>
          <w:iCs/>
          <w:sz w:val="14"/>
          <w:szCs w:val="14"/>
        </w:rPr>
        <w:t>flexibility of FRM plans</w:t>
      </w:r>
      <w:r w:rsidRPr="000C5736">
        <w:rPr>
          <w:iCs/>
          <w:sz w:val="14"/>
          <w:szCs w:val="14"/>
        </w:rPr>
        <w:t xml:space="preserve"> has often been undermined / jeopardized by the type and lifespan of some FRM measures implemented in the past and </w:t>
      </w:r>
      <w:r w:rsidRPr="00ED6053">
        <w:rPr>
          <w:iCs/>
          <w:sz w:val="14"/>
          <w:szCs w:val="14"/>
        </w:rPr>
        <w:t>present (e.g. hard flood protection structures like dykes and storm surge barriers that remain in place for many decades).</w:t>
      </w:r>
      <w:r w:rsidRPr="00ED6053">
        <w:rPr>
          <w:sz w:val="14"/>
          <w:szCs w:val="14"/>
        </w:rPr>
        <w:t xml:space="preserve"> For instance, in both the TE2100 and DP2014 cases, the adaptation</w:t>
      </w:r>
      <w:r w:rsidRPr="00ED6053">
        <w:rPr>
          <w:sz w:val="12"/>
          <w:szCs w:val="12"/>
        </w:rPr>
        <w:t xml:space="preserve"> </w:t>
      </w:r>
      <w:r w:rsidRPr="00ED6053">
        <w:rPr>
          <w:sz w:val="14"/>
          <w:szCs w:val="14"/>
        </w:rPr>
        <w:t>pathways maps offer a sense of flexibility into the future, but, in part, because new major hard defence measures were postponed</w:t>
      </w:r>
      <w:r w:rsidRPr="00ED6053">
        <w:rPr>
          <w:iCs/>
          <w:sz w:val="14"/>
          <w:szCs w:val="14"/>
        </w:rPr>
        <w:t>. Besides,</w:t>
      </w:r>
      <w:r w:rsidRPr="00ED6053">
        <w:rPr>
          <w:sz w:val="14"/>
          <w:szCs w:val="14"/>
        </w:rPr>
        <w:t xml:space="preserve"> in both cases,</w:t>
      </w:r>
      <w:r w:rsidRPr="00ED6053">
        <w:rPr>
          <w:iCs/>
          <w:sz w:val="14"/>
          <w:szCs w:val="14"/>
        </w:rPr>
        <w:t xml:space="preserve"> s</w:t>
      </w:r>
      <w:r w:rsidRPr="00ED6053">
        <w:rPr>
          <w:sz w:val="14"/>
          <w:szCs w:val="14"/>
        </w:rPr>
        <w:t>oft protection measures (e.g. coastal sand nourishments), as well as ‘making room for the river’ measures, and flood-proofing building measures, which are more adequate to be implemented in small steps</w:t>
      </w:r>
      <w:r w:rsidRPr="00ED6053">
        <w:rPr>
          <w:sz w:val="14"/>
          <w:szCs w:val="14"/>
          <w:lang w:val="en-US"/>
        </w:rPr>
        <w:t>,</w:t>
      </w:r>
      <w:r w:rsidRPr="00ED6053">
        <w:rPr>
          <w:sz w:val="14"/>
          <w:szCs w:val="14"/>
        </w:rPr>
        <w:t xml:space="preserve"> have</w:t>
      </w:r>
      <w:r w:rsidRPr="00ED6053">
        <w:rPr>
          <w:sz w:val="14"/>
          <w:szCs w:val="14"/>
          <w:lang w:val="en-US"/>
        </w:rPr>
        <w:t xml:space="preserve"> only contribute</w:t>
      </w:r>
      <w:r w:rsidRPr="00ED6053">
        <w:rPr>
          <w:sz w:val="14"/>
          <w:szCs w:val="14"/>
        </w:rPr>
        <w:t>d</w:t>
      </w:r>
      <w:r w:rsidRPr="00ED6053">
        <w:rPr>
          <w:sz w:val="14"/>
          <w:szCs w:val="14"/>
          <w:lang w:val="en-US"/>
        </w:rPr>
        <w:t xml:space="preserve"> </w:t>
      </w:r>
      <w:r w:rsidRPr="00ED6053">
        <w:rPr>
          <w:sz w:val="14"/>
          <w:szCs w:val="14"/>
        </w:rPr>
        <w:t>partially</w:t>
      </w:r>
      <w:r w:rsidRPr="00ED6053">
        <w:rPr>
          <w:sz w:val="14"/>
          <w:szCs w:val="14"/>
          <w:lang w:val="en-US"/>
        </w:rPr>
        <w:t xml:space="preserve"> to the plans, which </w:t>
      </w:r>
      <w:r w:rsidRPr="00ED6053">
        <w:rPr>
          <w:sz w:val="14"/>
          <w:szCs w:val="14"/>
        </w:rPr>
        <w:t>focused mainly</w:t>
      </w:r>
      <w:r w:rsidRPr="00ED6053">
        <w:rPr>
          <w:sz w:val="14"/>
          <w:szCs w:val="14"/>
          <w:lang w:val="en-US"/>
        </w:rPr>
        <w:t xml:space="preserve"> o</w:t>
      </w:r>
      <w:r w:rsidRPr="00ED6053">
        <w:rPr>
          <w:sz w:val="14"/>
          <w:szCs w:val="14"/>
        </w:rPr>
        <w:t>n</w:t>
      </w:r>
      <w:r w:rsidRPr="00ED6053">
        <w:rPr>
          <w:sz w:val="14"/>
          <w:szCs w:val="14"/>
          <w:lang w:val="en-US"/>
        </w:rPr>
        <w:t xml:space="preserve"> improving the existing flood defense systems (i.e. barriers</w:t>
      </w:r>
      <w:r w:rsidRPr="00ED6053">
        <w:rPr>
          <w:sz w:val="14"/>
          <w:szCs w:val="14"/>
        </w:rPr>
        <w:t>,</w:t>
      </w:r>
      <w:r w:rsidRPr="00ED6053">
        <w:rPr>
          <w:sz w:val="14"/>
          <w:szCs w:val="14"/>
          <w:lang w:val="en-US"/>
        </w:rPr>
        <w:t xml:space="preserve"> dikes) (</w:t>
      </w:r>
      <w:proofErr w:type="spellStart"/>
      <w:r w:rsidRPr="00ED6053">
        <w:rPr>
          <w:iCs/>
          <w:color w:val="7F7F7F" w:themeColor="text1" w:themeTint="80"/>
          <w:sz w:val="14"/>
          <w:szCs w:val="14"/>
        </w:rPr>
        <w:t>Jeuken</w:t>
      </w:r>
      <w:proofErr w:type="spellEnd"/>
      <w:r w:rsidRPr="00ED6053">
        <w:rPr>
          <w:iCs/>
          <w:color w:val="7F7F7F" w:themeColor="text1" w:themeTint="80"/>
          <w:sz w:val="14"/>
          <w:szCs w:val="14"/>
        </w:rPr>
        <w:t xml:space="preserve"> et al. 2014, p.18</w:t>
      </w:r>
      <w:r w:rsidRPr="00ED6053">
        <w:rPr>
          <w:iCs/>
          <w:sz w:val="14"/>
          <w:szCs w:val="14"/>
        </w:rPr>
        <w:t xml:space="preserve">). While the flexibility of measures for improving hard defences (dykes, barriers) is often deemed low, in densely populated low-lying coastal cities and deltas with a very robust flood defence system already in place, a single large investment in dyke improvement is usually more cost-effective than multiple small investments </w:t>
      </w:r>
      <w:r w:rsidRPr="00ED6053">
        <w:rPr>
          <w:sz w:val="14"/>
          <w:szCs w:val="14"/>
          <w:lang w:val="en-US"/>
        </w:rPr>
        <w:t>(</w:t>
      </w:r>
      <w:proofErr w:type="spellStart"/>
      <w:r w:rsidRPr="00ED6053">
        <w:rPr>
          <w:iCs/>
          <w:color w:val="7F7F7F" w:themeColor="text1" w:themeTint="80"/>
          <w:sz w:val="14"/>
          <w:szCs w:val="14"/>
        </w:rPr>
        <w:t>Jeuken</w:t>
      </w:r>
      <w:proofErr w:type="spellEnd"/>
      <w:r w:rsidRPr="00ED6053">
        <w:rPr>
          <w:iCs/>
          <w:color w:val="7F7F7F" w:themeColor="text1" w:themeTint="80"/>
          <w:sz w:val="14"/>
          <w:szCs w:val="14"/>
        </w:rPr>
        <w:t xml:space="preserve"> et al. 2014, p.18, 24</w:t>
      </w:r>
      <w:r w:rsidRPr="00ED6053">
        <w:rPr>
          <w:iCs/>
          <w:sz w:val="14"/>
          <w:szCs w:val="14"/>
        </w:rPr>
        <w:t xml:space="preserve">). Besides, dyke improvement measures can be deemed robust if they include safety margins and increase the resistance of the system </w:t>
      </w:r>
      <w:r w:rsidRPr="00ED6053">
        <w:rPr>
          <w:sz w:val="14"/>
          <w:szCs w:val="14"/>
          <w:lang w:val="en-US"/>
        </w:rPr>
        <w:t>(</w:t>
      </w:r>
      <w:proofErr w:type="spellStart"/>
      <w:r w:rsidRPr="00ED6053">
        <w:rPr>
          <w:iCs/>
          <w:color w:val="7F7F7F" w:themeColor="text1" w:themeTint="80"/>
          <w:sz w:val="14"/>
          <w:szCs w:val="14"/>
        </w:rPr>
        <w:t>Jeuken</w:t>
      </w:r>
      <w:proofErr w:type="spellEnd"/>
      <w:r w:rsidRPr="00ED6053">
        <w:rPr>
          <w:iCs/>
          <w:color w:val="7F7F7F" w:themeColor="text1" w:themeTint="80"/>
          <w:sz w:val="14"/>
          <w:szCs w:val="14"/>
        </w:rPr>
        <w:t xml:space="preserve"> et al. 2014, p.24</w:t>
      </w:r>
      <w:r w:rsidRPr="00ED6053">
        <w:rPr>
          <w:iCs/>
          <w:sz w:val="14"/>
          <w:szCs w:val="14"/>
        </w:rPr>
        <w:t>).</w:t>
      </w:r>
    </w:p>
  </w:footnote>
  <w:footnote w:id="149">
    <w:p w14:paraId="66702207" w14:textId="77777777" w:rsidR="00A119C8" w:rsidRPr="00ED6053" w:rsidRDefault="00A119C8" w:rsidP="00A119C8">
      <w:pPr>
        <w:spacing w:after="0" w:line="240" w:lineRule="auto"/>
        <w:rPr>
          <w:rFonts w:ascii="Times New Roman" w:hAnsi="Times New Roman"/>
          <w:sz w:val="14"/>
          <w:szCs w:val="14"/>
        </w:rPr>
      </w:pPr>
      <w:r w:rsidRPr="004032A5">
        <w:rPr>
          <w:rStyle w:val="Refdenotaderodap"/>
          <w:rFonts w:ascii="Times New Roman" w:hAnsi="Times New Roman"/>
          <w:sz w:val="14"/>
          <w:szCs w:val="14"/>
        </w:rPr>
        <w:footnoteRef/>
      </w:r>
      <w:r w:rsidRPr="004032A5">
        <w:rPr>
          <w:rFonts w:ascii="Times New Roman" w:hAnsi="Times New Roman"/>
          <w:sz w:val="14"/>
          <w:szCs w:val="14"/>
        </w:rPr>
        <w:t xml:space="preserve"> </w:t>
      </w:r>
      <w:bookmarkStart w:id="137" w:name="_Hlk184898152"/>
      <w:r w:rsidRPr="00F54A36">
        <w:rPr>
          <w:rFonts w:ascii="Times New Roman" w:hAnsi="Times New Roman"/>
          <w:sz w:val="14"/>
          <w:szCs w:val="14"/>
        </w:rPr>
        <w:t xml:space="preserve">According to </w:t>
      </w:r>
      <w:r w:rsidRPr="00F54A36">
        <w:rPr>
          <w:rFonts w:ascii="Times New Roman" w:hAnsi="Times New Roman"/>
          <w:color w:val="7F7F7F" w:themeColor="text1" w:themeTint="80"/>
          <w:sz w:val="14"/>
          <w:szCs w:val="14"/>
        </w:rPr>
        <w:t xml:space="preserve">Sayers et al. (2012), </w:t>
      </w:r>
      <w:r w:rsidRPr="00F54A36">
        <w:rPr>
          <w:rFonts w:ascii="Times New Roman" w:hAnsi="Times New Roman"/>
          <w:sz w:val="14"/>
          <w:szCs w:val="14"/>
        </w:rPr>
        <w:t xml:space="preserve">central elements / characteristics of Adaptive Planning are: a) measures (to respond to changes) should be effective under the widest set of possible </w:t>
      </w:r>
      <w:r w:rsidRPr="00ED6053">
        <w:rPr>
          <w:rFonts w:ascii="Times New Roman" w:hAnsi="Times New Roman"/>
          <w:sz w:val="14"/>
          <w:szCs w:val="14"/>
        </w:rPr>
        <w:t>future scenarios; b) measures should not unnecessarily hinder – foreclose or constrain – future options; c) targeted monitoring of relevant changes, including the continual reassessment of future scenarios, and redefine plans / policies (and their measures / actions) adequately (</w:t>
      </w:r>
      <w:r w:rsidRPr="00ED6053">
        <w:rPr>
          <w:rFonts w:ascii="Times New Roman" w:hAnsi="Times New Roman"/>
          <w:color w:val="7F7F7F" w:themeColor="text1" w:themeTint="80"/>
          <w:sz w:val="14"/>
          <w:szCs w:val="14"/>
        </w:rPr>
        <w:t xml:space="preserve">Sayers et al. 2012, </w:t>
      </w:r>
      <w:r w:rsidRPr="00ED6053">
        <w:rPr>
          <w:rFonts w:ascii="Times New Roman" w:hAnsi="Times New Roman"/>
          <w:i/>
          <w:iCs/>
          <w:sz w:val="14"/>
          <w:szCs w:val="14"/>
        </w:rPr>
        <w:t>in</w:t>
      </w:r>
      <w:r w:rsidRPr="00ED6053">
        <w:rPr>
          <w:rFonts w:ascii="Times New Roman" w:hAnsi="Times New Roman"/>
          <w:color w:val="0070C0"/>
          <w:sz w:val="14"/>
          <w:szCs w:val="14"/>
        </w:rPr>
        <w:t xml:space="preserve"> </w:t>
      </w:r>
      <w:proofErr w:type="spellStart"/>
      <w:r w:rsidRPr="00ED6053">
        <w:rPr>
          <w:rFonts w:ascii="Times New Roman" w:hAnsi="Times New Roman"/>
          <w:color w:val="7F7F7F" w:themeColor="text1" w:themeTint="80"/>
          <w:sz w:val="14"/>
          <w:szCs w:val="14"/>
        </w:rPr>
        <w:t>Jeuken</w:t>
      </w:r>
      <w:proofErr w:type="spellEnd"/>
      <w:r w:rsidRPr="00ED6053">
        <w:rPr>
          <w:rFonts w:ascii="Times New Roman" w:hAnsi="Times New Roman"/>
          <w:color w:val="7F7F7F" w:themeColor="text1" w:themeTint="80"/>
          <w:sz w:val="14"/>
          <w:szCs w:val="14"/>
        </w:rPr>
        <w:t xml:space="preserve"> et al. 2014, p.3, 16, 21</w:t>
      </w:r>
      <w:r w:rsidRPr="00ED6053">
        <w:rPr>
          <w:rFonts w:ascii="Times New Roman" w:hAnsi="Times New Roman"/>
          <w:sz w:val="14"/>
          <w:szCs w:val="14"/>
        </w:rPr>
        <w:t xml:space="preserve">). </w:t>
      </w:r>
      <w:proofErr w:type="spellStart"/>
      <w:r w:rsidRPr="00ED6053">
        <w:rPr>
          <w:rFonts w:ascii="Times New Roman" w:hAnsi="Times New Roman"/>
          <w:color w:val="7F7F7F" w:themeColor="text1" w:themeTint="80"/>
          <w:sz w:val="14"/>
          <w:szCs w:val="14"/>
        </w:rPr>
        <w:t>Jeuken</w:t>
      </w:r>
      <w:proofErr w:type="spellEnd"/>
      <w:r w:rsidRPr="00ED6053">
        <w:rPr>
          <w:rFonts w:ascii="Times New Roman" w:hAnsi="Times New Roman"/>
          <w:color w:val="7F7F7F" w:themeColor="text1" w:themeTint="80"/>
          <w:sz w:val="14"/>
          <w:szCs w:val="14"/>
        </w:rPr>
        <w:t xml:space="preserve"> et al</w:t>
      </w:r>
      <w:r w:rsidRPr="00ED6053">
        <w:rPr>
          <w:rFonts w:ascii="Times New Roman" w:hAnsi="Times New Roman"/>
          <w:sz w:val="14"/>
          <w:szCs w:val="14"/>
        </w:rPr>
        <w:t>. add that ‘no / low regret’ measures (i.e. that have properties like robustness, flexibility and reversibility) should be favoured (</w:t>
      </w:r>
      <w:proofErr w:type="spellStart"/>
      <w:r w:rsidRPr="00ED6053">
        <w:rPr>
          <w:rFonts w:ascii="Times New Roman" w:hAnsi="Times New Roman"/>
          <w:color w:val="7F7F7F" w:themeColor="text1" w:themeTint="80"/>
          <w:sz w:val="14"/>
          <w:szCs w:val="14"/>
        </w:rPr>
        <w:t>Jeuken</w:t>
      </w:r>
      <w:proofErr w:type="spellEnd"/>
      <w:r w:rsidRPr="00ED6053">
        <w:rPr>
          <w:rFonts w:ascii="Times New Roman" w:hAnsi="Times New Roman"/>
          <w:color w:val="7F7F7F" w:themeColor="text1" w:themeTint="80"/>
          <w:sz w:val="14"/>
          <w:szCs w:val="14"/>
        </w:rPr>
        <w:t xml:space="preserve"> et al. 2014, p.3</w:t>
      </w:r>
      <w:r w:rsidRPr="00ED6053">
        <w:rPr>
          <w:rFonts w:ascii="Times New Roman" w:hAnsi="Times New Roman"/>
          <w:sz w:val="14"/>
          <w:szCs w:val="14"/>
        </w:rPr>
        <w:t>).</w:t>
      </w:r>
      <w:bookmarkEnd w:id="137"/>
      <w:r w:rsidRPr="00ED6053">
        <w:rPr>
          <w:rFonts w:ascii="Times New Roman" w:hAnsi="Times New Roman"/>
          <w:sz w:val="14"/>
          <w:szCs w:val="14"/>
        </w:rPr>
        <w:t xml:space="preserve"> It is thus necessary a monitoring system that includes signposts (indicators) and triggers (informed by monitoring results, new scientific knowledge, and updated projections), which keeps track of drivers of changes, scientific progresses, and effects and effectiveness of implemented adaptation measures and policies / plans (</w:t>
      </w:r>
      <w:proofErr w:type="spellStart"/>
      <w:r w:rsidRPr="00ED6053">
        <w:rPr>
          <w:rFonts w:ascii="Times New Roman" w:hAnsi="Times New Roman"/>
          <w:color w:val="7F7F7F" w:themeColor="text1" w:themeTint="80"/>
          <w:sz w:val="14"/>
          <w:szCs w:val="14"/>
        </w:rPr>
        <w:t>Jeuken</w:t>
      </w:r>
      <w:proofErr w:type="spellEnd"/>
      <w:r w:rsidRPr="00ED6053">
        <w:rPr>
          <w:rFonts w:ascii="Times New Roman" w:hAnsi="Times New Roman"/>
          <w:color w:val="7F7F7F" w:themeColor="text1" w:themeTint="80"/>
          <w:sz w:val="14"/>
          <w:szCs w:val="14"/>
        </w:rPr>
        <w:t xml:space="preserve"> et al. 2014, p.22</w:t>
      </w:r>
      <w:r w:rsidRPr="00ED6053">
        <w:rPr>
          <w:rFonts w:ascii="Times New Roman" w:hAnsi="Times New Roman"/>
          <w:sz w:val="14"/>
          <w:szCs w:val="14"/>
        </w:rPr>
        <w:t>).</w:t>
      </w:r>
    </w:p>
    <w:p w14:paraId="76D6555C" w14:textId="77777777" w:rsidR="00A119C8" w:rsidRPr="002D43C0" w:rsidRDefault="00A119C8" w:rsidP="00A119C8">
      <w:pPr>
        <w:spacing w:after="0" w:line="240" w:lineRule="auto"/>
        <w:rPr>
          <w:rFonts w:ascii="Times New Roman" w:hAnsi="Times New Roman"/>
          <w:b/>
          <w:bCs/>
          <w:sz w:val="16"/>
          <w:szCs w:val="16"/>
        </w:rPr>
      </w:pPr>
      <w:proofErr w:type="spellStart"/>
      <w:r w:rsidRPr="00ED6053">
        <w:rPr>
          <w:rFonts w:ascii="Times New Roman" w:hAnsi="Times New Roman"/>
          <w:color w:val="7F7F7F" w:themeColor="text1" w:themeTint="80"/>
          <w:sz w:val="14"/>
          <w:szCs w:val="14"/>
        </w:rPr>
        <w:t>Jeuken</w:t>
      </w:r>
      <w:proofErr w:type="spellEnd"/>
      <w:r w:rsidRPr="00ED6053">
        <w:rPr>
          <w:rFonts w:ascii="Times New Roman" w:hAnsi="Times New Roman"/>
          <w:color w:val="7F7F7F" w:themeColor="text1" w:themeTint="80"/>
          <w:sz w:val="14"/>
          <w:szCs w:val="14"/>
        </w:rPr>
        <w:t xml:space="preserve"> et al. (2014) </w:t>
      </w:r>
      <w:r w:rsidRPr="00ED6053">
        <w:rPr>
          <w:rFonts w:ascii="Times New Roman" w:hAnsi="Times New Roman"/>
          <w:color w:val="000000" w:themeColor="text1"/>
          <w:sz w:val="14"/>
          <w:szCs w:val="14"/>
        </w:rPr>
        <w:t xml:space="preserve">proposed </w:t>
      </w:r>
      <w:r w:rsidRPr="00ED6053">
        <w:rPr>
          <w:rFonts w:ascii="Times New Roman" w:hAnsi="Times New Roman"/>
          <w:sz w:val="14"/>
          <w:szCs w:val="14"/>
        </w:rPr>
        <w:t xml:space="preserve">/ </w:t>
      </w:r>
      <w:r w:rsidRPr="00ED6053">
        <w:rPr>
          <w:rFonts w:ascii="Times New Roman" w:hAnsi="Times New Roman"/>
          <w:color w:val="000000" w:themeColor="text1"/>
          <w:sz w:val="14"/>
          <w:szCs w:val="14"/>
        </w:rPr>
        <w:t xml:space="preserve">assumed / </w:t>
      </w:r>
      <w:r w:rsidRPr="00ED6053">
        <w:rPr>
          <w:rFonts w:ascii="Times New Roman" w:hAnsi="Times New Roman"/>
          <w:sz w:val="14"/>
          <w:szCs w:val="14"/>
        </w:rPr>
        <w:t xml:space="preserve">argued that there are three main elements (main supposed characteristics) of Adaptive Planning: </w:t>
      </w:r>
      <w:proofErr w:type="spellStart"/>
      <w:r w:rsidRPr="00ED6053">
        <w:rPr>
          <w:rFonts w:ascii="Times New Roman" w:hAnsi="Times New Roman"/>
          <w:sz w:val="14"/>
          <w:szCs w:val="14"/>
        </w:rPr>
        <w:t>i</w:t>
      </w:r>
      <w:proofErr w:type="spellEnd"/>
      <w:r w:rsidRPr="00ED6053">
        <w:rPr>
          <w:rFonts w:ascii="Times New Roman" w:hAnsi="Times New Roman"/>
          <w:sz w:val="14"/>
          <w:szCs w:val="14"/>
        </w:rPr>
        <w:t>) to prepare for a wide range of plausible future scenarios (climate, SLR, socioeconomic scenarios); ii) to respond to uncertain change with robust and flexible actions (a robust and flexible set of actions); and iii) to monitor relevant changes and reassess the plan accordingly (</w:t>
      </w:r>
      <w:proofErr w:type="spellStart"/>
      <w:r w:rsidRPr="00ED6053">
        <w:rPr>
          <w:rFonts w:ascii="Times New Roman" w:hAnsi="Times New Roman"/>
          <w:color w:val="7F7F7F" w:themeColor="text1" w:themeTint="80"/>
          <w:sz w:val="14"/>
          <w:szCs w:val="14"/>
        </w:rPr>
        <w:t>Jeuken</w:t>
      </w:r>
      <w:proofErr w:type="spellEnd"/>
      <w:r w:rsidRPr="00ED6053">
        <w:rPr>
          <w:rFonts w:ascii="Times New Roman" w:hAnsi="Times New Roman"/>
          <w:color w:val="7F7F7F" w:themeColor="text1" w:themeTint="80"/>
          <w:sz w:val="14"/>
          <w:szCs w:val="14"/>
        </w:rPr>
        <w:t xml:space="preserve"> et al. 2014, p.1, 23</w:t>
      </w:r>
      <w:r w:rsidRPr="00ED6053">
        <w:rPr>
          <w:rFonts w:ascii="Times New Roman" w:hAnsi="Times New Roman"/>
          <w:sz w:val="14"/>
          <w:szCs w:val="14"/>
        </w:rPr>
        <w:t>).</w:t>
      </w:r>
      <w:r w:rsidRPr="004032A5">
        <w:rPr>
          <w:rFonts w:ascii="Times New Roman" w:hAnsi="Times New Roman"/>
          <w:b/>
          <w:bCs/>
          <w:sz w:val="14"/>
          <w:szCs w:val="14"/>
        </w:rPr>
        <w:t xml:space="preserve"> </w:t>
      </w:r>
    </w:p>
  </w:footnote>
  <w:footnote w:id="150">
    <w:p w14:paraId="13E8C12F" w14:textId="77777777" w:rsidR="00ED6053" w:rsidRPr="00F54A36" w:rsidRDefault="00ED6053" w:rsidP="00ED6053">
      <w:pPr>
        <w:pStyle w:val="Textodenotaderodap"/>
        <w:rPr>
          <w:sz w:val="14"/>
          <w:szCs w:val="14"/>
        </w:rPr>
      </w:pPr>
      <w:r w:rsidRPr="00F54A36">
        <w:rPr>
          <w:rStyle w:val="Refdenotaderodap"/>
          <w:rFonts w:cs="Arial"/>
          <w:sz w:val="14"/>
          <w:szCs w:val="14"/>
        </w:rPr>
        <w:footnoteRef/>
      </w:r>
      <w:r w:rsidRPr="00F54A36">
        <w:rPr>
          <w:rFonts w:ascii="Arial" w:hAnsi="Arial" w:cs="Arial"/>
          <w:sz w:val="18"/>
          <w:szCs w:val="18"/>
        </w:rPr>
        <w:t xml:space="preserve"> </w:t>
      </w:r>
      <w:r w:rsidRPr="00F54A36">
        <w:rPr>
          <w:sz w:val="14"/>
          <w:szCs w:val="14"/>
        </w:rPr>
        <w:t xml:space="preserve">The adaptive approach is reflected in the way of managing flood risk - the </w:t>
      </w:r>
      <w:r w:rsidRPr="00F54A36">
        <w:rPr>
          <w:i/>
          <w:iCs/>
          <w:sz w:val="14"/>
          <w:szCs w:val="14"/>
        </w:rPr>
        <w:t>managed adaptive approach</w:t>
      </w:r>
      <w:r w:rsidRPr="00F54A36">
        <w:rPr>
          <w:sz w:val="14"/>
          <w:szCs w:val="14"/>
        </w:rPr>
        <w:t xml:space="preserve"> – where several measures are introduced over time (at different moments) to keep risk below the target level, and alternatives are kept open to manage future risk (</w:t>
      </w:r>
      <w:r w:rsidRPr="00F54A36">
        <w:rPr>
          <w:color w:val="7F7F7F" w:themeColor="text1" w:themeTint="80"/>
          <w:sz w:val="14"/>
          <w:szCs w:val="14"/>
        </w:rPr>
        <w:t>Ranger et al. 2013, 247-249; HM Treasury 2009, p.22; EA 2012, p.34; Ramsbottom and Sheppard 2017, p.3</w:t>
      </w:r>
      <w:r w:rsidRPr="00F54A36">
        <w:rPr>
          <w:sz w:val="14"/>
          <w:szCs w:val="14"/>
        </w:rPr>
        <w:t xml:space="preserve">). The TE2100 is an </w:t>
      </w:r>
      <w:r w:rsidRPr="00F54A36">
        <w:rPr>
          <w:iCs/>
          <w:sz w:val="14"/>
          <w:szCs w:val="14"/>
        </w:rPr>
        <w:t>example of a well-founded decision to postpone a major ‘irreversible’ action; t</w:t>
      </w:r>
      <w:r w:rsidRPr="00F54A36">
        <w:rPr>
          <w:sz w:val="14"/>
          <w:szCs w:val="14"/>
        </w:rPr>
        <w:t xml:space="preserve">he APs approach showed that there is still time before making a major intervention </w:t>
      </w:r>
      <w:r w:rsidRPr="00F54A36">
        <w:rPr>
          <w:iCs/>
          <w:sz w:val="14"/>
          <w:szCs w:val="14"/>
        </w:rPr>
        <w:t>(</w:t>
      </w:r>
      <w:proofErr w:type="spellStart"/>
      <w:r w:rsidRPr="00F54A36">
        <w:rPr>
          <w:color w:val="7F7F7F" w:themeColor="text1" w:themeTint="80"/>
          <w:sz w:val="14"/>
          <w:szCs w:val="14"/>
        </w:rPr>
        <w:t>Jeuken</w:t>
      </w:r>
      <w:proofErr w:type="spellEnd"/>
      <w:r w:rsidRPr="00F54A36">
        <w:rPr>
          <w:color w:val="7F7F7F" w:themeColor="text1" w:themeTint="80"/>
          <w:sz w:val="14"/>
          <w:szCs w:val="14"/>
        </w:rPr>
        <w:t xml:space="preserve"> et al. 2014, p.18</w:t>
      </w:r>
      <w:r w:rsidRPr="00F54A36">
        <w:rPr>
          <w:sz w:val="14"/>
          <w:szCs w:val="14"/>
        </w:rPr>
        <w:t>). Instead of rushing into the construction of major engineering defences, the TE2100 applied an adaptive approach (</w:t>
      </w:r>
      <w:r w:rsidRPr="00F54A36">
        <w:rPr>
          <w:color w:val="7F7F7F" w:themeColor="text1" w:themeTint="80"/>
          <w:sz w:val="14"/>
          <w:szCs w:val="14"/>
        </w:rPr>
        <w:t>Penning-Rowsell et al. 2013</w:t>
      </w:r>
      <w:r w:rsidRPr="00F54A36">
        <w:rPr>
          <w:sz w:val="14"/>
          <w:szCs w:val="14"/>
        </w:rPr>
        <w:t>). In APs</w:t>
      </w:r>
      <w:r>
        <w:rPr>
          <w:sz w:val="14"/>
          <w:szCs w:val="14"/>
        </w:rPr>
        <w:t>,</w:t>
      </w:r>
      <w:r w:rsidRPr="00F54A36">
        <w:rPr>
          <w:sz w:val="14"/>
          <w:szCs w:val="14"/>
        </w:rPr>
        <w:t xml:space="preserve"> </w:t>
      </w:r>
      <w:r>
        <w:rPr>
          <w:sz w:val="14"/>
          <w:szCs w:val="14"/>
        </w:rPr>
        <w:t>“</w:t>
      </w:r>
      <w:r w:rsidRPr="00F54A36">
        <w:rPr>
          <w:i/>
          <w:iCs/>
          <w:sz w:val="14"/>
          <w:szCs w:val="14"/>
        </w:rPr>
        <w:t>large-scale decisions can be made robust in the face of deep uncertainty</w:t>
      </w:r>
      <w:r w:rsidRPr="00F54A36">
        <w:rPr>
          <w:sz w:val="14"/>
          <w:szCs w:val="14"/>
        </w:rPr>
        <w:t xml:space="preserve"> </w:t>
      </w:r>
      <w:r w:rsidRPr="00F54A36">
        <w:rPr>
          <w:i/>
          <w:iCs/>
          <w:sz w:val="14"/>
          <w:szCs w:val="14"/>
        </w:rPr>
        <w:t>over future climate</w:t>
      </w:r>
      <w:r w:rsidRPr="00F54A36">
        <w:rPr>
          <w:sz w:val="14"/>
          <w:szCs w:val="14"/>
        </w:rPr>
        <w:t xml:space="preserve"> (</w:t>
      </w:r>
      <w:proofErr w:type="spellStart"/>
      <w:r w:rsidRPr="00F54A36">
        <w:rPr>
          <w:color w:val="7F7F7F" w:themeColor="text1" w:themeTint="80"/>
          <w:sz w:val="14"/>
          <w:szCs w:val="14"/>
        </w:rPr>
        <w:t>Jeuken</w:t>
      </w:r>
      <w:proofErr w:type="spellEnd"/>
      <w:r w:rsidRPr="00F54A36">
        <w:rPr>
          <w:color w:val="7F7F7F" w:themeColor="text1" w:themeTint="80"/>
          <w:sz w:val="14"/>
          <w:szCs w:val="14"/>
        </w:rPr>
        <w:t xml:space="preserve"> and Reeder 2011, p.4</w:t>
      </w:r>
      <w:r w:rsidRPr="00F54A36">
        <w:rPr>
          <w:sz w:val="14"/>
          <w:szCs w:val="14"/>
        </w:rPr>
        <w:t>).</w:t>
      </w:r>
    </w:p>
  </w:footnote>
  <w:footnote w:id="151">
    <w:p w14:paraId="6347E4FD" w14:textId="77777777" w:rsidR="00ED6053" w:rsidRPr="00F54A36" w:rsidRDefault="00ED6053" w:rsidP="00ED6053">
      <w:pPr>
        <w:pStyle w:val="Textodenotaderodap"/>
        <w:rPr>
          <w:rFonts w:ascii="AdvPTimes" w:hAnsi="AdvPTimes" w:cs="AdvPTimes"/>
          <w:color w:val="000000"/>
          <w:sz w:val="14"/>
          <w:szCs w:val="18"/>
        </w:rPr>
      </w:pPr>
      <w:r w:rsidRPr="00F54A36">
        <w:rPr>
          <w:rStyle w:val="Refdenotaderodap"/>
          <w:rFonts w:cs="Arial"/>
          <w:sz w:val="14"/>
          <w:szCs w:val="14"/>
        </w:rPr>
        <w:footnoteRef/>
      </w:r>
      <w:r w:rsidRPr="00F54A36">
        <w:rPr>
          <w:sz w:val="14"/>
          <w:szCs w:val="14"/>
        </w:rPr>
        <w:t xml:space="preserve"> </w:t>
      </w:r>
      <w:r w:rsidRPr="00ED6053">
        <w:rPr>
          <w:sz w:val="14"/>
          <w:szCs w:val="14"/>
        </w:rPr>
        <w:t xml:space="preserve">Low-regrets measures are measures that </w:t>
      </w:r>
      <w:r w:rsidRPr="00ED6053">
        <w:rPr>
          <w:i/>
          <w:sz w:val="14"/>
          <w:szCs w:val="14"/>
        </w:rPr>
        <w:t>work through the whole range of change</w:t>
      </w:r>
      <w:r w:rsidRPr="00ED6053">
        <w:rPr>
          <w:sz w:val="14"/>
          <w:szCs w:val="14"/>
        </w:rPr>
        <w:t xml:space="preserve"> (</w:t>
      </w:r>
      <w:r w:rsidRPr="00ED6053">
        <w:rPr>
          <w:color w:val="7F7F7F" w:themeColor="text1" w:themeTint="80"/>
          <w:sz w:val="14"/>
          <w:szCs w:val="14"/>
        </w:rPr>
        <w:t>Reeder and Ranger 2011, p.6</w:t>
      </w:r>
      <w:r w:rsidRPr="00ED6053">
        <w:rPr>
          <w:sz w:val="14"/>
          <w:szCs w:val="14"/>
        </w:rPr>
        <w:t xml:space="preserve">). In the TE2100, </w:t>
      </w:r>
      <w:r w:rsidRPr="00ED6053">
        <w:rPr>
          <w:color w:val="000000"/>
          <w:sz w:val="14"/>
          <w:szCs w:val="14"/>
        </w:rPr>
        <w:t xml:space="preserve">‘low-regret measures’ were those that reduce risk immediately and cost-efficiently under a wide range of SLR scenarios. They are ‘low-regret’ rather than ‘no-regret’ because they may involve some opportunity cost (in </w:t>
      </w:r>
      <w:r w:rsidRPr="00ED6053">
        <w:rPr>
          <w:color w:val="7F7F7F" w:themeColor="text1" w:themeTint="80"/>
          <w:sz w:val="14"/>
          <w:szCs w:val="14"/>
        </w:rPr>
        <w:t>Ranger et al. 2013</w:t>
      </w:r>
      <w:r w:rsidRPr="00ED6053">
        <w:rPr>
          <w:color w:val="000000"/>
          <w:sz w:val="14"/>
          <w:szCs w:val="14"/>
        </w:rPr>
        <w:t>).</w:t>
      </w:r>
      <w:r w:rsidRPr="00F54A36">
        <w:rPr>
          <w:color w:val="000000"/>
          <w:sz w:val="14"/>
          <w:szCs w:val="14"/>
        </w:rPr>
        <w:t xml:space="preserve"> </w:t>
      </w:r>
    </w:p>
  </w:footnote>
  <w:footnote w:id="152">
    <w:p w14:paraId="5828B199" w14:textId="77777777" w:rsidR="00ED6053" w:rsidRPr="00C34F71" w:rsidRDefault="00ED6053" w:rsidP="00ED6053">
      <w:pPr>
        <w:pStyle w:val="Textodenotaderodap"/>
      </w:pPr>
      <w:r w:rsidRPr="00F54A36">
        <w:rPr>
          <w:rStyle w:val="Refdenotaderodap"/>
          <w:rFonts w:cs="Arial"/>
          <w:sz w:val="14"/>
          <w:szCs w:val="14"/>
        </w:rPr>
        <w:footnoteRef/>
      </w:r>
      <w:r w:rsidRPr="00F54A36">
        <w:rPr>
          <w:sz w:val="14"/>
          <w:szCs w:val="14"/>
        </w:rPr>
        <w:t xml:space="preserve"> The measure ‘upgrade existing flood protection infrastructure’</w:t>
      </w:r>
      <w:r w:rsidRPr="00F54A36">
        <w:rPr>
          <w:i/>
          <w:iCs/>
          <w:sz w:val="14"/>
          <w:szCs w:val="14"/>
        </w:rPr>
        <w:t xml:space="preserve"> </w:t>
      </w:r>
      <w:r w:rsidRPr="00F54A36">
        <w:rPr>
          <w:sz w:val="14"/>
          <w:szCs w:val="14"/>
        </w:rPr>
        <w:t>was detailed in the 40-year investment plan (</w:t>
      </w:r>
      <w:r w:rsidRPr="00F54A36">
        <w:rPr>
          <w:color w:val="7F7F7F" w:themeColor="text1" w:themeTint="80"/>
          <w:sz w:val="14"/>
          <w:szCs w:val="14"/>
        </w:rPr>
        <w:t>Reeder and Ranger 2011, p.9</w:t>
      </w:r>
      <w:r w:rsidRPr="00F54A36">
        <w:rPr>
          <w:sz w:val="14"/>
          <w:szCs w:val="14"/>
        </w:rPr>
        <w:t>).</w:t>
      </w:r>
    </w:p>
  </w:footnote>
  <w:footnote w:id="153">
    <w:p w14:paraId="2C3225CE" w14:textId="77777777" w:rsidR="00ED6053" w:rsidRPr="005C56D1" w:rsidRDefault="00ED6053" w:rsidP="00ED6053">
      <w:pPr>
        <w:pStyle w:val="Textodenotaderodap"/>
        <w:rPr>
          <w:sz w:val="14"/>
          <w:szCs w:val="14"/>
        </w:rPr>
      </w:pPr>
      <w:r w:rsidRPr="005C56D1">
        <w:rPr>
          <w:rStyle w:val="Refdenotaderodap"/>
          <w:rFonts w:cs="Arial"/>
          <w:sz w:val="14"/>
          <w:szCs w:val="14"/>
        </w:rPr>
        <w:footnoteRef/>
      </w:r>
      <w:r w:rsidRPr="005C56D1">
        <w:rPr>
          <w:rStyle w:val="Refdenotaderodap"/>
          <w:rFonts w:cs="Arial"/>
          <w:sz w:val="14"/>
          <w:szCs w:val="14"/>
        </w:rPr>
        <w:t xml:space="preserve"> </w:t>
      </w:r>
      <w:r w:rsidRPr="005C56D1">
        <w:rPr>
          <w:color w:val="7F7F7F" w:themeColor="text1" w:themeTint="80"/>
          <w:sz w:val="14"/>
          <w:szCs w:val="14"/>
        </w:rPr>
        <w:t xml:space="preserve">Geels (2004) </w:t>
      </w:r>
      <w:r w:rsidRPr="005C56D1">
        <w:rPr>
          <w:sz w:val="14"/>
          <w:szCs w:val="14"/>
        </w:rPr>
        <w:t xml:space="preserve">refers to this as the “hardness” of a measure, which is related with the physical structure but also with its economic costs, e.g. sunk costs. </w:t>
      </w:r>
      <w:r w:rsidRPr="005C56D1">
        <w:rPr>
          <w:color w:val="7F7F7F" w:themeColor="text1" w:themeTint="80"/>
          <w:sz w:val="14"/>
          <w:szCs w:val="14"/>
        </w:rPr>
        <w:t xml:space="preserve">Gerrits and Marks (2008) </w:t>
      </w:r>
      <w:r w:rsidRPr="005C56D1">
        <w:rPr>
          <w:sz w:val="14"/>
          <w:szCs w:val="14"/>
        </w:rPr>
        <w:t>also demonstrated how the initial selection of hard defences (particularly dykes) tends to initiate a process of ‘increasing returns’ that makes it almost impossible to leave that measure: indeed dyke-based protection tends to be much cheaper than alternative options, because of its ‘sunk costs’, its deep interrelatedness with the landscape geometry and functions (</w:t>
      </w:r>
      <w:r w:rsidRPr="005C56D1">
        <w:rPr>
          <w:i/>
          <w:iCs/>
          <w:sz w:val="14"/>
          <w:szCs w:val="14"/>
        </w:rPr>
        <w:t>in</w:t>
      </w:r>
      <w:r w:rsidRPr="005C56D1">
        <w:rPr>
          <w:sz w:val="14"/>
          <w:szCs w:val="14"/>
        </w:rPr>
        <w:t xml:space="preserve"> </w:t>
      </w:r>
      <w:r w:rsidRPr="005C56D1">
        <w:rPr>
          <w:color w:val="7F7F7F" w:themeColor="text1" w:themeTint="80"/>
          <w:sz w:val="14"/>
          <w:szCs w:val="14"/>
        </w:rPr>
        <w:t>Buuren et al. 2016</w:t>
      </w:r>
      <w:r w:rsidRPr="005C56D1">
        <w:rPr>
          <w:sz w:val="14"/>
          <w:szCs w:val="14"/>
        </w:rPr>
        <w:t>).</w:t>
      </w:r>
    </w:p>
  </w:footnote>
  <w:footnote w:id="154">
    <w:p w14:paraId="1AE126E8" w14:textId="77777777" w:rsidR="00ED6053" w:rsidRPr="00C34F71" w:rsidRDefault="00ED6053" w:rsidP="00ED6053">
      <w:pPr>
        <w:pStyle w:val="Textodenotaderodap"/>
      </w:pPr>
      <w:r w:rsidRPr="005C56D1">
        <w:rPr>
          <w:rStyle w:val="Refdenotaderodap"/>
          <w:sz w:val="14"/>
          <w:szCs w:val="14"/>
        </w:rPr>
        <w:footnoteRef/>
      </w:r>
      <w:r w:rsidRPr="005C56D1">
        <w:rPr>
          <w:sz w:val="14"/>
          <w:szCs w:val="14"/>
        </w:rPr>
        <w:t xml:space="preserve"> This also happens in US where levees are usually built by the US-Army Corps of Engineers, while their maintenance falls within the responsibility of the regional authorities. The National Committee on Levee Safety of the American Society of Civil Engineers (ASCE) estimated the cost of repairing or rehabilitating the US levees to the required level around $100 billion dollars (</w:t>
      </w:r>
      <w:r w:rsidRPr="005C56D1">
        <w:rPr>
          <w:i/>
          <w:iCs/>
          <w:sz w:val="14"/>
          <w:szCs w:val="14"/>
        </w:rPr>
        <w:t xml:space="preserve">in </w:t>
      </w:r>
      <w:r w:rsidRPr="005C56D1">
        <w:rPr>
          <w:color w:val="7F7F7F" w:themeColor="text1" w:themeTint="80"/>
          <w:sz w:val="14"/>
          <w:szCs w:val="14"/>
        </w:rPr>
        <w:t>Klijn et al. 2016</w:t>
      </w:r>
      <w:r w:rsidRPr="005C56D1">
        <w:rPr>
          <w:sz w:val="14"/>
          <w:szCs w:val="1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elha"/>
      <w:tblW w:w="9923" w:type="dxa"/>
      <w:tblBorders>
        <w:top w:val="none" w:sz="0" w:space="0" w:color="auto"/>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923"/>
    </w:tblGrid>
    <w:tr w:rsidR="00A519F0" w:rsidRPr="00A3311C" w14:paraId="548031D0" w14:textId="77777777" w:rsidTr="00995F3E">
      <w:tc>
        <w:tcPr>
          <w:tcW w:w="9923" w:type="dxa"/>
        </w:tcPr>
        <w:p w14:paraId="2082C9B0" w14:textId="383C528E" w:rsidR="00A519F0" w:rsidRPr="00BA3843" w:rsidRDefault="00AD22FD" w:rsidP="00ED635A">
          <w:pPr>
            <w:pStyle w:val="Cabealho"/>
            <w:jc w:val="left"/>
          </w:pPr>
          <w:r>
            <w:t>Supplementary Material</w:t>
          </w:r>
        </w:p>
      </w:tc>
    </w:tr>
  </w:tbl>
  <w:p w14:paraId="5503E056" w14:textId="77777777" w:rsidR="00A519F0" w:rsidRPr="00BA3843" w:rsidRDefault="00A519F0" w:rsidP="004C543A">
    <w:pP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comGrelha"/>
      <w:tblW w:w="9923" w:type="dxa"/>
      <w:tblBorders>
        <w:top w:val="none" w:sz="0" w:space="0" w:color="auto"/>
        <w:left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9923"/>
    </w:tblGrid>
    <w:tr w:rsidR="00A519F0" w:rsidRPr="00A3311C" w14:paraId="1FF81554" w14:textId="77777777" w:rsidTr="00F77E53">
      <w:tc>
        <w:tcPr>
          <w:tcW w:w="9923" w:type="dxa"/>
        </w:tcPr>
        <w:p w14:paraId="052CBA6A" w14:textId="70963DE9" w:rsidR="00A519F0" w:rsidRPr="00ED635A" w:rsidRDefault="00AD22FD" w:rsidP="00ED635A">
          <w:pPr>
            <w:pStyle w:val="Cabealho"/>
          </w:pPr>
          <w:r>
            <w:t>Supplementary Material</w:t>
          </w:r>
        </w:p>
      </w:tc>
    </w:tr>
  </w:tbl>
  <w:p w14:paraId="0B57006D" w14:textId="77777777" w:rsidR="00A519F0" w:rsidRPr="00FD260B" w:rsidRDefault="00A519F0">
    <w:pP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1.25pt;height:11.25pt" o:bullet="t">
        <v:imagedata r:id="rId1" o:title="mso13E7"/>
      </v:shape>
    </w:pict>
  </w:numPicBullet>
  <w:abstractNum w:abstractNumId="0" w15:restartNumberingAfterBreak="0">
    <w:nsid w:val="00DF0683"/>
    <w:multiLevelType w:val="hybridMultilevel"/>
    <w:tmpl w:val="2392173E"/>
    <w:lvl w:ilvl="0" w:tplc="0816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C458C5"/>
    <w:multiLevelType w:val="hybridMultilevel"/>
    <w:tmpl w:val="6B842F56"/>
    <w:lvl w:ilvl="0" w:tplc="04090001">
      <w:start w:val="1"/>
      <w:numFmt w:val="bullet"/>
      <w:lvlText w:val=""/>
      <w:lvlJc w:val="left"/>
      <w:pPr>
        <w:ind w:left="720" w:hanging="360"/>
      </w:pPr>
      <w:rPr>
        <w:rFonts w:ascii="Symbol" w:hAnsi="Symbol"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 w15:restartNumberingAfterBreak="0">
    <w:nsid w:val="033C361A"/>
    <w:multiLevelType w:val="hybridMultilevel"/>
    <w:tmpl w:val="DFC0611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36F6DD7"/>
    <w:multiLevelType w:val="hybridMultilevel"/>
    <w:tmpl w:val="2BDE6424"/>
    <w:lvl w:ilvl="0" w:tplc="E7EC0C42">
      <w:numFmt w:val="bullet"/>
      <w:lvlText w:val="-"/>
      <w:lvlJc w:val="left"/>
      <w:pPr>
        <w:ind w:left="720" w:hanging="360"/>
      </w:pPr>
      <w:rPr>
        <w:rFonts w:ascii="Times New Roman" w:eastAsia="Times New Roman" w:hAnsi="Times New Roman" w:cs="Times New Roman" w:hint="default"/>
        <w:sz w:val="22"/>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 w15:restartNumberingAfterBreak="0">
    <w:nsid w:val="051B0293"/>
    <w:multiLevelType w:val="hybridMultilevel"/>
    <w:tmpl w:val="C0B68B6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0536290F"/>
    <w:multiLevelType w:val="hybridMultilevel"/>
    <w:tmpl w:val="D55605D8"/>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062E3772"/>
    <w:multiLevelType w:val="hybridMultilevel"/>
    <w:tmpl w:val="3E68AC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65A6B4D"/>
    <w:multiLevelType w:val="hybridMultilevel"/>
    <w:tmpl w:val="8C88D65A"/>
    <w:lvl w:ilvl="0" w:tplc="DAF2360C">
      <w:start w:val="2012"/>
      <w:numFmt w:val="bullet"/>
      <w:lvlText w:val="-"/>
      <w:lvlJc w:val="left"/>
      <w:pPr>
        <w:ind w:left="1004" w:hanging="360"/>
      </w:pPr>
      <w:rPr>
        <w:rFonts w:ascii="Arial" w:eastAsiaTheme="minorHAnsi" w:hAnsi="Arial" w:cs="Aria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8" w15:restartNumberingAfterBreak="0">
    <w:nsid w:val="06897537"/>
    <w:multiLevelType w:val="hybridMultilevel"/>
    <w:tmpl w:val="2D86BD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06CF5423"/>
    <w:multiLevelType w:val="hybridMultilevel"/>
    <w:tmpl w:val="1CECE40A"/>
    <w:lvl w:ilvl="0" w:tplc="08160009">
      <w:start w:val="1"/>
      <w:numFmt w:val="bullet"/>
      <w:lvlText w:val=""/>
      <w:lvlJc w:val="left"/>
      <w:pPr>
        <w:ind w:left="720" w:hanging="360"/>
      </w:pPr>
      <w:rPr>
        <w:rFonts w:ascii="Wingdings" w:hAnsi="Wingdings"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07B42BEE"/>
    <w:multiLevelType w:val="hybridMultilevel"/>
    <w:tmpl w:val="A1826B42"/>
    <w:lvl w:ilvl="0" w:tplc="E7EC0C42">
      <w:numFmt w:val="bullet"/>
      <w:lvlText w:val="-"/>
      <w:lvlJc w:val="left"/>
      <w:pPr>
        <w:ind w:left="720" w:hanging="360"/>
      </w:pPr>
      <w:rPr>
        <w:rFonts w:ascii="Times New Roman" w:eastAsia="Times New Roman" w:hAnsi="Times New Roman" w:cs="Times New Roman" w:hint="default"/>
        <w:sz w:val="22"/>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08DD2E50"/>
    <w:multiLevelType w:val="hybridMultilevel"/>
    <w:tmpl w:val="049C31C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092579B5"/>
    <w:multiLevelType w:val="hybridMultilevel"/>
    <w:tmpl w:val="C32C1654"/>
    <w:lvl w:ilvl="0" w:tplc="08160005">
      <w:start w:val="1"/>
      <w:numFmt w:val="bullet"/>
      <w:lvlText w:val=""/>
      <w:lvlJc w:val="left"/>
      <w:pPr>
        <w:ind w:left="720" w:hanging="360"/>
      </w:pPr>
      <w:rPr>
        <w:rFonts w:ascii="Wingdings" w:hAnsi="Wingding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 w15:restartNumberingAfterBreak="0">
    <w:nsid w:val="09386899"/>
    <w:multiLevelType w:val="hybridMultilevel"/>
    <w:tmpl w:val="18AE3CE2"/>
    <w:lvl w:ilvl="0" w:tplc="0816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C9E3E43"/>
    <w:multiLevelType w:val="multilevel"/>
    <w:tmpl w:val="8B907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DF67E3"/>
    <w:multiLevelType w:val="hybridMultilevel"/>
    <w:tmpl w:val="72860562"/>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0F4F7AFE"/>
    <w:multiLevelType w:val="hybridMultilevel"/>
    <w:tmpl w:val="60784B9C"/>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17" w15:restartNumberingAfterBreak="0">
    <w:nsid w:val="0FC77AB5"/>
    <w:multiLevelType w:val="hybridMultilevel"/>
    <w:tmpl w:val="6FCEA9D4"/>
    <w:lvl w:ilvl="0" w:tplc="081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00011E6"/>
    <w:multiLevelType w:val="hybridMultilevel"/>
    <w:tmpl w:val="A4E441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34E4BC8"/>
    <w:multiLevelType w:val="hybridMultilevel"/>
    <w:tmpl w:val="12EE83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14245CB9"/>
    <w:multiLevelType w:val="hybridMultilevel"/>
    <w:tmpl w:val="CBEEE380"/>
    <w:lvl w:ilvl="0" w:tplc="08160011">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1" w15:restartNumberingAfterBreak="0">
    <w:nsid w:val="156445C4"/>
    <w:multiLevelType w:val="hybridMultilevel"/>
    <w:tmpl w:val="77E27A4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168A6495"/>
    <w:multiLevelType w:val="hybridMultilevel"/>
    <w:tmpl w:val="C5D89642"/>
    <w:lvl w:ilvl="0" w:tplc="08160011">
      <w:start w:val="1"/>
      <w:numFmt w:val="decimal"/>
      <w:lvlText w:val="%1)"/>
      <w:lvlJc w:val="left"/>
      <w:pPr>
        <w:ind w:left="36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1733454C"/>
    <w:multiLevelType w:val="hybridMultilevel"/>
    <w:tmpl w:val="E98E8BB4"/>
    <w:lvl w:ilvl="0" w:tplc="477CC172">
      <w:start w:val="2"/>
      <w:numFmt w:val="bullet"/>
      <w:lvlText w:val="-"/>
      <w:lvlJc w:val="left"/>
      <w:pPr>
        <w:ind w:left="720" w:hanging="360"/>
      </w:pPr>
      <w:rPr>
        <w:rFonts w:ascii="Arial" w:eastAsia="Times New Roman"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195D27CA"/>
    <w:multiLevelType w:val="hybridMultilevel"/>
    <w:tmpl w:val="4100E942"/>
    <w:lvl w:ilvl="0" w:tplc="183C2D94">
      <w:numFmt w:val="bullet"/>
      <w:lvlText w:val="•"/>
      <w:lvlJc w:val="left"/>
      <w:pPr>
        <w:ind w:left="720" w:hanging="360"/>
      </w:pPr>
      <w:rPr>
        <w:rFonts w:ascii="MS Mincho" w:eastAsia="MS Mincho" w:hAnsi="MS Mincho" w:cs="Times New Roman" w:hint="eastAsia"/>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19DC5202"/>
    <w:multiLevelType w:val="hybridMultilevel"/>
    <w:tmpl w:val="619ABB7E"/>
    <w:lvl w:ilvl="0" w:tplc="84D2D604">
      <w:start w:val="1"/>
      <w:numFmt w:val="decimal"/>
      <w:lvlText w:val="%1)"/>
      <w:lvlJc w:val="left"/>
      <w:pPr>
        <w:ind w:left="720" w:hanging="360"/>
      </w:pPr>
      <w:rPr>
        <w:rFonts w:ascii="Times New Roman" w:eastAsia="Times New Roman" w:hAnsi="Times New Roman" w:cs="Times New Roman"/>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1AD0600A"/>
    <w:multiLevelType w:val="hybridMultilevel"/>
    <w:tmpl w:val="BE4CE2B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1B2219B8"/>
    <w:multiLevelType w:val="hybridMultilevel"/>
    <w:tmpl w:val="A6860E92"/>
    <w:lvl w:ilvl="0" w:tplc="748EC6FC">
      <w:start w:val="1"/>
      <w:numFmt w:val="bullet"/>
      <w:lvlText w:val="-"/>
      <w:lvlJc w:val="left"/>
      <w:pPr>
        <w:ind w:left="720" w:hanging="360"/>
      </w:pPr>
      <w:rPr>
        <w:rFonts w:ascii="Times New Roman" w:eastAsia="Times New Roman"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1ED61E0D"/>
    <w:multiLevelType w:val="hybridMultilevel"/>
    <w:tmpl w:val="1C7062C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202B44E3"/>
    <w:multiLevelType w:val="hybridMultilevel"/>
    <w:tmpl w:val="5212CC84"/>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204E1484"/>
    <w:multiLevelType w:val="hybridMultilevel"/>
    <w:tmpl w:val="977E45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126788D"/>
    <w:multiLevelType w:val="hybridMultilevel"/>
    <w:tmpl w:val="2500E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4046E07"/>
    <w:multiLevelType w:val="hybridMultilevel"/>
    <w:tmpl w:val="8884AFD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3" w15:restartNumberingAfterBreak="0">
    <w:nsid w:val="24697AB7"/>
    <w:multiLevelType w:val="hybridMultilevel"/>
    <w:tmpl w:val="3E024EB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248E07D7"/>
    <w:multiLevelType w:val="hybridMultilevel"/>
    <w:tmpl w:val="406E4836"/>
    <w:lvl w:ilvl="0" w:tplc="A262FAA6">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15:restartNumberingAfterBreak="0">
    <w:nsid w:val="258B10DB"/>
    <w:multiLevelType w:val="hybridMultilevel"/>
    <w:tmpl w:val="AC3C1604"/>
    <w:lvl w:ilvl="0" w:tplc="08160001">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36" w15:restartNumberingAfterBreak="0">
    <w:nsid w:val="27866DFD"/>
    <w:multiLevelType w:val="hybridMultilevel"/>
    <w:tmpl w:val="84FC5BE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27C150F3"/>
    <w:multiLevelType w:val="hybridMultilevel"/>
    <w:tmpl w:val="A5AC591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28D522FB"/>
    <w:multiLevelType w:val="hybridMultilevel"/>
    <w:tmpl w:val="A8A2F282"/>
    <w:lvl w:ilvl="0" w:tplc="08160009">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291D6641"/>
    <w:multiLevelType w:val="hybridMultilevel"/>
    <w:tmpl w:val="42C612C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0" w15:restartNumberingAfterBreak="0">
    <w:nsid w:val="2A01362B"/>
    <w:multiLevelType w:val="hybridMultilevel"/>
    <w:tmpl w:val="E96A3B5E"/>
    <w:lvl w:ilvl="0" w:tplc="081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2B2854E2"/>
    <w:multiLevelType w:val="hybridMultilevel"/>
    <w:tmpl w:val="4FC0F06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2" w15:restartNumberingAfterBreak="0">
    <w:nsid w:val="2B4710CF"/>
    <w:multiLevelType w:val="hybridMultilevel"/>
    <w:tmpl w:val="2FE60E9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3" w15:restartNumberingAfterBreak="0">
    <w:nsid w:val="2B94081F"/>
    <w:multiLevelType w:val="hybridMultilevel"/>
    <w:tmpl w:val="9ED02C42"/>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4" w15:restartNumberingAfterBreak="0">
    <w:nsid w:val="2C5B5D0F"/>
    <w:multiLevelType w:val="hybridMultilevel"/>
    <w:tmpl w:val="8B56EC60"/>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5" w15:restartNumberingAfterBreak="0">
    <w:nsid w:val="2C613B74"/>
    <w:multiLevelType w:val="hybridMultilevel"/>
    <w:tmpl w:val="FEDAB854"/>
    <w:lvl w:ilvl="0" w:tplc="F208CA14">
      <w:start w:val="1"/>
      <w:numFmt w:val="decimal"/>
      <w:lvlText w:val="%1)"/>
      <w:lvlJc w:val="left"/>
      <w:pPr>
        <w:ind w:left="720" w:hanging="360"/>
      </w:pPr>
      <w:rPr>
        <w:rFonts w:hint="default"/>
        <w:i/>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6" w15:restartNumberingAfterBreak="0">
    <w:nsid w:val="2C6E44FA"/>
    <w:multiLevelType w:val="hybridMultilevel"/>
    <w:tmpl w:val="D528091C"/>
    <w:lvl w:ilvl="0" w:tplc="D216327E">
      <w:start w:val="3"/>
      <w:numFmt w:val="bullet"/>
      <w:lvlText w:val="-"/>
      <w:lvlJc w:val="left"/>
      <w:pPr>
        <w:ind w:left="720" w:hanging="360"/>
      </w:pPr>
      <w:rPr>
        <w:rFonts w:ascii="Times New Roman" w:eastAsia="Calibri"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7" w15:restartNumberingAfterBreak="0">
    <w:nsid w:val="2CCE2898"/>
    <w:multiLevelType w:val="hybridMultilevel"/>
    <w:tmpl w:val="FAFC5030"/>
    <w:lvl w:ilvl="0" w:tplc="08160001">
      <w:start w:val="1"/>
      <w:numFmt w:val="bullet"/>
      <w:lvlText w:val=""/>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8" w15:restartNumberingAfterBreak="0">
    <w:nsid w:val="2CCE29AA"/>
    <w:multiLevelType w:val="hybridMultilevel"/>
    <w:tmpl w:val="427606F6"/>
    <w:lvl w:ilvl="0" w:tplc="08160001">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49" w15:restartNumberingAfterBreak="0">
    <w:nsid w:val="2DD87EEF"/>
    <w:multiLevelType w:val="hybridMultilevel"/>
    <w:tmpl w:val="BF56DB24"/>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0" w15:restartNumberingAfterBreak="0">
    <w:nsid w:val="2E7C7D77"/>
    <w:multiLevelType w:val="hybridMultilevel"/>
    <w:tmpl w:val="2C3C8408"/>
    <w:lvl w:ilvl="0" w:tplc="08160001">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51" w15:restartNumberingAfterBreak="0">
    <w:nsid w:val="2EAB0F81"/>
    <w:multiLevelType w:val="hybridMultilevel"/>
    <w:tmpl w:val="D08E522E"/>
    <w:lvl w:ilvl="0" w:tplc="56F8DB14">
      <w:numFmt w:val="bullet"/>
      <w:lvlText w:val="-"/>
      <w:lvlJc w:val="left"/>
      <w:pPr>
        <w:ind w:left="720" w:hanging="360"/>
      </w:pPr>
      <w:rPr>
        <w:rFonts w:ascii="Arial" w:eastAsiaTheme="minorHAnsi"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2" w15:restartNumberingAfterBreak="0">
    <w:nsid w:val="319D088D"/>
    <w:multiLevelType w:val="hybridMultilevel"/>
    <w:tmpl w:val="7E8C4E0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3" w15:restartNumberingAfterBreak="0">
    <w:nsid w:val="31D02617"/>
    <w:multiLevelType w:val="hybridMultilevel"/>
    <w:tmpl w:val="D5AE1A5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4" w15:restartNumberingAfterBreak="0">
    <w:nsid w:val="31EB52DD"/>
    <w:multiLevelType w:val="hybridMultilevel"/>
    <w:tmpl w:val="4F26E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32ED65D6"/>
    <w:multiLevelType w:val="hybridMultilevel"/>
    <w:tmpl w:val="9F340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33C41514"/>
    <w:multiLevelType w:val="hybridMultilevel"/>
    <w:tmpl w:val="C5C2457C"/>
    <w:lvl w:ilvl="0" w:tplc="08160011">
      <w:start w:val="1"/>
      <w:numFmt w:val="decimal"/>
      <w:lvlText w:val="%1)"/>
      <w:lvlJc w:val="left"/>
      <w:pPr>
        <w:ind w:left="720" w:hanging="360"/>
      </w:pPr>
      <w:rPr>
        <w:rFont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7" w15:restartNumberingAfterBreak="0">
    <w:nsid w:val="357874C3"/>
    <w:multiLevelType w:val="multilevel"/>
    <w:tmpl w:val="2BF82000"/>
    <w:lvl w:ilvl="0">
      <w:start w:val="1"/>
      <w:numFmt w:val="decimal"/>
      <w:lvlText w:val="%1."/>
      <w:lvlJc w:val="left"/>
      <w:pPr>
        <w:ind w:left="786" w:hanging="360"/>
      </w:pPr>
      <w:rPr>
        <w:rFonts w:hint="default"/>
      </w:rPr>
    </w:lvl>
    <w:lvl w:ilvl="1">
      <w:start w:val="1"/>
      <w:numFmt w:val="decimal"/>
      <w:isLgl/>
      <w:lvlText w:val="%1.%2."/>
      <w:lvlJc w:val="left"/>
      <w:pPr>
        <w:ind w:left="1146" w:hanging="720"/>
      </w:pPr>
      <w:rPr>
        <w:rFonts w:hint="default"/>
        <w:sz w:val="16"/>
      </w:rPr>
    </w:lvl>
    <w:lvl w:ilvl="2">
      <w:start w:val="1"/>
      <w:numFmt w:val="decimal"/>
      <w:isLgl/>
      <w:lvlText w:val="%1.%2.%3."/>
      <w:lvlJc w:val="left"/>
      <w:pPr>
        <w:ind w:left="1146" w:hanging="720"/>
      </w:pPr>
      <w:rPr>
        <w:rFonts w:hint="default"/>
        <w:sz w:val="16"/>
      </w:rPr>
    </w:lvl>
    <w:lvl w:ilvl="3">
      <w:start w:val="1"/>
      <w:numFmt w:val="decimal"/>
      <w:isLgl/>
      <w:lvlText w:val="%1.%2.%3.%4."/>
      <w:lvlJc w:val="left"/>
      <w:pPr>
        <w:ind w:left="1506" w:hanging="1080"/>
      </w:pPr>
      <w:rPr>
        <w:rFonts w:hint="default"/>
        <w:sz w:val="16"/>
      </w:rPr>
    </w:lvl>
    <w:lvl w:ilvl="4">
      <w:start w:val="1"/>
      <w:numFmt w:val="decimal"/>
      <w:isLgl/>
      <w:lvlText w:val="%1.%2.%3.%4.%5."/>
      <w:lvlJc w:val="left"/>
      <w:pPr>
        <w:ind w:left="1506" w:hanging="1080"/>
      </w:pPr>
      <w:rPr>
        <w:rFonts w:hint="default"/>
        <w:sz w:val="16"/>
      </w:rPr>
    </w:lvl>
    <w:lvl w:ilvl="5">
      <w:start w:val="1"/>
      <w:numFmt w:val="decimal"/>
      <w:isLgl/>
      <w:lvlText w:val="%1.%2.%3.%4.%5.%6."/>
      <w:lvlJc w:val="left"/>
      <w:pPr>
        <w:ind w:left="1866" w:hanging="1440"/>
      </w:pPr>
      <w:rPr>
        <w:rFonts w:hint="default"/>
        <w:sz w:val="16"/>
      </w:rPr>
    </w:lvl>
    <w:lvl w:ilvl="6">
      <w:start w:val="1"/>
      <w:numFmt w:val="decimal"/>
      <w:isLgl/>
      <w:lvlText w:val="%1.%2.%3.%4.%5.%6.%7."/>
      <w:lvlJc w:val="left"/>
      <w:pPr>
        <w:ind w:left="1866" w:hanging="1440"/>
      </w:pPr>
      <w:rPr>
        <w:rFonts w:hint="default"/>
        <w:sz w:val="16"/>
      </w:rPr>
    </w:lvl>
    <w:lvl w:ilvl="7">
      <w:start w:val="1"/>
      <w:numFmt w:val="decimal"/>
      <w:isLgl/>
      <w:lvlText w:val="%1.%2.%3.%4.%5.%6.%7.%8."/>
      <w:lvlJc w:val="left"/>
      <w:pPr>
        <w:ind w:left="2226" w:hanging="1800"/>
      </w:pPr>
      <w:rPr>
        <w:rFonts w:hint="default"/>
        <w:sz w:val="16"/>
      </w:rPr>
    </w:lvl>
    <w:lvl w:ilvl="8">
      <w:start w:val="1"/>
      <w:numFmt w:val="decimal"/>
      <w:isLgl/>
      <w:lvlText w:val="%1.%2.%3.%4.%5.%6.%7.%8.%9."/>
      <w:lvlJc w:val="left"/>
      <w:pPr>
        <w:ind w:left="2586" w:hanging="2160"/>
      </w:pPr>
      <w:rPr>
        <w:rFonts w:hint="default"/>
        <w:sz w:val="16"/>
      </w:rPr>
    </w:lvl>
  </w:abstractNum>
  <w:abstractNum w:abstractNumId="58" w15:restartNumberingAfterBreak="0">
    <w:nsid w:val="37377D9E"/>
    <w:multiLevelType w:val="hybridMultilevel"/>
    <w:tmpl w:val="E0002436"/>
    <w:lvl w:ilvl="0" w:tplc="1D22F5D0">
      <w:numFmt w:val="bullet"/>
      <w:lvlText w:val="-"/>
      <w:lvlJc w:val="left"/>
      <w:pPr>
        <w:ind w:left="1080" w:hanging="360"/>
      </w:pPr>
      <w:rPr>
        <w:rFonts w:ascii="Arial" w:eastAsiaTheme="minorHAnsi" w:hAnsi="Arial" w:cs="Aria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59" w15:restartNumberingAfterBreak="0">
    <w:nsid w:val="37975DE8"/>
    <w:multiLevelType w:val="hybridMultilevel"/>
    <w:tmpl w:val="C6761FBC"/>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0" w15:restartNumberingAfterBreak="0">
    <w:nsid w:val="38A96370"/>
    <w:multiLevelType w:val="hybridMultilevel"/>
    <w:tmpl w:val="6218CE02"/>
    <w:lvl w:ilvl="0" w:tplc="5DD8ACF2">
      <w:start w:val="1"/>
      <w:numFmt w:val="bullet"/>
      <w:lvlText w:val="-"/>
      <w:lvlJc w:val="left"/>
      <w:pPr>
        <w:ind w:left="720" w:hanging="360"/>
      </w:pPr>
      <w:rPr>
        <w:rFonts w:ascii="Times New Roman" w:eastAsia="Times New Roman"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1" w15:restartNumberingAfterBreak="0">
    <w:nsid w:val="38B83C14"/>
    <w:multiLevelType w:val="hybridMultilevel"/>
    <w:tmpl w:val="39C6D0B0"/>
    <w:lvl w:ilvl="0" w:tplc="08160011">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2" w15:restartNumberingAfterBreak="0">
    <w:nsid w:val="394306EA"/>
    <w:multiLevelType w:val="hybridMultilevel"/>
    <w:tmpl w:val="BABA29AA"/>
    <w:lvl w:ilvl="0" w:tplc="08160011">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3" w15:restartNumberingAfterBreak="0">
    <w:nsid w:val="39E71F11"/>
    <w:multiLevelType w:val="hybridMultilevel"/>
    <w:tmpl w:val="F3521DD6"/>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4" w15:restartNumberingAfterBreak="0">
    <w:nsid w:val="3BB670D0"/>
    <w:multiLevelType w:val="hybridMultilevel"/>
    <w:tmpl w:val="D83AD508"/>
    <w:lvl w:ilvl="0" w:tplc="B4907480">
      <w:start w:val="1"/>
      <w:numFmt w:val="bullet"/>
      <w:lvlText w:val="-"/>
      <w:lvlJc w:val="left"/>
      <w:pPr>
        <w:ind w:left="720" w:hanging="360"/>
      </w:pPr>
      <w:rPr>
        <w:rFonts w:ascii="Arial" w:eastAsiaTheme="minorHAnsi" w:hAnsi="Arial" w:cs="Aria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5" w15:restartNumberingAfterBreak="0">
    <w:nsid w:val="3C50026D"/>
    <w:multiLevelType w:val="hybridMultilevel"/>
    <w:tmpl w:val="EAFC5562"/>
    <w:lvl w:ilvl="0" w:tplc="08160007">
      <w:start w:val="1"/>
      <w:numFmt w:val="bullet"/>
      <w:lvlText w:val=""/>
      <w:lvlPicBulletId w:val="0"/>
      <w:lvlJc w:val="left"/>
      <w:pPr>
        <w:ind w:left="720" w:hanging="360"/>
      </w:pPr>
      <w:rPr>
        <w:rFonts w:ascii="Symbol" w:hAnsi="Symbol" w:hint="default"/>
        <w:i/>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6"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3DB33D95"/>
    <w:multiLevelType w:val="hybridMultilevel"/>
    <w:tmpl w:val="61D4673C"/>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hint="default"/>
      </w:rPr>
    </w:lvl>
    <w:lvl w:ilvl="3" w:tplc="08160001" w:tentative="1">
      <w:start w:val="1"/>
      <w:numFmt w:val="bullet"/>
      <w:lvlText w:val=""/>
      <w:lvlJc w:val="left"/>
      <w:pPr>
        <w:ind w:left="3240" w:hanging="360"/>
      </w:pPr>
      <w:rPr>
        <w:rFonts w:ascii="Symbol" w:hAnsi="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hint="default"/>
      </w:rPr>
    </w:lvl>
    <w:lvl w:ilvl="6" w:tplc="08160001" w:tentative="1">
      <w:start w:val="1"/>
      <w:numFmt w:val="bullet"/>
      <w:lvlText w:val=""/>
      <w:lvlJc w:val="left"/>
      <w:pPr>
        <w:ind w:left="5400" w:hanging="360"/>
      </w:pPr>
      <w:rPr>
        <w:rFonts w:ascii="Symbol" w:hAnsi="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hint="default"/>
      </w:rPr>
    </w:lvl>
  </w:abstractNum>
  <w:abstractNum w:abstractNumId="68" w15:restartNumberingAfterBreak="0">
    <w:nsid w:val="3DBD4774"/>
    <w:multiLevelType w:val="hybridMultilevel"/>
    <w:tmpl w:val="D714BDE8"/>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9" w15:restartNumberingAfterBreak="0">
    <w:nsid w:val="3E440594"/>
    <w:multiLevelType w:val="hybridMultilevel"/>
    <w:tmpl w:val="976239B0"/>
    <w:lvl w:ilvl="0" w:tplc="08160001">
      <w:start w:val="1"/>
      <w:numFmt w:val="bullet"/>
      <w:lvlText w:val=""/>
      <w:lvlJc w:val="left"/>
      <w:pPr>
        <w:ind w:left="720" w:hanging="360"/>
      </w:pPr>
      <w:rPr>
        <w:rFonts w:ascii="Symbol" w:hAnsi="Symbol" w:hint="default"/>
      </w:rPr>
    </w:lvl>
    <w:lvl w:ilvl="1" w:tplc="64F6BF04">
      <w:numFmt w:val="bullet"/>
      <w:lvlText w:val="·"/>
      <w:lvlJc w:val="left"/>
      <w:pPr>
        <w:ind w:left="1440" w:hanging="360"/>
      </w:pPr>
      <w:rPr>
        <w:rFonts w:ascii="Times New Roman" w:eastAsia="Times New Roman" w:hAnsi="Times New Roman" w:cs="Times New Roman" w:hint="default"/>
      </w:rPr>
    </w:lvl>
    <w:lvl w:ilvl="2" w:tplc="08160005" w:tentative="1">
      <w:start w:val="1"/>
      <w:numFmt w:val="bullet"/>
      <w:lvlText w:val=""/>
      <w:lvlJc w:val="left"/>
      <w:pPr>
        <w:ind w:left="2160" w:hanging="360"/>
      </w:pPr>
      <w:rPr>
        <w:rFonts w:ascii="Wingdings" w:hAnsi="Wingdings" w:hint="default"/>
      </w:rPr>
    </w:lvl>
    <w:lvl w:ilvl="3" w:tplc="0816000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0" w15:restartNumberingAfterBreak="0">
    <w:nsid w:val="3E795FBD"/>
    <w:multiLevelType w:val="hybridMultilevel"/>
    <w:tmpl w:val="1BCE2F08"/>
    <w:lvl w:ilvl="0" w:tplc="56F8DB14">
      <w:numFmt w:val="bullet"/>
      <w:lvlText w:val="-"/>
      <w:lvlJc w:val="left"/>
      <w:pPr>
        <w:ind w:left="761" w:hanging="360"/>
      </w:pPr>
      <w:rPr>
        <w:rFonts w:ascii="Arial" w:eastAsiaTheme="minorHAnsi" w:hAnsi="Arial" w:cs="Arial" w:hint="default"/>
      </w:rPr>
    </w:lvl>
    <w:lvl w:ilvl="1" w:tplc="08160003" w:tentative="1">
      <w:start w:val="1"/>
      <w:numFmt w:val="bullet"/>
      <w:lvlText w:val="o"/>
      <w:lvlJc w:val="left"/>
      <w:pPr>
        <w:ind w:left="1481" w:hanging="360"/>
      </w:pPr>
      <w:rPr>
        <w:rFonts w:ascii="Courier New" w:hAnsi="Courier New" w:cs="Courier New" w:hint="default"/>
      </w:rPr>
    </w:lvl>
    <w:lvl w:ilvl="2" w:tplc="08160005" w:tentative="1">
      <w:start w:val="1"/>
      <w:numFmt w:val="bullet"/>
      <w:lvlText w:val=""/>
      <w:lvlJc w:val="left"/>
      <w:pPr>
        <w:ind w:left="2201" w:hanging="360"/>
      </w:pPr>
      <w:rPr>
        <w:rFonts w:ascii="Wingdings" w:hAnsi="Wingdings" w:hint="default"/>
      </w:rPr>
    </w:lvl>
    <w:lvl w:ilvl="3" w:tplc="08160001" w:tentative="1">
      <w:start w:val="1"/>
      <w:numFmt w:val="bullet"/>
      <w:lvlText w:val=""/>
      <w:lvlJc w:val="left"/>
      <w:pPr>
        <w:ind w:left="2921" w:hanging="360"/>
      </w:pPr>
      <w:rPr>
        <w:rFonts w:ascii="Symbol" w:hAnsi="Symbol" w:hint="default"/>
      </w:rPr>
    </w:lvl>
    <w:lvl w:ilvl="4" w:tplc="08160003" w:tentative="1">
      <w:start w:val="1"/>
      <w:numFmt w:val="bullet"/>
      <w:lvlText w:val="o"/>
      <w:lvlJc w:val="left"/>
      <w:pPr>
        <w:ind w:left="3641" w:hanging="360"/>
      </w:pPr>
      <w:rPr>
        <w:rFonts w:ascii="Courier New" w:hAnsi="Courier New" w:cs="Courier New" w:hint="default"/>
      </w:rPr>
    </w:lvl>
    <w:lvl w:ilvl="5" w:tplc="08160005" w:tentative="1">
      <w:start w:val="1"/>
      <w:numFmt w:val="bullet"/>
      <w:lvlText w:val=""/>
      <w:lvlJc w:val="left"/>
      <w:pPr>
        <w:ind w:left="4361" w:hanging="360"/>
      </w:pPr>
      <w:rPr>
        <w:rFonts w:ascii="Wingdings" w:hAnsi="Wingdings" w:hint="default"/>
      </w:rPr>
    </w:lvl>
    <w:lvl w:ilvl="6" w:tplc="08160001" w:tentative="1">
      <w:start w:val="1"/>
      <w:numFmt w:val="bullet"/>
      <w:lvlText w:val=""/>
      <w:lvlJc w:val="left"/>
      <w:pPr>
        <w:ind w:left="5081" w:hanging="360"/>
      </w:pPr>
      <w:rPr>
        <w:rFonts w:ascii="Symbol" w:hAnsi="Symbol" w:hint="default"/>
      </w:rPr>
    </w:lvl>
    <w:lvl w:ilvl="7" w:tplc="08160003" w:tentative="1">
      <w:start w:val="1"/>
      <w:numFmt w:val="bullet"/>
      <w:lvlText w:val="o"/>
      <w:lvlJc w:val="left"/>
      <w:pPr>
        <w:ind w:left="5801" w:hanging="360"/>
      </w:pPr>
      <w:rPr>
        <w:rFonts w:ascii="Courier New" w:hAnsi="Courier New" w:cs="Courier New" w:hint="default"/>
      </w:rPr>
    </w:lvl>
    <w:lvl w:ilvl="8" w:tplc="08160005" w:tentative="1">
      <w:start w:val="1"/>
      <w:numFmt w:val="bullet"/>
      <w:lvlText w:val=""/>
      <w:lvlJc w:val="left"/>
      <w:pPr>
        <w:ind w:left="6521" w:hanging="360"/>
      </w:pPr>
      <w:rPr>
        <w:rFonts w:ascii="Wingdings" w:hAnsi="Wingdings" w:hint="default"/>
      </w:rPr>
    </w:lvl>
  </w:abstractNum>
  <w:abstractNum w:abstractNumId="71" w15:restartNumberingAfterBreak="0">
    <w:nsid w:val="3E894185"/>
    <w:multiLevelType w:val="hybridMultilevel"/>
    <w:tmpl w:val="93E8BB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2" w15:restartNumberingAfterBreak="0">
    <w:nsid w:val="3F543265"/>
    <w:multiLevelType w:val="hybridMultilevel"/>
    <w:tmpl w:val="02A007EE"/>
    <w:lvl w:ilvl="0" w:tplc="08160011">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3" w15:restartNumberingAfterBreak="0">
    <w:nsid w:val="3FF56A13"/>
    <w:multiLevelType w:val="hybridMultilevel"/>
    <w:tmpl w:val="762CE140"/>
    <w:lvl w:ilvl="0" w:tplc="08160001">
      <w:start w:val="1"/>
      <w:numFmt w:val="bullet"/>
      <w:lvlText w:val=""/>
      <w:lvlJc w:val="left"/>
      <w:pPr>
        <w:ind w:left="1080" w:hanging="360"/>
      </w:pPr>
      <w:rPr>
        <w:rFonts w:ascii="Symbol" w:hAnsi="Symbol" w:hint="default"/>
      </w:rPr>
    </w:lvl>
    <w:lvl w:ilvl="1" w:tplc="08160003" w:tentative="1">
      <w:start w:val="1"/>
      <w:numFmt w:val="bullet"/>
      <w:lvlText w:val="o"/>
      <w:lvlJc w:val="left"/>
      <w:pPr>
        <w:ind w:left="1800" w:hanging="360"/>
      </w:pPr>
      <w:rPr>
        <w:rFonts w:ascii="Courier New" w:hAnsi="Courier New" w:cs="Courier New" w:hint="default"/>
      </w:rPr>
    </w:lvl>
    <w:lvl w:ilvl="2" w:tplc="08160005" w:tentative="1">
      <w:start w:val="1"/>
      <w:numFmt w:val="bullet"/>
      <w:lvlText w:val=""/>
      <w:lvlJc w:val="left"/>
      <w:pPr>
        <w:ind w:left="2520" w:hanging="360"/>
      </w:pPr>
      <w:rPr>
        <w:rFonts w:ascii="Wingdings" w:hAnsi="Wingdings" w:cs="Wingdings" w:hint="default"/>
      </w:rPr>
    </w:lvl>
    <w:lvl w:ilvl="3" w:tplc="08160001" w:tentative="1">
      <w:start w:val="1"/>
      <w:numFmt w:val="bullet"/>
      <w:lvlText w:val=""/>
      <w:lvlJc w:val="left"/>
      <w:pPr>
        <w:ind w:left="3240" w:hanging="360"/>
      </w:pPr>
      <w:rPr>
        <w:rFonts w:ascii="Symbol" w:hAnsi="Symbol" w:cs="Symbol" w:hint="default"/>
      </w:rPr>
    </w:lvl>
    <w:lvl w:ilvl="4" w:tplc="08160003" w:tentative="1">
      <w:start w:val="1"/>
      <w:numFmt w:val="bullet"/>
      <w:lvlText w:val="o"/>
      <w:lvlJc w:val="left"/>
      <w:pPr>
        <w:ind w:left="3960" w:hanging="360"/>
      </w:pPr>
      <w:rPr>
        <w:rFonts w:ascii="Courier New" w:hAnsi="Courier New" w:cs="Courier New" w:hint="default"/>
      </w:rPr>
    </w:lvl>
    <w:lvl w:ilvl="5" w:tplc="08160005" w:tentative="1">
      <w:start w:val="1"/>
      <w:numFmt w:val="bullet"/>
      <w:lvlText w:val=""/>
      <w:lvlJc w:val="left"/>
      <w:pPr>
        <w:ind w:left="4680" w:hanging="360"/>
      </w:pPr>
      <w:rPr>
        <w:rFonts w:ascii="Wingdings" w:hAnsi="Wingdings" w:cs="Wingdings" w:hint="default"/>
      </w:rPr>
    </w:lvl>
    <w:lvl w:ilvl="6" w:tplc="08160001" w:tentative="1">
      <w:start w:val="1"/>
      <w:numFmt w:val="bullet"/>
      <w:lvlText w:val=""/>
      <w:lvlJc w:val="left"/>
      <w:pPr>
        <w:ind w:left="5400" w:hanging="360"/>
      </w:pPr>
      <w:rPr>
        <w:rFonts w:ascii="Symbol" w:hAnsi="Symbol" w:cs="Symbol" w:hint="default"/>
      </w:rPr>
    </w:lvl>
    <w:lvl w:ilvl="7" w:tplc="08160003" w:tentative="1">
      <w:start w:val="1"/>
      <w:numFmt w:val="bullet"/>
      <w:lvlText w:val="o"/>
      <w:lvlJc w:val="left"/>
      <w:pPr>
        <w:ind w:left="6120" w:hanging="360"/>
      </w:pPr>
      <w:rPr>
        <w:rFonts w:ascii="Courier New" w:hAnsi="Courier New" w:cs="Courier New" w:hint="default"/>
      </w:rPr>
    </w:lvl>
    <w:lvl w:ilvl="8" w:tplc="08160005" w:tentative="1">
      <w:start w:val="1"/>
      <w:numFmt w:val="bullet"/>
      <w:lvlText w:val=""/>
      <w:lvlJc w:val="left"/>
      <w:pPr>
        <w:ind w:left="6840" w:hanging="360"/>
      </w:pPr>
      <w:rPr>
        <w:rFonts w:ascii="Wingdings" w:hAnsi="Wingdings" w:cs="Wingdings" w:hint="default"/>
      </w:rPr>
    </w:lvl>
  </w:abstractNum>
  <w:abstractNum w:abstractNumId="74" w15:restartNumberingAfterBreak="0">
    <w:nsid w:val="407B6874"/>
    <w:multiLevelType w:val="hybridMultilevel"/>
    <w:tmpl w:val="04568EAA"/>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5" w15:restartNumberingAfterBreak="0">
    <w:nsid w:val="40DF5F9C"/>
    <w:multiLevelType w:val="hybridMultilevel"/>
    <w:tmpl w:val="7ABCFA34"/>
    <w:lvl w:ilvl="0" w:tplc="08160001">
      <w:start w:val="1"/>
      <w:numFmt w:val="bullet"/>
      <w:lvlText w:val=""/>
      <w:lvlJc w:val="left"/>
      <w:pPr>
        <w:ind w:left="720" w:hanging="360"/>
      </w:pPr>
      <w:rPr>
        <w:rFonts w:ascii="Symbol" w:hAnsi="Symbol" w:hint="default"/>
      </w:rPr>
    </w:lvl>
    <w:lvl w:ilvl="1" w:tplc="08160001">
      <w:start w:val="1"/>
      <w:numFmt w:val="bullet"/>
      <w:lvlText w:val=""/>
      <w:lvlJc w:val="left"/>
      <w:pPr>
        <w:ind w:left="1440" w:hanging="360"/>
      </w:pPr>
      <w:rPr>
        <w:rFonts w:ascii="Symbol" w:hAnsi="Symbol"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6" w15:restartNumberingAfterBreak="0">
    <w:nsid w:val="41577235"/>
    <w:multiLevelType w:val="hybridMultilevel"/>
    <w:tmpl w:val="CB342C82"/>
    <w:lvl w:ilvl="0" w:tplc="3DEA90C2">
      <w:start w:val="9"/>
      <w:numFmt w:val="bullet"/>
      <w:lvlText w:val="-"/>
      <w:lvlJc w:val="left"/>
      <w:pPr>
        <w:ind w:left="720" w:hanging="360"/>
      </w:pPr>
      <w:rPr>
        <w:rFonts w:ascii="Times New Roman" w:eastAsia="Times New Roman" w:hAnsi="Times New Roman" w:cs="Times New Roman" w:hint="default"/>
        <w:u w:val="single"/>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7" w15:restartNumberingAfterBreak="0">
    <w:nsid w:val="41D8438D"/>
    <w:multiLevelType w:val="hybridMultilevel"/>
    <w:tmpl w:val="4DC056F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8" w15:restartNumberingAfterBreak="0">
    <w:nsid w:val="42F8575C"/>
    <w:multiLevelType w:val="hybridMultilevel"/>
    <w:tmpl w:val="7C0C6690"/>
    <w:lvl w:ilvl="0" w:tplc="08160001">
      <w:start w:val="1"/>
      <w:numFmt w:val="bullet"/>
      <w:lvlText w:val=""/>
      <w:lvlJc w:val="left"/>
      <w:pPr>
        <w:ind w:left="1004" w:hanging="360"/>
      </w:pPr>
      <w:rPr>
        <w:rFonts w:ascii="Symbol" w:hAnsi="Symbol"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79" w15:restartNumberingAfterBreak="0">
    <w:nsid w:val="45B85F87"/>
    <w:multiLevelType w:val="hybridMultilevel"/>
    <w:tmpl w:val="07BAEB5C"/>
    <w:lvl w:ilvl="0" w:tplc="08160013">
      <w:start w:val="1"/>
      <w:numFmt w:val="upperRoman"/>
      <w:lvlText w:val="%1."/>
      <w:lvlJc w:val="righ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0" w15:restartNumberingAfterBreak="0">
    <w:nsid w:val="49C54573"/>
    <w:multiLevelType w:val="hybridMultilevel"/>
    <w:tmpl w:val="73889C0E"/>
    <w:lvl w:ilvl="0" w:tplc="0816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4A294BBE"/>
    <w:multiLevelType w:val="hybridMultilevel"/>
    <w:tmpl w:val="14A8AFD4"/>
    <w:lvl w:ilvl="0" w:tplc="08160011">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2" w15:restartNumberingAfterBreak="0">
    <w:nsid w:val="4B780D08"/>
    <w:multiLevelType w:val="hybridMultilevel"/>
    <w:tmpl w:val="4260CFF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3" w15:restartNumberingAfterBreak="0">
    <w:nsid w:val="4B7F0CEF"/>
    <w:multiLevelType w:val="hybridMultilevel"/>
    <w:tmpl w:val="C4F6CBBA"/>
    <w:lvl w:ilvl="0" w:tplc="08160011">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84" w15:restartNumberingAfterBreak="0">
    <w:nsid w:val="4C1D49DE"/>
    <w:multiLevelType w:val="hybridMultilevel"/>
    <w:tmpl w:val="2A5444D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5" w15:restartNumberingAfterBreak="0">
    <w:nsid w:val="4CA05EE5"/>
    <w:multiLevelType w:val="hybridMultilevel"/>
    <w:tmpl w:val="A52CF898"/>
    <w:lvl w:ilvl="0" w:tplc="08160007">
      <w:start w:val="1"/>
      <w:numFmt w:val="bullet"/>
      <w:lvlText w:val=""/>
      <w:lvlPicBulletId w:val="0"/>
      <w:lvlJc w:val="left"/>
      <w:pPr>
        <w:ind w:left="720" w:hanging="360"/>
      </w:pPr>
      <w:rPr>
        <w:rFonts w:ascii="Symbol" w:hAnsi="Symbol" w:hint="default"/>
      </w:rPr>
    </w:lvl>
    <w:lvl w:ilvl="1" w:tplc="654A48F6">
      <w:numFmt w:val="bullet"/>
      <w:lvlText w:val="-"/>
      <w:lvlJc w:val="left"/>
      <w:pPr>
        <w:ind w:left="1440" w:hanging="360"/>
      </w:pPr>
      <w:rPr>
        <w:rFonts w:ascii="Arial" w:eastAsia="Times New Roman" w:hAnsi="Arial" w:cs="Arial" w:hint="default"/>
        <w:u w:val="double"/>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6" w15:restartNumberingAfterBreak="0">
    <w:nsid w:val="4DB5572B"/>
    <w:multiLevelType w:val="hybridMultilevel"/>
    <w:tmpl w:val="2CCCF85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7" w15:restartNumberingAfterBreak="0">
    <w:nsid w:val="4DE51D79"/>
    <w:multiLevelType w:val="hybridMultilevel"/>
    <w:tmpl w:val="DC6A89C8"/>
    <w:lvl w:ilvl="0" w:tplc="08160005">
      <w:start w:val="1"/>
      <w:numFmt w:val="bullet"/>
      <w:lvlText w:val=""/>
      <w:lvlJc w:val="left"/>
      <w:pPr>
        <w:ind w:left="720" w:hanging="360"/>
      </w:pPr>
      <w:rPr>
        <w:rFonts w:ascii="Wingdings" w:hAnsi="Wingdings" w:hint="default"/>
        <w:i/>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8" w15:restartNumberingAfterBreak="0">
    <w:nsid w:val="4E071916"/>
    <w:multiLevelType w:val="hybridMultilevel"/>
    <w:tmpl w:val="3C061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4E210892"/>
    <w:multiLevelType w:val="multilevel"/>
    <w:tmpl w:val="D352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4EF37F7C"/>
    <w:multiLevelType w:val="hybridMultilevel"/>
    <w:tmpl w:val="38F8CB4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1" w15:restartNumberingAfterBreak="0">
    <w:nsid w:val="4F0B0CEF"/>
    <w:multiLevelType w:val="hybridMultilevel"/>
    <w:tmpl w:val="A426EC1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2" w15:restartNumberingAfterBreak="0">
    <w:nsid w:val="50116A22"/>
    <w:multiLevelType w:val="hybridMultilevel"/>
    <w:tmpl w:val="E7D67F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3" w15:restartNumberingAfterBreak="0">
    <w:nsid w:val="50800248"/>
    <w:multiLevelType w:val="hybridMultilevel"/>
    <w:tmpl w:val="6C66E186"/>
    <w:lvl w:ilvl="0" w:tplc="08160001">
      <w:start w:val="1"/>
      <w:numFmt w:val="bullet"/>
      <w:lvlText w:val=""/>
      <w:lvlJc w:val="left"/>
      <w:pPr>
        <w:ind w:left="218" w:hanging="360"/>
      </w:pPr>
      <w:rPr>
        <w:rFonts w:ascii="Symbol" w:hAnsi="Symbol" w:hint="default"/>
        <w:i/>
      </w:rPr>
    </w:lvl>
    <w:lvl w:ilvl="1" w:tplc="08160003" w:tentative="1">
      <w:start w:val="1"/>
      <w:numFmt w:val="bullet"/>
      <w:lvlText w:val="o"/>
      <w:lvlJc w:val="left"/>
      <w:pPr>
        <w:ind w:left="938" w:hanging="360"/>
      </w:pPr>
      <w:rPr>
        <w:rFonts w:ascii="Courier New" w:hAnsi="Courier New" w:cs="Courier New" w:hint="default"/>
      </w:rPr>
    </w:lvl>
    <w:lvl w:ilvl="2" w:tplc="08160005" w:tentative="1">
      <w:start w:val="1"/>
      <w:numFmt w:val="bullet"/>
      <w:lvlText w:val=""/>
      <w:lvlJc w:val="left"/>
      <w:pPr>
        <w:ind w:left="1658" w:hanging="360"/>
      </w:pPr>
      <w:rPr>
        <w:rFonts w:ascii="Wingdings" w:hAnsi="Wingdings" w:hint="default"/>
      </w:rPr>
    </w:lvl>
    <w:lvl w:ilvl="3" w:tplc="08160001" w:tentative="1">
      <w:start w:val="1"/>
      <w:numFmt w:val="bullet"/>
      <w:lvlText w:val=""/>
      <w:lvlJc w:val="left"/>
      <w:pPr>
        <w:ind w:left="2378" w:hanging="360"/>
      </w:pPr>
      <w:rPr>
        <w:rFonts w:ascii="Symbol" w:hAnsi="Symbol" w:hint="default"/>
      </w:rPr>
    </w:lvl>
    <w:lvl w:ilvl="4" w:tplc="08160003" w:tentative="1">
      <w:start w:val="1"/>
      <w:numFmt w:val="bullet"/>
      <w:lvlText w:val="o"/>
      <w:lvlJc w:val="left"/>
      <w:pPr>
        <w:ind w:left="3098" w:hanging="360"/>
      </w:pPr>
      <w:rPr>
        <w:rFonts w:ascii="Courier New" w:hAnsi="Courier New" w:cs="Courier New" w:hint="default"/>
      </w:rPr>
    </w:lvl>
    <w:lvl w:ilvl="5" w:tplc="08160005" w:tentative="1">
      <w:start w:val="1"/>
      <w:numFmt w:val="bullet"/>
      <w:lvlText w:val=""/>
      <w:lvlJc w:val="left"/>
      <w:pPr>
        <w:ind w:left="3818" w:hanging="360"/>
      </w:pPr>
      <w:rPr>
        <w:rFonts w:ascii="Wingdings" w:hAnsi="Wingdings" w:hint="default"/>
      </w:rPr>
    </w:lvl>
    <w:lvl w:ilvl="6" w:tplc="08160001" w:tentative="1">
      <w:start w:val="1"/>
      <w:numFmt w:val="bullet"/>
      <w:lvlText w:val=""/>
      <w:lvlJc w:val="left"/>
      <w:pPr>
        <w:ind w:left="4538" w:hanging="360"/>
      </w:pPr>
      <w:rPr>
        <w:rFonts w:ascii="Symbol" w:hAnsi="Symbol" w:hint="default"/>
      </w:rPr>
    </w:lvl>
    <w:lvl w:ilvl="7" w:tplc="08160003" w:tentative="1">
      <w:start w:val="1"/>
      <w:numFmt w:val="bullet"/>
      <w:lvlText w:val="o"/>
      <w:lvlJc w:val="left"/>
      <w:pPr>
        <w:ind w:left="5258" w:hanging="360"/>
      </w:pPr>
      <w:rPr>
        <w:rFonts w:ascii="Courier New" w:hAnsi="Courier New" w:cs="Courier New" w:hint="default"/>
      </w:rPr>
    </w:lvl>
    <w:lvl w:ilvl="8" w:tplc="08160005" w:tentative="1">
      <w:start w:val="1"/>
      <w:numFmt w:val="bullet"/>
      <w:lvlText w:val=""/>
      <w:lvlJc w:val="left"/>
      <w:pPr>
        <w:ind w:left="5978" w:hanging="360"/>
      </w:pPr>
      <w:rPr>
        <w:rFonts w:ascii="Wingdings" w:hAnsi="Wingdings" w:hint="default"/>
      </w:rPr>
    </w:lvl>
  </w:abstractNum>
  <w:abstractNum w:abstractNumId="94" w15:restartNumberingAfterBreak="0">
    <w:nsid w:val="520D03DF"/>
    <w:multiLevelType w:val="hybridMultilevel"/>
    <w:tmpl w:val="42DC80A4"/>
    <w:lvl w:ilvl="0" w:tplc="08160007">
      <w:start w:val="1"/>
      <w:numFmt w:val="bullet"/>
      <w:lvlText w:val=""/>
      <w:lvlPicBulletId w:val="0"/>
      <w:lvlJc w:val="left"/>
      <w:pPr>
        <w:ind w:left="720" w:hanging="360"/>
      </w:pPr>
      <w:rPr>
        <w:rFonts w:ascii="Symbol" w:hAnsi="Symbol"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5" w15:restartNumberingAfterBreak="0">
    <w:nsid w:val="523C1650"/>
    <w:multiLevelType w:val="hybridMultilevel"/>
    <w:tmpl w:val="64463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53EF3383"/>
    <w:multiLevelType w:val="hybridMultilevel"/>
    <w:tmpl w:val="F1DE7CAE"/>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7" w15:restartNumberingAfterBreak="0">
    <w:nsid w:val="542554CA"/>
    <w:multiLevelType w:val="hybridMultilevel"/>
    <w:tmpl w:val="CD04C564"/>
    <w:lvl w:ilvl="0" w:tplc="0816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8" w15:restartNumberingAfterBreak="0">
    <w:nsid w:val="556F3F43"/>
    <w:multiLevelType w:val="hybridMultilevel"/>
    <w:tmpl w:val="79902710"/>
    <w:lvl w:ilvl="0" w:tplc="08160005">
      <w:start w:val="1"/>
      <w:numFmt w:val="bullet"/>
      <w:lvlText w:val=""/>
      <w:lvlJc w:val="left"/>
      <w:pPr>
        <w:ind w:left="862" w:hanging="360"/>
      </w:pPr>
      <w:rPr>
        <w:rFonts w:ascii="Wingdings" w:hAnsi="Wingdings" w:hint="default"/>
      </w:rPr>
    </w:lvl>
    <w:lvl w:ilvl="1" w:tplc="08160003" w:tentative="1">
      <w:start w:val="1"/>
      <w:numFmt w:val="bullet"/>
      <w:lvlText w:val="o"/>
      <w:lvlJc w:val="left"/>
      <w:pPr>
        <w:ind w:left="1582" w:hanging="360"/>
      </w:pPr>
      <w:rPr>
        <w:rFonts w:ascii="Courier New" w:hAnsi="Courier New" w:cs="Courier New" w:hint="default"/>
      </w:rPr>
    </w:lvl>
    <w:lvl w:ilvl="2" w:tplc="08160005" w:tentative="1">
      <w:start w:val="1"/>
      <w:numFmt w:val="bullet"/>
      <w:lvlText w:val=""/>
      <w:lvlJc w:val="left"/>
      <w:pPr>
        <w:ind w:left="2302" w:hanging="360"/>
      </w:pPr>
      <w:rPr>
        <w:rFonts w:ascii="Wingdings" w:hAnsi="Wingdings" w:hint="default"/>
      </w:rPr>
    </w:lvl>
    <w:lvl w:ilvl="3" w:tplc="08160001" w:tentative="1">
      <w:start w:val="1"/>
      <w:numFmt w:val="bullet"/>
      <w:lvlText w:val=""/>
      <w:lvlJc w:val="left"/>
      <w:pPr>
        <w:ind w:left="3022" w:hanging="360"/>
      </w:pPr>
      <w:rPr>
        <w:rFonts w:ascii="Symbol" w:hAnsi="Symbol" w:hint="default"/>
      </w:rPr>
    </w:lvl>
    <w:lvl w:ilvl="4" w:tplc="08160003" w:tentative="1">
      <w:start w:val="1"/>
      <w:numFmt w:val="bullet"/>
      <w:lvlText w:val="o"/>
      <w:lvlJc w:val="left"/>
      <w:pPr>
        <w:ind w:left="3742" w:hanging="360"/>
      </w:pPr>
      <w:rPr>
        <w:rFonts w:ascii="Courier New" w:hAnsi="Courier New" w:cs="Courier New" w:hint="default"/>
      </w:rPr>
    </w:lvl>
    <w:lvl w:ilvl="5" w:tplc="08160005" w:tentative="1">
      <w:start w:val="1"/>
      <w:numFmt w:val="bullet"/>
      <w:lvlText w:val=""/>
      <w:lvlJc w:val="left"/>
      <w:pPr>
        <w:ind w:left="4462" w:hanging="360"/>
      </w:pPr>
      <w:rPr>
        <w:rFonts w:ascii="Wingdings" w:hAnsi="Wingdings" w:hint="default"/>
      </w:rPr>
    </w:lvl>
    <w:lvl w:ilvl="6" w:tplc="08160001" w:tentative="1">
      <w:start w:val="1"/>
      <w:numFmt w:val="bullet"/>
      <w:lvlText w:val=""/>
      <w:lvlJc w:val="left"/>
      <w:pPr>
        <w:ind w:left="5182" w:hanging="360"/>
      </w:pPr>
      <w:rPr>
        <w:rFonts w:ascii="Symbol" w:hAnsi="Symbol" w:hint="default"/>
      </w:rPr>
    </w:lvl>
    <w:lvl w:ilvl="7" w:tplc="08160003" w:tentative="1">
      <w:start w:val="1"/>
      <w:numFmt w:val="bullet"/>
      <w:lvlText w:val="o"/>
      <w:lvlJc w:val="left"/>
      <w:pPr>
        <w:ind w:left="5902" w:hanging="360"/>
      </w:pPr>
      <w:rPr>
        <w:rFonts w:ascii="Courier New" w:hAnsi="Courier New" w:cs="Courier New" w:hint="default"/>
      </w:rPr>
    </w:lvl>
    <w:lvl w:ilvl="8" w:tplc="08160005" w:tentative="1">
      <w:start w:val="1"/>
      <w:numFmt w:val="bullet"/>
      <w:lvlText w:val=""/>
      <w:lvlJc w:val="left"/>
      <w:pPr>
        <w:ind w:left="6622" w:hanging="360"/>
      </w:pPr>
      <w:rPr>
        <w:rFonts w:ascii="Wingdings" w:hAnsi="Wingdings" w:hint="default"/>
      </w:rPr>
    </w:lvl>
  </w:abstractNum>
  <w:abstractNum w:abstractNumId="99" w15:restartNumberingAfterBreak="0">
    <w:nsid w:val="55F31291"/>
    <w:multiLevelType w:val="hybridMultilevel"/>
    <w:tmpl w:val="F692C998"/>
    <w:lvl w:ilvl="0" w:tplc="0816000F">
      <w:start w:val="1"/>
      <w:numFmt w:val="decimal"/>
      <w:lvlText w:val="%1."/>
      <w:lvlJc w:val="left"/>
      <w:pPr>
        <w:ind w:left="720" w:hanging="360"/>
      </w:pPr>
    </w:lvl>
    <w:lvl w:ilvl="1" w:tplc="08160019">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0" w15:restartNumberingAfterBreak="0">
    <w:nsid w:val="56071E1B"/>
    <w:multiLevelType w:val="hybridMultilevel"/>
    <w:tmpl w:val="41000D0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60E254B"/>
    <w:multiLevelType w:val="hybridMultilevel"/>
    <w:tmpl w:val="A8C2A4C2"/>
    <w:lvl w:ilvl="0" w:tplc="08160011">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2" w15:restartNumberingAfterBreak="0">
    <w:nsid w:val="562B0918"/>
    <w:multiLevelType w:val="hybridMultilevel"/>
    <w:tmpl w:val="F5C42250"/>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3" w15:restartNumberingAfterBreak="0">
    <w:nsid w:val="56814BE6"/>
    <w:multiLevelType w:val="hybridMultilevel"/>
    <w:tmpl w:val="8D5A41B0"/>
    <w:lvl w:ilvl="0" w:tplc="EA403C94">
      <w:start w:val="3"/>
      <w:numFmt w:val="bullet"/>
      <w:lvlText w:val="-"/>
      <w:lvlJc w:val="left"/>
      <w:pPr>
        <w:ind w:left="720" w:hanging="360"/>
      </w:pPr>
      <w:rPr>
        <w:rFonts w:ascii="Times New Roman" w:eastAsia="Times New Roman" w:hAnsi="Times New Roman" w:cs="Times New Roman"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4" w15:restartNumberingAfterBreak="0">
    <w:nsid w:val="56CA5710"/>
    <w:multiLevelType w:val="hybridMultilevel"/>
    <w:tmpl w:val="99FA9A08"/>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05" w15:restartNumberingAfterBreak="0">
    <w:nsid w:val="56FE254B"/>
    <w:multiLevelType w:val="hybridMultilevel"/>
    <w:tmpl w:val="F024406C"/>
    <w:lvl w:ilvl="0" w:tplc="08160005">
      <w:start w:val="1"/>
      <w:numFmt w:val="bullet"/>
      <w:lvlText w:val=""/>
      <w:lvlJc w:val="left"/>
      <w:pPr>
        <w:ind w:left="862" w:hanging="360"/>
      </w:pPr>
      <w:rPr>
        <w:rFonts w:ascii="Wingdings" w:hAnsi="Wingdings" w:hint="default"/>
      </w:rPr>
    </w:lvl>
    <w:lvl w:ilvl="1" w:tplc="08160003" w:tentative="1">
      <w:start w:val="1"/>
      <w:numFmt w:val="bullet"/>
      <w:lvlText w:val="o"/>
      <w:lvlJc w:val="left"/>
      <w:pPr>
        <w:ind w:left="1582" w:hanging="360"/>
      </w:pPr>
      <w:rPr>
        <w:rFonts w:ascii="Courier New" w:hAnsi="Courier New" w:cs="Courier New" w:hint="default"/>
      </w:rPr>
    </w:lvl>
    <w:lvl w:ilvl="2" w:tplc="08160005" w:tentative="1">
      <w:start w:val="1"/>
      <w:numFmt w:val="bullet"/>
      <w:lvlText w:val=""/>
      <w:lvlJc w:val="left"/>
      <w:pPr>
        <w:ind w:left="2302" w:hanging="360"/>
      </w:pPr>
      <w:rPr>
        <w:rFonts w:ascii="Wingdings" w:hAnsi="Wingdings" w:cs="Wingdings" w:hint="default"/>
      </w:rPr>
    </w:lvl>
    <w:lvl w:ilvl="3" w:tplc="08160001" w:tentative="1">
      <w:start w:val="1"/>
      <w:numFmt w:val="bullet"/>
      <w:lvlText w:val=""/>
      <w:lvlJc w:val="left"/>
      <w:pPr>
        <w:ind w:left="3022" w:hanging="360"/>
      </w:pPr>
      <w:rPr>
        <w:rFonts w:ascii="Symbol" w:hAnsi="Symbol" w:cs="Symbol" w:hint="default"/>
      </w:rPr>
    </w:lvl>
    <w:lvl w:ilvl="4" w:tplc="08160003" w:tentative="1">
      <w:start w:val="1"/>
      <w:numFmt w:val="bullet"/>
      <w:lvlText w:val="o"/>
      <w:lvlJc w:val="left"/>
      <w:pPr>
        <w:ind w:left="3742" w:hanging="360"/>
      </w:pPr>
      <w:rPr>
        <w:rFonts w:ascii="Courier New" w:hAnsi="Courier New" w:cs="Courier New" w:hint="default"/>
      </w:rPr>
    </w:lvl>
    <w:lvl w:ilvl="5" w:tplc="08160005" w:tentative="1">
      <w:start w:val="1"/>
      <w:numFmt w:val="bullet"/>
      <w:lvlText w:val=""/>
      <w:lvlJc w:val="left"/>
      <w:pPr>
        <w:ind w:left="4462" w:hanging="360"/>
      </w:pPr>
      <w:rPr>
        <w:rFonts w:ascii="Wingdings" w:hAnsi="Wingdings" w:cs="Wingdings" w:hint="default"/>
      </w:rPr>
    </w:lvl>
    <w:lvl w:ilvl="6" w:tplc="08160001" w:tentative="1">
      <w:start w:val="1"/>
      <w:numFmt w:val="bullet"/>
      <w:lvlText w:val=""/>
      <w:lvlJc w:val="left"/>
      <w:pPr>
        <w:ind w:left="5182" w:hanging="360"/>
      </w:pPr>
      <w:rPr>
        <w:rFonts w:ascii="Symbol" w:hAnsi="Symbol" w:cs="Symbol" w:hint="default"/>
      </w:rPr>
    </w:lvl>
    <w:lvl w:ilvl="7" w:tplc="08160003" w:tentative="1">
      <w:start w:val="1"/>
      <w:numFmt w:val="bullet"/>
      <w:lvlText w:val="o"/>
      <w:lvlJc w:val="left"/>
      <w:pPr>
        <w:ind w:left="5902" w:hanging="360"/>
      </w:pPr>
      <w:rPr>
        <w:rFonts w:ascii="Courier New" w:hAnsi="Courier New" w:cs="Courier New" w:hint="default"/>
      </w:rPr>
    </w:lvl>
    <w:lvl w:ilvl="8" w:tplc="08160005" w:tentative="1">
      <w:start w:val="1"/>
      <w:numFmt w:val="bullet"/>
      <w:lvlText w:val=""/>
      <w:lvlJc w:val="left"/>
      <w:pPr>
        <w:ind w:left="6622" w:hanging="360"/>
      </w:pPr>
      <w:rPr>
        <w:rFonts w:ascii="Wingdings" w:hAnsi="Wingdings" w:cs="Wingdings" w:hint="default"/>
      </w:rPr>
    </w:lvl>
  </w:abstractNum>
  <w:abstractNum w:abstractNumId="106" w15:restartNumberingAfterBreak="0">
    <w:nsid w:val="5864353B"/>
    <w:multiLevelType w:val="hybridMultilevel"/>
    <w:tmpl w:val="9348BD72"/>
    <w:lvl w:ilvl="0" w:tplc="08160009">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7" w15:restartNumberingAfterBreak="0">
    <w:nsid w:val="591A092E"/>
    <w:multiLevelType w:val="hybridMultilevel"/>
    <w:tmpl w:val="CD08347C"/>
    <w:lvl w:ilvl="0" w:tplc="08160005">
      <w:start w:val="1"/>
      <w:numFmt w:val="bullet"/>
      <w:lvlText w:val=""/>
      <w:lvlJc w:val="left"/>
      <w:pPr>
        <w:ind w:left="1004" w:hanging="360"/>
      </w:pPr>
      <w:rPr>
        <w:rFonts w:ascii="Wingdings" w:hAnsi="Wingdings" w:hint="default"/>
      </w:rPr>
    </w:lvl>
    <w:lvl w:ilvl="1" w:tplc="08160003" w:tentative="1">
      <w:start w:val="1"/>
      <w:numFmt w:val="bullet"/>
      <w:lvlText w:val="o"/>
      <w:lvlJc w:val="left"/>
      <w:pPr>
        <w:ind w:left="1724" w:hanging="360"/>
      </w:pPr>
      <w:rPr>
        <w:rFonts w:ascii="Courier New" w:hAnsi="Courier New" w:cs="Courier New" w:hint="default"/>
      </w:rPr>
    </w:lvl>
    <w:lvl w:ilvl="2" w:tplc="08160005" w:tentative="1">
      <w:start w:val="1"/>
      <w:numFmt w:val="bullet"/>
      <w:lvlText w:val=""/>
      <w:lvlJc w:val="left"/>
      <w:pPr>
        <w:ind w:left="2444" w:hanging="360"/>
      </w:pPr>
      <w:rPr>
        <w:rFonts w:ascii="Wingdings" w:hAnsi="Wingdings" w:hint="default"/>
      </w:rPr>
    </w:lvl>
    <w:lvl w:ilvl="3" w:tplc="08160001" w:tentative="1">
      <w:start w:val="1"/>
      <w:numFmt w:val="bullet"/>
      <w:lvlText w:val=""/>
      <w:lvlJc w:val="left"/>
      <w:pPr>
        <w:ind w:left="3164" w:hanging="360"/>
      </w:pPr>
      <w:rPr>
        <w:rFonts w:ascii="Symbol" w:hAnsi="Symbol" w:hint="default"/>
      </w:rPr>
    </w:lvl>
    <w:lvl w:ilvl="4" w:tplc="08160003" w:tentative="1">
      <w:start w:val="1"/>
      <w:numFmt w:val="bullet"/>
      <w:lvlText w:val="o"/>
      <w:lvlJc w:val="left"/>
      <w:pPr>
        <w:ind w:left="3884" w:hanging="360"/>
      </w:pPr>
      <w:rPr>
        <w:rFonts w:ascii="Courier New" w:hAnsi="Courier New" w:cs="Courier New" w:hint="default"/>
      </w:rPr>
    </w:lvl>
    <w:lvl w:ilvl="5" w:tplc="08160005" w:tentative="1">
      <w:start w:val="1"/>
      <w:numFmt w:val="bullet"/>
      <w:lvlText w:val=""/>
      <w:lvlJc w:val="left"/>
      <w:pPr>
        <w:ind w:left="4604" w:hanging="360"/>
      </w:pPr>
      <w:rPr>
        <w:rFonts w:ascii="Wingdings" w:hAnsi="Wingdings" w:hint="default"/>
      </w:rPr>
    </w:lvl>
    <w:lvl w:ilvl="6" w:tplc="08160001" w:tentative="1">
      <w:start w:val="1"/>
      <w:numFmt w:val="bullet"/>
      <w:lvlText w:val=""/>
      <w:lvlJc w:val="left"/>
      <w:pPr>
        <w:ind w:left="5324" w:hanging="360"/>
      </w:pPr>
      <w:rPr>
        <w:rFonts w:ascii="Symbol" w:hAnsi="Symbol" w:hint="default"/>
      </w:rPr>
    </w:lvl>
    <w:lvl w:ilvl="7" w:tplc="08160003" w:tentative="1">
      <w:start w:val="1"/>
      <w:numFmt w:val="bullet"/>
      <w:lvlText w:val="o"/>
      <w:lvlJc w:val="left"/>
      <w:pPr>
        <w:ind w:left="6044" w:hanging="360"/>
      </w:pPr>
      <w:rPr>
        <w:rFonts w:ascii="Courier New" w:hAnsi="Courier New" w:cs="Courier New" w:hint="default"/>
      </w:rPr>
    </w:lvl>
    <w:lvl w:ilvl="8" w:tplc="08160005" w:tentative="1">
      <w:start w:val="1"/>
      <w:numFmt w:val="bullet"/>
      <w:lvlText w:val=""/>
      <w:lvlJc w:val="left"/>
      <w:pPr>
        <w:ind w:left="6764" w:hanging="360"/>
      </w:pPr>
      <w:rPr>
        <w:rFonts w:ascii="Wingdings" w:hAnsi="Wingdings" w:hint="default"/>
      </w:rPr>
    </w:lvl>
  </w:abstractNum>
  <w:abstractNum w:abstractNumId="108" w15:restartNumberingAfterBreak="0">
    <w:nsid w:val="59C526E9"/>
    <w:multiLevelType w:val="hybridMultilevel"/>
    <w:tmpl w:val="719CEE52"/>
    <w:lvl w:ilvl="0" w:tplc="08160011">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9" w15:restartNumberingAfterBreak="0">
    <w:nsid w:val="5AE960D8"/>
    <w:multiLevelType w:val="hybridMultilevel"/>
    <w:tmpl w:val="D528F5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0" w15:restartNumberingAfterBreak="0">
    <w:nsid w:val="5B452EB9"/>
    <w:multiLevelType w:val="hybridMultilevel"/>
    <w:tmpl w:val="54CC762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1" w15:restartNumberingAfterBreak="0">
    <w:nsid w:val="5CE206B2"/>
    <w:multiLevelType w:val="hybridMultilevel"/>
    <w:tmpl w:val="F6BAD28E"/>
    <w:lvl w:ilvl="0" w:tplc="0D0826BE">
      <w:start w:val="2"/>
      <w:numFmt w:val="bullet"/>
      <w:lvlText w:val="-"/>
      <w:lvlJc w:val="left"/>
      <w:pPr>
        <w:ind w:left="720" w:hanging="360"/>
      </w:pPr>
      <w:rPr>
        <w:rFonts w:ascii="Times New Roman" w:eastAsia="Times New Roman" w:hAnsi="Times New Roman" w:cs="Times New Roman" w:hint="default"/>
        <w:i/>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2" w15:restartNumberingAfterBreak="0">
    <w:nsid w:val="5D19443C"/>
    <w:multiLevelType w:val="hybridMultilevel"/>
    <w:tmpl w:val="09C2BE1A"/>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3" w15:restartNumberingAfterBreak="0">
    <w:nsid w:val="60DE6572"/>
    <w:multiLevelType w:val="hybridMultilevel"/>
    <w:tmpl w:val="183ADAB8"/>
    <w:lvl w:ilvl="0" w:tplc="08160009">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4" w15:restartNumberingAfterBreak="0">
    <w:nsid w:val="612469D4"/>
    <w:multiLevelType w:val="hybridMultilevel"/>
    <w:tmpl w:val="811A31DE"/>
    <w:lvl w:ilvl="0" w:tplc="183C2D94">
      <w:numFmt w:val="bullet"/>
      <w:lvlText w:val="•"/>
      <w:lvlJc w:val="left"/>
      <w:pPr>
        <w:ind w:left="720" w:hanging="360"/>
      </w:pPr>
      <w:rPr>
        <w:rFonts w:ascii="MS Mincho" w:eastAsia="MS Mincho" w:hAnsi="MS Mincho" w:cs="Times New Roman" w:hint="eastAsia"/>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5" w15:restartNumberingAfterBreak="0">
    <w:nsid w:val="65E833F1"/>
    <w:multiLevelType w:val="hybridMultilevel"/>
    <w:tmpl w:val="E59898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6" w15:restartNumberingAfterBreak="0">
    <w:nsid w:val="66A50272"/>
    <w:multiLevelType w:val="hybridMultilevel"/>
    <w:tmpl w:val="4336E91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7" w15:restartNumberingAfterBreak="0">
    <w:nsid w:val="686B183C"/>
    <w:multiLevelType w:val="hybridMultilevel"/>
    <w:tmpl w:val="D9122B0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8" w15:restartNumberingAfterBreak="0">
    <w:nsid w:val="68B64950"/>
    <w:multiLevelType w:val="hybridMultilevel"/>
    <w:tmpl w:val="67E8A81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9" w15:restartNumberingAfterBreak="0">
    <w:nsid w:val="6A9F2432"/>
    <w:multiLevelType w:val="hybridMultilevel"/>
    <w:tmpl w:val="9B8238A2"/>
    <w:lvl w:ilvl="0" w:tplc="3CCE10BE">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0" w15:restartNumberingAfterBreak="0">
    <w:nsid w:val="6C4443FA"/>
    <w:multiLevelType w:val="hybridMultilevel"/>
    <w:tmpl w:val="310626A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1" w15:restartNumberingAfterBreak="0">
    <w:nsid w:val="6D413167"/>
    <w:multiLevelType w:val="multilevel"/>
    <w:tmpl w:val="930CE1E0"/>
    <w:lvl w:ilvl="0">
      <w:start w:val="1"/>
      <w:numFmt w:val="decimal"/>
      <w:lvlText w:val="%1."/>
      <w:lvlJc w:val="left"/>
      <w:pPr>
        <w:ind w:left="720" w:hanging="360"/>
      </w:pPr>
    </w:lvl>
    <w:lvl w:ilvl="1">
      <w:start w:val="1"/>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2" w15:restartNumberingAfterBreak="0">
    <w:nsid w:val="704B3C4B"/>
    <w:multiLevelType w:val="hybridMultilevel"/>
    <w:tmpl w:val="7646DD4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3" w15:restartNumberingAfterBreak="0">
    <w:nsid w:val="712606AD"/>
    <w:multiLevelType w:val="hybridMultilevel"/>
    <w:tmpl w:val="86563642"/>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4" w15:restartNumberingAfterBreak="0">
    <w:nsid w:val="739574F5"/>
    <w:multiLevelType w:val="hybridMultilevel"/>
    <w:tmpl w:val="085AD062"/>
    <w:lvl w:ilvl="0" w:tplc="08160007">
      <w:start w:val="1"/>
      <w:numFmt w:val="bullet"/>
      <w:lvlText w:val=""/>
      <w:lvlPicBulletId w:val="0"/>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5" w15:restartNumberingAfterBreak="0">
    <w:nsid w:val="74CE45F5"/>
    <w:multiLevelType w:val="hybridMultilevel"/>
    <w:tmpl w:val="16B0BD8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6" w15:restartNumberingAfterBreak="0">
    <w:nsid w:val="75242A12"/>
    <w:multiLevelType w:val="hybridMultilevel"/>
    <w:tmpl w:val="41EC8156"/>
    <w:lvl w:ilvl="0" w:tplc="EA345114">
      <w:start w:val="1"/>
      <w:numFmt w:val="bullet"/>
      <w:lvlText w:val="-"/>
      <w:lvlJc w:val="left"/>
      <w:pPr>
        <w:ind w:left="720" w:hanging="360"/>
      </w:pPr>
      <w:rPr>
        <w:rFonts w:ascii="Arial" w:eastAsia="Times New Roman" w:hAnsi="Arial" w:cs="Aria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7" w15:restartNumberingAfterBreak="0">
    <w:nsid w:val="759E0FDA"/>
    <w:multiLevelType w:val="hybridMultilevel"/>
    <w:tmpl w:val="A5A898B0"/>
    <w:lvl w:ilvl="0" w:tplc="08160005">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8" w15:restartNumberingAfterBreak="0">
    <w:nsid w:val="75DE16C4"/>
    <w:multiLevelType w:val="hybridMultilevel"/>
    <w:tmpl w:val="22BE547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9" w15:restartNumberingAfterBreak="0">
    <w:nsid w:val="76C239B6"/>
    <w:multiLevelType w:val="hybridMultilevel"/>
    <w:tmpl w:val="8B84DF3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0" w15:restartNumberingAfterBreak="0">
    <w:nsid w:val="78651AB3"/>
    <w:multiLevelType w:val="hybridMultilevel"/>
    <w:tmpl w:val="D49A93B0"/>
    <w:lvl w:ilvl="0" w:tplc="08160001">
      <w:start w:val="1"/>
      <w:numFmt w:val="bullet"/>
      <w:lvlText w:val=""/>
      <w:lvlJc w:val="left"/>
      <w:pPr>
        <w:ind w:left="578" w:hanging="360"/>
      </w:pPr>
      <w:rPr>
        <w:rFonts w:ascii="Symbol" w:hAnsi="Symbol" w:hint="default"/>
      </w:rPr>
    </w:lvl>
    <w:lvl w:ilvl="1" w:tplc="08160003" w:tentative="1">
      <w:start w:val="1"/>
      <w:numFmt w:val="bullet"/>
      <w:lvlText w:val="o"/>
      <w:lvlJc w:val="left"/>
      <w:pPr>
        <w:ind w:left="1298" w:hanging="360"/>
      </w:pPr>
      <w:rPr>
        <w:rFonts w:ascii="Courier New" w:hAnsi="Courier New" w:cs="Courier New" w:hint="default"/>
      </w:rPr>
    </w:lvl>
    <w:lvl w:ilvl="2" w:tplc="08160005" w:tentative="1">
      <w:start w:val="1"/>
      <w:numFmt w:val="bullet"/>
      <w:lvlText w:val=""/>
      <w:lvlJc w:val="left"/>
      <w:pPr>
        <w:ind w:left="2018" w:hanging="360"/>
      </w:pPr>
      <w:rPr>
        <w:rFonts w:ascii="Wingdings" w:hAnsi="Wingdings" w:hint="default"/>
      </w:rPr>
    </w:lvl>
    <w:lvl w:ilvl="3" w:tplc="08160001" w:tentative="1">
      <w:start w:val="1"/>
      <w:numFmt w:val="bullet"/>
      <w:lvlText w:val=""/>
      <w:lvlJc w:val="left"/>
      <w:pPr>
        <w:ind w:left="2738" w:hanging="360"/>
      </w:pPr>
      <w:rPr>
        <w:rFonts w:ascii="Symbol" w:hAnsi="Symbol" w:hint="default"/>
      </w:rPr>
    </w:lvl>
    <w:lvl w:ilvl="4" w:tplc="08160003" w:tentative="1">
      <w:start w:val="1"/>
      <w:numFmt w:val="bullet"/>
      <w:lvlText w:val="o"/>
      <w:lvlJc w:val="left"/>
      <w:pPr>
        <w:ind w:left="3458" w:hanging="360"/>
      </w:pPr>
      <w:rPr>
        <w:rFonts w:ascii="Courier New" w:hAnsi="Courier New" w:cs="Courier New" w:hint="default"/>
      </w:rPr>
    </w:lvl>
    <w:lvl w:ilvl="5" w:tplc="08160005" w:tentative="1">
      <w:start w:val="1"/>
      <w:numFmt w:val="bullet"/>
      <w:lvlText w:val=""/>
      <w:lvlJc w:val="left"/>
      <w:pPr>
        <w:ind w:left="4178" w:hanging="360"/>
      </w:pPr>
      <w:rPr>
        <w:rFonts w:ascii="Wingdings" w:hAnsi="Wingdings" w:hint="default"/>
      </w:rPr>
    </w:lvl>
    <w:lvl w:ilvl="6" w:tplc="08160001" w:tentative="1">
      <w:start w:val="1"/>
      <w:numFmt w:val="bullet"/>
      <w:lvlText w:val=""/>
      <w:lvlJc w:val="left"/>
      <w:pPr>
        <w:ind w:left="4898" w:hanging="360"/>
      </w:pPr>
      <w:rPr>
        <w:rFonts w:ascii="Symbol" w:hAnsi="Symbol" w:hint="default"/>
      </w:rPr>
    </w:lvl>
    <w:lvl w:ilvl="7" w:tplc="08160003" w:tentative="1">
      <w:start w:val="1"/>
      <w:numFmt w:val="bullet"/>
      <w:lvlText w:val="o"/>
      <w:lvlJc w:val="left"/>
      <w:pPr>
        <w:ind w:left="5618" w:hanging="360"/>
      </w:pPr>
      <w:rPr>
        <w:rFonts w:ascii="Courier New" w:hAnsi="Courier New" w:cs="Courier New" w:hint="default"/>
      </w:rPr>
    </w:lvl>
    <w:lvl w:ilvl="8" w:tplc="08160005" w:tentative="1">
      <w:start w:val="1"/>
      <w:numFmt w:val="bullet"/>
      <w:lvlText w:val=""/>
      <w:lvlJc w:val="left"/>
      <w:pPr>
        <w:ind w:left="6338" w:hanging="360"/>
      </w:pPr>
      <w:rPr>
        <w:rFonts w:ascii="Wingdings" w:hAnsi="Wingdings" w:hint="default"/>
      </w:rPr>
    </w:lvl>
  </w:abstractNum>
  <w:abstractNum w:abstractNumId="131" w15:restartNumberingAfterBreak="0">
    <w:nsid w:val="79DD71AF"/>
    <w:multiLevelType w:val="hybridMultilevel"/>
    <w:tmpl w:val="3D08C114"/>
    <w:lvl w:ilvl="0" w:tplc="08160005">
      <w:start w:val="1"/>
      <w:numFmt w:val="bullet"/>
      <w:lvlText w:val=""/>
      <w:lvlJc w:val="left"/>
      <w:pPr>
        <w:ind w:left="644" w:hanging="360"/>
      </w:pPr>
      <w:rPr>
        <w:rFonts w:ascii="Wingdings" w:hAnsi="Wingding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32" w15:restartNumberingAfterBreak="0">
    <w:nsid w:val="7CF93CDD"/>
    <w:multiLevelType w:val="multilevel"/>
    <w:tmpl w:val="A04E40CC"/>
    <w:lvl w:ilvl="0">
      <w:start w:val="1"/>
      <w:numFmt w:val="decimal"/>
      <w:lvlText w:val="%1."/>
      <w:lvlJc w:val="left"/>
      <w:pPr>
        <w:ind w:left="360" w:hanging="360"/>
      </w:pPr>
    </w:lvl>
    <w:lvl w:ilvl="1">
      <w:start w:val="2"/>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33" w15:restartNumberingAfterBreak="0">
    <w:nsid w:val="7D184DEE"/>
    <w:multiLevelType w:val="hybridMultilevel"/>
    <w:tmpl w:val="DF846A4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4" w15:restartNumberingAfterBreak="0">
    <w:nsid w:val="7E723C93"/>
    <w:multiLevelType w:val="hybridMultilevel"/>
    <w:tmpl w:val="101EB88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5" w15:restartNumberingAfterBreak="0">
    <w:nsid w:val="7E9B4598"/>
    <w:multiLevelType w:val="hybridMultilevel"/>
    <w:tmpl w:val="3376C5D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585110953">
    <w:abstractNumId w:val="66"/>
  </w:num>
  <w:num w:numId="2" w16cid:durableId="423112192">
    <w:abstractNumId w:val="96"/>
  </w:num>
  <w:num w:numId="3" w16cid:durableId="932275466">
    <w:abstractNumId w:val="86"/>
  </w:num>
  <w:num w:numId="4" w16cid:durableId="1857503671">
    <w:abstractNumId w:val="47"/>
  </w:num>
  <w:num w:numId="5" w16cid:durableId="1129206734">
    <w:abstractNumId w:val="131"/>
  </w:num>
  <w:num w:numId="6" w16cid:durableId="1554390531">
    <w:abstractNumId w:val="15"/>
  </w:num>
  <w:num w:numId="7" w16cid:durableId="1889106418">
    <w:abstractNumId w:val="46"/>
  </w:num>
  <w:num w:numId="8" w16cid:durableId="1470899463">
    <w:abstractNumId w:val="112"/>
  </w:num>
  <w:num w:numId="9" w16cid:durableId="1488476150">
    <w:abstractNumId w:val="121"/>
  </w:num>
  <w:num w:numId="10" w16cid:durableId="1418137213">
    <w:abstractNumId w:val="41"/>
  </w:num>
  <w:num w:numId="11" w16cid:durableId="405883057">
    <w:abstractNumId w:val="43"/>
  </w:num>
  <w:num w:numId="12" w16cid:durableId="802423985">
    <w:abstractNumId w:val="48"/>
  </w:num>
  <w:num w:numId="13" w16cid:durableId="39985440">
    <w:abstractNumId w:val="57"/>
  </w:num>
  <w:num w:numId="14" w16cid:durableId="180625950">
    <w:abstractNumId w:val="24"/>
  </w:num>
  <w:num w:numId="15" w16cid:durableId="1936356031">
    <w:abstractNumId w:val="114"/>
  </w:num>
  <w:num w:numId="16" w16cid:durableId="1166744385">
    <w:abstractNumId w:val="17"/>
  </w:num>
  <w:num w:numId="17" w16cid:durableId="784034796">
    <w:abstractNumId w:val="104"/>
  </w:num>
  <w:num w:numId="18" w16cid:durableId="1732851697">
    <w:abstractNumId w:val="1"/>
  </w:num>
  <w:num w:numId="19" w16cid:durableId="1592663805">
    <w:abstractNumId w:val="29"/>
  </w:num>
  <w:num w:numId="20" w16cid:durableId="304549222">
    <w:abstractNumId w:val="55"/>
  </w:num>
  <w:num w:numId="21" w16cid:durableId="1293753684">
    <w:abstractNumId w:val="88"/>
  </w:num>
  <w:num w:numId="22" w16cid:durableId="1611476080">
    <w:abstractNumId w:val="95"/>
  </w:num>
  <w:num w:numId="23" w16cid:durableId="1290236961">
    <w:abstractNumId w:val="133"/>
  </w:num>
  <w:num w:numId="24" w16cid:durableId="1812021218">
    <w:abstractNumId w:val="69"/>
  </w:num>
  <w:num w:numId="25" w16cid:durableId="1270044116">
    <w:abstractNumId w:val="50"/>
  </w:num>
  <w:num w:numId="26" w16cid:durableId="1506096257">
    <w:abstractNumId w:val="132"/>
  </w:num>
  <w:num w:numId="27" w16cid:durableId="753553426">
    <w:abstractNumId w:val="73"/>
  </w:num>
  <w:num w:numId="28" w16cid:durableId="2013490163">
    <w:abstractNumId w:val="59"/>
  </w:num>
  <w:num w:numId="29" w16cid:durableId="1845317852">
    <w:abstractNumId w:val="105"/>
  </w:num>
  <w:num w:numId="30" w16cid:durableId="1393234610">
    <w:abstractNumId w:val="39"/>
  </w:num>
  <w:num w:numId="31" w16cid:durableId="2043361664">
    <w:abstractNumId w:val="116"/>
  </w:num>
  <w:num w:numId="32" w16cid:durableId="1588689480">
    <w:abstractNumId w:val="120"/>
  </w:num>
  <w:num w:numId="33" w16cid:durableId="2000573393">
    <w:abstractNumId w:val="42"/>
  </w:num>
  <w:num w:numId="34" w16cid:durableId="495800639">
    <w:abstractNumId w:val="87"/>
  </w:num>
  <w:num w:numId="35" w16cid:durableId="556091159">
    <w:abstractNumId w:val="37"/>
  </w:num>
  <w:num w:numId="36" w16cid:durableId="1052269383">
    <w:abstractNumId w:val="106"/>
  </w:num>
  <w:num w:numId="37" w16cid:durableId="912275364">
    <w:abstractNumId w:val="74"/>
  </w:num>
  <w:num w:numId="38" w16cid:durableId="22830812">
    <w:abstractNumId w:val="90"/>
  </w:num>
  <w:num w:numId="39" w16cid:durableId="335814188">
    <w:abstractNumId w:val="63"/>
  </w:num>
  <w:num w:numId="40" w16cid:durableId="418604189">
    <w:abstractNumId w:val="8"/>
  </w:num>
  <w:num w:numId="41" w16cid:durableId="498815139">
    <w:abstractNumId w:val="102"/>
  </w:num>
  <w:num w:numId="42" w16cid:durableId="1214729951">
    <w:abstractNumId w:val="107"/>
  </w:num>
  <w:num w:numId="43" w16cid:durableId="960723301">
    <w:abstractNumId w:val="16"/>
  </w:num>
  <w:num w:numId="44" w16cid:durableId="1152140825">
    <w:abstractNumId w:val="7"/>
  </w:num>
  <w:num w:numId="45" w16cid:durableId="1917738767">
    <w:abstractNumId w:val="65"/>
  </w:num>
  <w:num w:numId="46" w16cid:durableId="1583904929">
    <w:abstractNumId w:val="135"/>
  </w:num>
  <w:num w:numId="47" w16cid:durableId="786193063">
    <w:abstractNumId w:val="67"/>
  </w:num>
  <w:num w:numId="48" w16cid:durableId="1149633697">
    <w:abstractNumId w:val="25"/>
  </w:num>
  <w:num w:numId="49" w16cid:durableId="1448771510">
    <w:abstractNumId w:val="81"/>
  </w:num>
  <w:num w:numId="50" w16cid:durableId="226499709">
    <w:abstractNumId w:val="110"/>
  </w:num>
  <w:num w:numId="51" w16cid:durableId="2065372335">
    <w:abstractNumId w:val="32"/>
  </w:num>
  <w:num w:numId="52" w16cid:durableId="1351294316">
    <w:abstractNumId w:val="5"/>
  </w:num>
  <w:num w:numId="53" w16cid:durableId="792097941">
    <w:abstractNumId w:val="52"/>
  </w:num>
  <w:num w:numId="54" w16cid:durableId="1320769074">
    <w:abstractNumId w:val="49"/>
  </w:num>
  <w:num w:numId="55" w16cid:durableId="47382806">
    <w:abstractNumId w:val="53"/>
  </w:num>
  <w:num w:numId="56" w16cid:durableId="1288776370">
    <w:abstractNumId w:val="56"/>
  </w:num>
  <w:num w:numId="57" w16cid:durableId="1835952787">
    <w:abstractNumId w:val="111"/>
  </w:num>
  <w:num w:numId="58" w16cid:durableId="2102289280">
    <w:abstractNumId w:val="22"/>
  </w:num>
  <w:num w:numId="59" w16cid:durableId="964507377">
    <w:abstractNumId w:val="68"/>
  </w:num>
  <w:num w:numId="60" w16cid:durableId="744914286">
    <w:abstractNumId w:val="123"/>
  </w:num>
  <w:num w:numId="61" w16cid:durableId="473450377">
    <w:abstractNumId w:val="23"/>
  </w:num>
  <w:num w:numId="62" w16cid:durableId="1967927783">
    <w:abstractNumId w:val="84"/>
  </w:num>
  <w:num w:numId="63" w16cid:durableId="537089357">
    <w:abstractNumId w:val="92"/>
  </w:num>
  <w:num w:numId="64" w16cid:durableId="893540087">
    <w:abstractNumId w:val="35"/>
  </w:num>
  <w:num w:numId="65" w16cid:durableId="270474954">
    <w:abstractNumId w:val="98"/>
  </w:num>
  <w:num w:numId="66" w16cid:durableId="2123067102">
    <w:abstractNumId w:val="130"/>
  </w:num>
  <w:num w:numId="67" w16cid:durableId="1498417780">
    <w:abstractNumId w:val="45"/>
  </w:num>
  <w:num w:numId="68" w16cid:durableId="866410341">
    <w:abstractNumId w:val="119"/>
  </w:num>
  <w:num w:numId="69" w16cid:durableId="1242833765">
    <w:abstractNumId w:val="93"/>
  </w:num>
  <w:num w:numId="70" w16cid:durableId="1005867621">
    <w:abstractNumId w:val="31"/>
  </w:num>
  <w:num w:numId="71" w16cid:durableId="1952929670">
    <w:abstractNumId w:val="82"/>
  </w:num>
  <w:num w:numId="72" w16cid:durableId="592393402">
    <w:abstractNumId w:val="27"/>
  </w:num>
  <w:num w:numId="73" w16cid:durableId="545878387">
    <w:abstractNumId w:val="97"/>
  </w:num>
  <w:num w:numId="74" w16cid:durableId="653534206">
    <w:abstractNumId w:val="124"/>
  </w:num>
  <w:num w:numId="75" w16cid:durableId="1990669255">
    <w:abstractNumId w:val="38"/>
  </w:num>
  <w:num w:numId="76" w16cid:durableId="1476558534">
    <w:abstractNumId w:val="80"/>
  </w:num>
  <w:num w:numId="77" w16cid:durableId="987246265">
    <w:abstractNumId w:val="9"/>
  </w:num>
  <w:num w:numId="78" w16cid:durableId="854883584">
    <w:abstractNumId w:val="113"/>
  </w:num>
  <w:num w:numId="79" w16cid:durableId="471482408">
    <w:abstractNumId w:val="78"/>
  </w:num>
  <w:num w:numId="80" w16cid:durableId="1527593292">
    <w:abstractNumId w:val="125"/>
  </w:num>
  <w:num w:numId="81" w16cid:durableId="445465914">
    <w:abstractNumId w:val="4"/>
  </w:num>
  <w:num w:numId="82" w16cid:durableId="1952200750">
    <w:abstractNumId w:val="34"/>
  </w:num>
  <w:num w:numId="83" w16cid:durableId="142427827">
    <w:abstractNumId w:val="6"/>
  </w:num>
  <w:num w:numId="84" w16cid:durableId="1980185873">
    <w:abstractNumId w:val="126"/>
  </w:num>
  <w:num w:numId="85" w16cid:durableId="959459828">
    <w:abstractNumId w:val="76"/>
  </w:num>
  <w:num w:numId="86" w16cid:durableId="634455457">
    <w:abstractNumId w:val="127"/>
  </w:num>
  <w:num w:numId="87" w16cid:durableId="1153571193">
    <w:abstractNumId w:val="71"/>
  </w:num>
  <w:num w:numId="88" w16cid:durableId="1505702730">
    <w:abstractNumId w:val="2"/>
  </w:num>
  <w:num w:numId="89" w16cid:durableId="1793744916">
    <w:abstractNumId w:val="28"/>
  </w:num>
  <w:num w:numId="90" w16cid:durableId="871453631">
    <w:abstractNumId w:val="103"/>
  </w:num>
  <w:num w:numId="91" w16cid:durableId="17245576">
    <w:abstractNumId w:val="26"/>
  </w:num>
  <w:num w:numId="92" w16cid:durableId="500462589">
    <w:abstractNumId w:val="72"/>
  </w:num>
  <w:num w:numId="93" w16cid:durableId="2037148712">
    <w:abstractNumId w:val="83"/>
  </w:num>
  <w:num w:numId="94" w16cid:durableId="1323847264">
    <w:abstractNumId w:val="122"/>
  </w:num>
  <w:num w:numId="95" w16cid:durableId="647631102">
    <w:abstractNumId w:val="13"/>
  </w:num>
  <w:num w:numId="96" w16cid:durableId="299304876">
    <w:abstractNumId w:val="79"/>
  </w:num>
  <w:num w:numId="97" w16cid:durableId="1066729601">
    <w:abstractNumId w:val="61"/>
  </w:num>
  <w:num w:numId="98" w16cid:durableId="208417752">
    <w:abstractNumId w:val="118"/>
  </w:num>
  <w:num w:numId="99" w16cid:durableId="1885368894">
    <w:abstractNumId w:val="62"/>
  </w:num>
  <w:num w:numId="100" w16cid:durableId="234555578">
    <w:abstractNumId w:val="0"/>
  </w:num>
  <w:num w:numId="101" w16cid:durableId="1723603212">
    <w:abstractNumId w:val="14"/>
  </w:num>
  <w:num w:numId="102" w16cid:durableId="1608152949">
    <w:abstractNumId w:val="89"/>
  </w:num>
  <w:num w:numId="103" w16cid:durableId="587930603">
    <w:abstractNumId w:val="54"/>
  </w:num>
  <w:num w:numId="104" w16cid:durableId="160849382">
    <w:abstractNumId w:val="18"/>
  </w:num>
  <w:num w:numId="105" w16cid:durableId="1537038499">
    <w:abstractNumId w:val="100"/>
  </w:num>
  <w:num w:numId="106" w16cid:durableId="441538504">
    <w:abstractNumId w:val="30"/>
  </w:num>
  <w:num w:numId="107" w16cid:durableId="446320266">
    <w:abstractNumId w:val="77"/>
  </w:num>
  <w:num w:numId="108" w16cid:durableId="723867765">
    <w:abstractNumId w:val="99"/>
  </w:num>
  <w:num w:numId="109" w16cid:durableId="1365515947">
    <w:abstractNumId w:val="44"/>
  </w:num>
  <w:num w:numId="110" w16cid:durableId="2116636460">
    <w:abstractNumId w:val="21"/>
  </w:num>
  <w:num w:numId="111" w16cid:durableId="1710521386">
    <w:abstractNumId w:val="108"/>
  </w:num>
  <w:num w:numId="112" w16cid:durableId="1560554303">
    <w:abstractNumId w:val="85"/>
  </w:num>
  <w:num w:numId="113" w16cid:durableId="480006812">
    <w:abstractNumId w:val="129"/>
  </w:num>
  <w:num w:numId="114" w16cid:durableId="1346983817">
    <w:abstractNumId w:val="40"/>
  </w:num>
  <w:num w:numId="115" w16cid:durableId="1943145534">
    <w:abstractNumId w:val="20"/>
  </w:num>
  <w:num w:numId="116" w16cid:durableId="1236550756">
    <w:abstractNumId w:val="10"/>
  </w:num>
  <w:num w:numId="117" w16cid:durableId="459614161">
    <w:abstractNumId w:val="91"/>
  </w:num>
  <w:num w:numId="118" w16cid:durableId="1570535531">
    <w:abstractNumId w:val="134"/>
  </w:num>
  <w:num w:numId="119" w16cid:durableId="459420407">
    <w:abstractNumId w:val="117"/>
  </w:num>
  <w:num w:numId="120" w16cid:durableId="741221357">
    <w:abstractNumId w:val="33"/>
  </w:num>
  <w:num w:numId="121" w16cid:durableId="1402677708">
    <w:abstractNumId w:val="12"/>
  </w:num>
  <w:num w:numId="122" w16cid:durableId="61030794">
    <w:abstractNumId w:val="3"/>
  </w:num>
  <w:num w:numId="123" w16cid:durableId="548540616">
    <w:abstractNumId w:val="128"/>
  </w:num>
  <w:num w:numId="124" w16cid:durableId="1174688206">
    <w:abstractNumId w:val="19"/>
  </w:num>
  <w:num w:numId="125" w16cid:durableId="1247809991">
    <w:abstractNumId w:val="60"/>
  </w:num>
  <w:num w:numId="126" w16cid:durableId="823744489">
    <w:abstractNumId w:val="115"/>
  </w:num>
  <w:num w:numId="127" w16cid:durableId="1548953011">
    <w:abstractNumId w:val="51"/>
  </w:num>
  <w:num w:numId="128" w16cid:durableId="514883536">
    <w:abstractNumId w:val="75"/>
  </w:num>
  <w:num w:numId="129" w16cid:durableId="513417437">
    <w:abstractNumId w:val="64"/>
  </w:num>
  <w:num w:numId="130" w16cid:durableId="266624217">
    <w:abstractNumId w:val="94"/>
  </w:num>
  <w:num w:numId="131" w16cid:durableId="1799108965">
    <w:abstractNumId w:val="101"/>
  </w:num>
  <w:num w:numId="132" w16cid:durableId="1550918316">
    <w:abstractNumId w:val="109"/>
  </w:num>
  <w:num w:numId="133" w16cid:durableId="1024596714">
    <w:abstractNumId w:val="70"/>
  </w:num>
  <w:num w:numId="134" w16cid:durableId="1018046282">
    <w:abstractNumId w:val="11"/>
  </w:num>
  <w:num w:numId="135" w16cid:durableId="850069361">
    <w:abstractNumId w:val="36"/>
  </w:num>
  <w:num w:numId="136" w16cid:durableId="779304901">
    <w:abstractNumId w:val="58"/>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9"/>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4F0"/>
    <w:rsid w:val="00000396"/>
    <w:rsid w:val="000005E7"/>
    <w:rsid w:val="00000764"/>
    <w:rsid w:val="00000ECB"/>
    <w:rsid w:val="00001544"/>
    <w:rsid w:val="00001601"/>
    <w:rsid w:val="0000175B"/>
    <w:rsid w:val="000018F1"/>
    <w:rsid w:val="00001E82"/>
    <w:rsid w:val="0000222F"/>
    <w:rsid w:val="000025CF"/>
    <w:rsid w:val="0000270E"/>
    <w:rsid w:val="00002A30"/>
    <w:rsid w:val="00002A40"/>
    <w:rsid w:val="00002F4C"/>
    <w:rsid w:val="00003C74"/>
    <w:rsid w:val="00003E90"/>
    <w:rsid w:val="00004093"/>
    <w:rsid w:val="000047C4"/>
    <w:rsid w:val="000048DF"/>
    <w:rsid w:val="00004B14"/>
    <w:rsid w:val="00005C1F"/>
    <w:rsid w:val="00005E32"/>
    <w:rsid w:val="00005EAA"/>
    <w:rsid w:val="00007259"/>
    <w:rsid w:val="0000766F"/>
    <w:rsid w:val="000079C8"/>
    <w:rsid w:val="00007A4B"/>
    <w:rsid w:val="00007C07"/>
    <w:rsid w:val="00007C2A"/>
    <w:rsid w:val="00010242"/>
    <w:rsid w:val="00011147"/>
    <w:rsid w:val="00011257"/>
    <w:rsid w:val="0001166D"/>
    <w:rsid w:val="00012614"/>
    <w:rsid w:val="00012A2C"/>
    <w:rsid w:val="00012C78"/>
    <w:rsid w:val="000133B0"/>
    <w:rsid w:val="000133E0"/>
    <w:rsid w:val="00013D3B"/>
    <w:rsid w:val="000144A8"/>
    <w:rsid w:val="00014513"/>
    <w:rsid w:val="00014581"/>
    <w:rsid w:val="0001466D"/>
    <w:rsid w:val="00014EC5"/>
    <w:rsid w:val="00015487"/>
    <w:rsid w:val="00015A91"/>
    <w:rsid w:val="00016EBB"/>
    <w:rsid w:val="00017925"/>
    <w:rsid w:val="00017AAF"/>
    <w:rsid w:val="00017CE3"/>
    <w:rsid w:val="00017D93"/>
    <w:rsid w:val="00017DE2"/>
    <w:rsid w:val="000201AB"/>
    <w:rsid w:val="00020550"/>
    <w:rsid w:val="00020A39"/>
    <w:rsid w:val="00020ACD"/>
    <w:rsid w:val="00020EEA"/>
    <w:rsid w:val="000219F5"/>
    <w:rsid w:val="00021A39"/>
    <w:rsid w:val="00021D1D"/>
    <w:rsid w:val="0002291D"/>
    <w:rsid w:val="00022937"/>
    <w:rsid w:val="0002319B"/>
    <w:rsid w:val="00023557"/>
    <w:rsid w:val="0002365A"/>
    <w:rsid w:val="000238AB"/>
    <w:rsid w:val="00023A2F"/>
    <w:rsid w:val="000244AE"/>
    <w:rsid w:val="0002500C"/>
    <w:rsid w:val="0002514B"/>
    <w:rsid w:val="00025944"/>
    <w:rsid w:val="00025C4A"/>
    <w:rsid w:val="000267A7"/>
    <w:rsid w:val="000267A8"/>
    <w:rsid w:val="000268C6"/>
    <w:rsid w:val="000274ED"/>
    <w:rsid w:val="00027722"/>
    <w:rsid w:val="00027818"/>
    <w:rsid w:val="00030157"/>
    <w:rsid w:val="0003019B"/>
    <w:rsid w:val="000311E5"/>
    <w:rsid w:val="00031511"/>
    <w:rsid w:val="00031660"/>
    <w:rsid w:val="00031B26"/>
    <w:rsid w:val="00031BA1"/>
    <w:rsid w:val="000327FF"/>
    <w:rsid w:val="00032DF1"/>
    <w:rsid w:val="00033201"/>
    <w:rsid w:val="00033489"/>
    <w:rsid w:val="00033A0B"/>
    <w:rsid w:val="00033E5F"/>
    <w:rsid w:val="00033E81"/>
    <w:rsid w:val="00033EFC"/>
    <w:rsid w:val="00034AAC"/>
    <w:rsid w:val="00035DAF"/>
    <w:rsid w:val="0003634B"/>
    <w:rsid w:val="00037B55"/>
    <w:rsid w:val="00040398"/>
    <w:rsid w:val="0004108F"/>
    <w:rsid w:val="00041A08"/>
    <w:rsid w:val="00042062"/>
    <w:rsid w:val="0004219C"/>
    <w:rsid w:val="00042450"/>
    <w:rsid w:val="000424CD"/>
    <w:rsid w:val="00042A1F"/>
    <w:rsid w:val="000432C0"/>
    <w:rsid w:val="00043D0F"/>
    <w:rsid w:val="00043F10"/>
    <w:rsid w:val="00044947"/>
    <w:rsid w:val="00045B20"/>
    <w:rsid w:val="00046C67"/>
    <w:rsid w:val="00047513"/>
    <w:rsid w:val="00047586"/>
    <w:rsid w:val="00047929"/>
    <w:rsid w:val="0005016C"/>
    <w:rsid w:val="00050AA2"/>
    <w:rsid w:val="00050E55"/>
    <w:rsid w:val="00051082"/>
    <w:rsid w:val="00051400"/>
    <w:rsid w:val="00051734"/>
    <w:rsid w:val="00051817"/>
    <w:rsid w:val="000518EE"/>
    <w:rsid w:val="0005198A"/>
    <w:rsid w:val="00051E7B"/>
    <w:rsid w:val="00052610"/>
    <w:rsid w:val="00052B8C"/>
    <w:rsid w:val="00053340"/>
    <w:rsid w:val="00053AE5"/>
    <w:rsid w:val="00054274"/>
    <w:rsid w:val="00054497"/>
    <w:rsid w:val="00054900"/>
    <w:rsid w:val="00054BE2"/>
    <w:rsid w:val="00054EE9"/>
    <w:rsid w:val="00054F4C"/>
    <w:rsid w:val="000551E1"/>
    <w:rsid w:val="000552B2"/>
    <w:rsid w:val="0005570E"/>
    <w:rsid w:val="000561C7"/>
    <w:rsid w:val="000566C6"/>
    <w:rsid w:val="00056A39"/>
    <w:rsid w:val="00057838"/>
    <w:rsid w:val="00057FCD"/>
    <w:rsid w:val="00060D4D"/>
    <w:rsid w:val="0006131A"/>
    <w:rsid w:val="00061410"/>
    <w:rsid w:val="00061918"/>
    <w:rsid w:val="00061B6D"/>
    <w:rsid w:val="000625C6"/>
    <w:rsid w:val="000627A3"/>
    <w:rsid w:val="00062906"/>
    <w:rsid w:val="00062A84"/>
    <w:rsid w:val="00062CBC"/>
    <w:rsid w:val="00062FA0"/>
    <w:rsid w:val="00063319"/>
    <w:rsid w:val="0006333A"/>
    <w:rsid w:val="000637CF"/>
    <w:rsid w:val="00063B4A"/>
    <w:rsid w:val="00063B5A"/>
    <w:rsid w:val="00063BB9"/>
    <w:rsid w:val="000641E4"/>
    <w:rsid w:val="000644D1"/>
    <w:rsid w:val="000649B8"/>
    <w:rsid w:val="00064AD6"/>
    <w:rsid w:val="00064C0F"/>
    <w:rsid w:val="00064F81"/>
    <w:rsid w:val="000651CA"/>
    <w:rsid w:val="0006573B"/>
    <w:rsid w:val="00065EC1"/>
    <w:rsid w:val="00066257"/>
    <w:rsid w:val="000663D5"/>
    <w:rsid w:val="000669B1"/>
    <w:rsid w:val="000669FC"/>
    <w:rsid w:val="00066AF8"/>
    <w:rsid w:val="000672CA"/>
    <w:rsid w:val="00067D0E"/>
    <w:rsid w:val="00067D54"/>
    <w:rsid w:val="00070D47"/>
    <w:rsid w:val="00070F50"/>
    <w:rsid w:val="00070FCD"/>
    <w:rsid w:val="0007155A"/>
    <w:rsid w:val="00071EED"/>
    <w:rsid w:val="00072063"/>
    <w:rsid w:val="00072141"/>
    <w:rsid w:val="00072A79"/>
    <w:rsid w:val="00073451"/>
    <w:rsid w:val="00073509"/>
    <w:rsid w:val="0007357C"/>
    <w:rsid w:val="00073B91"/>
    <w:rsid w:val="00073D77"/>
    <w:rsid w:val="00073DCE"/>
    <w:rsid w:val="00074798"/>
    <w:rsid w:val="00076C56"/>
    <w:rsid w:val="00076DFD"/>
    <w:rsid w:val="000771F0"/>
    <w:rsid w:val="000775D2"/>
    <w:rsid w:val="000778FC"/>
    <w:rsid w:val="000801D2"/>
    <w:rsid w:val="00080D6B"/>
    <w:rsid w:val="000811CA"/>
    <w:rsid w:val="000812A4"/>
    <w:rsid w:val="00081430"/>
    <w:rsid w:val="00081883"/>
    <w:rsid w:val="00081AB7"/>
    <w:rsid w:val="00082853"/>
    <w:rsid w:val="00082E5C"/>
    <w:rsid w:val="00083C10"/>
    <w:rsid w:val="00083C11"/>
    <w:rsid w:val="00084B70"/>
    <w:rsid w:val="00085027"/>
    <w:rsid w:val="000851DD"/>
    <w:rsid w:val="00085309"/>
    <w:rsid w:val="00085623"/>
    <w:rsid w:val="0008603A"/>
    <w:rsid w:val="000866E0"/>
    <w:rsid w:val="0008678D"/>
    <w:rsid w:val="00086E14"/>
    <w:rsid w:val="0008744B"/>
    <w:rsid w:val="00087929"/>
    <w:rsid w:val="000879A4"/>
    <w:rsid w:val="00087DFD"/>
    <w:rsid w:val="0009100F"/>
    <w:rsid w:val="00091216"/>
    <w:rsid w:val="00091614"/>
    <w:rsid w:val="000916DA"/>
    <w:rsid w:val="00091DE9"/>
    <w:rsid w:val="00091F51"/>
    <w:rsid w:val="00092395"/>
    <w:rsid w:val="000926CE"/>
    <w:rsid w:val="00092D3C"/>
    <w:rsid w:val="00092FBE"/>
    <w:rsid w:val="000930F8"/>
    <w:rsid w:val="00093A7F"/>
    <w:rsid w:val="00093DC8"/>
    <w:rsid w:val="000941F5"/>
    <w:rsid w:val="000949DD"/>
    <w:rsid w:val="00094EA1"/>
    <w:rsid w:val="00094F07"/>
    <w:rsid w:val="0009598C"/>
    <w:rsid w:val="00095B2E"/>
    <w:rsid w:val="000963F0"/>
    <w:rsid w:val="0009672C"/>
    <w:rsid w:val="000969EB"/>
    <w:rsid w:val="00096BD1"/>
    <w:rsid w:val="00096C36"/>
    <w:rsid w:val="0009701E"/>
    <w:rsid w:val="00097400"/>
    <w:rsid w:val="00097546"/>
    <w:rsid w:val="000A0014"/>
    <w:rsid w:val="000A0741"/>
    <w:rsid w:val="000A0841"/>
    <w:rsid w:val="000A0954"/>
    <w:rsid w:val="000A0C65"/>
    <w:rsid w:val="000A1178"/>
    <w:rsid w:val="000A1D39"/>
    <w:rsid w:val="000A202B"/>
    <w:rsid w:val="000A23DF"/>
    <w:rsid w:val="000A25C9"/>
    <w:rsid w:val="000A26FD"/>
    <w:rsid w:val="000A2A11"/>
    <w:rsid w:val="000A2C50"/>
    <w:rsid w:val="000A393D"/>
    <w:rsid w:val="000A3BE8"/>
    <w:rsid w:val="000A40A4"/>
    <w:rsid w:val="000A4594"/>
    <w:rsid w:val="000A4809"/>
    <w:rsid w:val="000A4810"/>
    <w:rsid w:val="000A4A3F"/>
    <w:rsid w:val="000A4BA9"/>
    <w:rsid w:val="000A4ED4"/>
    <w:rsid w:val="000A55EF"/>
    <w:rsid w:val="000A5E34"/>
    <w:rsid w:val="000A66EA"/>
    <w:rsid w:val="000A6731"/>
    <w:rsid w:val="000A68CB"/>
    <w:rsid w:val="000A6A5C"/>
    <w:rsid w:val="000A6B42"/>
    <w:rsid w:val="000A6FF4"/>
    <w:rsid w:val="000A7114"/>
    <w:rsid w:val="000A726F"/>
    <w:rsid w:val="000A746C"/>
    <w:rsid w:val="000A7473"/>
    <w:rsid w:val="000A7491"/>
    <w:rsid w:val="000A7C72"/>
    <w:rsid w:val="000B0284"/>
    <w:rsid w:val="000B03FD"/>
    <w:rsid w:val="000B08F7"/>
    <w:rsid w:val="000B132B"/>
    <w:rsid w:val="000B15FA"/>
    <w:rsid w:val="000B17C9"/>
    <w:rsid w:val="000B1ABF"/>
    <w:rsid w:val="000B1EB8"/>
    <w:rsid w:val="000B1FB9"/>
    <w:rsid w:val="000B24A4"/>
    <w:rsid w:val="000B2658"/>
    <w:rsid w:val="000B2CE4"/>
    <w:rsid w:val="000B34C0"/>
    <w:rsid w:val="000B3CCF"/>
    <w:rsid w:val="000B4628"/>
    <w:rsid w:val="000B51BA"/>
    <w:rsid w:val="000B58E0"/>
    <w:rsid w:val="000B5A0F"/>
    <w:rsid w:val="000B5AA3"/>
    <w:rsid w:val="000B5FD6"/>
    <w:rsid w:val="000C1BB0"/>
    <w:rsid w:val="000C20D5"/>
    <w:rsid w:val="000C23D2"/>
    <w:rsid w:val="000C250E"/>
    <w:rsid w:val="000C2841"/>
    <w:rsid w:val="000C284F"/>
    <w:rsid w:val="000C28B5"/>
    <w:rsid w:val="000C2BB4"/>
    <w:rsid w:val="000C2D7E"/>
    <w:rsid w:val="000C3156"/>
    <w:rsid w:val="000C3223"/>
    <w:rsid w:val="000C3247"/>
    <w:rsid w:val="000C3736"/>
    <w:rsid w:val="000C3B85"/>
    <w:rsid w:val="000C3E8B"/>
    <w:rsid w:val="000C407F"/>
    <w:rsid w:val="000C4759"/>
    <w:rsid w:val="000C4945"/>
    <w:rsid w:val="000C4978"/>
    <w:rsid w:val="000C5741"/>
    <w:rsid w:val="000C5846"/>
    <w:rsid w:val="000C597D"/>
    <w:rsid w:val="000C5D66"/>
    <w:rsid w:val="000C5E2F"/>
    <w:rsid w:val="000C6606"/>
    <w:rsid w:val="000C6B65"/>
    <w:rsid w:val="000C6D07"/>
    <w:rsid w:val="000C6D65"/>
    <w:rsid w:val="000C6EA0"/>
    <w:rsid w:val="000C707C"/>
    <w:rsid w:val="000C7331"/>
    <w:rsid w:val="000C7344"/>
    <w:rsid w:val="000C7475"/>
    <w:rsid w:val="000C7B08"/>
    <w:rsid w:val="000D0179"/>
    <w:rsid w:val="000D021A"/>
    <w:rsid w:val="000D0475"/>
    <w:rsid w:val="000D09B5"/>
    <w:rsid w:val="000D0B15"/>
    <w:rsid w:val="000D0F20"/>
    <w:rsid w:val="000D119F"/>
    <w:rsid w:val="000D1686"/>
    <w:rsid w:val="000D1909"/>
    <w:rsid w:val="000D1E44"/>
    <w:rsid w:val="000D274E"/>
    <w:rsid w:val="000D3389"/>
    <w:rsid w:val="000D41A2"/>
    <w:rsid w:val="000D4542"/>
    <w:rsid w:val="000D4BAF"/>
    <w:rsid w:val="000D4D95"/>
    <w:rsid w:val="000D4ED9"/>
    <w:rsid w:val="000D4FCE"/>
    <w:rsid w:val="000D54BF"/>
    <w:rsid w:val="000D5875"/>
    <w:rsid w:val="000D5B84"/>
    <w:rsid w:val="000D5D5E"/>
    <w:rsid w:val="000D5E38"/>
    <w:rsid w:val="000D7762"/>
    <w:rsid w:val="000D7E27"/>
    <w:rsid w:val="000E002F"/>
    <w:rsid w:val="000E0500"/>
    <w:rsid w:val="000E0753"/>
    <w:rsid w:val="000E0AC1"/>
    <w:rsid w:val="000E147C"/>
    <w:rsid w:val="000E148A"/>
    <w:rsid w:val="000E1A92"/>
    <w:rsid w:val="000E1F00"/>
    <w:rsid w:val="000E1FFE"/>
    <w:rsid w:val="000E27AC"/>
    <w:rsid w:val="000E301D"/>
    <w:rsid w:val="000E33B7"/>
    <w:rsid w:val="000E38AC"/>
    <w:rsid w:val="000E3B47"/>
    <w:rsid w:val="000E3B86"/>
    <w:rsid w:val="000E4F27"/>
    <w:rsid w:val="000E4FB2"/>
    <w:rsid w:val="000E5996"/>
    <w:rsid w:val="000E5C48"/>
    <w:rsid w:val="000E7DFB"/>
    <w:rsid w:val="000E7FEF"/>
    <w:rsid w:val="000F043A"/>
    <w:rsid w:val="000F097D"/>
    <w:rsid w:val="000F0C73"/>
    <w:rsid w:val="000F1217"/>
    <w:rsid w:val="000F1309"/>
    <w:rsid w:val="000F19DD"/>
    <w:rsid w:val="000F1ED9"/>
    <w:rsid w:val="000F2231"/>
    <w:rsid w:val="000F25FF"/>
    <w:rsid w:val="000F27E6"/>
    <w:rsid w:val="000F2D7A"/>
    <w:rsid w:val="000F3F2F"/>
    <w:rsid w:val="000F3FB1"/>
    <w:rsid w:val="000F47DA"/>
    <w:rsid w:val="000F4A22"/>
    <w:rsid w:val="000F4D66"/>
    <w:rsid w:val="000F50EB"/>
    <w:rsid w:val="000F59C7"/>
    <w:rsid w:val="000F5D70"/>
    <w:rsid w:val="000F5E85"/>
    <w:rsid w:val="000F6270"/>
    <w:rsid w:val="000F6BF4"/>
    <w:rsid w:val="000F7430"/>
    <w:rsid w:val="000F752A"/>
    <w:rsid w:val="000F75DA"/>
    <w:rsid w:val="000F7955"/>
    <w:rsid w:val="0010074A"/>
    <w:rsid w:val="00101AD0"/>
    <w:rsid w:val="00101FB5"/>
    <w:rsid w:val="00102289"/>
    <w:rsid w:val="00102FC4"/>
    <w:rsid w:val="00103155"/>
    <w:rsid w:val="00103201"/>
    <w:rsid w:val="00103409"/>
    <w:rsid w:val="0010350A"/>
    <w:rsid w:val="0010371D"/>
    <w:rsid w:val="00103E10"/>
    <w:rsid w:val="00103F76"/>
    <w:rsid w:val="00104859"/>
    <w:rsid w:val="00104A8B"/>
    <w:rsid w:val="00105637"/>
    <w:rsid w:val="00105690"/>
    <w:rsid w:val="001058C2"/>
    <w:rsid w:val="00105CA9"/>
    <w:rsid w:val="00106020"/>
    <w:rsid w:val="001064D3"/>
    <w:rsid w:val="001069EC"/>
    <w:rsid w:val="00106A2C"/>
    <w:rsid w:val="001071E8"/>
    <w:rsid w:val="00107BF3"/>
    <w:rsid w:val="00110680"/>
    <w:rsid w:val="00110AA0"/>
    <w:rsid w:val="00111092"/>
    <w:rsid w:val="001112B4"/>
    <w:rsid w:val="0011154F"/>
    <w:rsid w:val="00111CDD"/>
    <w:rsid w:val="00112520"/>
    <w:rsid w:val="00112ED5"/>
    <w:rsid w:val="001130DE"/>
    <w:rsid w:val="00113236"/>
    <w:rsid w:val="0011326C"/>
    <w:rsid w:val="00113274"/>
    <w:rsid w:val="00113446"/>
    <w:rsid w:val="00113E52"/>
    <w:rsid w:val="0011412B"/>
    <w:rsid w:val="00114413"/>
    <w:rsid w:val="00114429"/>
    <w:rsid w:val="00114C21"/>
    <w:rsid w:val="00115005"/>
    <w:rsid w:val="001152CA"/>
    <w:rsid w:val="0011569D"/>
    <w:rsid w:val="00115878"/>
    <w:rsid w:val="00115A51"/>
    <w:rsid w:val="00115E98"/>
    <w:rsid w:val="001160C3"/>
    <w:rsid w:val="00116241"/>
    <w:rsid w:val="001164F6"/>
    <w:rsid w:val="00116C90"/>
    <w:rsid w:val="00116E2B"/>
    <w:rsid w:val="00117572"/>
    <w:rsid w:val="001176F7"/>
    <w:rsid w:val="00117CEE"/>
    <w:rsid w:val="00117EDE"/>
    <w:rsid w:val="001203A1"/>
    <w:rsid w:val="001204BF"/>
    <w:rsid w:val="0012052C"/>
    <w:rsid w:val="001206E7"/>
    <w:rsid w:val="001215FF"/>
    <w:rsid w:val="0012210D"/>
    <w:rsid w:val="00122DB1"/>
    <w:rsid w:val="00123420"/>
    <w:rsid w:val="00123714"/>
    <w:rsid w:val="0012404F"/>
    <w:rsid w:val="001242EF"/>
    <w:rsid w:val="00124A8C"/>
    <w:rsid w:val="00124E37"/>
    <w:rsid w:val="00125886"/>
    <w:rsid w:val="00125AC6"/>
    <w:rsid w:val="001265D8"/>
    <w:rsid w:val="00126752"/>
    <w:rsid w:val="00126E4D"/>
    <w:rsid w:val="0012729D"/>
    <w:rsid w:val="0012760E"/>
    <w:rsid w:val="00127809"/>
    <w:rsid w:val="00127C44"/>
    <w:rsid w:val="00127D2E"/>
    <w:rsid w:val="001300A8"/>
    <w:rsid w:val="00130551"/>
    <w:rsid w:val="001306A7"/>
    <w:rsid w:val="001307D8"/>
    <w:rsid w:val="00130BFD"/>
    <w:rsid w:val="001311E4"/>
    <w:rsid w:val="001313A9"/>
    <w:rsid w:val="001313D0"/>
    <w:rsid w:val="00131FCF"/>
    <w:rsid w:val="001321A1"/>
    <w:rsid w:val="00132649"/>
    <w:rsid w:val="00133412"/>
    <w:rsid w:val="0013362C"/>
    <w:rsid w:val="00133679"/>
    <w:rsid w:val="00133E3A"/>
    <w:rsid w:val="001356F5"/>
    <w:rsid w:val="00135C2D"/>
    <w:rsid w:val="00136607"/>
    <w:rsid w:val="001367FA"/>
    <w:rsid w:val="001368E6"/>
    <w:rsid w:val="001370D8"/>
    <w:rsid w:val="00137239"/>
    <w:rsid w:val="001376F3"/>
    <w:rsid w:val="001404E9"/>
    <w:rsid w:val="00140C1F"/>
    <w:rsid w:val="00141540"/>
    <w:rsid w:val="00141686"/>
    <w:rsid w:val="00141DDE"/>
    <w:rsid w:val="0014235C"/>
    <w:rsid w:val="0014242A"/>
    <w:rsid w:val="00142CA7"/>
    <w:rsid w:val="00142E03"/>
    <w:rsid w:val="00142F2B"/>
    <w:rsid w:val="00142FB6"/>
    <w:rsid w:val="0014301C"/>
    <w:rsid w:val="00143142"/>
    <w:rsid w:val="0014357E"/>
    <w:rsid w:val="0014430A"/>
    <w:rsid w:val="00144B34"/>
    <w:rsid w:val="00144C54"/>
    <w:rsid w:val="001450FC"/>
    <w:rsid w:val="00145908"/>
    <w:rsid w:val="00145BCF"/>
    <w:rsid w:val="00145DB2"/>
    <w:rsid w:val="001461D2"/>
    <w:rsid w:val="001464BA"/>
    <w:rsid w:val="00146B1D"/>
    <w:rsid w:val="00146F77"/>
    <w:rsid w:val="00147354"/>
    <w:rsid w:val="001478BC"/>
    <w:rsid w:val="00150281"/>
    <w:rsid w:val="00150712"/>
    <w:rsid w:val="00150A95"/>
    <w:rsid w:val="00151678"/>
    <w:rsid w:val="00151C70"/>
    <w:rsid w:val="001522F8"/>
    <w:rsid w:val="001523BF"/>
    <w:rsid w:val="001525A8"/>
    <w:rsid w:val="001527D7"/>
    <w:rsid w:val="00153075"/>
    <w:rsid w:val="00153661"/>
    <w:rsid w:val="00153750"/>
    <w:rsid w:val="00153872"/>
    <w:rsid w:val="00153B2C"/>
    <w:rsid w:val="00153CF2"/>
    <w:rsid w:val="00153DF5"/>
    <w:rsid w:val="00154978"/>
    <w:rsid w:val="001550D9"/>
    <w:rsid w:val="00155659"/>
    <w:rsid w:val="00155FDB"/>
    <w:rsid w:val="00156126"/>
    <w:rsid w:val="00156353"/>
    <w:rsid w:val="001564E5"/>
    <w:rsid w:val="001576F0"/>
    <w:rsid w:val="00157E24"/>
    <w:rsid w:val="0016046A"/>
    <w:rsid w:val="0016074E"/>
    <w:rsid w:val="00160F10"/>
    <w:rsid w:val="00160FC4"/>
    <w:rsid w:val="0016100B"/>
    <w:rsid w:val="00161D12"/>
    <w:rsid w:val="0016236E"/>
    <w:rsid w:val="00162482"/>
    <w:rsid w:val="001625AA"/>
    <w:rsid w:val="001626AA"/>
    <w:rsid w:val="001627FF"/>
    <w:rsid w:val="00162918"/>
    <w:rsid w:val="00162C98"/>
    <w:rsid w:val="0016340B"/>
    <w:rsid w:val="00163513"/>
    <w:rsid w:val="00163CE6"/>
    <w:rsid w:val="00164425"/>
    <w:rsid w:val="001646DB"/>
    <w:rsid w:val="00164FBA"/>
    <w:rsid w:val="001652DB"/>
    <w:rsid w:val="0016536F"/>
    <w:rsid w:val="0016550A"/>
    <w:rsid w:val="001660E3"/>
    <w:rsid w:val="00166295"/>
    <w:rsid w:val="001664B7"/>
    <w:rsid w:val="0016660D"/>
    <w:rsid w:val="0016681E"/>
    <w:rsid w:val="00166D6D"/>
    <w:rsid w:val="0016784C"/>
    <w:rsid w:val="00167DFC"/>
    <w:rsid w:val="00170732"/>
    <w:rsid w:val="00170A6E"/>
    <w:rsid w:val="00170F2C"/>
    <w:rsid w:val="00171299"/>
    <w:rsid w:val="0017168E"/>
    <w:rsid w:val="00171B89"/>
    <w:rsid w:val="00172193"/>
    <w:rsid w:val="00173768"/>
    <w:rsid w:val="0017381D"/>
    <w:rsid w:val="00173A7D"/>
    <w:rsid w:val="00173B11"/>
    <w:rsid w:val="00173FA6"/>
    <w:rsid w:val="00174030"/>
    <w:rsid w:val="00174483"/>
    <w:rsid w:val="00174ED3"/>
    <w:rsid w:val="001751FD"/>
    <w:rsid w:val="0017534D"/>
    <w:rsid w:val="001758B5"/>
    <w:rsid w:val="00175FF3"/>
    <w:rsid w:val="001760CF"/>
    <w:rsid w:val="00176459"/>
    <w:rsid w:val="001776FE"/>
    <w:rsid w:val="00177E67"/>
    <w:rsid w:val="00177E94"/>
    <w:rsid w:val="00180F17"/>
    <w:rsid w:val="00181193"/>
    <w:rsid w:val="001814CC"/>
    <w:rsid w:val="001817A3"/>
    <w:rsid w:val="00181E5E"/>
    <w:rsid w:val="00181FDC"/>
    <w:rsid w:val="0018237E"/>
    <w:rsid w:val="0018273E"/>
    <w:rsid w:val="001828A5"/>
    <w:rsid w:val="00182AF2"/>
    <w:rsid w:val="00182BF4"/>
    <w:rsid w:val="00182F80"/>
    <w:rsid w:val="001840FA"/>
    <w:rsid w:val="0018412C"/>
    <w:rsid w:val="0018442E"/>
    <w:rsid w:val="0018479F"/>
    <w:rsid w:val="00184DE1"/>
    <w:rsid w:val="00185A4E"/>
    <w:rsid w:val="00185B10"/>
    <w:rsid w:val="00185DC9"/>
    <w:rsid w:val="0018619E"/>
    <w:rsid w:val="0018630C"/>
    <w:rsid w:val="00186568"/>
    <w:rsid w:val="00186B2B"/>
    <w:rsid w:val="00187115"/>
    <w:rsid w:val="00187848"/>
    <w:rsid w:val="0018785F"/>
    <w:rsid w:val="00187ED8"/>
    <w:rsid w:val="00190348"/>
    <w:rsid w:val="00190984"/>
    <w:rsid w:val="00190CF7"/>
    <w:rsid w:val="001916D7"/>
    <w:rsid w:val="0019188B"/>
    <w:rsid w:val="00191B53"/>
    <w:rsid w:val="00191B55"/>
    <w:rsid w:val="00192212"/>
    <w:rsid w:val="00193AB3"/>
    <w:rsid w:val="00193B01"/>
    <w:rsid w:val="00193BBD"/>
    <w:rsid w:val="0019431E"/>
    <w:rsid w:val="00194F42"/>
    <w:rsid w:val="00195580"/>
    <w:rsid w:val="00195B3F"/>
    <w:rsid w:val="00195E6A"/>
    <w:rsid w:val="00196195"/>
    <w:rsid w:val="001967C3"/>
    <w:rsid w:val="00196B1A"/>
    <w:rsid w:val="00196C9F"/>
    <w:rsid w:val="00196DEE"/>
    <w:rsid w:val="0019718C"/>
    <w:rsid w:val="00197575"/>
    <w:rsid w:val="00197781"/>
    <w:rsid w:val="001979CB"/>
    <w:rsid w:val="00197A5E"/>
    <w:rsid w:val="00197C55"/>
    <w:rsid w:val="00197DFA"/>
    <w:rsid w:val="00197EE3"/>
    <w:rsid w:val="00197F31"/>
    <w:rsid w:val="001A00BE"/>
    <w:rsid w:val="001A0242"/>
    <w:rsid w:val="001A03D9"/>
    <w:rsid w:val="001A087A"/>
    <w:rsid w:val="001A0993"/>
    <w:rsid w:val="001A0E92"/>
    <w:rsid w:val="001A0F1D"/>
    <w:rsid w:val="001A16E3"/>
    <w:rsid w:val="001A1C22"/>
    <w:rsid w:val="001A2C38"/>
    <w:rsid w:val="001A3491"/>
    <w:rsid w:val="001A3C3E"/>
    <w:rsid w:val="001A4477"/>
    <w:rsid w:val="001A4C2B"/>
    <w:rsid w:val="001A5094"/>
    <w:rsid w:val="001A576F"/>
    <w:rsid w:val="001A57A8"/>
    <w:rsid w:val="001A580A"/>
    <w:rsid w:val="001A5898"/>
    <w:rsid w:val="001A649C"/>
    <w:rsid w:val="001A6511"/>
    <w:rsid w:val="001A6A02"/>
    <w:rsid w:val="001A6BD6"/>
    <w:rsid w:val="001A6CC2"/>
    <w:rsid w:val="001A6DF9"/>
    <w:rsid w:val="001A77F5"/>
    <w:rsid w:val="001A7835"/>
    <w:rsid w:val="001B0274"/>
    <w:rsid w:val="001B1057"/>
    <w:rsid w:val="001B157D"/>
    <w:rsid w:val="001B1D6B"/>
    <w:rsid w:val="001B1D8A"/>
    <w:rsid w:val="001B2BAC"/>
    <w:rsid w:val="001B2BF3"/>
    <w:rsid w:val="001B2E46"/>
    <w:rsid w:val="001B301A"/>
    <w:rsid w:val="001B31A4"/>
    <w:rsid w:val="001B3670"/>
    <w:rsid w:val="001B4533"/>
    <w:rsid w:val="001B47D9"/>
    <w:rsid w:val="001B4E86"/>
    <w:rsid w:val="001B5220"/>
    <w:rsid w:val="001B5313"/>
    <w:rsid w:val="001B56CA"/>
    <w:rsid w:val="001B608C"/>
    <w:rsid w:val="001B6380"/>
    <w:rsid w:val="001B6AF4"/>
    <w:rsid w:val="001B6B46"/>
    <w:rsid w:val="001B6B71"/>
    <w:rsid w:val="001B75FE"/>
    <w:rsid w:val="001B77E5"/>
    <w:rsid w:val="001B7DB5"/>
    <w:rsid w:val="001B7E15"/>
    <w:rsid w:val="001C0D02"/>
    <w:rsid w:val="001C0D80"/>
    <w:rsid w:val="001C101F"/>
    <w:rsid w:val="001C13DC"/>
    <w:rsid w:val="001C1C40"/>
    <w:rsid w:val="001C203E"/>
    <w:rsid w:val="001C2189"/>
    <w:rsid w:val="001C22EB"/>
    <w:rsid w:val="001C248E"/>
    <w:rsid w:val="001C278C"/>
    <w:rsid w:val="001C29AF"/>
    <w:rsid w:val="001C2E56"/>
    <w:rsid w:val="001C3189"/>
    <w:rsid w:val="001C33F8"/>
    <w:rsid w:val="001C3430"/>
    <w:rsid w:val="001C34CA"/>
    <w:rsid w:val="001C398F"/>
    <w:rsid w:val="001C3A57"/>
    <w:rsid w:val="001C3AFD"/>
    <w:rsid w:val="001C3CF1"/>
    <w:rsid w:val="001C3D07"/>
    <w:rsid w:val="001C3D5F"/>
    <w:rsid w:val="001C5486"/>
    <w:rsid w:val="001C5986"/>
    <w:rsid w:val="001C5B40"/>
    <w:rsid w:val="001C64E8"/>
    <w:rsid w:val="001C67C9"/>
    <w:rsid w:val="001C68EF"/>
    <w:rsid w:val="001C6B12"/>
    <w:rsid w:val="001C6D08"/>
    <w:rsid w:val="001C6E81"/>
    <w:rsid w:val="001C7842"/>
    <w:rsid w:val="001C787B"/>
    <w:rsid w:val="001D022A"/>
    <w:rsid w:val="001D0960"/>
    <w:rsid w:val="001D0A27"/>
    <w:rsid w:val="001D1650"/>
    <w:rsid w:val="001D16CE"/>
    <w:rsid w:val="001D1786"/>
    <w:rsid w:val="001D1FC0"/>
    <w:rsid w:val="001D21FF"/>
    <w:rsid w:val="001D2590"/>
    <w:rsid w:val="001D26F8"/>
    <w:rsid w:val="001D2848"/>
    <w:rsid w:val="001D2AF6"/>
    <w:rsid w:val="001D2C6A"/>
    <w:rsid w:val="001D3197"/>
    <w:rsid w:val="001D4230"/>
    <w:rsid w:val="001D42C1"/>
    <w:rsid w:val="001D64AE"/>
    <w:rsid w:val="001D6CC7"/>
    <w:rsid w:val="001D701E"/>
    <w:rsid w:val="001D7037"/>
    <w:rsid w:val="001D7BB5"/>
    <w:rsid w:val="001D7CE6"/>
    <w:rsid w:val="001D7DE9"/>
    <w:rsid w:val="001D7EFC"/>
    <w:rsid w:val="001E007D"/>
    <w:rsid w:val="001E0750"/>
    <w:rsid w:val="001E0DA3"/>
    <w:rsid w:val="001E1C34"/>
    <w:rsid w:val="001E1C4D"/>
    <w:rsid w:val="001E2094"/>
    <w:rsid w:val="001E2632"/>
    <w:rsid w:val="001E2723"/>
    <w:rsid w:val="001E2D73"/>
    <w:rsid w:val="001E34B4"/>
    <w:rsid w:val="001E3D5E"/>
    <w:rsid w:val="001E4462"/>
    <w:rsid w:val="001E456F"/>
    <w:rsid w:val="001E4EEC"/>
    <w:rsid w:val="001E5672"/>
    <w:rsid w:val="001E57E2"/>
    <w:rsid w:val="001E605E"/>
    <w:rsid w:val="001E67AD"/>
    <w:rsid w:val="001E6DD8"/>
    <w:rsid w:val="001E707B"/>
    <w:rsid w:val="001E7470"/>
    <w:rsid w:val="001E7868"/>
    <w:rsid w:val="001F04EF"/>
    <w:rsid w:val="001F0B2A"/>
    <w:rsid w:val="001F0FAD"/>
    <w:rsid w:val="001F1049"/>
    <w:rsid w:val="001F15AC"/>
    <w:rsid w:val="001F1923"/>
    <w:rsid w:val="001F1D63"/>
    <w:rsid w:val="001F1E38"/>
    <w:rsid w:val="001F25EA"/>
    <w:rsid w:val="001F261D"/>
    <w:rsid w:val="001F28C8"/>
    <w:rsid w:val="001F2A14"/>
    <w:rsid w:val="001F2C59"/>
    <w:rsid w:val="001F2D3C"/>
    <w:rsid w:val="001F2EE2"/>
    <w:rsid w:val="001F40C2"/>
    <w:rsid w:val="001F4A28"/>
    <w:rsid w:val="001F54F1"/>
    <w:rsid w:val="001F576E"/>
    <w:rsid w:val="001F5D42"/>
    <w:rsid w:val="001F64F6"/>
    <w:rsid w:val="001F6BC2"/>
    <w:rsid w:val="001F762B"/>
    <w:rsid w:val="0020054A"/>
    <w:rsid w:val="00200A15"/>
    <w:rsid w:val="00200F70"/>
    <w:rsid w:val="00201147"/>
    <w:rsid w:val="00201824"/>
    <w:rsid w:val="00201971"/>
    <w:rsid w:val="002024B0"/>
    <w:rsid w:val="0020250D"/>
    <w:rsid w:val="0020296C"/>
    <w:rsid w:val="00203124"/>
    <w:rsid w:val="00203875"/>
    <w:rsid w:val="00204057"/>
    <w:rsid w:val="002041E9"/>
    <w:rsid w:val="00204A36"/>
    <w:rsid w:val="00204BF3"/>
    <w:rsid w:val="00204F5F"/>
    <w:rsid w:val="00205DEA"/>
    <w:rsid w:val="0020623F"/>
    <w:rsid w:val="00206441"/>
    <w:rsid w:val="00206B3D"/>
    <w:rsid w:val="00206D56"/>
    <w:rsid w:val="00207648"/>
    <w:rsid w:val="002077BA"/>
    <w:rsid w:val="002079DD"/>
    <w:rsid w:val="00207FC1"/>
    <w:rsid w:val="00207FDD"/>
    <w:rsid w:val="0021068D"/>
    <w:rsid w:val="00210979"/>
    <w:rsid w:val="00210D39"/>
    <w:rsid w:val="002117CF"/>
    <w:rsid w:val="002124DB"/>
    <w:rsid w:val="00212783"/>
    <w:rsid w:val="002127F7"/>
    <w:rsid w:val="00212908"/>
    <w:rsid w:val="0021301E"/>
    <w:rsid w:val="00213D58"/>
    <w:rsid w:val="002144F3"/>
    <w:rsid w:val="0021553E"/>
    <w:rsid w:val="00215548"/>
    <w:rsid w:val="00215CDB"/>
    <w:rsid w:val="00215E1A"/>
    <w:rsid w:val="0021602C"/>
    <w:rsid w:val="002168F6"/>
    <w:rsid w:val="00216CA8"/>
    <w:rsid w:val="00216E94"/>
    <w:rsid w:val="002171FB"/>
    <w:rsid w:val="00217AC7"/>
    <w:rsid w:val="00217F3C"/>
    <w:rsid w:val="00217FAB"/>
    <w:rsid w:val="00220680"/>
    <w:rsid w:val="00220686"/>
    <w:rsid w:val="0022096B"/>
    <w:rsid w:val="00220AFB"/>
    <w:rsid w:val="00221046"/>
    <w:rsid w:val="00221225"/>
    <w:rsid w:val="00221C30"/>
    <w:rsid w:val="00221C9A"/>
    <w:rsid w:val="00221C9C"/>
    <w:rsid w:val="00222857"/>
    <w:rsid w:val="00222A40"/>
    <w:rsid w:val="0022367C"/>
    <w:rsid w:val="00223AC2"/>
    <w:rsid w:val="002241FC"/>
    <w:rsid w:val="00224233"/>
    <w:rsid w:val="002244BD"/>
    <w:rsid w:val="00224AEC"/>
    <w:rsid w:val="00224D0F"/>
    <w:rsid w:val="00224FF0"/>
    <w:rsid w:val="002265D7"/>
    <w:rsid w:val="002266BC"/>
    <w:rsid w:val="0022710F"/>
    <w:rsid w:val="002275F0"/>
    <w:rsid w:val="0023025E"/>
    <w:rsid w:val="002305C1"/>
    <w:rsid w:val="00230743"/>
    <w:rsid w:val="002308EB"/>
    <w:rsid w:val="00231113"/>
    <w:rsid w:val="002311F9"/>
    <w:rsid w:val="002318D3"/>
    <w:rsid w:val="00232B84"/>
    <w:rsid w:val="00232BE8"/>
    <w:rsid w:val="00232C88"/>
    <w:rsid w:val="00232EA7"/>
    <w:rsid w:val="00232EE1"/>
    <w:rsid w:val="00233019"/>
    <w:rsid w:val="00233B58"/>
    <w:rsid w:val="00234BAB"/>
    <w:rsid w:val="00234F9D"/>
    <w:rsid w:val="00235918"/>
    <w:rsid w:val="00235BF5"/>
    <w:rsid w:val="00235DA7"/>
    <w:rsid w:val="00235DB2"/>
    <w:rsid w:val="00235F4F"/>
    <w:rsid w:val="0023622D"/>
    <w:rsid w:val="00236617"/>
    <w:rsid w:val="002367BF"/>
    <w:rsid w:val="00236867"/>
    <w:rsid w:val="00237173"/>
    <w:rsid w:val="0023760E"/>
    <w:rsid w:val="00240FBA"/>
    <w:rsid w:val="00241163"/>
    <w:rsid w:val="00241B1F"/>
    <w:rsid w:val="00241BB6"/>
    <w:rsid w:val="00241CE5"/>
    <w:rsid w:val="002435C7"/>
    <w:rsid w:val="00243A0E"/>
    <w:rsid w:val="00243B91"/>
    <w:rsid w:val="00243FB0"/>
    <w:rsid w:val="002444AE"/>
    <w:rsid w:val="002448F4"/>
    <w:rsid w:val="00244903"/>
    <w:rsid w:val="00244C7D"/>
    <w:rsid w:val="00244DA0"/>
    <w:rsid w:val="002455B7"/>
    <w:rsid w:val="002456D6"/>
    <w:rsid w:val="00245A89"/>
    <w:rsid w:val="00245B8A"/>
    <w:rsid w:val="00246195"/>
    <w:rsid w:val="00246883"/>
    <w:rsid w:val="00246A3A"/>
    <w:rsid w:val="002479FC"/>
    <w:rsid w:val="00250067"/>
    <w:rsid w:val="0025164E"/>
    <w:rsid w:val="00252594"/>
    <w:rsid w:val="00252F46"/>
    <w:rsid w:val="0025312A"/>
    <w:rsid w:val="0025378D"/>
    <w:rsid w:val="002538C7"/>
    <w:rsid w:val="002540D4"/>
    <w:rsid w:val="00254289"/>
    <w:rsid w:val="0025434D"/>
    <w:rsid w:val="00254734"/>
    <w:rsid w:val="00254E8F"/>
    <w:rsid w:val="00255049"/>
    <w:rsid w:val="002551DE"/>
    <w:rsid w:val="00255486"/>
    <w:rsid w:val="002554F9"/>
    <w:rsid w:val="00255AE8"/>
    <w:rsid w:val="00255B74"/>
    <w:rsid w:val="00255E92"/>
    <w:rsid w:val="00256319"/>
    <w:rsid w:val="002576A2"/>
    <w:rsid w:val="002578AC"/>
    <w:rsid w:val="0026030B"/>
    <w:rsid w:val="00260D2B"/>
    <w:rsid w:val="002615F9"/>
    <w:rsid w:val="0026171F"/>
    <w:rsid w:val="00261D2E"/>
    <w:rsid w:val="00262093"/>
    <w:rsid w:val="00262F8C"/>
    <w:rsid w:val="00263F8D"/>
    <w:rsid w:val="002644AD"/>
    <w:rsid w:val="002647A9"/>
    <w:rsid w:val="002649B2"/>
    <w:rsid w:val="00264AFF"/>
    <w:rsid w:val="0026531E"/>
    <w:rsid w:val="002655C9"/>
    <w:rsid w:val="0026575E"/>
    <w:rsid w:val="00265919"/>
    <w:rsid w:val="002659FE"/>
    <w:rsid w:val="00266636"/>
    <w:rsid w:val="00267070"/>
    <w:rsid w:val="00267127"/>
    <w:rsid w:val="0026717D"/>
    <w:rsid w:val="00267C93"/>
    <w:rsid w:val="002701E8"/>
    <w:rsid w:val="00270CAA"/>
    <w:rsid w:val="0027116B"/>
    <w:rsid w:val="00271492"/>
    <w:rsid w:val="00271EA3"/>
    <w:rsid w:val="002725AF"/>
    <w:rsid w:val="00272BE9"/>
    <w:rsid w:val="00272EF0"/>
    <w:rsid w:val="00273300"/>
    <w:rsid w:val="00273997"/>
    <w:rsid w:val="0027399C"/>
    <w:rsid w:val="00273DF0"/>
    <w:rsid w:val="002740DC"/>
    <w:rsid w:val="0027457D"/>
    <w:rsid w:val="00274839"/>
    <w:rsid w:val="00274852"/>
    <w:rsid w:val="00275576"/>
    <w:rsid w:val="002755B2"/>
    <w:rsid w:val="00275C05"/>
    <w:rsid w:val="00275C2F"/>
    <w:rsid w:val="00275F56"/>
    <w:rsid w:val="00276191"/>
    <w:rsid w:val="002764F6"/>
    <w:rsid w:val="002767A5"/>
    <w:rsid w:val="00276ABD"/>
    <w:rsid w:val="00276FF9"/>
    <w:rsid w:val="00277535"/>
    <w:rsid w:val="00277735"/>
    <w:rsid w:val="00277BCE"/>
    <w:rsid w:val="00277C89"/>
    <w:rsid w:val="00277CDE"/>
    <w:rsid w:val="002801A8"/>
    <w:rsid w:val="00280364"/>
    <w:rsid w:val="002805ED"/>
    <w:rsid w:val="00280D63"/>
    <w:rsid w:val="00280F67"/>
    <w:rsid w:val="002815D6"/>
    <w:rsid w:val="00281F09"/>
    <w:rsid w:val="0028220A"/>
    <w:rsid w:val="00282DFE"/>
    <w:rsid w:val="002831C9"/>
    <w:rsid w:val="0028391F"/>
    <w:rsid w:val="00283BB9"/>
    <w:rsid w:val="00284A11"/>
    <w:rsid w:val="00284F15"/>
    <w:rsid w:val="0028516B"/>
    <w:rsid w:val="002859AA"/>
    <w:rsid w:val="00285B77"/>
    <w:rsid w:val="00285BF4"/>
    <w:rsid w:val="00285F1D"/>
    <w:rsid w:val="00286167"/>
    <w:rsid w:val="00286775"/>
    <w:rsid w:val="00286855"/>
    <w:rsid w:val="00286DD6"/>
    <w:rsid w:val="00286F44"/>
    <w:rsid w:val="00286F53"/>
    <w:rsid w:val="00287264"/>
    <w:rsid w:val="0028785B"/>
    <w:rsid w:val="00290723"/>
    <w:rsid w:val="00291254"/>
    <w:rsid w:val="00291636"/>
    <w:rsid w:val="00292217"/>
    <w:rsid w:val="00292590"/>
    <w:rsid w:val="002925BE"/>
    <w:rsid w:val="00292620"/>
    <w:rsid w:val="00292CE9"/>
    <w:rsid w:val="002932E2"/>
    <w:rsid w:val="002934B7"/>
    <w:rsid w:val="00293637"/>
    <w:rsid w:val="0029398D"/>
    <w:rsid w:val="00293C13"/>
    <w:rsid w:val="00294122"/>
    <w:rsid w:val="00294167"/>
    <w:rsid w:val="002941EB"/>
    <w:rsid w:val="002946D4"/>
    <w:rsid w:val="00294A81"/>
    <w:rsid w:val="00294D51"/>
    <w:rsid w:val="00294D6D"/>
    <w:rsid w:val="00294E54"/>
    <w:rsid w:val="002954D6"/>
    <w:rsid w:val="00295C67"/>
    <w:rsid w:val="00296064"/>
    <w:rsid w:val="00296CB4"/>
    <w:rsid w:val="002973A8"/>
    <w:rsid w:val="002975FB"/>
    <w:rsid w:val="00297DB1"/>
    <w:rsid w:val="00297DDD"/>
    <w:rsid w:val="00297EA3"/>
    <w:rsid w:val="002A0093"/>
    <w:rsid w:val="002A00AC"/>
    <w:rsid w:val="002A0B3E"/>
    <w:rsid w:val="002A0CB8"/>
    <w:rsid w:val="002A107C"/>
    <w:rsid w:val="002A183E"/>
    <w:rsid w:val="002A1C84"/>
    <w:rsid w:val="002A210B"/>
    <w:rsid w:val="002A27E5"/>
    <w:rsid w:val="002A2BA6"/>
    <w:rsid w:val="002A2DD7"/>
    <w:rsid w:val="002A3B54"/>
    <w:rsid w:val="002A400C"/>
    <w:rsid w:val="002A4695"/>
    <w:rsid w:val="002A4939"/>
    <w:rsid w:val="002A494B"/>
    <w:rsid w:val="002A4F7E"/>
    <w:rsid w:val="002A517F"/>
    <w:rsid w:val="002A55BD"/>
    <w:rsid w:val="002A58C1"/>
    <w:rsid w:val="002A5CED"/>
    <w:rsid w:val="002A5E26"/>
    <w:rsid w:val="002A6A89"/>
    <w:rsid w:val="002A6BCC"/>
    <w:rsid w:val="002A6ED0"/>
    <w:rsid w:val="002A70AB"/>
    <w:rsid w:val="002A76C1"/>
    <w:rsid w:val="002B0109"/>
    <w:rsid w:val="002B01DC"/>
    <w:rsid w:val="002B05DA"/>
    <w:rsid w:val="002B09A4"/>
    <w:rsid w:val="002B0DE8"/>
    <w:rsid w:val="002B0FDA"/>
    <w:rsid w:val="002B1345"/>
    <w:rsid w:val="002B1449"/>
    <w:rsid w:val="002B189F"/>
    <w:rsid w:val="002B1F64"/>
    <w:rsid w:val="002B2982"/>
    <w:rsid w:val="002B4347"/>
    <w:rsid w:val="002B5407"/>
    <w:rsid w:val="002B5E43"/>
    <w:rsid w:val="002B6267"/>
    <w:rsid w:val="002B63FB"/>
    <w:rsid w:val="002B65C0"/>
    <w:rsid w:val="002B6EB6"/>
    <w:rsid w:val="002B6FF5"/>
    <w:rsid w:val="002B7425"/>
    <w:rsid w:val="002B76BE"/>
    <w:rsid w:val="002C0038"/>
    <w:rsid w:val="002C0A08"/>
    <w:rsid w:val="002C0CE5"/>
    <w:rsid w:val="002C1269"/>
    <w:rsid w:val="002C14A9"/>
    <w:rsid w:val="002C2698"/>
    <w:rsid w:val="002C2CD5"/>
    <w:rsid w:val="002C30D1"/>
    <w:rsid w:val="002C31BD"/>
    <w:rsid w:val="002C32CA"/>
    <w:rsid w:val="002C34FF"/>
    <w:rsid w:val="002C3872"/>
    <w:rsid w:val="002C3CD0"/>
    <w:rsid w:val="002C4131"/>
    <w:rsid w:val="002C42DC"/>
    <w:rsid w:val="002C46BA"/>
    <w:rsid w:val="002C4A95"/>
    <w:rsid w:val="002C4DC2"/>
    <w:rsid w:val="002C67D1"/>
    <w:rsid w:val="002C6C1B"/>
    <w:rsid w:val="002C6CC1"/>
    <w:rsid w:val="002C6CE6"/>
    <w:rsid w:val="002C6E8B"/>
    <w:rsid w:val="002C75A7"/>
    <w:rsid w:val="002C760C"/>
    <w:rsid w:val="002C783E"/>
    <w:rsid w:val="002C7C01"/>
    <w:rsid w:val="002C7D93"/>
    <w:rsid w:val="002D0092"/>
    <w:rsid w:val="002D0384"/>
    <w:rsid w:val="002D0620"/>
    <w:rsid w:val="002D06EC"/>
    <w:rsid w:val="002D0CBA"/>
    <w:rsid w:val="002D10BD"/>
    <w:rsid w:val="002D15A2"/>
    <w:rsid w:val="002D1C67"/>
    <w:rsid w:val="002D2299"/>
    <w:rsid w:val="002D24C4"/>
    <w:rsid w:val="002D24CB"/>
    <w:rsid w:val="002D272F"/>
    <w:rsid w:val="002D289B"/>
    <w:rsid w:val="002D2B7A"/>
    <w:rsid w:val="002D2EE7"/>
    <w:rsid w:val="002D363D"/>
    <w:rsid w:val="002D3E75"/>
    <w:rsid w:val="002D422C"/>
    <w:rsid w:val="002D454C"/>
    <w:rsid w:val="002D4684"/>
    <w:rsid w:val="002D484C"/>
    <w:rsid w:val="002D4B57"/>
    <w:rsid w:val="002D502C"/>
    <w:rsid w:val="002D55DA"/>
    <w:rsid w:val="002D560A"/>
    <w:rsid w:val="002D5683"/>
    <w:rsid w:val="002D5B95"/>
    <w:rsid w:val="002D6474"/>
    <w:rsid w:val="002D6768"/>
    <w:rsid w:val="002D6933"/>
    <w:rsid w:val="002D69F7"/>
    <w:rsid w:val="002D71E9"/>
    <w:rsid w:val="002D798B"/>
    <w:rsid w:val="002D7D4B"/>
    <w:rsid w:val="002E0065"/>
    <w:rsid w:val="002E0083"/>
    <w:rsid w:val="002E0909"/>
    <w:rsid w:val="002E0FAE"/>
    <w:rsid w:val="002E1203"/>
    <w:rsid w:val="002E12F1"/>
    <w:rsid w:val="002E1BA3"/>
    <w:rsid w:val="002E1D90"/>
    <w:rsid w:val="002E1FD3"/>
    <w:rsid w:val="002E20B5"/>
    <w:rsid w:val="002E270A"/>
    <w:rsid w:val="002E2F4F"/>
    <w:rsid w:val="002E3026"/>
    <w:rsid w:val="002E3086"/>
    <w:rsid w:val="002E3741"/>
    <w:rsid w:val="002E38D4"/>
    <w:rsid w:val="002E3A63"/>
    <w:rsid w:val="002E3BE5"/>
    <w:rsid w:val="002E41BE"/>
    <w:rsid w:val="002E4A59"/>
    <w:rsid w:val="002E4ECC"/>
    <w:rsid w:val="002E51FA"/>
    <w:rsid w:val="002E545B"/>
    <w:rsid w:val="002E5759"/>
    <w:rsid w:val="002E5B7D"/>
    <w:rsid w:val="002E5E0A"/>
    <w:rsid w:val="002E658E"/>
    <w:rsid w:val="002E6E14"/>
    <w:rsid w:val="002E7289"/>
    <w:rsid w:val="002E75AC"/>
    <w:rsid w:val="002E7A19"/>
    <w:rsid w:val="002E7E0C"/>
    <w:rsid w:val="002F0237"/>
    <w:rsid w:val="002F0496"/>
    <w:rsid w:val="002F077C"/>
    <w:rsid w:val="002F0F27"/>
    <w:rsid w:val="002F112D"/>
    <w:rsid w:val="002F1235"/>
    <w:rsid w:val="002F23E2"/>
    <w:rsid w:val="002F24E2"/>
    <w:rsid w:val="002F2734"/>
    <w:rsid w:val="002F27F1"/>
    <w:rsid w:val="002F2A00"/>
    <w:rsid w:val="002F2BDC"/>
    <w:rsid w:val="002F308E"/>
    <w:rsid w:val="002F34EA"/>
    <w:rsid w:val="002F3FE1"/>
    <w:rsid w:val="002F41E6"/>
    <w:rsid w:val="002F43FB"/>
    <w:rsid w:val="002F46DF"/>
    <w:rsid w:val="002F4FDD"/>
    <w:rsid w:val="002F50E2"/>
    <w:rsid w:val="002F586D"/>
    <w:rsid w:val="002F610C"/>
    <w:rsid w:val="002F690D"/>
    <w:rsid w:val="002F7111"/>
    <w:rsid w:val="002F72D0"/>
    <w:rsid w:val="002F7425"/>
    <w:rsid w:val="002F7B0F"/>
    <w:rsid w:val="002F7D7E"/>
    <w:rsid w:val="003016AF"/>
    <w:rsid w:val="0030175A"/>
    <w:rsid w:val="003019F7"/>
    <w:rsid w:val="00301EBD"/>
    <w:rsid w:val="0030230B"/>
    <w:rsid w:val="0030277B"/>
    <w:rsid w:val="00302ADC"/>
    <w:rsid w:val="00302FDB"/>
    <w:rsid w:val="003037EC"/>
    <w:rsid w:val="003038A7"/>
    <w:rsid w:val="00303E1F"/>
    <w:rsid w:val="00303F08"/>
    <w:rsid w:val="00304048"/>
    <w:rsid w:val="0030427B"/>
    <w:rsid w:val="00304E17"/>
    <w:rsid w:val="00304EDD"/>
    <w:rsid w:val="00305431"/>
    <w:rsid w:val="0030599A"/>
    <w:rsid w:val="00305A69"/>
    <w:rsid w:val="00305B8B"/>
    <w:rsid w:val="003062F0"/>
    <w:rsid w:val="00306535"/>
    <w:rsid w:val="00306AF7"/>
    <w:rsid w:val="0030705E"/>
    <w:rsid w:val="003075A7"/>
    <w:rsid w:val="00307D2B"/>
    <w:rsid w:val="003108B9"/>
    <w:rsid w:val="00310CD8"/>
    <w:rsid w:val="00311221"/>
    <w:rsid w:val="0031147D"/>
    <w:rsid w:val="0031192B"/>
    <w:rsid w:val="00311AA5"/>
    <w:rsid w:val="00311D35"/>
    <w:rsid w:val="00312EA6"/>
    <w:rsid w:val="00313056"/>
    <w:rsid w:val="00313472"/>
    <w:rsid w:val="00313CFB"/>
    <w:rsid w:val="00313F09"/>
    <w:rsid w:val="00313FD3"/>
    <w:rsid w:val="0031457E"/>
    <w:rsid w:val="00314C5F"/>
    <w:rsid w:val="00314E94"/>
    <w:rsid w:val="003153D4"/>
    <w:rsid w:val="003159B1"/>
    <w:rsid w:val="00315A2A"/>
    <w:rsid w:val="00315E48"/>
    <w:rsid w:val="00315F62"/>
    <w:rsid w:val="00316104"/>
    <w:rsid w:val="00316B44"/>
    <w:rsid w:val="00316B9F"/>
    <w:rsid w:val="00316FF1"/>
    <w:rsid w:val="00316FF2"/>
    <w:rsid w:val="00317494"/>
    <w:rsid w:val="003177D8"/>
    <w:rsid w:val="00317A73"/>
    <w:rsid w:val="00320085"/>
    <w:rsid w:val="00320448"/>
    <w:rsid w:val="00320603"/>
    <w:rsid w:val="0032065B"/>
    <w:rsid w:val="00321293"/>
    <w:rsid w:val="00322168"/>
    <w:rsid w:val="00323709"/>
    <w:rsid w:val="00323BE2"/>
    <w:rsid w:val="00324217"/>
    <w:rsid w:val="003250DA"/>
    <w:rsid w:val="0032537E"/>
    <w:rsid w:val="003254D8"/>
    <w:rsid w:val="0032557D"/>
    <w:rsid w:val="00325798"/>
    <w:rsid w:val="00325A36"/>
    <w:rsid w:val="00325F6D"/>
    <w:rsid w:val="003262AA"/>
    <w:rsid w:val="00326411"/>
    <w:rsid w:val="0032683D"/>
    <w:rsid w:val="00326C6E"/>
    <w:rsid w:val="00326E96"/>
    <w:rsid w:val="00326F02"/>
    <w:rsid w:val="003277D7"/>
    <w:rsid w:val="00327EDC"/>
    <w:rsid w:val="003305AD"/>
    <w:rsid w:val="003307DB"/>
    <w:rsid w:val="00330B68"/>
    <w:rsid w:val="00330BD4"/>
    <w:rsid w:val="003314D6"/>
    <w:rsid w:val="003318CC"/>
    <w:rsid w:val="00331A8D"/>
    <w:rsid w:val="00331B0C"/>
    <w:rsid w:val="00331FAB"/>
    <w:rsid w:val="00332693"/>
    <w:rsid w:val="00332770"/>
    <w:rsid w:val="00332A6F"/>
    <w:rsid w:val="00332BE2"/>
    <w:rsid w:val="00333071"/>
    <w:rsid w:val="003330DA"/>
    <w:rsid w:val="00333163"/>
    <w:rsid w:val="003331E2"/>
    <w:rsid w:val="00333D75"/>
    <w:rsid w:val="00335094"/>
    <w:rsid w:val="003353E0"/>
    <w:rsid w:val="00335B8B"/>
    <w:rsid w:val="00335B95"/>
    <w:rsid w:val="00335C43"/>
    <w:rsid w:val="00335FCC"/>
    <w:rsid w:val="003360D9"/>
    <w:rsid w:val="003361C0"/>
    <w:rsid w:val="00336402"/>
    <w:rsid w:val="00336685"/>
    <w:rsid w:val="0033687D"/>
    <w:rsid w:val="00336A37"/>
    <w:rsid w:val="00336F04"/>
    <w:rsid w:val="00336F2E"/>
    <w:rsid w:val="003370FC"/>
    <w:rsid w:val="00337E35"/>
    <w:rsid w:val="00340C26"/>
    <w:rsid w:val="00340C4A"/>
    <w:rsid w:val="003413CC"/>
    <w:rsid w:val="00341AB9"/>
    <w:rsid w:val="003425FD"/>
    <w:rsid w:val="00342B4E"/>
    <w:rsid w:val="00342EBA"/>
    <w:rsid w:val="0034350B"/>
    <w:rsid w:val="00343575"/>
    <w:rsid w:val="00344489"/>
    <w:rsid w:val="0034467E"/>
    <w:rsid w:val="00344AA1"/>
    <w:rsid w:val="00344BDA"/>
    <w:rsid w:val="00344C48"/>
    <w:rsid w:val="00344CB5"/>
    <w:rsid w:val="00344FE1"/>
    <w:rsid w:val="003450E0"/>
    <w:rsid w:val="0034533E"/>
    <w:rsid w:val="0034535B"/>
    <w:rsid w:val="003455A9"/>
    <w:rsid w:val="00345A51"/>
    <w:rsid w:val="00345AB4"/>
    <w:rsid w:val="00346074"/>
    <w:rsid w:val="00346191"/>
    <w:rsid w:val="00346C91"/>
    <w:rsid w:val="00346E8C"/>
    <w:rsid w:val="00347538"/>
    <w:rsid w:val="00347724"/>
    <w:rsid w:val="00347A88"/>
    <w:rsid w:val="00347D55"/>
    <w:rsid w:val="00350116"/>
    <w:rsid w:val="00350219"/>
    <w:rsid w:val="00350B39"/>
    <w:rsid w:val="00350E46"/>
    <w:rsid w:val="00350EBF"/>
    <w:rsid w:val="00351622"/>
    <w:rsid w:val="00351864"/>
    <w:rsid w:val="0035263B"/>
    <w:rsid w:val="003526C6"/>
    <w:rsid w:val="00352C6F"/>
    <w:rsid w:val="00353C7E"/>
    <w:rsid w:val="00353CBA"/>
    <w:rsid w:val="00353F4E"/>
    <w:rsid w:val="003542ED"/>
    <w:rsid w:val="003545EE"/>
    <w:rsid w:val="00354A41"/>
    <w:rsid w:val="00354CF8"/>
    <w:rsid w:val="00354D77"/>
    <w:rsid w:val="00355014"/>
    <w:rsid w:val="00355EB2"/>
    <w:rsid w:val="00355F71"/>
    <w:rsid w:val="003562A2"/>
    <w:rsid w:val="00356435"/>
    <w:rsid w:val="003565E0"/>
    <w:rsid w:val="0035666A"/>
    <w:rsid w:val="00356843"/>
    <w:rsid w:val="00357AC0"/>
    <w:rsid w:val="00357C77"/>
    <w:rsid w:val="003602B4"/>
    <w:rsid w:val="00360840"/>
    <w:rsid w:val="00360B2E"/>
    <w:rsid w:val="00360DCC"/>
    <w:rsid w:val="00361840"/>
    <w:rsid w:val="00361D8E"/>
    <w:rsid w:val="003629D8"/>
    <w:rsid w:val="00362D8F"/>
    <w:rsid w:val="003639F5"/>
    <w:rsid w:val="00363A56"/>
    <w:rsid w:val="003641FD"/>
    <w:rsid w:val="00364E0D"/>
    <w:rsid w:val="00364FB1"/>
    <w:rsid w:val="00365060"/>
    <w:rsid w:val="00365B59"/>
    <w:rsid w:val="00365B70"/>
    <w:rsid w:val="00365C80"/>
    <w:rsid w:val="00365CD7"/>
    <w:rsid w:val="00366C4D"/>
    <w:rsid w:val="003676D9"/>
    <w:rsid w:val="00367797"/>
    <w:rsid w:val="00367A83"/>
    <w:rsid w:val="00370049"/>
    <w:rsid w:val="0037012F"/>
    <w:rsid w:val="003709CA"/>
    <w:rsid w:val="00371923"/>
    <w:rsid w:val="003726B6"/>
    <w:rsid w:val="00372A6A"/>
    <w:rsid w:val="00372E9B"/>
    <w:rsid w:val="00372F44"/>
    <w:rsid w:val="00372F9D"/>
    <w:rsid w:val="00373494"/>
    <w:rsid w:val="00373E6E"/>
    <w:rsid w:val="00373EB2"/>
    <w:rsid w:val="00374B0C"/>
    <w:rsid w:val="00374B51"/>
    <w:rsid w:val="00374C59"/>
    <w:rsid w:val="00374D1E"/>
    <w:rsid w:val="00374E26"/>
    <w:rsid w:val="00375161"/>
    <w:rsid w:val="003758D3"/>
    <w:rsid w:val="00375EDC"/>
    <w:rsid w:val="00376512"/>
    <w:rsid w:val="00376AFE"/>
    <w:rsid w:val="00376BEB"/>
    <w:rsid w:val="003779B8"/>
    <w:rsid w:val="00377BA9"/>
    <w:rsid w:val="00377DA4"/>
    <w:rsid w:val="00377E67"/>
    <w:rsid w:val="00380062"/>
    <w:rsid w:val="00380224"/>
    <w:rsid w:val="00380301"/>
    <w:rsid w:val="0038062D"/>
    <w:rsid w:val="00380880"/>
    <w:rsid w:val="003808DC"/>
    <w:rsid w:val="00380928"/>
    <w:rsid w:val="00380A62"/>
    <w:rsid w:val="00380C02"/>
    <w:rsid w:val="00380E0B"/>
    <w:rsid w:val="00381359"/>
    <w:rsid w:val="0038146A"/>
    <w:rsid w:val="00381D21"/>
    <w:rsid w:val="00381D8D"/>
    <w:rsid w:val="00381FA3"/>
    <w:rsid w:val="0038209C"/>
    <w:rsid w:val="00382475"/>
    <w:rsid w:val="0038269B"/>
    <w:rsid w:val="00382FF1"/>
    <w:rsid w:val="00383220"/>
    <w:rsid w:val="00383F35"/>
    <w:rsid w:val="003848EC"/>
    <w:rsid w:val="00384C6E"/>
    <w:rsid w:val="00384F95"/>
    <w:rsid w:val="00385310"/>
    <w:rsid w:val="00385705"/>
    <w:rsid w:val="0038575B"/>
    <w:rsid w:val="00385926"/>
    <w:rsid w:val="00385CD4"/>
    <w:rsid w:val="00386033"/>
    <w:rsid w:val="0038626B"/>
    <w:rsid w:val="0038685A"/>
    <w:rsid w:val="003868AB"/>
    <w:rsid w:val="00386F38"/>
    <w:rsid w:val="00387F8C"/>
    <w:rsid w:val="003904B1"/>
    <w:rsid w:val="003904D7"/>
    <w:rsid w:val="003904EB"/>
    <w:rsid w:val="003910E4"/>
    <w:rsid w:val="0039155F"/>
    <w:rsid w:val="00392513"/>
    <w:rsid w:val="00392588"/>
    <w:rsid w:val="003928B6"/>
    <w:rsid w:val="00392A21"/>
    <w:rsid w:val="003939CB"/>
    <w:rsid w:val="00393BFB"/>
    <w:rsid w:val="00393CB1"/>
    <w:rsid w:val="00393D4E"/>
    <w:rsid w:val="00394161"/>
    <w:rsid w:val="0039468D"/>
    <w:rsid w:val="003949F6"/>
    <w:rsid w:val="00395055"/>
    <w:rsid w:val="003951CB"/>
    <w:rsid w:val="00395E39"/>
    <w:rsid w:val="0039683E"/>
    <w:rsid w:val="003969FD"/>
    <w:rsid w:val="00396A30"/>
    <w:rsid w:val="00396A46"/>
    <w:rsid w:val="00396B95"/>
    <w:rsid w:val="00396FF0"/>
    <w:rsid w:val="00397227"/>
    <w:rsid w:val="00397800"/>
    <w:rsid w:val="00397948"/>
    <w:rsid w:val="00397AEE"/>
    <w:rsid w:val="003A0085"/>
    <w:rsid w:val="003A0929"/>
    <w:rsid w:val="003A0948"/>
    <w:rsid w:val="003A116C"/>
    <w:rsid w:val="003A1F32"/>
    <w:rsid w:val="003A2183"/>
    <w:rsid w:val="003A281E"/>
    <w:rsid w:val="003A2827"/>
    <w:rsid w:val="003A28A9"/>
    <w:rsid w:val="003A2C10"/>
    <w:rsid w:val="003A32F6"/>
    <w:rsid w:val="003A36E1"/>
    <w:rsid w:val="003A3DFA"/>
    <w:rsid w:val="003A3E9D"/>
    <w:rsid w:val="003A4083"/>
    <w:rsid w:val="003A41F2"/>
    <w:rsid w:val="003A42D2"/>
    <w:rsid w:val="003A4396"/>
    <w:rsid w:val="003A4B2D"/>
    <w:rsid w:val="003A5222"/>
    <w:rsid w:val="003A5759"/>
    <w:rsid w:val="003A6289"/>
    <w:rsid w:val="003A6425"/>
    <w:rsid w:val="003A6984"/>
    <w:rsid w:val="003A6A0B"/>
    <w:rsid w:val="003A6C6D"/>
    <w:rsid w:val="003A7066"/>
    <w:rsid w:val="003A778D"/>
    <w:rsid w:val="003A7BB1"/>
    <w:rsid w:val="003A7C2E"/>
    <w:rsid w:val="003A7D9C"/>
    <w:rsid w:val="003B06EB"/>
    <w:rsid w:val="003B0A0A"/>
    <w:rsid w:val="003B0B7B"/>
    <w:rsid w:val="003B103D"/>
    <w:rsid w:val="003B3236"/>
    <w:rsid w:val="003B36F6"/>
    <w:rsid w:val="003B3CA3"/>
    <w:rsid w:val="003B4392"/>
    <w:rsid w:val="003B459A"/>
    <w:rsid w:val="003B4865"/>
    <w:rsid w:val="003B4A04"/>
    <w:rsid w:val="003B4D45"/>
    <w:rsid w:val="003B514A"/>
    <w:rsid w:val="003B5456"/>
    <w:rsid w:val="003B5E1E"/>
    <w:rsid w:val="003B6353"/>
    <w:rsid w:val="003B66C7"/>
    <w:rsid w:val="003B6B43"/>
    <w:rsid w:val="003B6FCA"/>
    <w:rsid w:val="003B710A"/>
    <w:rsid w:val="003B7263"/>
    <w:rsid w:val="003B73A4"/>
    <w:rsid w:val="003B799F"/>
    <w:rsid w:val="003B7A33"/>
    <w:rsid w:val="003B7FAF"/>
    <w:rsid w:val="003C0E11"/>
    <w:rsid w:val="003C1369"/>
    <w:rsid w:val="003C1E33"/>
    <w:rsid w:val="003C204E"/>
    <w:rsid w:val="003C26E4"/>
    <w:rsid w:val="003C2A6F"/>
    <w:rsid w:val="003C3765"/>
    <w:rsid w:val="003C41C9"/>
    <w:rsid w:val="003C5071"/>
    <w:rsid w:val="003C540E"/>
    <w:rsid w:val="003C566C"/>
    <w:rsid w:val="003C580F"/>
    <w:rsid w:val="003C5942"/>
    <w:rsid w:val="003C5E30"/>
    <w:rsid w:val="003C66D0"/>
    <w:rsid w:val="003C695D"/>
    <w:rsid w:val="003C6C8B"/>
    <w:rsid w:val="003C722D"/>
    <w:rsid w:val="003C763E"/>
    <w:rsid w:val="003C7766"/>
    <w:rsid w:val="003C7799"/>
    <w:rsid w:val="003C7FF1"/>
    <w:rsid w:val="003D04D2"/>
    <w:rsid w:val="003D0549"/>
    <w:rsid w:val="003D09D2"/>
    <w:rsid w:val="003D09EB"/>
    <w:rsid w:val="003D10F3"/>
    <w:rsid w:val="003D1A76"/>
    <w:rsid w:val="003D28A5"/>
    <w:rsid w:val="003D2E51"/>
    <w:rsid w:val="003D3442"/>
    <w:rsid w:val="003D35D3"/>
    <w:rsid w:val="003D3BDD"/>
    <w:rsid w:val="003D4261"/>
    <w:rsid w:val="003D52F3"/>
    <w:rsid w:val="003D55EF"/>
    <w:rsid w:val="003D55FF"/>
    <w:rsid w:val="003D5704"/>
    <w:rsid w:val="003D5738"/>
    <w:rsid w:val="003D5765"/>
    <w:rsid w:val="003D5958"/>
    <w:rsid w:val="003D597A"/>
    <w:rsid w:val="003D59FB"/>
    <w:rsid w:val="003D5F28"/>
    <w:rsid w:val="003D64FD"/>
    <w:rsid w:val="003D6C0B"/>
    <w:rsid w:val="003D6E47"/>
    <w:rsid w:val="003D7100"/>
    <w:rsid w:val="003D729A"/>
    <w:rsid w:val="003E0372"/>
    <w:rsid w:val="003E07A1"/>
    <w:rsid w:val="003E0C3A"/>
    <w:rsid w:val="003E1787"/>
    <w:rsid w:val="003E1887"/>
    <w:rsid w:val="003E1EFD"/>
    <w:rsid w:val="003E2148"/>
    <w:rsid w:val="003E2601"/>
    <w:rsid w:val="003E2813"/>
    <w:rsid w:val="003E2ED7"/>
    <w:rsid w:val="003E322E"/>
    <w:rsid w:val="003E3792"/>
    <w:rsid w:val="003E3B96"/>
    <w:rsid w:val="003E3C08"/>
    <w:rsid w:val="003E3C89"/>
    <w:rsid w:val="003E4432"/>
    <w:rsid w:val="003E447D"/>
    <w:rsid w:val="003E485F"/>
    <w:rsid w:val="003E4A30"/>
    <w:rsid w:val="003E57B3"/>
    <w:rsid w:val="003E582C"/>
    <w:rsid w:val="003E6033"/>
    <w:rsid w:val="003E6349"/>
    <w:rsid w:val="003E6476"/>
    <w:rsid w:val="003E6500"/>
    <w:rsid w:val="003E6583"/>
    <w:rsid w:val="003E6DE6"/>
    <w:rsid w:val="003E6F92"/>
    <w:rsid w:val="003E722D"/>
    <w:rsid w:val="003E724D"/>
    <w:rsid w:val="003E7252"/>
    <w:rsid w:val="003E7362"/>
    <w:rsid w:val="003E74D9"/>
    <w:rsid w:val="003E76E1"/>
    <w:rsid w:val="003E78CB"/>
    <w:rsid w:val="003E7A82"/>
    <w:rsid w:val="003F042D"/>
    <w:rsid w:val="003F0998"/>
    <w:rsid w:val="003F0A16"/>
    <w:rsid w:val="003F0D8C"/>
    <w:rsid w:val="003F169B"/>
    <w:rsid w:val="003F1CB2"/>
    <w:rsid w:val="003F1E3C"/>
    <w:rsid w:val="003F214D"/>
    <w:rsid w:val="003F21C5"/>
    <w:rsid w:val="003F2D8C"/>
    <w:rsid w:val="003F2EB7"/>
    <w:rsid w:val="003F3061"/>
    <w:rsid w:val="003F3143"/>
    <w:rsid w:val="003F3861"/>
    <w:rsid w:val="003F3AF1"/>
    <w:rsid w:val="003F3B98"/>
    <w:rsid w:val="003F3EFB"/>
    <w:rsid w:val="003F4FFE"/>
    <w:rsid w:val="003F5077"/>
    <w:rsid w:val="003F5B0A"/>
    <w:rsid w:val="003F5DC4"/>
    <w:rsid w:val="003F5EDA"/>
    <w:rsid w:val="003F61E2"/>
    <w:rsid w:val="003F6269"/>
    <w:rsid w:val="003F6350"/>
    <w:rsid w:val="003F64EB"/>
    <w:rsid w:val="003F66A9"/>
    <w:rsid w:val="003F67FF"/>
    <w:rsid w:val="003F6834"/>
    <w:rsid w:val="003F6A63"/>
    <w:rsid w:val="003F6BDB"/>
    <w:rsid w:val="003F6E24"/>
    <w:rsid w:val="003F6EE1"/>
    <w:rsid w:val="003F6F72"/>
    <w:rsid w:val="003F6FC1"/>
    <w:rsid w:val="003F74E5"/>
    <w:rsid w:val="003F789D"/>
    <w:rsid w:val="003F7FBA"/>
    <w:rsid w:val="00400093"/>
    <w:rsid w:val="004001E6"/>
    <w:rsid w:val="00400E76"/>
    <w:rsid w:val="004011DC"/>
    <w:rsid w:val="004019C9"/>
    <w:rsid w:val="00401DD2"/>
    <w:rsid w:val="00401F6E"/>
    <w:rsid w:val="004020E2"/>
    <w:rsid w:val="00402A72"/>
    <w:rsid w:val="00403012"/>
    <w:rsid w:val="0040307F"/>
    <w:rsid w:val="00403ABD"/>
    <w:rsid w:val="00403BCB"/>
    <w:rsid w:val="00403D07"/>
    <w:rsid w:val="004043C4"/>
    <w:rsid w:val="00404439"/>
    <w:rsid w:val="00404523"/>
    <w:rsid w:val="0040493E"/>
    <w:rsid w:val="00404B31"/>
    <w:rsid w:val="00404C77"/>
    <w:rsid w:val="00404FF0"/>
    <w:rsid w:val="00404FF5"/>
    <w:rsid w:val="00405CD6"/>
    <w:rsid w:val="00405ED6"/>
    <w:rsid w:val="00406073"/>
    <w:rsid w:val="004062A7"/>
    <w:rsid w:val="004066DD"/>
    <w:rsid w:val="00406A08"/>
    <w:rsid w:val="00407111"/>
    <w:rsid w:val="00407162"/>
    <w:rsid w:val="0040761A"/>
    <w:rsid w:val="00407BAC"/>
    <w:rsid w:val="004107C7"/>
    <w:rsid w:val="00410821"/>
    <w:rsid w:val="00410F92"/>
    <w:rsid w:val="00411503"/>
    <w:rsid w:val="00411516"/>
    <w:rsid w:val="00411DC9"/>
    <w:rsid w:val="00411FD3"/>
    <w:rsid w:val="00412414"/>
    <w:rsid w:val="00412F5C"/>
    <w:rsid w:val="0041363D"/>
    <w:rsid w:val="00414526"/>
    <w:rsid w:val="0041498E"/>
    <w:rsid w:val="00414A7D"/>
    <w:rsid w:val="00414C4E"/>
    <w:rsid w:val="00414D45"/>
    <w:rsid w:val="00414EDB"/>
    <w:rsid w:val="00415746"/>
    <w:rsid w:val="00416482"/>
    <w:rsid w:val="0041672E"/>
    <w:rsid w:val="004169EB"/>
    <w:rsid w:val="00416B7D"/>
    <w:rsid w:val="00416FB8"/>
    <w:rsid w:val="00417182"/>
    <w:rsid w:val="004205B7"/>
    <w:rsid w:val="00420638"/>
    <w:rsid w:val="00420914"/>
    <w:rsid w:val="00420CBD"/>
    <w:rsid w:val="00420D38"/>
    <w:rsid w:val="00421152"/>
    <w:rsid w:val="00421387"/>
    <w:rsid w:val="004216A1"/>
    <w:rsid w:val="004218CE"/>
    <w:rsid w:val="00421B60"/>
    <w:rsid w:val="00421EF3"/>
    <w:rsid w:val="0042248B"/>
    <w:rsid w:val="00422C74"/>
    <w:rsid w:val="00422D87"/>
    <w:rsid w:val="00422EFA"/>
    <w:rsid w:val="00423602"/>
    <w:rsid w:val="00423896"/>
    <w:rsid w:val="00423A79"/>
    <w:rsid w:val="00423C8E"/>
    <w:rsid w:val="0042408E"/>
    <w:rsid w:val="0042464B"/>
    <w:rsid w:val="00424F0E"/>
    <w:rsid w:val="004255AE"/>
    <w:rsid w:val="00425A59"/>
    <w:rsid w:val="00425B83"/>
    <w:rsid w:val="00426408"/>
    <w:rsid w:val="004268DD"/>
    <w:rsid w:val="004269AD"/>
    <w:rsid w:val="00426DC1"/>
    <w:rsid w:val="0042737A"/>
    <w:rsid w:val="00427546"/>
    <w:rsid w:val="004275EA"/>
    <w:rsid w:val="0042769A"/>
    <w:rsid w:val="00430189"/>
    <w:rsid w:val="00430320"/>
    <w:rsid w:val="004303B6"/>
    <w:rsid w:val="0043058F"/>
    <w:rsid w:val="00430922"/>
    <w:rsid w:val="00430ECF"/>
    <w:rsid w:val="00431440"/>
    <w:rsid w:val="00431FDA"/>
    <w:rsid w:val="004320EE"/>
    <w:rsid w:val="00432715"/>
    <w:rsid w:val="004327D5"/>
    <w:rsid w:val="00432BC5"/>
    <w:rsid w:val="00432D70"/>
    <w:rsid w:val="00432E87"/>
    <w:rsid w:val="00432F17"/>
    <w:rsid w:val="00433970"/>
    <w:rsid w:val="0043480D"/>
    <w:rsid w:val="00434AB4"/>
    <w:rsid w:val="00435121"/>
    <w:rsid w:val="00435259"/>
    <w:rsid w:val="0043534F"/>
    <w:rsid w:val="00435983"/>
    <w:rsid w:val="00435DDB"/>
    <w:rsid w:val="00435F20"/>
    <w:rsid w:val="00436009"/>
    <w:rsid w:val="00436357"/>
    <w:rsid w:val="0043701B"/>
    <w:rsid w:val="00437629"/>
    <w:rsid w:val="004379E0"/>
    <w:rsid w:val="004403F0"/>
    <w:rsid w:val="004406DD"/>
    <w:rsid w:val="004406E7"/>
    <w:rsid w:val="00440814"/>
    <w:rsid w:val="00440AA6"/>
    <w:rsid w:val="00440C15"/>
    <w:rsid w:val="0044125C"/>
    <w:rsid w:val="004416FF"/>
    <w:rsid w:val="00441840"/>
    <w:rsid w:val="004419E9"/>
    <w:rsid w:val="00441B68"/>
    <w:rsid w:val="00442102"/>
    <w:rsid w:val="0044244C"/>
    <w:rsid w:val="004428DE"/>
    <w:rsid w:val="00442AD9"/>
    <w:rsid w:val="00443636"/>
    <w:rsid w:val="00443B01"/>
    <w:rsid w:val="00443CC8"/>
    <w:rsid w:val="00443DB4"/>
    <w:rsid w:val="00443DF4"/>
    <w:rsid w:val="00443F2A"/>
    <w:rsid w:val="00443F81"/>
    <w:rsid w:val="004440D0"/>
    <w:rsid w:val="004440F3"/>
    <w:rsid w:val="004444B9"/>
    <w:rsid w:val="0044463C"/>
    <w:rsid w:val="0044472E"/>
    <w:rsid w:val="00444F1E"/>
    <w:rsid w:val="00445502"/>
    <w:rsid w:val="00445840"/>
    <w:rsid w:val="00445925"/>
    <w:rsid w:val="00445E23"/>
    <w:rsid w:val="0044640D"/>
    <w:rsid w:val="00446B15"/>
    <w:rsid w:val="004473B3"/>
    <w:rsid w:val="004476DD"/>
    <w:rsid w:val="0044775F"/>
    <w:rsid w:val="00447EDE"/>
    <w:rsid w:val="004500C0"/>
    <w:rsid w:val="0045020D"/>
    <w:rsid w:val="00450B77"/>
    <w:rsid w:val="004510E0"/>
    <w:rsid w:val="004515BE"/>
    <w:rsid w:val="00451B0F"/>
    <w:rsid w:val="00451CCD"/>
    <w:rsid w:val="004520F2"/>
    <w:rsid w:val="00452C77"/>
    <w:rsid w:val="004538B6"/>
    <w:rsid w:val="0045393B"/>
    <w:rsid w:val="0045405D"/>
    <w:rsid w:val="00454148"/>
    <w:rsid w:val="004547EE"/>
    <w:rsid w:val="00454B86"/>
    <w:rsid w:val="00454C69"/>
    <w:rsid w:val="00454E3E"/>
    <w:rsid w:val="00454E4F"/>
    <w:rsid w:val="004555B3"/>
    <w:rsid w:val="00455718"/>
    <w:rsid w:val="00455A08"/>
    <w:rsid w:val="00455F35"/>
    <w:rsid w:val="00456C77"/>
    <w:rsid w:val="004570D8"/>
    <w:rsid w:val="00457332"/>
    <w:rsid w:val="00457D56"/>
    <w:rsid w:val="00457E47"/>
    <w:rsid w:val="00457E56"/>
    <w:rsid w:val="00457F29"/>
    <w:rsid w:val="00460FF8"/>
    <w:rsid w:val="004612D2"/>
    <w:rsid w:val="0046163B"/>
    <w:rsid w:val="00461D6D"/>
    <w:rsid w:val="00461F38"/>
    <w:rsid w:val="00461F82"/>
    <w:rsid w:val="004620BE"/>
    <w:rsid w:val="0046234D"/>
    <w:rsid w:val="00462568"/>
    <w:rsid w:val="0046270F"/>
    <w:rsid w:val="00463094"/>
    <w:rsid w:val="004632BF"/>
    <w:rsid w:val="004635BF"/>
    <w:rsid w:val="00463A82"/>
    <w:rsid w:val="0046415F"/>
    <w:rsid w:val="00465155"/>
    <w:rsid w:val="0046517F"/>
    <w:rsid w:val="004656E5"/>
    <w:rsid w:val="004657F6"/>
    <w:rsid w:val="00465A01"/>
    <w:rsid w:val="004664B2"/>
    <w:rsid w:val="004664EC"/>
    <w:rsid w:val="00466570"/>
    <w:rsid w:val="004665A1"/>
    <w:rsid w:val="00467031"/>
    <w:rsid w:val="00467321"/>
    <w:rsid w:val="0046782C"/>
    <w:rsid w:val="004679DA"/>
    <w:rsid w:val="00467D19"/>
    <w:rsid w:val="00467E0A"/>
    <w:rsid w:val="0047023C"/>
    <w:rsid w:val="00470393"/>
    <w:rsid w:val="00471357"/>
    <w:rsid w:val="0047227F"/>
    <w:rsid w:val="00472510"/>
    <w:rsid w:val="00473207"/>
    <w:rsid w:val="004734A7"/>
    <w:rsid w:val="00473C91"/>
    <w:rsid w:val="00474B26"/>
    <w:rsid w:val="00474E04"/>
    <w:rsid w:val="00474ED1"/>
    <w:rsid w:val="004750CC"/>
    <w:rsid w:val="004752BC"/>
    <w:rsid w:val="00475AF3"/>
    <w:rsid w:val="00475BCB"/>
    <w:rsid w:val="00475FD7"/>
    <w:rsid w:val="004761B9"/>
    <w:rsid w:val="00476D24"/>
    <w:rsid w:val="004773B5"/>
    <w:rsid w:val="00477AE7"/>
    <w:rsid w:val="00480064"/>
    <w:rsid w:val="004814DD"/>
    <w:rsid w:val="00481CC9"/>
    <w:rsid w:val="00481CD1"/>
    <w:rsid w:val="004827DC"/>
    <w:rsid w:val="00482AE8"/>
    <w:rsid w:val="00482BAC"/>
    <w:rsid w:val="00482D54"/>
    <w:rsid w:val="004837D4"/>
    <w:rsid w:val="0048387C"/>
    <w:rsid w:val="00483EC6"/>
    <w:rsid w:val="004840DC"/>
    <w:rsid w:val="00484480"/>
    <w:rsid w:val="004846E6"/>
    <w:rsid w:val="00485502"/>
    <w:rsid w:val="00485D6A"/>
    <w:rsid w:val="00485F70"/>
    <w:rsid w:val="004863AE"/>
    <w:rsid w:val="004864C5"/>
    <w:rsid w:val="00486EFA"/>
    <w:rsid w:val="00486F36"/>
    <w:rsid w:val="00486FCB"/>
    <w:rsid w:val="00487424"/>
    <w:rsid w:val="00487492"/>
    <w:rsid w:val="004878A2"/>
    <w:rsid w:val="00487B0D"/>
    <w:rsid w:val="00487BD3"/>
    <w:rsid w:val="00487CAA"/>
    <w:rsid w:val="00490452"/>
    <w:rsid w:val="00490BAD"/>
    <w:rsid w:val="00490E54"/>
    <w:rsid w:val="00491461"/>
    <w:rsid w:val="004919B9"/>
    <w:rsid w:val="004925B3"/>
    <w:rsid w:val="004925CC"/>
    <w:rsid w:val="004926A2"/>
    <w:rsid w:val="0049270E"/>
    <w:rsid w:val="004929C8"/>
    <w:rsid w:val="00492A02"/>
    <w:rsid w:val="00492AB2"/>
    <w:rsid w:val="004931B4"/>
    <w:rsid w:val="004933ED"/>
    <w:rsid w:val="004937C0"/>
    <w:rsid w:val="004948DC"/>
    <w:rsid w:val="004948E4"/>
    <w:rsid w:val="00494D17"/>
    <w:rsid w:val="00494DD8"/>
    <w:rsid w:val="00494FC4"/>
    <w:rsid w:val="00495193"/>
    <w:rsid w:val="0049539E"/>
    <w:rsid w:val="00495A51"/>
    <w:rsid w:val="00496F0A"/>
    <w:rsid w:val="004973CA"/>
    <w:rsid w:val="00497806"/>
    <w:rsid w:val="004A035E"/>
    <w:rsid w:val="004A03AF"/>
    <w:rsid w:val="004A045C"/>
    <w:rsid w:val="004A086F"/>
    <w:rsid w:val="004A0C20"/>
    <w:rsid w:val="004A0EAB"/>
    <w:rsid w:val="004A1155"/>
    <w:rsid w:val="004A1D9F"/>
    <w:rsid w:val="004A1FB5"/>
    <w:rsid w:val="004A1FEC"/>
    <w:rsid w:val="004A21AA"/>
    <w:rsid w:val="004A232E"/>
    <w:rsid w:val="004A2E18"/>
    <w:rsid w:val="004A3E4C"/>
    <w:rsid w:val="004A41BA"/>
    <w:rsid w:val="004A424B"/>
    <w:rsid w:val="004A43B9"/>
    <w:rsid w:val="004A4679"/>
    <w:rsid w:val="004A4ABE"/>
    <w:rsid w:val="004A4D39"/>
    <w:rsid w:val="004A4E1C"/>
    <w:rsid w:val="004A4EDA"/>
    <w:rsid w:val="004A51C9"/>
    <w:rsid w:val="004A5357"/>
    <w:rsid w:val="004A5C96"/>
    <w:rsid w:val="004A5CA4"/>
    <w:rsid w:val="004A5E82"/>
    <w:rsid w:val="004A5F4B"/>
    <w:rsid w:val="004A6133"/>
    <w:rsid w:val="004A645B"/>
    <w:rsid w:val="004A65BF"/>
    <w:rsid w:val="004A7728"/>
    <w:rsid w:val="004A7DEC"/>
    <w:rsid w:val="004B0281"/>
    <w:rsid w:val="004B05FF"/>
    <w:rsid w:val="004B0824"/>
    <w:rsid w:val="004B0AD3"/>
    <w:rsid w:val="004B0C04"/>
    <w:rsid w:val="004B0F40"/>
    <w:rsid w:val="004B1051"/>
    <w:rsid w:val="004B15BF"/>
    <w:rsid w:val="004B1712"/>
    <w:rsid w:val="004B1722"/>
    <w:rsid w:val="004B18B8"/>
    <w:rsid w:val="004B190B"/>
    <w:rsid w:val="004B1AFC"/>
    <w:rsid w:val="004B28AC"/>
    <w:rsid w:val="004B29DC"/>
    <w:rsid w:val="004B2F42"/>
    <w:rsid w:val="004B3219"/>
    <w:rsid w:val="004B33C1"/>
    <w:rsid w:val="004B3511"/>
    <w:rsid w:val="004B4228"/>
    <w:rsid w:val="004B4950"/>
    <w:rsid w:val="004B4981"/>
    <w:rsid w:val="004B4CB2"/>
    <w:rsid w:val="004B4DDF"/>
    <w:rsid w:val="004B4EC5"/>
    <w:rsid w:val="004B52C4"/>
    <w:rsid w:val="004B56A0"/>
    <w:rsid w:val="004B5850"/>
    <w:rsid w:val="004B5A4B"/>
    <w:rsid w:val="004B63F9"/>
    <w:rsid w:val="004B6CE4"/>
    <w:rsid w:val="004B7602"/>
    <w:rsid w:val="004B7737"/>
    <w:rsid w:val="004B77C2"/>
    <w:rsid w:val="004B7DB0"/>
    <w:rsid w:val="004B7F4C"/>
    <w:rsid w:val="004C01A4"/>
    <w:rsid w:val="004C02A2"/>
    <w:rsid w:val="004C0810"/>
    <w:rsid w:val="004C0DBB"/>
    <w:rsid w:val="004C0E23"/>
    <w:rsid w:val="004C1850"/>
    <w:rsid w:val="004C1AD7"/>
    <w:rsid w:val="004C1DC7"/>
    <w:rsid w:val="004C20D1"/>
    <w:rsid w:val="004C217C"/>
    <w:rsid w:val="004C22AC"/>
    <w:rsid w:val="004C257D"/>
    <w:rsid w:val="004C32F0"/>
    <w:rsid w:val="004C33EC"/>
    <w:rsid w:val="004C36D4"/>
    <w:rsid w:val="004C371C"/>
    <w:rsid w:val="004C4241"/>
    <w:rsid w:val="004C4A4E"/>
    <w:rsid w:val="004C4D26"/>
    <w:rsid w:val="004C4D90"/>
    <w:rsid w:val="004C50E2"/>
    <w:rsid w:val="004C5326"/>
    <w:rsid w:val="004C543A"/>
    <w:rsid w:val="004C5BFE"/>
    <w:rsid w:val="004C5D6F"/>
    <w:rsid w:val="004C5EAA"/>
    <w:rsid w:val="004C64CE"/>
    <w:rsid w:val="004C762F"/>
    <w:rsid w:val="004D00BF"/>
    <w:rsid w:val="004D011F"/>
    <w:rsid w:val="004D05BD"/>
    <w:rsid w:val="004D14C8"/>
    <w:rsid w:val="004D1508"/>
    <w:rsid w:val="004D18BC"/>
    <w:rsid w:val="004D23A2"/>
    <w:rsid w:val="004D23FC"/>
    <w:rsid w:val="004D2470"/>
    <w:rsid w:val="004D249C"/>
    <w:rsid w:val="004D33B3"/>
    <w:rsid w:val="004D35E4"/>
    <w:rsid w:val="004D3B3E"/>
    <w:rsid w:val="004D450C"/>
    <w:rsid w:val="004D4C78"/>
    <w:rsid w:val="004D507F"/>
    <w:rsid w:val="004D522A"/>
    <w:rsid w:val="004D5798"/>
    <w:rsid w:val="004D5A66"/>
    <w:rsid w:val="004D5D51"/>
    <w:rsid w:val="004D6BCF"/>
    <w:rsid w:val="004D7950"/>
    <w:rsid w:val="004E0188"/>
    <w:rsid w:val="004E0EFA"/>
    <w:rsid w:val="004E14D9"/>
    <w:rsid w:val="004E1501"/>
    <w:rsid w:val="004E17C7"/>
    <w:rsid w:val="004E1AE4"/>
    <w:rsid w:val="004E1BDF"/>
    <w:rsid w:val="004E25CB"/>
    <w:rsid w:val="004E3CCB"/>
    <w:rsid w:val="004E3DDD"/>
    <w:rsid w:val="004E3EAF"/>
    <w:rsid w:val="004E4271"/>
    <w:rsid w:val="004E4897"/>
    <w:rsid w:val="004E4C16"/>
    <w:rsid w:val="004E4F27"/>
    <w:rsid w:val="004E50DF"/>
    <w:rsid w:val="004E5186"/>
    <w:rsid w:val="004E5214"/>
    <w:rsid w:val="004E54DF"/>
    <w:rsid w:val="004E64C1"/>
    <w:rsid w:val="004E6B54"/>
    <w:rsid w:val="004E6C07"/>
    <w:rsid w:val="004E7554"/>
    <w:rsid w:val="004E78FB"/>
    <w:rsid w:val="004E7D25"/>
    <w:rsid w:val="004E7EA1"/>
    <w:rsid w:val="004F078E"/>
    <w:rsid w:val="004F08E0"/>
    <w:rsid w:val="004F0902"/>
    <w:rsid w:val="004F0C78"/>
    <w:rsid w:val="004F0F65"/>
    <w:rsid w:val="004F0FAD"/>
    <w:rsid w:val="004F154D"/>
    <w:rsid w:val="004F15CA"/>
    <w:rsid w:val="004F1774"/>
    <w:rsid w:val="004F1987"/>
    <w:rsid w:val="004F1BFD"/>
    <w:rsid w:val="004F21DC"/>
    <w:rsid w:val="004F222A"/>
    <w:rsid w:val="004F22EB"/>
    <w:rsid w:val="004F2561"/>
    <w:rsid w:val="004F281B"/>
    <w:rsid w:val="004F28B5"/>
    <w:rsid w:val="004F28EC"/>
    <w:rsid w:val="004F2A24"/>
    <w:rsid w:val="004F2DC0"/>
    <w:rsid w:val="004F3190"/>
    <w:rsid w:val="004F393E"/>
    <w:rsid w:val="004F3CB7"/>
    <w:rsid w:val="004F4708"/>
    <w:rsid w:val="004F4A6E"/>
    <w:rsid w:val="004F50C5"/>
    <w:rsid w:val="004F5F6B"/>
    <w:rsid w:val="004F63C4"/>
    <w:rsid w:val="004F6601"/>
    <w:rsid w:val="004F67A8"/>
    <w:rsid w:val="004F7006"/>
    <w:rsid w:val="004F707B"/>
    <w:rsid w:val="004F708E"/>
    <w:rsid w:val="004F745D"/>
    <w:rsid w:val="0050018D"/>
    <w:rsid w:val="00500872"/>
    <w:rsid w:val="005010CA"/>
    <w:rsid w:val="00501A80"/>
    <w:rsid w:val="00501B85"/>
    <w:rsid w:val="00501C74"/>
    <w:rsid w:val="00501EB3"/>
    <w:rsid w:val="005026C9"/>
    <w:rsid w:val="0050296E"/>
    <w:rsid w:val="005029A4"/>
    <w:rsid w:val="00502CF6"/>
    <w:rsid w:val="00503197"/>
    <w:rsid w:val="00503281"/>
    <w:rsid w:val="00503471"/>
    <w:rsid w:val="00503697"/>
    <w:rsid w:val="005039CA"/>
    <w:rsid w:val="00503EFB"/>
    <w:rsid w:val="0050448D"/>
    <w:rsid w:val="00504963"/>
    <w:rsid w:val="0050503F"/>
    <w:rsid w:val="005050E8"/>
    <w:rsid w:val="00505420"/>
    <w:rsid w:val="00505570"/>
    <w:rsid w:val="00505688"/>
    <w:rsid w:val="00505B72"/>
    <w:rsid w:val="00505E20"/>
    <w:rsid w:val="00506B50"/>
    <w:rsid w:val="00506E64"/>
    <w:rsid w:val="00506FD6"/>
    <w:rsid w:val="0050739F"/>
    <w:rsid w:val="00507C3D"/>
    <w:rsid w:val="00507C4F"/>
    <w:rsid w:val="00507F1E"/>
    <w:rsid w:val="0051080F"/>
    <w:rsid w:val="00510B6A"/>
    <w:rsid w:val="00510CA7"/>
    <w:rsid w:val="005112AA"/>
    <w:rsid w:val="0051149C"/>
    <w:rsid w:val="00511964"/>
    <w:rsid w:val="00511B09"/>
    <w:rsid w:val="00511DE0"/>
    <w:rsid w:val="00511F59"/>
    <w:rsid w:val="00511F7C"/>
    <w:rsid w:val="00512129"/>
    <w:rsid w:val="0051228D"/>
    <w:rsid w:val="0051298E"/>
    <w:rsid w:val="00512ADE"/>
    <w:rsid w:val="00512C57"/>
    <w:rsid w:val="005131EC"/>
    <w:rsid w:val="00513A75"/>
    <w:rsid w:val="00513BA2"/>
    <w:rsid w:val="005141DF"/>
    <w:rsid w:val="005143D5"/>
    <w:rsid w:val="00514881"/>
    <w:rsid w:val="00514F63"/>
    <w:rsid w:val="0051505A"/>
    <w:rsid w:val="00515594"/>
    <w:rsid w:val="005155CE"/>
    <w:rsid w:val="0051588B"/>
    <w:rsid w:val="00515A31"/>
    <w:rsid w:val="005165F6"/>
    <w:rsid w:val="005172D4"/>
    <w:rsid w:val="005172ED"/>
    <w:rsid w:val="00517C88"/>
    <w:rsid w:val="005201E4"/>
    <w:rsid w:val="0052027C"/>
    <w:rsid w:val="005209C8"/>
    <w:rsid w:val="00521165"/>
    <w:rsid w:val="005216D2"/>
    <w:rsid w:val="0052205D"/>
    <w:rsid w:val="0052283E"/>
    <w:rsid w:val="00522988"/>
    <w:rsid w:val="00522AF0"/>
    <w:rsid w:val="00522B5F"/>
    <w:rsid w:val="00522E1B"/>
    <w:rsid w:val="0052311B"/>
    <w:rsid w:val="00523745"/>
    <w:rsid w:val="00523ADC"/>
    <w:rsid w:val="00523D8A"/>
    <w:rsid w:val="00524026"/>
    <w:rsid w:val="0052432E"/>
    <w:rsid w:val="0052449B"/>
    <w:rsid w:val="00524876"/>
    <w:rsid w:val="00524A37"/>
    <w:rsid w:val="0052575F"/>
    <w:rsid w:val="00525867"/>
    <w:rsid w:val="00525926"/>
    <w:rsid w:val="00525B00"/>
    <w:rsid w:val="00526467"/>
    <w:rsid w:val="00527294"/>
    <w:rsid w:val="005273AC"/>
    <w:rsid w:val="00527696"/>
    <w:rsid w:val="00527735"/>
    <w:rsid w:val="0052790F"/>
    <w:rsid w:val="00527AB9"/>
    <w:rsid w:val="00527FD2"/>
    <w:rsid w:val="00530329"/>
    <w:rsid w:val="00530339"/>
    <w:rsid w:val="00530909"/>
    <w:rsid w:val="00530984"/>
    <w:rsid w:val="00530E27"/>
    <w:rsid w:val="00532321"/>
    <w:rsid w:val="005323AA"/>
    <w:rsid w:val="005327BA"/>
    <w:rsid w:val="00532A0B"/>
    <w:rsid w:val="00532D60"/>
    <w:rsid w:val="00532D7F"/>
    <w:rsid w:val="0053313D"/>
    <w:rsid w:val="0053396D"/>
    <w:rsid w:val="00533BAD"/>
    <w:rsid w:val="005345D7"/>
    <w:rsid w:val="00534F18"/>
    <w:rsid w:val="0053545F"/>
    <w:rsid w:val="005355CF"/>
    <w:rsid w:val="00535877"/>
    <w:rsid w:val="005358E9"/>
    <w:rsid w:val="00535D16"/>
    <w:rsid w:val="00536245"/>
    <w:rsid w:val="0053628F"/>
    <w:rsid w:val="005369A0"/>
    <w:rsid w:val="00536EE8"/>
    <w:rsid w:val="005370F8"/>
    <w:rsid w:val="0053716E"/>
    <w:rsid w:val="00537B4E"/>
    <w:rsid w:val="00537CF1"/>
    <w:rsid w:val="00540273"/>
    <w:rsid w:val="005409E5"/>
    <w:rsid w:val="00540E4A"/>
    <w:rsid w:val="00540E8A"/>
    <w:rsid w:val="005411DB"/>
    <w:rsid w:val="00541757"/>
    <w:rsid w:val="00542B33"/>
    <w:rsid w:val="00543D1D"/>
    <w:rsid w:val="005442E5"/>
    <w:rsid w:val="00544684"/>
    <w:rsid w:val="00545406"/>
    <w:rsid w:val="00546788"/>
    <w:rsid w:val="005470EC"/>
    <w:rsid w:val="005470F0"/>
    <w:rsid w:val="005471AF"/>
    <w:rsid w:val="00547232"/>
    <w:rsid w:val="00547B94"/>
    <w:rsid w:val="00547D47"/>
    <w:rsid w:val="00547E86"/>
    <w:rsid w:val="005502F3"/>
    <w:rsid w:val="0055057E"/>
    <w:rsid w:val="00551D03"/>
    <w:rsid w:val="00551E1E"/>
    <w:rsid w:val="00551F56"/>
    <w:rsid w:val="0055224E"/>
    <w:rsid w:val="005522EA"/>
    <w:rsid w:val="00552770"/>
    <w:rsid w:val="00552BC7"/>
    <w:rsid w:val="005534FE"/>
    <w:rsid w:val="00553765"/>
    <w:rsid w:val="00553AFC"/>
    <w:rsid w:val="00553F7E"/>
    <w:rsid w:val="005544CB"/>
    <w:rsid w:val="00554AA5"/>
    <w:rsid w:val="00554BF3"/>
    <w:rsid w:val="00554DD2"/>
    <w:rsid w:val="00555675"/>
    <w:rsid w:val="00555831"/>
    <w:rsid w:val="00555B71"/>
    <w:rsid w:val="0055758B"/>
    <w:rsid w:val="0055772E"/>
    <w:rsid w:val="00557C08"/>
    <w:rsid w:val="0056027C"/>
    <w:rsid w:val="00560960"/>
    <w:rsid w:val="0056101C"/>
    <w:rsid w:val="00561405"/>
    <w:rsid w:val="0056179D"/>
    <w:rsid w:val="00561810"/>
    <w:rsid w:val="005621E2"/>
    <w:rsid w:val="005621EE"/>
    <w:rsid w:val="00563813"/>
    <w:rsid w:val="005643E0"/>
    <w:rsid w:val="005648ED"/>
    <w:rsid w:val="005649AE"/>
    <w:rsid w:val="00564A53"/>
    <w:rsid w:val="00564C77"/>
    <w:rsid w:val="00564CB4"/>
    <w:rsid w:val="00564CFC"/>
    <w:rsid w:val="00564DBC"/>
    <w:rsid w:val="00564EFA"/>
    <w:rsid w:val="00564FF7"/>
    <w:rsid w:val="00565724"/>
    <w:rsid w:val="00565A00"/>
    <w:rsid w:val="00565C3A"/>
    <w:rsid w:val="00565DD6"/>
    <w:rsid w:val="00565E2D"/>
    <w:rsid w:val="00566368"/>
    <w:rsid w:val="005663BF"/>
    <w:rsid w:val="0056678B"/>
    <w:rsid w:val="005667CA"/>
    <w:rsid w:val="00566840"/>
    <w:rsid w:val="00566866"/>
    <w:rsid w:val="00566CE4"/>
    <w:rsid w:val="00567296"/>
    <w:rsid w:val="00567773"/>
    <w:rsid w:val="00570972"/>
    <w:rsid w:val="00570BD7"/>
    <w:rsid w:val="00570CA9"/>
    <w:rsid w:val="00570F55"/>
    <w:rsid w:val="00571307"/>
    <w:rsid w:val="005713DE"/>
    <w:rsid w:val="00571A31"/>
    <w:rsid w:val="00571C7C"/>
    <w:rsid w:val="00571E64"/>
    <w:rsid w:val="00572549"/>
    <w:rsid w:val="0057274F"/>
    <w:rsid w:val="00572761"/>
    <w:rsid w:val="00572D0B"/>
    <w:rsid w:val="00572EEB"/>
    <w:rsid w:val="0057331D"/>
    <w:rsid w:val="00573479"/>
    <w:rsid w:val="00573A88"/>
    <w:rsid w:val="0057409A"/>
    <w:rsid w:val="00574344"/>
    <w:rsid w:val="00574F28"/>
    <w:rsid w:val="005752D7"/>
    <w:rsid w:val="00575B54"/>
    <w:rsid w:val="00575C7B"/>
    <w:rsid w:val="0057662A"/>
    <w:rsid w:val="005774C5"/>
    <w:rsid w:val="00577A88"/>
    <w:rsid w:val="00577B24"/>
    <w:rsid w:val="00580132"/>
    <w:rsid w:val="005806BC"/>
    <w:rsid w:val="00580B51"/>
    <w:rsid w:val="005819F3"/>
    <w:rsid w:val="00581FB1"/>
    <w:rsid w:val="0058321F"/>
    <w:rsid w:val="005835A7"/>
    <w:rsid w:val="00583805"/>
    <w:rsid w:val="00583E5E"/>
    <w:rsid w:val="005842BE"/>
    <w:rsid w:val="00584B89"/>
    <w:rsid w:val="00584D9F"/>
    <w:rsid w:val="0058528A"/>
    <w:rsid w:val="00585324"/>
    <w:rsid w:val="00585BD7"/>
    <w:rsid w:val="00585D78"/>
    <w:rsid w:val="00585E7A"/>
    <w:rsid w:val="00586366"/>
    <w:rsid w:val="00586674"/>
    <w:rsid w:val="00586C3E"/>
    <w:rsid w:val="00586F22"/>
    <w:rsid w:val="0058715F"/>
    <w:rsid w:val="005878BF"/>
    <w:rsid w:val="00587AF4"/>
    <w:rsid w:val="00587B89"/>
    <w:rsid w:val="00590275"/>
    <w:rsid w:val="00590303"/>
    <w:rsid w:val="00590536"/>
    <w:rsid w:val="005905DB"/>
    <w:rsid w:val="005906D4"/>
    <w:rsid w:val="005908B4"/>
    <w:rsid w:val="00590A19"/>
    <w:rsid w:val="00590CE9"/>
    <w:rsid w:val="00590D82"/>
    <w:rsid w:val="005910EB"/>
    <w:rsid w:val="005912CB"/>
    <w:rsid w:val="00592604"/>
    <w:rsid w:val="00592EDE"/>
    <w:rsid w:val="0059338C"/>
    <w:rsid w:val="005935BA"/>
    <w:rsid w:val="005948EF"/>
    <w:rsid w:val="005952FD"/>
    <w:rsid w:val="00595762"/>
    <w:rsid w:val="00595918"/>
    <w:rsid w:val="00595BB0"/>
    <w:rsid w:val="00596917"/>
    <w:rsid w:val="00597390"/>
    <w:rsid w:val="005975BA"/>
    <w:rsid w:val="00597BA8"/>
    <w:rsid w:val="005A004F"/>
    <w:rsid w:val="005A012E"/>
    <w:rsid w:val="005A05E8"/>
    <w:rsid w:val="005A069D"/>
    <w:rsid w:val="005A1032"/>
    <w:rsid w:val="005A17B7"/>
    <w:rsid w:val="005A17DC"/>
    <w:rsid w:val="005A1AF0"/>
    <w:rsid w:val="005A1E08"/>
    <w:rsid w:val="005A1FBD"/>
    <w:rsid w:val="005A2485"/>
    <w:rsid w:val="005A24C9"/>
    <w:rsid w:val="005A264A"/>
    <w:rsid w:val="005A265B"/>
    <w:rsid w:val="005A27C8"/>
    <w:rsid w:val="005A27F8"/>
    <w:rsid w:val="005A2BDF"/>
    <w:rsid w:val="005A2FCD"/>
    <w:rsid w:val="005A3581"/>
    <w:rsid w:val="005A3912"/>
    <w:rsid w:val="005A3AE1"/>
    <w:rsid w:val="005A3B58"/>
    <w:rsid w:val="005A4EF5"/>
    <w:rsid w:val="005A5491"/>
    <w:rsid w:val="005A563A"/>
    <w:rsid w:val="005A5990"/>
    <w:rsid w:val="005A5D16"/>
    <w:rsid w:val="005A644A"/>
    <w:rsid w:val="005A6682"/>
    <w:rsid w:val="005A71B7"/>
    <w:rsid w:val="005A7578"/>
    <w:rsid w:val="005A79AA"/>
    <w:rsid w:val="005A7C11"/>
    <w:rsid w:val="005A7DD9"/>
    <w:rsid w:val="005B047C"/>
    <w:rsid w:val="005B0DD6"/>
    <w:rsid w:val="005B1735"/>
    <w:rsid w:val="005B17AA"/>
    <w:rsid w:val="005B1AB8"/>
    <w:rsid w:val="005B1E39"/>
    <w:rsid w:val="005B23C7"/>
    <w:rsid w:val="005B248D"/>
    <w:rsid w:val="005B2A1B"/>
    <w:rsid w:val="005B30C8"/>
    <w:rsid w:val="005B32A6"/>
    <w:rsid w:val="005B32FF"/>
    <w:rsid w:val="005B409E"/>
    <w:rsid w:val="005B4594"/>
    <w:rsid w:val="005B48B5"/>
    <w:rsid w:val="005B4AEC"/>
    <w:rsid w:val="005B4BC3"/>
    <w:rsid w:val="005B5B43"/>
    <w:rsid w:val="005B6374"/>
    <w:rsid w:val="005B63B0"/>
    <w:rsid w:val="005B7B31"/>
    <w:rsid w:val="005B7ED8"/>
    <w:rsid w:val="005C04AA"/>
    <w:rsid w:val="005C0810"/>
    <w:rsid w:val="005C0C9F"/>
    <w:rsid w:val="005C0FA5"/>
    <w:rsid w:val="005C174A"/>
    <w:rsid w:val="005C1EC5"/>
    <w:rsid w:val="005C1FB0"/>
    <w:rsid w:val="005C2106"/>
    <w:rsid w:val="005C288B"/>
    <w:rsid w:val="005C392A"/>
    <w:rsid w:val="005C4003"/>
    <w:rsid w:val="005C4B8E"/>
    <w:rsid w:val="005C4C74"/>
    <w:rsid w:val="005C4DF3"/>
    <w:rsid w:val="005C501B"/>
    <w:rsid w:val="005C5464"/>
    <w:rsid w:val="005C558F"/>
    <w:rsid w:val="005C58DA"/>
    <w:rsid w:val="005C5E52"/>
    <w:rsid w:val="005C606A"/>
    <w:rsid w:val="005C67BB"/>
    <w:rsid w:val="005C6EDC"/>
    <w:rsid w:val="005C70EE"/>
    <w:rsid w:val="005C7658"/>
    <w:rsid w:val="005C79DB"/>
    <w:rsid w:val="005C7A44"/>
    <w:rsid w:val="005D0859"/>
    <w:rsid w:val="005D0AC5"/>
    <w:rsid w:val="005D0FCE"/>
    <w:rsid w:val="005D110A"/>
    <w:rsid w:val="005D1114"/>
    <w:rsid w:val="005D12A4"/>
    <w:rsid w:val="005D175E"/>
    <w:rsid w:val="005D198D"/>
    <w:rsid w:val="005D19C9"/>
    <w:rsid w:val="005D2895"/>
    <w:rsid w:val="005D3722"/>
    <w:rsid w:val="005D3E6E"/>
    <w:rsid w:val="005D4222"/>
    <w:rsid w:val="005D48A2"/>
    <w:rsid w:val="005D4EA0"/>
    <w:rsid w:val="005D4FE0"/>
    <w:rsid w:val="005D505F"/>
    <w:rsid w:val="005D55A5"/>
    <w:rsid w:val="005D56D2"/>
    <w:rsid w:val="005D5B2A"/>
    <w:rsid w:val="005D5B65"/>
    <w:rsid w:val="005D5EC7"/>
    <w:rsid w:val="005D5F98"/>
    <w:rsid w:val="005D6886"/>
    <w:rsid w:val="005D6A3F"/>
    <w:rsid w:val="005D6C33"/>
    <w:rsid w:val="005D7C3A"/>
    <w:rsid w:val="005D7E74"/>
    <w:rsid w:val="005E03DD"/>
    <w:rsid w:val="005E0DF5"/>
    <w:rsid w:val="005E11FF"/>
    <w:rsid w:val="005E1C4D"/>
    <w:rsid w:val="005E218F"/>
    <w:rsid w:val="005E23F8"/>
    <w:rsid w:val="005E279D"/>
    <w:rsid w:val="005E2C30"/>
    <w:rsid w:val="005E2F4F"/>
    <w:rsid w:val="005E311F"/>
    <w:rsid w:val="005E32AA"/>
    <w:rsid w:val="005E3A1F"/>
    <w:rsid w:val="005E3B01"/>
    <w:rsid w:val="005E3CED"/>
    <w:rsid w:val="005E3E5A"/>
    <w:rsid w:val="005E3FA4"/>
    <w:rsid w:val="005E4480"/>
    <w:rsid w:val="005E4CDE"/>
    <w:rsid w:val="005E560F"/>
    <w:rsid w:val="005E5A9B"/>
    <w:rsid w:val="005E5F3F"/>
    <w:rsid w:val="005E5F76"/>
    <w:rsid w:val="005E707B"/>
    <w:rsid w:val="005E73EB"/>
    <w:rsid w:val="005E74EB"/>
    <w:rsid w:val="005E773C"/>
    <w:rsid w:val="005E77E5"/>
    <w:rsid w:val="005E78BB"/>
    <w:rsid w:val="005E7F8C"/>
    <w:rsid w:val="005F0749"/>
    <w:rsid w:val="005F079C"/>
    <w:rsid w:val="005F1078"/>
    <w:rsid w:val="005F1212"/>
    <w:rsid w:val="005F18F1"/>
    <w:rsid w:val="005F1A5B"/>
    <w:rsid w:val="005F1B47"/>
    <w:rsid w:val="005F235B"/>
    <w:rsid w:val="005F270D"/>
    <w:rsid w:val="005F2839"/>
    <w:rsid w:val="005F2958"/>
    <w:rsid w:val="005F2966"/>
    <w:rsid w:val="005F2C9F"/>
    <w:rsid w:val="005F2FE8"/>
    <w:rsid w:val="005F35F7"/>
    <w:rsid w:val="005F4235"/>
    <w:rsid w:val="005F44C0"/>
    <w:rsid w:val="005F459B"/>
    <w:rsid w:val="005F4F56"/>
    <w:rsid w:val="005F5060"/>
    <w:rsid w:val="005F50CD"/>
    <w:rsid w:val="005F5323"/>
    <w:rsid w:val="005F53E1"/>
    <w:rsid w:val="005F5698"/>
    <w:rsid w:val="005F56EE"/>
    <w:rsid w:val="005F5CB4"/>
    <w:rsid w:val="005F5E79"/>
    <w:rsid w:val="005F6315"/>
    <w:rsid w:val="005F64BC"/>
    <w:rsid w:val="005F682E"/>
    <w:rsid w:val="005F69A6"/>
    <w:rsid w:val="005F786D"/>
    <w:rsid w:val="005F7AB5"/>
    <w:rsid w:val="005F7DF0"/>
    <w:rsid w:val="00600082"/>
    <w:rsid w:val="00600430"/>
    <w:rsid w:val="0060078A"/>
    <w:rsid w:val="0060116C"/>
    <w:rsid w:val="006012EF"/>
    <w:rsid w:val="00601710"/>
    <w:rsid w:val="00601940"/>
    <w:rsid w:val="00601B13"/>
    <w:rsid w:val="00602257"/>
    <w:rsid w:val="0060245A"/>
    <w:rsid w:val="006024FD"/>
    <w:rsid w:val="00602861"/>
    <w:rsid w:val="00602874"/>
    <w:rsid w:val="00602D08"/>
    <w:rsid w:val="00604E6A"/>
    <w:rsid w:val="00604E77"/>
    <w:rsid w:val="0060529A"/>
    <w:rsid w:val="00605CFF"/>
    <w:rsid w:val="00605F8D"/>
    <w:rsid w:val="00606321"/>
    <w:rsid w:val="006063DD"/>
    <w:rsid w:val="006069E1"/>
    <w:rsid w:val="00606CE6"/>
    <w:rsid w:val="00607511"/>
    <w:rsid w:val="006076E2"/>
    <w:rsid w:val="00607CFE"/>
    <w:rsid w:val="00607DAD"/>
    <w:rsid w:val="006103EB"/>
    <w:rsid w:val="00610E29"/>
    <w:rsid w:val="0061117B"/>
    <w:rsid w:val="00611391"/>
    <w:rsid w:val="00611969"/>
    <w:rsid w:val="00611B8F"/>
    <w:rsid w:val="00611CE8"/>
    <w:rsid w:val="00612BD0"/>
    <w:rsid w:val="006132B2"/>
    <w:rsid w:val="00613597"/>
    <w:rsid w:val="00613A50"/>
    <w:rsid w:val="006142C7"/>
    <w:rsid w:val="0061478F"/>
    <w:rsid w:val="0061483C"/>
    <w:rsid w:val="0061501D"/>
    <w:rsid w:val="006151C7"/>
    <w:rsid w:val="00615292"/>
    <w:rsid w:val="006158B6"/>
    <w:rsid w:val="00615A96"/>
    <w:rsid w:val="00616DDE"/>
    <w:rsid w:val="00617B29"/>
    <w:rsid w:val="00620360"/>
    <w:rsid w:val="006203A1"/>
    <w:rsid w:val="0062075E"/>
    <w:rsid w:val="00621069"/>
    <w:rsid w:val="00621580"/>
    <w:rsid w:val="00621D91"/>
    <w:rsid w:val="00622348"/>
    <w:rsid w:val="00622353"/>
    <w:rsid w:val="006227AB"/>
    <w:rsid w:val="006227B8"/>
    <w:rsid w:val="006229D2"/>
    <w:rsid w:val="00622FB6"/>
    <w:rsid w:val="00622FDC"/>
    <w:rsid w:val="00623548"/>
    <w:rsid w:val="00623FEC"/>
    <w:rsid w:val="00624192"/>
    <w:rsid w:val="00624337"/>
    <w:rsid w:val="00624B24"/>
    <w:rsid w:val="00624DE7"/>
    <w:rsid w:val="006255C8"/>
    <w:rsid w:val="00625AC8"/>
    <w:rsid w:val="00625EC5"/>
    <w:rsid w:val="00625F38"/>
    <w:rsid w:val="006262ED"/>
    <w:rsid w:val="00626801"/>
    <w:rsid w:val="006270E7"/>
    <w:rsid w:val="00627391"/>
    <w:rsid w:val="006277CD"/>
    <w:rsid w:val="00627CA1"/>
    <w:rsid w:val="00627E09"/>
    <w:rsid w:val="00627F9F"/>
    <w:rsid w:val="006306AB"/>
    <w:rsid w:val="00630AC1"/>
    <w:rsid w:val="00630DF9"/>
    <w:rsid w:val="00630F61"/>
    <w:rsid w:val="006312A6"/>
    <w:rsid w:val="0063201C"/>
    <w:rsid w:val="00632C33"/>
    <w:rsid w:val="00633337"/>
    <w:rsid w:val="006339F8"/>
    <w:rsid w:val="00633DA3"/>
    <w:rsid w:val="00634B8F"/>
    <w:rsid w:val="00634C9C"/>
    <w:rsid w:val="00634CD6"/>
    <w:rsid w:val="00634DE4"/>
    <w:rsid w:val="00634F6E"/>
    <w:rsid w:val="00634FC0"/>
    <w:rsid w:val="006351A7"/>
    <w:rsid w:val="006354A0"/>
    <w:rsid w:val="0063580D"/>
    <w:rsid w:val="0063589F"/>
    <w:rsid w:val="00635ADF"/>
    <w:rsid w:val="00635EE4"/>
    <w:rsid w:val="00636563"/>
    <w:rsid w:val="0063703E"/>
    <w:rsid w:val="0063766C"/>
    <w:rsid w:val="006376C4"/>
    <w:rsid w:val="00637F24"/>
    <w:rsid w:val="00640289"/>
    <w:rsid w:val="006404DA"/>
    <w:rsid w:val="006409B5"/>
    <w:rsid w:val="00640DEC"/>
    <w:rsid w:val="00641159"/>
    <w:rsid w:val="00641D01"/>
    <w:rsid w:val="006424CC"/>
    <w:rsid w:val="00642A8C"/>
    <w:rsid w:val="00642B77"/>
    <w:rsid w:val="00643395"/>
    <w:rsid w:val="00643E36"/>
    <w:rsid w:val="006456D9"/>
    <w:rsid w:val="00645707"/>
    <w:rsid w:val="006459CE"/>
    <w:rsid w:val="00645F03"/>
    <w:rsid w:val="006463D2"/>
    <w:rsid w:val="00646D85"/>
    <w:rsid w:val="00646E54"/>
    <w:rsid w:val="0064736C"/>
    <w:rsid w:val="006475A2"/>
    <w:rsid w:val="00647756"/>
    <w:rsid w:val="00647878"/>
    <w:rsid w:val="0064796D"/>
    <w:rsid w:val="0065096D"/>
    <w:rsid w:val="00650A6B"/>
    <w:rsid w:val="006511D9"/>
    <w:rsid w:val="00651D32"/>
    <w:rsid w:val="00651DAE"/>
    <w:rsid w:val="00651FF1"/>
    <w:rsid w:val="00652133"/>
    <w:rsid w:val="006523A7"/>
    <w:rsid w:val="0065240A"/>
    <w:rsid w:val="006525D0"/>
    <w:rsid w:val="00652D1B"/>
    <w:rsid w:val="0065320D"/>
    <w:rsid w:val="006532BE"/>
    <w:rsid w:val="0065342F"/>
    <w:rsid w:val="006537ED"/>
    <w:rsid w:val="00653A9A"/>
    <w:rsid w:val="00654164"/>
    <w:rsid w:val="006546AB"/>
    <w:rsid w:val="0065596A"/>
    <w:rsid w:val="00655BCB"/>
    <w:rsid w:val="0065614C"/>
    <w:rsid w:val="00656305"/>
    <w:rsid w:val="00656835"/>
    <w:rsid w:val="00656ED9"/>
    <w:rsid w:val="00657125"/>
    <w:rsid w:val="0065797F"/>
    <w:rsid w:val="00657A0B"/>
    <w:rsid w:val="0066056D"/>
    <w:rsid w:val="00660759"/>
    <w:rsid w:val="00660787"/>
    <w:rsid w:val="0066125F"/>
    <w:rsid w:val="00661389"/>
    <w:rsid w:val="00661917"/>
    <w:rsid w:val="00661B4A"/>
    <w:rsid w:val="00662AB5"/>
    <w:rsid w:val="00663011"/>
    <w:rsid w:val="006630B2"/>
    <w:rsid w:val="00663160"/>
    <w:rsid w:val="006634B8"/>
    <w:rsid w:val="006640B9"/>
    <w:rsid w:val="0066433F"/>
    <w:rsid w:val="00664661"/>
    <w:rsid w:val="00664BA7"/>
    <w:rsid w:val="00664EFF"/>
    <w:rsid w:val="00664FED"/>
    <w:rsid w:val="00665016"/>
    <w:rsid w:val="00665051"/>
    <w:rsid w:val="00665C46"/>
    <w:rsid w:val="00665D68"/>
    <w:rsid w:val="0066611C"/>
    <w:rsid w:val="006663A6"/>
    <w:rsid w:val="006669A8"/>
    <w:rsid w:val="006675E0"/>
    <w:rsid w:val="0066776E"/>
    <w:rsid w:val="00667C60"/>
    <w:rsid w:val="00667D84"/>
    <w:rsid w:val="006701EF"/>
    <w:rsid w:val="006702BB"/>
    <w:rsid w:val="006703FF"/>
    <w:rsid w:val="006706D4"/>
    <w:rsid w:val="00670A31"/>
    <w:rsid w:val="00670DD2"/>
    <w:rsid w:val="006712B2"/>
    <w:rsid w:val="0067162A"/>
    <w:rsid w:val="00671727"/>
    <w:rsid w:val="00671988"/>
    <w:rsid w:val="00671B04"/>
    <w:rsid w:val="00672152"/>
    <w:rsid w:val="00672380"/>
    <w:rsid w:val="0067254D"/>
    <w:rsid w:val="00672EDB"/>
    <w:rsid w:val="00673326"/>
    <w:rsid w:val="006736F8"/>
    <w:rsid w:val="006738DD"/>
    <w:rsid w:val="0067423A"/>
    <w:rsid w:val="00674B94"/>
    <w:rsid w:val="00674F69"/>
    <w:rsid w:val="0067581D"/>
    <w:rsid w:val="00675857"/>
    <w:rsid w:val="00675C78"/>
    <w:rsid w:val="006760DA"/>
    <w:rsid w:val="00676231"/>
    <w:rsid w:val="0067665E"/>
    <w:rsid w:val="00676B51"/>
    <w:rsid w:val="0067749B"/>
    <w:rsid w:val="006776C7"/>
    <w:rsid w:val="0067778A"/>
    <w:rsid w:val="00677878"/>
    <w:rsid w:val="006808B0"/>
    <w:rsid w:val="00681505"/>
    <w:rsid w:val="006816A0"/>
    <w:rsid w:val="0068222F"/>
    <w:rsid w:val="0068259E"/>
    <w:rsid w:val="00682C88"/>
    <w:rsid w:val="00682D44"/>
    <w:rsid w:val="00683103"/>
    <w:rsid w:val="0068384A"/>
    <w:rsid w:val="006839A9"/>
    <w:rsid w:val="00683BEB"/>
    <w:rsid w:val="00683CB2"/>
    <w:rsid w:val="00683F89"/>
    <w:rsid w:val="006841C0"/>
    <w:rsid w:val="006845E1"/>
    <w:rsid w:val="00684CE3"/>
    <w:rsid w:val="0068546B"/>
    <w:rsid w:val="00685BAA"/>
    <w:rsid w:val="006860B9"/>
    <w:rsid w:val="0068637C"/>
    <w:rsid w:val="0068656C"/>
    <w:rsid w:val="006869FE"/>
    <w:rsid w:val="00686C69"/>
    <w:rsid w:val="00686D81"/>
    <w:rsid w:val="00687C5A"/>
    <w:rsid w:val="00687D46"/>
    <w:rsid w:val="00687D57"/>
    <w:rsid w:val="0069084B"/>
    <w:rsid w:val="00691117"/>
    <w:rsid w:val="006911DC"/>
    <w:rsid w:val="006912F0"/>
    <w:rsid w:val="006918F6"/>
    <w:rsid w:val="006922BC"/>
    <w:rsid w:val="0069287C"/>
    <w:rsid w:val="00692A9B"/>
    <w:rsid w:val="00692B97"/>
    <w:rsid w:val="00692E12"/>
    <w:rsid w:val="00692E6F"/>
    <w:rsid w:val="00693455"/>
    <w:rsid w:val="006940B1"/>
    <w:rsid w:val="0069427A"/>
    <w:rsid w:val="006947D5"/>
    <w:rsid w:val="00694B56"/>
    <w:rsid w:val="00694DD0"/>
    <w:rsid w:val="00694E58"/>
    <w:rsid w:val="00694E67"/>
    <w:rsid w:val="00694F84"/>
    <w:rsid w:val="00695788"/>
    <w:rsid w:val="0069621C"/>
    <w:rsid w:val="00696B18"/>
    <w:rsid w:val="0069704E"/>
    <w:rsid w:val="00697F7B"/>
    <w:rsid w:val="006A0981"/>
    <w:rsid w:val="006A0C08"/>
    <w:rsid w:val="006A0C12"/>
    <w:rsid w:val="006A119C"/>
    <w:rsid w:val="006A144D"/>
    <w:rsid w:val="006A1F86"/>
    <w:rsid w:val="006A2107"/>
    <w:rsid w:val="006A2642"/>
    <w:rsid w:val="006A2C27"/>
    <w:rsid w:val="006A309F"/>
    <w:rsid w:val="006A31BC"/>
    <w:rsid w:val="006A3579"/>
    <w:rsid w:val="006A374C"/>
    <w:rsid w:val="006A3B27"/>
    <w:rsid w:val="006A3F67"/>
    <w:rsid w:val="006A3F6D"/>
    <w:rsid w:val="006A4644"/>
    <w:rsid w:val="006A55D8"/>
    <w:rsid w:val="006A5B8A"/>
    <w:rsid w:val="006A5FF4"/>
    <w:rsid w:val="006A666A"/>
    <w:rsid w:val="006A6727"/>
    <w:rsid w:val="006A6BD2"/>
    <w:rsid w:val="006A6ED1"/>
    <w:rsid w:val="006A709F"/>
    <w:rsid w:val="006A7D88"/>
    <w:rsid w:val="006B0343"/>
    <w:rsid w:val="006B03D8"/>
    <w:rsid w:val="006B06DD"/>
    <w:rsid w:val="006B09C4"/>
    <w:rsid w:val="006B0B7A"/>
    <w:rsid w:val="006B0B89"/>
    <w:rsid w:val="006B1A60"/>
    <w:rsid w:val="006B2247"/>
    <w:rsid w:val="006B282B"/>
    <w:rsid w:val="006B2AE8"/>
    <w:rsid w:val="006B3249"/>
    <w:rsid w:val="006B37A0"/>
    <w:rsid w:val="006B3A65"/>
    <w:rsid w:val="006B3D70"/>
    <w:rsid w:val="006B3E10"/>
    <w:rsid w:val="006B41CA"/>
    <w:rsid w:val="006B43B2"/>
    <w:rsid w:val="006B4CE5"/>
    <w:rsid w:val="006B4FA1"/>
    <w:rsid w:val="006B5A8C"/>
    <w:rsid w:val="006B606E"/>
    <w:rsid w:val="006B6894"/>
    <w:rsid w:val="006B6D81"/>
    <w:rsid w:val="006B71D3"/>
    <w:rsid w:val="006B7252"/>
    <w:rsid w:val="006B7A2A"/>
    <w:rsid w:val="006B7A37"/>
    <w:rsid w:val="006B7E4B"/>
    <w:rsid w:val="006C0227"/>
    <w:rsid w:val="006C0703"/>
    <w:rsid w:val="006C0816"/>
    <w:rsid w:val="006C08A0"/>
    <w:rsid w:val="006C0AEE"/>
    <w:rsid w:val="006C0E00"/>
    <w:rsid w:val="006C0F72"/>
    <w:rsid w:val="006C1491"/>
    <w:rsid w:val="006C16E4"/>
    <w:rsid w:val="006C1869"/>
    <w:rsid w:val="006C2502"/>
    <w:rsid w:val="006C2DA4"/>
    <w:rsid w:val="006C2FD7"/>
    <w:rsid w:val="006C3C66"/>
    <w:rsid w:val="006C4487"/>
    <w:rsid w:val="006C45B1"/>
    <w:rsid w:val="006C4BBA"/>
    <w:rsid w:val="006C4C23"/>
    <w:rsid w:val="006C5A59"/>
    <w:rsid w:val="006C5DDB"/>
    <w:rsid w:val="006C6073"/>
    <w:rsid w:val="006C68BB"/>
    <w:rsid w:val="006C7300"/>
    <w:rsid w:val="006D00DD"/>
    <w:rsid w:val="006D055C"/>
    <w:rsid w:val="006D060E"/>
    <w:rsid w:val="006D08EB"/>
    <w:rsid w:val="006D09F5"/>
    <w:rsid w:val="006D0B58"/>
    <w:rsid w:val="006D14E5"/>
    <w:rsid w:val="006D1601"/>
    <w:rsid w:val="006D1754"/>
    <w:rsid w:val="006D1813"/>
    <w:rsid w:val="006D1937"/>
    <w:rsid w:val="006D1A54"/>
    <w:rsid w:val="006D251D"/>
    <w:rsid w:val="006D2D8A"/>
    <w:rsid w:val="006D3048"/>
    <w:rsid w:val="006D323C"/>
    <w:rsid w:val="006D3557"/>
    <w:rsid w:val="006D3BD6"/>
    <w:rsid w:val="006D3EA3"/>
    <w:rsid w:val="006D4A28"/>
    <w:rsid w:val="006D4B1B"/>
    <w:rsid w:val="006D5DAF"/>
    <w:rsid w:val="006D602E"/>
    <w:rsid w:val="006D630A"/>
    <w:rsid w:val="006D6D26"/>
    <w:rsid w:val="006D7209"/>
    <w:rsid w:val="006D7938"/>
    <w:rsid w:val="006D7FEC"/>
    <w:rsid w:val="006E064B"/>
    <w:rsid w:val="006E0AD3"/>
    <w:rsid w:val="006E1B13"/>
    <w:rsid w:val="006E1EDB"/>
    <w:rsid w:val="006E20E8"/>
    <w:rsid w:val="006E2150"/>
    <w:rsid w:val="006E2201"/>
    <w:rsid w:val="006E2B19"/>
    <w:rsid w:val="006E35C5"/>
    <w:rsid w:val="006E3A7F"/>
    <w:rsid w:val="006E3E2C"/>
    <w:rsid w:val="006E3FAE"/>
    <w:rsid w:val="006E45F5"/>
    <w:rsid w:val="006E4878"/>
    <w:rsid w:val="006E4AFC"/>
    <w:rsid w:val="006E5C7E"/>
    <w:rsid w:val="006E5CF3"/>
    <w:rsid w:val="006E6012"/>
    <w:rsid w:val="006E66C1"/>
    <w:rsid w:val="006E70F0"/>
    <w:rsid w:val="006E7198"/>
    <w:rsid w:val="006E720E"/>
    <w:rsid w:val="006E76C4"/>
    <w:rsid w:val="006E791D"/>
    <w:rsid w:val="006E7A79"/>
    <w:rsid w:val="006E7AD3"/>
    <w:rsid w:val="006F042C"/>
    <w:rsid w:val="006F0932"/>
    <w:rsid w:val="006F0937"/>
    <w:rsid w:val="006F0A6C"/>
    <w:rsid w:val="006F0BC6"/>
    <w:rsid w:val="006F0C8F"/>
    <w:rsid w:val="006F113E"/>
    <w:rsid w:val="006F151D"/>
    <w:rsid w:val="006F157F"/>
    <w:rsid w:val="006F1611"/>
    <w:rsid w:val="006F17EC"/>
    <w:rsid w:val="006F2320"/>
    <w:rsid w:val="006F259C"/>
    <w:rsid w:val="006F2709"/>
    <w:rsid w:val="006F2C9E"/>
    <w:rsid w:val="006F2D83"/>
    <w:rsid w:val="006F33A2"/>
    <w:rsid w:val="006F33EB"/>
    <w:rsid w:val="006F33F2"/>
    <w:rsid w:val="006F3C21"/>
    <w:rsid w:val="006F3F68"/>
    <w:rsid w:val="006F49C8"/>
    <w:rsid w:val="006F4D67"/>
    <w:rsid w:val="006F4F5D"/>
    <w:rsid w:val="006F506C"/>
    <w:rsid w:val="006F56AF"/>
    <w:rsid w:val="006F61F6"/>
    <w:rsid w:val="006F64A8"/>
    <w:rsid w:val="006F6CB6"/>
    <w:rsid w:val="006F6ECA"/>
    <w:rsid w:val="006F6EFD"/>
    <w:rsid w:val="006F7293"/>
    <w:rsid w:val="006F7400"/>
    <w:rsid w:val="006F7738"/>
    <w:rsid w:val="006F7783"/>
    <w:rsid w:val="006F799E"/>
    <w:rsid w:val="006F7BF4"/>
    <w:rsid w:val="006F7DF3"/>
    <w:rsid w:val="006F7E11"/>
    <w:rsid w:val="00700411"/>
    <w:rsid w:val="00700B65"/>
    <w:rsid w:val="00700BA0"/>
    <w:rsid w:val="00700CE4"/>
    <w:rsid w:val="007010C8"/>
    <w:rsid w:val="007014CA"/>
    <w:rsid w:val="007014FA"/>
    <w:rsid w:val="007018F4"/>
    <w:rsid w:val="00701FB5"/>
    <w:rsid w:val="007020F9"/>
    <w:rsid w:val="00702B9A"/>
    <w:rsid w:val="00702E0C"/>
    <w:rsid w:val="00703146"/>
    <w:rsid w:val="007034DE"/>
    <w:rsid w:val="00703516"/>
    <w:rsid w:val="007040F8"/>
    <w:rsid w:val="007041FC"/>
    <w:rsid w:val="0070429F"/>
    <w:rsid w:val="0070433F"/>
    <w:rsid w:val="007047AB"/>
    <w:rsid w:val="00704828"/>
    <w:rsid w:val="00704913"/>
    <w:rsid w:val="00704DF1"/>
    <w:rsid w:val="00704ED6"/>
    <w:rsid w:val="00704F25"/>
    <w:rsid w:val="007050CD"/>
    <w:rsid w:val="007057C1"/>
    <w:rsid w:val="00705D6A"/>
    <w:rsid w:val="007072C2"/>
    <w:rsid w:val="007106EF"/>
    <w:rsid w:val="007109EB"/>
    <w:rsid w:val="00710F51"/>
    <w:rsid w:val="00711771"/>
    <w:rsid w:val="00711E50"/>
    <w:rsid w:val="00712B3C"/>
    <w:rsid w:val="00712C24"/>
    <w:rsid w:val="00712F30"/>
    <w:rsid w:val="00712FF4"/>
    <w:rsid w:val="007131D1"/>
    <w:rsid w:val="007134F9"/>
    <w:rsid w:val="00713700"/>
    <w:rsid w:val="0071388B"/>
    <w:rsid w:val="00713E58"/>
    <w:rsid w:val="0071469E"/>
    <w:rsid w:val="007148B2"/>
    <w:rsid w:val="00714FA5"/>
    <w:rsid w:val="00715259"/>
    <w:rsid w:val="00715F62"/>
    <w:rsid w:val="00716D8F"/>
    <w:rsid w:val="00716DD5"/>
    <w:rsid w:val="00716E4B"/>
    <w:rsid w:val="00717106"/>
    <w:rsid w:val="0071751F"/>
    <w:rsid w:val="00720391"/>
    <w:rsid w:val="007203D1"/>
    <w:rsid w:val="00721164"/>
    <w:rsid w:val="00721364"/>
    <w:rsid w:val="007215D3"/>
    <w:rsid w:val="00721E63"/>
    <w:rsid w:val="00721F45"/>
    <w:rsid w:val="00722038"/>
    <w:rsid w:val="00722388"/>
    <w:rsid w:val="00722E16"/>
    <w:rsid w:val="00723154"/>
    <w:rsid w:val="00723785"/>
    <w:rsid w:val="007238BB"/>
    <w:rsid w:val="007238FC"/>
    <w:rsid w:val="00723E96"/>
    <w:rsid w:val="00724450"/>
    <w:rsid w:val="0072475E"/>
    <w:rsid w:val="0072658A"/>
    <w:rsid w:val="00727B23"/>
    <w:rsid w:val="00730609"/>
    <w:rsid w:val="00730741"/>
    <w:rsid w:val="00730B94"/>
    <w:rsid w:val="00730BF2"/>
    <w:rsid w:val="00730D30"/>
    <w:rsid w:val="007328B7"/>
    <w:rsid w:val="00732B97"/>
    <w:rsid w:val="00732C99"/>
    <w:rsid w:val="00732D29"/>
    <w:rsid w:val="0073329A"/>
    <w:rsid w:val="00733495"/>
    <w:rsid w:val="00734333"/>
    <w:rsid w:val="00735636"/>
    <w:rsid w:val="0073588F"/>
    <w:rsid w:val="00736149"/>
    <w:rsid w:val="00736470"/>
    <w:rsid w:val="007367D6"/>
    <w:rsid w:val="007369B4"/>
    <w:rsid w:val="00736DCF"/>
    <w:rsid w:val="00737225"/>
    <w:rsid w:val="0073728E"/>
    <w:rsid w:val="00737447"/>
    <w:rsid w:val="00740125"/>
    <w:rsid w:val="00740381"/>
    <w:rsid w:val="0074050D"/>
    <w:rsid w:val="00741162"/>
    <w:rsid w:val="007418A0"/>
    <w:rsid w:val="00741933"/>
    <w:rsid w:val="0074217E"/>
    <w:rsid w:val="00742376"/>
    <w:rsid w:val="007434DF"/>
    <w:rsid w:val="00743C21"/>
    <w:rsid w:val="00743CE7"/>
    <w:rsid w:val="0074436B"/>
    <w:rsid w:val="0074473D"/>
    <w:rsid w:val="007449BF"/>
    <w:rsid w:val="00745493"/>
    <w:rsid w:val="007454CD"/>
    <w:rsid w:val="007456F7"/>
    <w:rsid w:val="00745D63"/>
    <w:rsid w:val="00745F54"/>
    <w:rsid w:val="00745FF7"/>
    <w:rsid w:val="007462FD"/>
    <w:rsid w:val="007463FF"/>
    <w:rsid w:val="0074659D"/>
    <w:rsid w:val="007466CF"/>
    <w:rsid w:val="00746A5A"/>
    <w:rsid w:val="00746E21"/>
    <w:rsid w:val="00747F78"/>
    <w:rsid w:val="0075057E"/>
    <w:rsid w:val="00750652"/>
    <w:rsid w:val="007509C8"/>
    <w:rsid w:val="00750A3B"/>
    <w:rsid w:val="00750C12"/>
    <w:rsid w:val="00750FC8"/>
    <w:rsid w:val="00751129"/>
    <w:rsid w:val="00751842"/>
    <w:rsid w:val="0075191D"/>
    <w:rsid w:val="00751AAD"/>
    <w:rsid w:val="00751E4E"/>
    <w:rsid w:val="00752178"/>
    <w:rsid w:val="00752253"/>
    <w:rsid w:val="0075304E"/>
    <w:rsid w:val="007537B6"/>
    <w:rsid w:val="0075392B"/>
    <w:rsid w:val="00753B6E"/>
    <w:rsid w:val="00753D20"/>
    <w:rsid w:val="00753F8F"/>
    <w:rsid w:val="00754B91"/>
    <w:rsid w:val="00754EFE"/>
    <w:rsid w:val="00756080"/>
    <w:rsid w:val="007563EC"/>
    <w:rsid w:val="0075658C"/>
    <w:rsid w:val="0075665F"/>
    <w:rsid w:val="00756891"/>
    <w:rsid w:val="007568CF"/>
    <w:rsid w:val="007571B9"/>
    <w:rsid w:val="007577CB"/>
    <w:rsid w:val="007602E6"/>
    <w:rsid w:val="0076222A"/>
    <w:rsid w:val="00762E75"/>
    <w:rsid w:val="00763C8D"/>
    <w:rsid w:val="0076464E"/>
    <w:rsid w:val="00764691"/>
    <w:rsid w:val="0076490B"/>
    <w:rsid w:val="00764A89"/>
    <w:rsid w:val="00764D2B"/>
    <w:rsid w:val="007656C9"/>
    <w:rsid w:val="00765B72"/>
    <w:rsid w:val="0076613F"/>
    <w:rsid w:val="007665BE"/>
    <w:rsid w:val="00766822"/>
    <w:rsid w:val="00766B69"/>
    <w:rsid w:val="00767D51"/>
    <w:rsid w:val="00767D5C"/>
    <w:rsid w:val="00767F3C"/>
    <w:rsid w:val="00770342"/>
    <w:rsid w:val="0077038F"/>
    <w:rsid w:val="00770682"/>
    <w:rsid w:val="00771901"/>
    <w:rsid w:val="00771973"/>
    <w:rsid w:val="00771B27"/>
    <w:rsid w:val="0077217E"/>
    <w:rsid w:val="00772414"/>
    <w:rsid w:val="00772ADC"/>
    <w:rsid w:val="00772DD1"/>
    <w:rsid w:val="00772E09"/>
    <w:rsid w:val="0077310A"/>
    <w:rsid w:val="00773713"/>
    <w:rsid w:val="00773776"/>
    <w:rsid w:val="007745EC"/>
    <w:rsid w:val="007748F0"/>
    <w:rsid w:val="00774B2A"/>
    <w:rsid w:val="00774BF2"/>
    <w:rsid w:val="00774C8B"/>
    <w:rsid w:val="00774EAF"/>
    <w:rsid w:val="007751D4"/>
    <w:rsid w:val="00775352"/>
    <w:rsid w:val="0077562E"/>
    <w:rsid w:val="00775BE9"/>
    <w:rsid w:val="00775C94"/>
    <w:rsid w:val="00775DB1"/>
    <w:rsid w:val="00776F2B"/>
    <w:rsid w:val="007771BC"/>
    <w:rsid w:val="00777273"/>
    <w:rsid w:val="00777322"/>
    <w:rsid w:val="0077764C"/>
    <w:rsid w:val="007779C5"/>
    <w:rsid w:val="00777B98"/>
    <w:rsid w:val="00777CAA"/>
    <w:rsid w:val="00777CF7"/>
    <w:rsid w:val="00777D02"/>
    <w:rsid w:val="00777E28"/>
    <w:rsid w:val="0078036B"/>
    <w:rsid w:val="007804D3"/>
    <w:rsid w:val="00780BF4"/>
    <w:rsid w:val="00780E80"/>
    <w:rsid w:val="00781005"/>
    <w:rsid w:val="00781029"/>
    <w:rsid w:val="00781773"/>
    <w:rsid w:val="007818BE"/>
    <w:rsid w:val="00781C43"/>
    <w:rsid w:val="00782173"/>
    <w:rsid w:val="00782FD4"/>
    <w:rsid w:val="00783797"/>
    <w:rsid w:val="00783F65"/>
    <w:rsid w:val="00784A26"/>
    <w:rsid w:val="00784DC2"/>
    <w:rsid w:val="00785444"/>
    <w:rsid w:val="007855C8"/>
    <w:rsid w:val="0078588D"/>
    <w:rsid w:val="00785890"/>
    <w:rsid w:val="0078618A"/>
    <w:rsid w:val="007862E7"/>
    <w:rsid w:val="0078647E"/>
    <w:rsid w:val="00786794"/>
    <w:rsid w:val="0078691E"/>
    <w:rsid w:val="00786B00"/>
    <w:rsid w:val="00786CB7"/>
    <w:rsid w:val="00787CBE"/>
    <w:rsid w:val="00787FB6"/>
    <w:rsid w:val="00790627"/>
    <w:rsid w:val="00790C9F"/>
    <w:rsid w:val="00790D85"/>
    <w:rsid w:val="00790DEB"/>
    <w:rsid w:val="00790EC6"/>
    <w:rsid w:val="00790EEE"/>
    <w:rsid w:val="00791051"/>
    <w:rsid w:val="007915F4"/>
    <w:rsid w:val="0079170A"/>
    <w:rsid w:val="007918E6"/>
    <w:rsid w:val="00791A0C"/>
    <w:rsid w:val="00791A54"/>
    <w:rsid w:val="00791AF2"/>
    <w:rsid w:val="00791F64"/>
    <w:rsid w:val="00791F86"/>
    <w:rsid w:val="007922B3"/>
    <w:rsid w:val="00792A63"/>
    <w:rsid w:val="00793131"/>
    <w:rsid w:val="00793368"/>
    <w:rsid w:val="00793571"/>
    <w:rsid w:val="0079362B"/>
    <w:rsid w:val="0079432B"/>
    <w:rsid w:val="007949FB"/>
    <w:rsid w:val="00794F92"/>
    <w:rsid w:val="00794FFE"/>
    <w:rsid w:val="00795244"/>
    <w:rsid w:val="007954AE"/>
    <w:rsid w:val="00795531"/>
    <w:rsid w:val="00796A82"/>
    <w:rsid w:val="00797A1A"/>
    <w:rsid w:val="00797CB3"/>
    <w:rsid w:val="007A00EC"/>
    <w:rsid w:val="007A046D"/>
    <w:rsid w:val="007A0619"/>
    <w:rsid w:val="007A0793"/>
    <w:rsid w:val="007A0BEB"/>
    <w:rsid w:val="007A1206"/>
    <w:rsid w:val="007A19FF"/>
    <w:rsid w:val="007A1CD6"/>
    <w:rsid w:val="007A1E3A"/>
    <w:rsid w:val="007A1E94"/>
    <w:rsid w:val="007A1EFC"/>
    <w:rsid w:val="007A2368"/>
    <w:rsid w:val="007A2520"/>
    <w:rsid w:val="007A2871"/>
    <w:rsid w:val="007A294B"/>
    <w:rsid w:val="007A2FB0"/>
    <w:rsid w:val="007A30C3"/>
    <w:rsid w:val="007A32A4"/>
    <w:rsid w:val="007A35CB"/>
    <w:rsid w:val="007A362A"/>
    <w:rsid w:val="007A364E"/>
    <w:rsid w:val="007A3795"/>
    <w:rsid w:val="007A3C8D"/>
    <w:rsid w:val="007A41D4"/>
    <w:rsid w:val="007A49AF"/>
    <w:rsid w:val="007A5083"/>
    <w:rsid w:val="007A538A"/>
    <w:rsid w:val="007A56F9"/>
    <w:rsid w:val="007A5AF6"/>
    <w:rsid w:val="007A5D99"/>
    <w:rsid w:val="007A6C56"/>
    <w:rsid w:val="007A71B6"/>
    <w:rsid w:val="007A78A1"/>
    <w:rsid w:val="007A7BCB"/>
    <w:rsid w:val="007A7D62"/>
    <w:rsid w:val="007A7E00"/>
    <w:rsid w:val="007A7EC0"/>
    <w:rsid w:val="007B0449"/>
    <w:rsid w:val="007B0552"/>
    <w:rsid w:val="007B0582"/>
    <w:rsid w:val="007B07EC"/>
    <w:rsid w:val="007B08C0"/>
    <w:rsid w:val="007B0B7C"/>
    <w:rsid w:val="007B0D1E"/>
    <w:rsid w:val="007B19B3"/>
    <w:rsid w:val="007B1AFD"/>
    <w:rsid w:val="007B1B46"/>
    <w:rsid w:val="007B1FEF"/>
    <w:rsid w:val="007B23CD"/>
    <w:rsid w:val="007B25F5"/>
    <w:rsid w:val="007B2838"/>
    <w:rsid w:val="007B29D2"/>
    <w:rsid w:val="007B2BA5"/>
    <w:rsid w:val="007B2C69"/>
    <w:rsid w:val="007B3134"/>
    <w:rsid w:val="007B31C4"/>
    <w:rsid w:val="007B3746"/>
    <w:rsid w:val="007B38A1"/>
    <w:rsid w:val="007B449B"/>
    <w:rsid w:val="007B4729"/>
    <w:rsid w:val="007B4B81"/>
    <w:rsid w:val="007B521F"/>
    <w:rsid w:val="007B5D84"/>
    <w:rsid w:val="007B6296"/>
    <w:rsid w:val="007B66A2"/>
    <w:rsid w:val="007B685F"/>
    <w:rsid w:val="007B689C"/>
    <w:rsid w:val="007B6B03"/>
    <w:rsid w:val="007B78EC"/>
    <w:rsid w:val="007B7E36"/>
    <w:rsid w:val="007C04F0"/>
    <w:rsid w:val="007C0EEB"/>
    <w:rsid w:val="007C0FF4"/>
    <w:rsid w:val="007C1002"/>
    <w:rsid w:val="007C110D"/>
    <w:rsid w:val="007C169C"/>
    <w:rsid w:val="007C1AB7"/>
    <w:rsid w:val="007C1DC8"/>
    <w:rsid w:val="007C22E8"/>
    <w:rsid w:val="007C231D"/>
    <w:rsid w:val="007C295F"/>
    <w:rsid w:val="007C2D48"/>
    <w:rsid w:val="007C31BA"/>
    <w:rsid w:val="007C36AF"/>
    <w:rsid w:val="007C3AC7"/>
    <w:rsid w:val="007C3B5B"/>
    <w:rsid w:val="007C3BC4"/>
    <w:rsid w:val="007C3CC9"/>
    <w:rsid w:val="007C44A1"/>
    <w:rsid w:val="007C4592"/>
    <w:rsid w:val="007C478F"/>
    <w:rsid w:val="007C49AA"/>
    <w:rsid w:val="007C4FBF"/>
    <w:rsid w:val="007C502E"/>
    <w:rsid w:val="007C55C3"/>
    <w:rsid w:val="007C5775"/>
    <w:rsid w:val="007C5B6C"/>
    <w:rsid w:val="007C6364"/>
    <w:rsid w:val="007C641C"/>
    <w:rsid w:val="007C672C"/>
    <w:rsid w:val="007C6D5E"/>
    <w:rsid w:val="007C6FB0"/>
    <w:rsid w:val="007C70A0"/>
    <w:rsid w:val="007C720D"/>
    <w:rsid w:val="007C729E"/>
    <w:rsid w:val="007C7C3B"/>
    <w:rsid w:val="007C7D71"/>
    <w:rsid w:val="007C7FD0"/>
    <w:rsid w:val="007D0EFF"/>
    <w:rsid w:val="007D140D"/>
    <w:rsid w:val="007D1A2E"/>
    <w:rsid w:val="007D1A8D"/>
    <w:rsid w:val="007D1D07"/>
    <w:rsid w:val="007D2351"/>
    <w:rsid w:val="007D24D8"/>
    <w:rsid w:val="007D2802"/>
    <w:rsid w:val="007D3A19"/>
    <w:rsid w:val="007D3B7A"/>
    <w:rsid w:val="007D3E0D"/>
    <w:rsid w:val="007D4754"/>
    <w:rsid w:val="007D4EBB"/>
    <w:rsid w:val="007D5507"/>
    <w:rsid w:val="007D5F3F"/>
    <w:rsid w:val="007D5FCA"/>
    <w:rsid w:val="007D6B34"/>
    <w:rsid w:val="007D6E24"/>
    <w:rsid w:val="007D75B4"/>
    <w:rsid w:val="007D7749"/>
    <w:rsid w:val="007D7E4A"/>
    <w:rsid w:val="007E07DE"/>
    <w:rsid w:val="007E094C"/>
    <w:rsid w:val="007E0BA5"/>
    <w:rsid w:val="007E16F6"/>
    <w:rsid w:val="007E1ABA"/>
    <w:rsid w:val="007E227C"/>
    <w:rsid w:val="007E2368"/>
    <w:rsid w:val="007E2655"/>
    <w:rsid w:val="007E27F5"/>
    <w:rsid w:val="007E2884"/>
    <w:rsid w:val="007E2AE9"/>
    <w:rsid w:val="007E2B73"/>
    <w:rsid w:val="007E2DE5"/>
    <w:rsid w:val="007E2EAA"/>
    <w:rsid w:val="007E3042"/>
    <w:rsid w:val="007E3645"/>
    <w:rsid w:val="007E3F9C"/>
    <w:rsid w:val="007E42E8"/>
    <w:rsid w:val="007E4428"/>
    <w:rsid w:val="007E4D08"/>
    <w:rsid w:val="007E4D56"/>
    <w:rsid w:val="007E4D5B"/>
    <w:rsid w:val="007E4E85"/>
    <w:rsid w:val="007E5026"/>
    <w:rsid w:val="007E53DA"/>
    <w:rsid w:val="007E5902"/>
    <w:rsid w:val="007E5C17"/>
    <w:rsid w:val="007E5EAC"/>
    <w:rsid w:val="007E5F88"/>
    <w:rsid w:val="007E63B6"/>
    <w:rsid w:val="007E6418"/>
    <w:rsid w:val="007E7117"/>
    <w:rsid w:val="007E77E3"/>
    <w:rsid w:val="007E7D1D"/>
    <w:rsid w:val="007E7DA1"/>
    <w:rsid w:val="007F05AD"/>
    <w:rsid w:val="007F05BD"/>
    <w:rsid w:val="007F09DB"/>
    <w:rsid w:val="007F0A7C"/>
    <w:rsid w:val="007F1AC6"/>
    <w:rsid w:val="007F1E8C"/>
    <w:rsid w:val="007F2AFA"/>
    <w:rsid w:val="007F2DA2"/>
    <w:rsid w:val="007F3062"/>
    <w:rsid w:val="007F32C4"/>
    <w:rsid w:val="007F343E"/>
    <w:rsid w:val="007F380C"/>
    <w:rsid w:val="007F40D2"/>
    <w:rsid w:val="007F40DF"/>
    <w:rsid w:val="007F4504"/>
    <w:rsid w:val="007F5598"/>
    <w:rsid w:val="007F58BE"/>
    <w:rsid w:val="007F5A46"/>
    <w:rsid w:val="007F5B36"/>
    <w:rsid w:val="007F60B7"/>
    <w:rsid w:val="007F6277"/>
    <w:rsid w:val="007F64D9"/>
    <w:rsid w:val="007F65A9"/>
    <w:rsid w:val="007F6A8A"/>
    <w:rsid w:val="007F6B44"/>
    <w:rsid w:val="007F700E"/>
    <w:rsid w:val="007F7F9D"/>
    <w:rsid w:val="008003B6"/>
    <w:rsid w:val="008003D9"/>
    <w:rsid w:val="0080052F"/>
    <w:rsid w:val="00800813"/>
    <w:rsid w:val="00801877"/>
    <w:rsid w:val="00801DD6"/>
    <w:rsid w:val="00801DF7"/>
    <w:rsid w:val="008020F2"/>
    <w:rsid w:val="00802A10"/>
    <w:rsid w:val="00802A12"/>
    <w:rsid w:val="00803297"/>
    <w:rsid w:val="0080358A"/>
    <w:rsid w:val="00803C48"/>
    <w:rsid w:val="00804414"/>
    <w:rsid w:val="00804957"/>
    <w:rsid w:val="00804CE2"/>
    <w:rsid w:val="008053B3"/>
    <w:rsid w:val="008056C9"/>
    <w:rsid w:val="00805A2E"/>
    <w:rsid w:val="00806392"/>
    <w:rsid w:val="00806667"/>
    <w:rsid w:val="00806A6B"/>
    <w:rsid w:val="00806C5A"/>
    <w:rsid w:val="0080711F"/>
    <w:rsid w:val="00807F32"/>
    <w:rsid w:val="00807F5A"/>
    <w:rsid w:val="0081059C"/>
    <w:rsid w:val="00810747"/>
    <w:rsid w:val="008110A9"/>
    <w:rsid w:val="00811381"/>
    <w:rsid w:val="0081159D"/>
    <w:rsid w:val="00812B3D"/>
    <w:rsid w:val="00812C43"/>
    <w:rsid w:val="00812FAE"/>
    <w:rsid w:val="00813126"/>
    <w:rsid w:val="0081377D"/>
    <w:rsid w:val="00813B83"/>
    <w:rsid w:val="00813BE9"/>
    <w:rsid w:val="00813D83"/>
    <w:rsid w:val="00813EE5"/>
    <w:rsid w:val="00814029"/>
    <w:rsid w:val="0081426A"/>
    <w:rsid w:val="00814411"/>
    <w:rsid w:val="00815047"/>
    <w:rsid w:val="00815BF3"/>
    <w:rsid w:val="0081664A"/>
    <w:rsid w:val="008166A2"/>
    <w:rsid w:val="00816811"/>
    <w:rsid w:val="0081719C"/>
    <w:rsid w:val="00817C28"/>
    <w:rsid w:val="0082032E"/>
    <w:rsid w:val="00820396"/>
    <w:rsid w:val="00820E85"/>
    <w:rsid w:val="00820FC3"/>
    <w:rsid w:val="008212F3"/>
    <w:rsid w:val="00821940"/>
    <w:rsid w:val="00821EA8"/>
    <w:rsid w:val="00822290"/>
    <w:rsid w:val="00822537"/>
    <w:rsid w:val="008227C8"/>
    <w:rsid w:val="008228D3"/>
    <w:rsid w:val="00823131"/>
    <w:rsid w:val="0082317E"/>
    <w:rsid w:val="008232B4"/>
    <w:rsid w:val="008233EE"/>
    <w:rsid w:val="0082387A"/>
    <w:rsid w:val="00823982"/>
    <w:rsid w:val="00823A7B"/>
    <w:rsid w:val="00823F4F"/>
    <w:rsid w:val="008241D8"/>
    <w:rsid w:val="00824265"/>
    <w:rsid w:val="0082579B"/>
    <w:rsid w:val="00826113"/>
    <w:rsid w:val="00830218"/>
    <w:rsid w:val="00830E17"/>
    <w:rsid w:val="00831803"/>
    <w:rsid w:val="00831996"/>
    <w:rsid w:val="00831999"/>
    <w:rsid w:val="008319B1"/>
    <w:rsid w:val="00831A05"/>
    <w:rsid w:val="00831B1B"/>
    <w:rsid w:val="00831FDA"/>
    <w:rsid w:val="0083225D"/>
    <w:rsid w:val="0083249D"/>
    <w:rsid w:val="008335D9"/>
    <w:rsid w:val="00833F8E"/>
    <w:rsid w:val="0083483F"/>
    <w:rsid w:val="00834D7A"/>
    <w:rsid w:val="008353E6"/>
    <w:rsid w:val="00835996"/>
    <w:rsid w:val="008359D1"/>
    <w:rsid w:val="00836107"/>
    <w:rsid w:val="00836364"/>
    <w:rsid w:val="0083682F"/>
    <w:rsid w:val="008371C9"/>
    <w:rsid w:val="00837981"/>
    <w:rsid w:val="008379DB"/>
    <w:rsid w:val="00837C23"/>
    <w:rsid w:val="0084016A"/>
    <w:rsid w:val="0084050D"/>
    <w:rsid w:val="008409D8"/>
    <w:rsid w:val="00840E68"/>
    <w:rsid w:val="00841232"/>
    <w:rsid w:val="00841319"/>
    <w:rsid w:val="00841935"/>
    <w:rsid w:val="00841A69"/>
    <w:rsid w:val="00841D6F"/>
    <w:rsid w:val="00842173"/>
    <w:rsid w:val="00842354"/>
    <w:rsid w:val="00842843"/>
    <w:rsid w:val="00842AF4"/>
    <w:rsid w:val="00842BA5"/>
    <w:rsid w:val="008430DF"/>
    <w:rsid w:val="0084338E"/>
    <w:rsid w:val="0084339C"/>
    <w:rsid w:val="00843B6A"/>
    <w:rsid w:val="00843F37"/>
    <w:rsid w:val="00843F41"/>
    <w:rsid w:val="00843F51"/>
    <w:rsid w:val="00844113"/>
    <w:rsid w:val="00844836"/>
    <w:rsid w:val="00844C4A"/>
    <w:rsid w:val="008452F9"/>
    <w:rsid w:val="0084535E"/>
    <w:rsid w:val="008453A9"/>
    <w:rsid w:val="008455AA"/>
    <w:rsid w:val="00845872"/>
    <w:rsid w:val="00845F8A"/>
    <w:rsid w:val="00846024"/>
    <w:rsid w:val="008460C9"/>
    <w:rsid w:val="0084669B"/>
    <w:rsid w:val="00846BFD"/>
    <w:rsid w:val="0084706C"/>
    <w:rsid w:val="008472A8"/>
    <w:rsid w:val="008475A1"/>
    <w:rsid w:val="00847951"/>
    <w:rsid w:val="00847D6A"/>
    <w:rsid w:val="00847ECE"/>
    <w:rsid w:val="00850364"/>
    <w:rsid w:val="008509A7"/>
    <w:rsid w:val="00850E72"/>
    <w:rsid w:val="0085132D"/>
    <w:rsid w:val="00851951"/>
    <w:rsid w:val="00851FA0"/>
    <w:rsid w:val="0085238F"/>
    <w:rsid w:val="0085254B"/>
    <w:rsid w:val="008525A6"/>
    <w:rsid w:val="008528DE"/>
    <w:rsid w:val="00853DB3"/>
    <w:rsid w:val="00853E27"/>
    <w:rsid w:val="00853E85"/>
    <w:rsid w:val="008544DF"/>
    <w:rsid w:val="0085476F"/>
    <w:rsid w:val="00855384"/>
    <w:rsid w:val="008553C0"/>
    <w:rsid w:val="00855C95"/>
    <w:rsid w:val="00855D99"/>
    <w:rsid w:val="00855DEB"/>
    <w:rsid w:val="00855F4F"/>
    <w:rsid w:val="00856457"/>
    <w:rsid w:val="008567F4"/>
    <w:rsid w:val="00856A95"/>
    <w:rsid w:val="00856D10"/>
    <w:rsid w:val="00856FBF"/>
    <w:rsid w:val="008571D2"/>
    <w:rsid w:val="00857452"/>
    <w:rsid w:val="00857661"/>
    <w:rsid w:val="008577D7"/>
    <w:rsid w:val="00857C1C"/>
    <w:rsid w:val="008606E2"/>
    <w:rsid w:val="00860949"/>
    <w:rsid w:val="008614A8"/>
    <w:rsid w:val="0086186C"/>
    <w:rsid w:val="00861D7F"/>
    <w:rsid w:val="00861E45"/>
    <w:rsid w:val="008627A1"/>
    <w:rsid w:val="00862E31"/>
    <w:rsid w:val="008648F1"/>
    <w:rsid w:val="008649BD"/>
    <w:rsid w:val="008656A6"/>
    <w:rsid w:val="008656E1"/>
    <w:rsid w:val="008658D1"/>
    <w:rsid w:val="00865B45"/>
    <w:rsid w:val="00865F94"/>
    <w:rsid w:val="008661C4"/>
    <w:rsid w:val="0086693C"/>
    <w:rsid w:val="00866BA6"/>
    <w:rsid w:val="00870111"/>
    <w:rsid w:val="0087071E"/>
    <w:rsid w:val="00870889"/>
    <w:rsid w:val="00870B1C"/>
    <w:rsid w:val="00870D06"/>
    <w:rsid w:val="00870DF9"/>
    <w:rsid w:val="00870F8F"/>
    <w:rsid w:val="00871B2D"/>
    <w:rsid w:val="00872890"/>
    <w:rsid w:val="0087297A"/>
    <w:rsid w:val="008729FE"/>
    <w:rsid w:val="0087313D"/>
    <w:rsid w:val="0087324A"/>
    <w:rsid w:val="00873CFD"/>
    <w:rsid w:val="0087438B"/>
    <w:rsid w:val="00874722"/>
    <w:rsid w:val="00874DC4"/>
    <w:rsid w:val="00875137"/>
    <w:rsid w:val="008753DF"/>
    <w:rsid w:val="008756AD"/>
    <w:rsid w:val="008757ED"/>
    <w:rsid w:val="0087593E"/>
    <w:rsid w:val="00876015"/>
    <w:rsid w:val="008771D9"/>
    <w:rsid w:val="00877261"/>
    <w:rsid w:val="0087730D"/>
    <w:rsid w:val="008775F5"/>
    <w:rsid w:val="008779A0"/>
    <w:rsid w:val="00877C6F"/>
    <w:rsid w:val="00880538"/>
    <w:rsid w:val="008805BD"/>
    <w:rsid w:val="0088071B"/>
    <w:rsid w:val="00880B69"/>
    <w:rsid w:val="00881B4D"/>
    <w:rsid w:val="00881F75"/>
    <w:rsid w:val="008837E4"/>
    <w:rsid w:val="00883AFB"/>
    <w:rsid w:val="00883BCB"/>
    <w:rsid w:val="00884027"/>
    <w:rsid w:val="00884065"/>
    <w:rsid w:val="008841F3"/>
    <w:rsid w:val="0088440A"/>
    <w:rsid w:val="0088468F"/>
    <w:rsid w:val="00884EDC"/>
    <w:rsid w:val="00884F75"/>
    <w:rsid w:val="008858BF"/>
    <w:rsid w:val="0088591B"/>
    <w:rsid w:val="0088630E"/>
    <w:rsid w:val="00886A7B"/>
    <w:rsid w:val="00886E88"/>
    <w:rsid w:val="00886ECD"/>
    <w:rsid w:val="0088748E"/>
    <w:rsid w:val="00887773"/>
    <w:rsid w:val="00887B9E"/>
    <w:rsid w:val="008902C2"/>
    <w:rsid w:val="008902E8"/>
    <w:rsid w:val="00890340"/>
    <w:rsid w:val="00890F08"/>
    <w:rsid w:val="00890F96"/>
    <w:rsid w:val="008910F5"/>
    <w:rsid w:val="00891C84"/>
    <w:rsid w:val="00891F86"/>
    <w:rsid w:val="008925AD"/>
    <w:rsid w:val="008929FD"/>
    <w:rsid w:val="00892C0E"/>
    <w:rsid w:val="0089336E"/>
    <w:rsid w:val="0089376E"/>
    <w:rsid w:val="00894055"/>
    <w:rsid w:val="00894D34"/>
    <w:rsid w:val="00894D4A"/>
    <w:rsid w:val="00894DB2"/>
    <w:rsid w:val="008950A8"/>
    <w:rsid w:val="008955D4"/>
    <w:rsid w:val="008959D1"/>
    <w:rsid w:val="00895B51"/>
    <w:rsid w:val="008968DF"/>
    <w:rsid w:val="00896ACE"/>
    <w:rsid w:val="00896ADF"/>
    <w:rsid w:val="00896E5E"/>
    <w:rsid w:val="00897040"/>
    <w:rsid w:val="00897101"/>
    <w:rsid w:val="00897509"/>
    <w:rsid w:val="00897B43"/>
    <w:rsid w:val="00897B66"/>
    <w:rsid w:val="00897EE0"/>
    <w:rsid w:val="008A0336"/>
    <w:rsid w:val="008A043F"/>
    <w:rsid w:val="008A0B53"/>
    <w:rsid w:val="008A0BA7"/>
    <w:rsid w:val="008A0BC0"/>
    <w:rsid w:val="008A0F73"/>
    <w:rsid w:val="008A11BB"/>
    <w:rsid w:val="008A13D0"/>
    <w:rsid w:val="008A154B"/>
    <w:rsid w:val="008A18F8"/>
    <w:rsid w:val="008A1B6C"/>
    <w:rsid w:val="008A21EF"/>
    <w:rsid w:val="008A2257"/>
    <w:rsid w:val="008A2433"/>
    <w:rsid w:val="008A25DE"/>
    <w:rsid w:val="008A3143"/>
    <w:rsid w:val="008A351B"/>
    <w:rsid w:val="008A3583"/>
    <w:rsid w:val="008A3B0E"/>
    <w:rsid w:val="008A3D7A"/>
    <w:rsid w:val="008A3E53"/>
    <w:rsid w:val="008A42D4"/>
    <w:rsid w:val="008A4F3C"/>
    <w:rsid w:val="008A4F9C"/>
    <w:rsid w:val="008A511D"/>
    <w:rsid w:val="008A5197"/>
    <w:rsid w:val="008A5731"/>
    <w:rsid w:val="008A6666"/>
    <w:rsid w:val="008A69BC"/>
    <w:rsid w:val="008A7209"/>
    <w:rsid w:val="008A73D4"/>
    <w:rsid w:val="008A74C6"/>
    <w:rsid w:val="008A76B3"/>
    <w:rsid w:val="008B0C81"/>
    <w:rsid w:val="008B1631"/>
    <w:rsid w:val="008B193D"/>
    <w:rsid w:val="008B1C17"/>
    <w:rsid w:val="008B20E4"/>
    <w:rsid w:val="008B25F4"/>
    <w:rsid w:val="008B28C9"/>
    <w:rsid w:val="008B31EA"/>
    <w:rsid w:val="008B4A27"/>
    <w:rsid w:val="008B4D88"/>
    <w:rsid w:val="008B513A"/>
    <w:rsid w:val="008B519E"/>
    <w:rsid w:val="008B5589"/>
    <w:rsid w:val="008B599D"/>
    <w:rsid w:val="008B637F"/>
    <w:rsid w:val="008B667F"/>
    <w:rsid w:val="008B67D8"/>
    <w:rsid w:val="008B693A"/>
    <w:rsid w:val="008B6C33"/>
    <w:rsid w:val="008B6EAB"/>
    <w:rsid w:val="008B7255"/>
    <w:rsid w:val="008B732C"/>
    <w:rsid w:val="008B769A"/>
    <w:rsid w:val="008B7BDD"/>
    <w:rsid w:val="008B7C6E"/>
    <w:rsid w:val="008C011D"/>
    <w:rsid w:val="008C056F"/>
    <w:rsid w:val="008C0887"/>
    <w:rsid w:val="008C0D9F"/>
    <w:rsid w:val="008C117B"/>
    <w:rsid w:val="008C1239"/>
    <w:rsid w:val="008C154B"/>
    <w:rsid w:val="008C1B92"/>
    <w:rsid w:val="008C20A4"/>
    <w:rsid w:val="008C27EC"/>
    <w:rsid w:val="008C281A"/>
    <w:rsid w:val="008C2828"/>
    <w:rsid w:val="008C3496"/>
    <w:rsid w:val="008C3BBD"/>
    <w:rsid w:val="008C3D6D"/>
    <w:rsid w:val="008C3E00"/>
    <w:rsid w:val="008C4441"/>
    <w:rsid w:val="008C4B97"/>
    <w:rsid w:val="008C4D11"/>
    <w:rsid w:val="008C4E52"/>
    <w:rsid w:val="008C531D"/>
    <w:rsid w:val="008C53C0"/>
    <w:rsid w:val="008C564C"/>
    <w:rsid w:val="008C5E65"/>
    <w:rsid w:val="008C6C08"/>
    <w:rsid w:val="008C6DBC"/>
    <w:rsid w:val="008C6FD8"/>
    <w:rsid w:val="008C72C8"/>
    <w:rsid w:val="008C7DCC"/>
    <w:rsid w:val="008C7ED3"/>
    <w:rsid w:val="008C7F92"/>
    <w:rsid w:val="008D0670"/>
    <w:rsid w:val="008D0765"/>
    <w:rsid w:val="008D088A"/>
    <w:rsid w:val="008D0AA2"/>
    <w:rsid w:val="008D108D"/>
    <w:rsid w:val="008D12DB"/>
    <w:rsid w:val="008D25A3"/>
    <w:rsid w:val="008D2AA1"/>
    <w:rsid w:val="008D2BB2"/>
    <w:rsid w:val="008D2DE7"/>
    <w:rsid w:val="008D2F30"/>
    <w:rsid w:val="008D3049"/>
    <w:rsid w:val="008D3332"/>
    <w:rsid w:val="008D3C82"/>
    <w:rsid w:val="008D3F12"/>
    <w:rsid w:val="008D4A27"/>
    <w:rsid w:val="008D4B7F"/>
    <w:rsid w:val="008D50A2"/>
    <w:rsid w:val="008D5199"/>
    <w:rsid w:val="008D5E06"/>
    <w:rsid w:val="008D5E17"/>
    <w:rsid w:val="008D6381"/>
    <w:rsid w:val="008D7461"/>
    <w:rsid w:val="008D760A"/>
    <w:rsid w:val="008D788A"/>
    <w:rsid w:val="008D7EF1"/>
    <w:rsid w:val="008E0142"/>
    <w:rsid w:val="008E1248"/>
    <w:rsid w:val="008E15DF"/>
    <w:rsid w:val="008E23F8"/>
    <w:rsid w:val="008E2824"/>
    <w:rsid w:val="008E2ABF"/>
    <w:rsid w:val="008E30C0"/>
    <w:rsid w:val="008E3CF1"/>
    <w:rsid w:val="008E3FC0"/>
    <w:rsid w:val="008E4AD3"/>
    <w:rsid w:val="008E4D37"/>
    <w:rsid w:val="008E4DB8"/>
    <w:rsid w:val="008E5CA7"/>
    <w:rsid w:val="008E5DCF"/>
    <w:rsid w:val="008E5F2C"/>
    <w:rsid w:val="008E7982"/>
    <w:rsid w:val="008F012C"/>
    <w:rsid w:val="008F0230"/>
    <w:rsid w:val="008F0280"/>
    <w:rsid w:val="008F03C8"/>
    <w:rsid w:val="008F0744"/>
    <w:rsid w:val="008F09D2"/>
    <w:rsid w:val="008F0B3C"/>
    <w:rsid w:val="008F1D15"/>
    <w:rsid w:val="008F24EF"/>
    <w:rsid w:val="008F3350"/>
    <w:rsid w:val="008F38E8"/>
    <w:rsid w:val="008F394C"/>
    <w:rsid w:val="008F3CD1"/>
    <w:rsid w:val="008F3DCB"/>
    <w:rsid w:val="008F4A7E"/>
    <w:rsid w:val="008F50D0"/>
    <w:rsid w:val="008F537B"/>
    <w:rsid w:val="008F54F1"/>
    <w:rsid w:val="008F5C6D"/>
    <w:rsid w:val="008F5E38"/>
    <w:rsid w:val="008F5F4A"/>
    <w:rsid w:val="008F5FC8"/>
    <w:rsid w:val="008F61A9"/>
    <w:rsid w:val="008F6F8B"/>
    <w:rsid w:val="008F7022"/>
    <w:rsid w:val="008F71FA"/>
    <w:rsid w:val="008F7C90"/>
    <w:rsid w:val="0090060C"/>
    <w:rsid w:val="009007DE"/>
    <w:rsid w:val="0090102F"/>
    <w:rsid w:val="00901344"/>
    <w:rsid w:val="009015E4"/>
    <w:rsid w:val="00901895"/>
    <w:rsid w:val="00901A7B"/>
    <w:rsid w:val="00901AC3"/>
    <w:rsid w:val="00901ED5"/>
    <w:rsid w:val="00902277"/>
    <w:rsid w:val="0090263C"/>
    <w:rsid w:val="0090265B"/>
    <w:rsid w:val="00902E92"/>
    <w:rsid w:val="009035A1"/>
    <w:rsid w:val="00903A2A"/>
    <w:rsid w:val="00903C51"/>
    <w:rsid w:val="00903DD6"/>
    <w:rsid w:val="00904001"/>
    <w:rsid w:val="009040BB"/>
    <w:rsid w:val="0090456E"/>
    <w:rsid w:val="0090485A"/>
    <w:rsid w:val="00905092"/>
    <w:rsid w:val="00905607"/>
    <w:rsid w:val="00905D03"/>
    <w:rsid w:val="00906096"/>
    <w:rsid w:val="0090610F"/>
    <w:rsid w:val="009067E2"/>
    <w:rsid w:val="0090682D"/>
    <w:rsid w:val="009074D7"/>
    <w:rsid w:val="00907760"/>
    <w:rsid w:val="00907E77"/>
    <w:rsid w:val="00910270"/>
    <w:rsid w:val="009104BB"/>
    <w:rsid w:val="00910865"/>
    <w:rsid w:val="00910D97"/>
    <w:rsid w:val="009114F8"/>
    <w:rsid w:val="0091184D"/>
    <w:rsid w:val="009119BB"/>
    <w:rsid w:val="009119DE"/>
    <w:rsid w:val="0091261A"/>
    <w:rsid w:val="009127DB"/>
    <w:rsid w:val="00912A07"/>
    <w:rsid w:val="00912A25"/>
    <w:rsid w:val="00912D47"/>
    <w:rsid w:val="009133E5"/>
    <w:rsid w:val="0091374C"/>
    <w:rsid w:val="00913A1C"/>
    <w:rsid w:val="0091482C"/>
    <w:rsid w:val="0091538C"/>
    <w:rsid w:val="0091577E"/>
    <w:rsid w:val="00915796"/>
    <w:rsid w:val="0091599A"/>
    <w:rsid w:val="0091620D"/>
    <w:rsid w:val="00916ABB"/>
    <w:rsid w:val="00916D3F"/>
    <w:rsid w:val="009176ED"/>
    <w:rsid w:val="00917907"/>
    <w:rsid w:val="0091795F"/>
    <w:rsid w:val="00917E34"/>
    <w:rsid w:val="009202C8"/>
    <w:rsid w:val="00920909"/>
    <w:rsid w:val="00920C6E"/>
    <w:rsid w:val="00920FC4"/>
    <w:rsid w:val="00921907"/>
    <w:rsid w:val="009219A4"/>
    <w:rsid w:val="00921A40"/>
    <w:rsid w:val="00921F8B"/>
    <w:rsid w:val="009228C7"/>
    <w:rsid w:val="00922A65"/>
    <w:rsid w:val="00922D7B"/>
    <w:rsid w:val="00922F6A"/>
    <w:rsid w:val="0092323A"/>
    <w:rsid w:val="00923509"/>
    <w:rsid w:val="0092359D"/>
    <w:rsid w:val="009235E6"/>
    <w:rsid w:val="009245AC"/>
    <w:rsid w:val="009246B3"/>
    <w:rsid w:val="009246C5"/>
    <w:rsid w:val="00924B7E"/>
    <w:rsid w:val="00924F6E"/>
    <w:rsid w:val="009256D6"/>
    <w:rsid w:val="009257AE"/>
    <w:rsid w:val="0092588D"/>
    <w:rsid w:val="00925C8E"/>
    <w:rsid w:val="00926033"/>
    <w:rsid w:val="009261C8"/>
    <w:rsid w:val="00926A75"/>
    <w:rsid w:val="00926D84"/>
    <w:rsid w:val="00926F29"/>
    <w:rsid w:val="00927746"/>
    <w:rsid w:val="009304BD"/>
    <w:rsid w:val="009308D3"/>
    <w:rsid w:val="00930CE8"/>
    <w:rsid w:val="00930EAA"/>
    <w:rsid w:val="009311BE"/>
    <w:rsid w:val="009315DF"/>
    <w:rsid w:val="00931A1D"/>
    <w:rsid w:val="0093233D"/>
    <w:rsid w:val="0093236F"/>
    <w:rsid w:val="0093240B"/>
    <w:rsid w:val="0093264C"/>
    <w:rsid w:val="0093276A"/>
    <w:rsid w:val="00932906"/>
    <w:rsid w:val="009330AB"/>
    <w:rsid w:val="00933263"/>
    <w:rsid w:val="00933446"/>
    <w:rsid w:val="009335B8"/>
    <w:rsid w:val="009341DC"/>
    <w:rsid w:val="009341F7"/>
    <w:rsid w:val="00934724"/>
    <w:rsid w:val="0093478A"/>
    <w:rsid w:val="0093495A"/>
    <w:rsid w:val="0093531E"/>
    <w:rsid w:val="00936383"/>
    <w:rsid w:val="00936668"/>
    <w:rsid w:val="0093673E"/>
    <w:rsid w:val="00936769"/>
    <w:rsid w:val="009369CB"/>
    <w:rsid w:val="00936F31"/>
    <w:rsid w:val="00937169"/>
    <w:rsid w:val="00937205"/>
    <w:rsid w:val="009374DB"/>
    <w:rsid w:val="00937AC2"/>
    <w:rsid w:val="00940084"/>
    <w:rsid w:val="00940098"/>
    <w:rsid w:val="00940519"/>
    <w:rsid w:val="0094059B"/>
    <w:rsid w:val="009406DE"/>
    <w:rsid w:val="00940930"/>
    <w:rsid w:val="009415D1"/>
    <w:rsid w:val="00941C78"/>
    <w:rsid w:val="0094274C"/>
    <w:rsid w:val="009427CD"/>
    <w:rsid w:val="00942859"/>
    <w:rsid w:val="00942B92"/>
    <w:rsid w:val="00942E37"/>
    <w:rsid w:val="00944281"/>
    <w:rsid w:val="00944A3E"/>
    <w:rsid w:val="00944EDC"/>
    <w:rsid w:val="00945A7F"/>
    <w:rsid w:val="00945C4D"/>
    <w:rsid w:val="00950041"/>
    <w:rsid w:val="00950673"/>
    <w:rsid w:val="00950835"/>
    <w:rsid w:val="0095086B"/>
    <w:rsid w:val="00950998"/>
    <w:rsid w:val="0095117D"/>
    <w:rsid w:val="00951FA4"/>
    <w:rsid w:val="009527AA"/>
    <w:rsid w:val="009528C3"/>
    <w:rsid w:val="00952AE1"/>
    <w:rsid w:val="00952C66"/>
    <w:rsid w:val="00953270"/>
    <w:rsid w:val="00953738"/>
    <w:rsid w:val="00953819"/>
    <w:rsid w:val="00953FD1"/>
    <w:rsid w:val="0095455D"/>
    <w:rsid w:val="00954CFE"/>
    <w:rsid w:val="009556D2"/>
    <w:rsid w:val="00955DB5"/>
    <w:rsid w:val="009561A5"/>
    <w:rsid w:val="009563BD"/>
    <w:rsid w:val="00957039"/>
    <w:rsid w:val="00960674"/>
    <w:rsid w:val="0096164E"/>
    <w:rsid w:val="00961FF3"/>
    <w:rsid w:val="009628E4"/>
    <w:rsid w:val="00962BD1"/>
    <w:rsid w:val="00962E83"/>
    <w:rsid w:val="009634F2"/>
    <w:rsid w:val="009634F6"/>
    <w:rsid w:val="00963A80"/>
    <w:rsid w:val="00963F5F"/>
    <w:rsid w:val="00964173"/>
    <w:rsid w:val="009645C4"/>
    <w:rsid w:val="00964795"/>
    <w:rsid w:val="009657C4"/>
    <w:rsid w:val="00965913"/>
    <w:rsid w:val="009659ED"/>
    <w:rsid w:val="009661CC"/>
    <w:rsid w:val="00966208"/>
    <w:rsid w:val="00967663"/>
    <w:rsid w:val="00967B4F"/>
    <w:rsid w:val="00967BBB"/>
    <w:rsid w:val="00967D26"/>
    <w:rsid w:val="009700CE"/>
    <w:rsid w:val="00970E74"/>
    <w:rsid w:val="0097123C"/>
    <w:rsid w:val="00971327"/>
    <w:rsid w:val="009713EB"/>
    <w:rsid w:val="00971B9C"/>
    <w:rsid w:val="00971D37"/>
    <w:rsid w:val="00972018"/>
    <w:rsid w:val="009723F7"/>
    <w:rsid w:val="00972633"/>
    <w:rsid w:val="00972812"/>
    <w:rsid w:val="0097291A"/>
    <w:rsid w:val="00972B5C"/>
    <w:rsid w:val="00973075"/>
    <w:rsid w:val="0097354A"/>
    <w:rsid w:val="00973B1C"/>
    <w:rsid w:val="00974448"/>
    <w:rsid w:val="0097465D"/>
    <w:rsid w:val="00974661"/>
    <w:rsid w:val="00975126"/>
    <w:rsid w:val="009752BF"/>
    <w:rsid w:val="00975397"/>
    <w:rsid w:val="0097561D"/>
    <w:rsid w:val="00975C43"/>
    <w:rsid w:val="00975EAA"/>
    <w:rsid w:val="00976A72"/>
    <w:rsid w:val="009771C8"/>
    <w:rsid w:val="0097737A"/>
    <w:rsid w:val="00977F0B"/>
    <w:rsid w:val="00980076"/>
    <w:rsid w:val="009803E8"/>
    <w:rsid w:val="00980F23"/>
    <w:rsid w:val="00981036"/>
    <w:rsid w:val="009815FC"/>
    <w:rsid w:val="00982454"/>
    <w:rsid w:val="00982AED"/>
    <w:rsid w:val="00982F21"/>
    <w:rsid w:val="00983131"/>
    <w:rsid w:val="00983A50"/>
    <w:rsid w:val="00983DD4"/>
    <w:rsid w:val="00983F75"/>
    <w:rsid w:val="0098405A"/>
    <w:rsid w:val="009842DD"/>
    <w:rsid w:val="00984BC8"/>
    <w:rsid w:val="00984D68"/>
    <w:rsid w:val="00984EB5"/>
    <w:rsid w:val="009850FA"/>
    <w:rsid w:val="009854E1"/>
    <w:rsid w:val="00985A66"/>
    <w:rsid w:val="00986119"/>
    <w:rsid w:val="00986998"/>
    <w:rsid w:val="00986DF4"/>
    <w:rsid w:val="00986F52"/>
    <w:rsid w:val="00987285"/>
    <w:rsid w:val="0098761B"/>
    <w:rsid w:val="0098790C"/>
    <w:rsid w:val="00987ABA"/>
    <w:rsid w:val="00987AF6"/>
    <w:rsid w:val="00990383"/>
    <w:rsid w:val="009908E8"/>
    <w:rsid w:val="00990E11"/>
    <w:rsid w:val="009912BE"/>
    <w:rsid w:val="00991453"/>
    <w:rsid w:val="009917F6"/>
    <w:rsid w:val="00991BE6"/>
    <w:rsid w:val="00991D6F"/>
    <w:rsid w:val="00991E79"/>
    <w:rsid w:val="00992081"/>
    <w:rsid w:val="009920FD"/>
    <w:rsid w:val="00992AEC"/>
    <w:rsid w:val="00992FBA"/>
    <w:rsid w:val="00993487"/>
    <w:rsid w:val="0099456E"/>
    <w:rsid w:val="009945C3"/>
    <w:rsid w:val="00994643"/>
    <w:rsid w:val="00994B09"/>
    <w:rsid w:val="00994DFB"/>
    <w:rsid w:val="00995C5C"/>
    <w:rsid w:val="00995DA6"/>
    <w:rsid w:val="00995F0C"/>
    <w:rsid w:val="00995F3E"/>
    <w:rsid w:val="00996CFA"/>
    <w:rsid w:val="00996F3A"/>
    <w:rsid w:val="009970E2"/>
    <w:rsid w:val="009973BA"/>
    <w:rsid w:val="00997D03"/>
    <w:rsid w:val="009A0434"/>
    <w:rsid w:val="009A06CC"/>
    <w:rsid w:val="009A06D3"/>
    <w:rsid w:val="009A08DD"/>
    <w:rsid w:val="009A091E"/>
    <w:rsid w:val="009A11C3"/>
    <w:rsid w:val="009A1A93"/>
    <w:rsid w:val="009A1DC1"/>
    <w:rsid w:val="009A1E87"/>
    <w:rsid w:val="009A1EE6"/>
    <w:rsid w:val="009A22AC"/>
    <w:rsid w:val="009A22E1"/>
    <w:rsid w:val="009A2AAB"/>
    <w:rsid w:val="009A2C01"/>
    <w:rsid w:val="009A2C3C"/>
    <w:rsid w:val="009A31F8"/>
    <w:rsid w:val="009A332E"/>
    <w:rsid w:val="009A3370"/>
    <w:rsid w:val="009A3382"/>
    <w:rsid w:val="009A33B1"/>
    <w:rsid w:val="009A37DA"/>
    <w:rsid w:val="009A4704"/>
    <w:rsid w:val="009A4F07"/>
    <w:rsid w:val="009A55C3"/>
    <w:rsid w:val="009A5976"/>
    <w:rsid w:val="009A5B1A"/>
    <w:rsid w:val="009A5B92"/>
    <w:rsid w:val="009A5D4B"/>
    <w:rsid w:val="009A6D81"/>
    <w:rsid w:val="009A6DBF"/>
    <w:rsid w:val="009B0159"/>
    <w:rsid w:val="009B0905"/>
    <w:rsid w:val="009B0914"/>
    <w:rsid w:val="009B1540"/>
    <w:rsid w:val="009B1FF7"/>
    <w:rsid w:val="009B2264"/>
    <w:rsid w:val="009B27C0"/>
    <w:rsid w:val="009B2AE1"/>
    <w:rsid w:val="009B300F"/>
    <w:rsid w:val="009B312D"/>
    <w:rsid w:val="009B3287"/>
    <w:rsid w:val="009B358D"/>
    <w:rsid w:val="009B364A"/>
    <w:rsid w:val="009B36CE"/>
    <w:rsid w:val="009B3976"/>
    <w:rsid w:val="009B3BD4"/>
    <w:rsid w:val="009B4309"/>
    <w:rsid w:val="009B451A"/>
    <w:rsid w:val="009B52AA"/>
    <w:rsid w:val="009B57A8"/>
    <w:rsid w:val="009B5FE7"/>
    <w:rsid w:val="009B63E6"/>
    <w:rsid w:val="009B67F2"/>
    <w:rsid w:val="009B682D"/>
    <w:rsid w:val="009B6910"/>
    <w:rsid w:val="009B6B42"/>
    <w:rsid w:val="009B6B4B"/>
    <w:rsid w:val="009B6CE2"/>
    <w:rsid w:val="009B6DDC"/>
    <w:rsid w:val="009B705D"/>
    <w:rsid w:val="009B720F"/>
    <w:rsid w:val="009B7456"/>
    <w:rsid w:val="009B7937"/>
    <w:rsid w:val="009C0FE0"/>
    <w:rsid w:val="009C1CAB"/>
    <w:rsid w:val="009C2318"/>
    <w:rsid w:val="009C2395"/>
    <w:rsid w:val="009C25E9"/>
    <w:rsid w:val="009C2A91"/>
    <w:rsid w:val="009C3028"/>
    <w:rsid w:val="009C35B2"/>
    <w:rsid w:val="009C3D4B"/>
    <w:rsid w:val="009C45D7"/>
    <w:rsid w:val="009C479A"/>
    <w:rsid w:val="009C4978"/>
    <w:rsid w:val="009C4C64"/>
    <w:rsid w:val="009C4CA5"/>
    <w:rsid w:val="009C4DE8"/>
    <w:rsid w:val="009C4EEB"/>
    <w:rsid w:val="009C4F5C"/>
    <w:rsid w:val="009C5C3B"/>
    <w:rsid w:val="009C5CF0"/>
    <w:rsid w:val="009C5FC5"/>
    <w:rsid w:val="009C66DC"/>
    <w:rsid w:val="009C6789"/>
    <w:rsid w:val="009C6896"/>
    <w:rsid w:val="009C69CC"/>
    <w:rsid w:val="009C6B40"/>
    <w:rsid w:val="009D00A5"/>
    <w:rsid w:val="009D00E1"/>
    <w:rsid w:val="009D0130"/>
    <w:rsid w:val="009D0D48"/>
    <w:rsid w:val="009D0E7E"/>
    <w:rsid w:val="009D144A"/>
    <w:rsid w:val="009D14DA"/>
    <w:rsid w:val="009D1B4A"/>
    <w:rsid w:val="009D2259"/>
    <w:rsid w:val="009D2CD1"/>
    <w:rsid w:val="009D316B"/>
    <w:rsid w:val="009D352D"/>
    <w:rsid w:val="009D3CD0"/>
    <w:rsid w:val="009D560F"/>
    <w:rsid w:val="009D5D5F"/>
    <w:rsid w:val="009D5D7B"/>
    <w:rsid w:val="009D60A0"/>
    <w:rsid w:val="009D6E2A"/>
    <w:rsid w:val="009D7423"/>
    <w:rsid w:val="009D77C8"/>
    <w:rsid w:val="009D7933"/>
    <w:rsid w:val="009D7D03"/>
    <w:rsid w:val="009D7D78"/>
    <w:rsid w:val="009D7F43"/>
    <w:rsid w:val="009E0675"/>
    <w:rsid w:val="009E1CFB"/>
    <w:rsid w:val="009E202A"/>
    <w:rsid w:val="009E22C7"/>
    <w:rsid w:val="009E2547"/>
    <w:rsid w:val="009E274D"/>
    <w:rsid w:val="009E287C"/>
    <w:rsid w:val="009E37A1"/>
    <w:rsid w:val="009E3D87"/>
    <w:rsid w:val="009E415C"/>
    <w:rsid w:val="009E42E8"/>
    <w:rsid w:val="009E4831"/>
    <w:rsid w:val="009E4997"/>
    <w:rsid w:val="009E4B32"/>
    <w:rsid w:val="009E52EC"/>
    <w:rsid w:val="009E5364"/>
    <w:rsid w:val="009E5533"/>
    <w:rsid w:val="009E55DF"/>
    <w:rsid w:val="009E55EE"/>
    <w:rsid w:val="009E5A9A"/>
    <w:rsid w:val="009E6024"/>
    <w:rsid w:val="009E6462"/>
    <w:rsid w:val="009E6681"/>
    <w:rsid w:val="009E67B0"/>
    <w:rsid w:val="009E6937"/>
    <w:rsid w:val="009E6B2D"/>
    <w:rsid w:val="009E6F91"/>
    <w:rsid w:val="009E7016"/>
    <w:rsid w:val="009E76B0"/>
    <w:rsid w:val="009E771A"/>
    <w:rsid w:val="009E7858"/>
    <w:rsid w:val="009E7C0A"/>
    <w:rsid w:val="009E7C29"/>
    <w:rsid w:val="009E7CCE"/>
    <w:rsid w:val="009E7F04"/>
    <w:rsid w:val="009F080F"/>
    <w:rsid w:val="009F09C6"/>
    <w:rsid w:val="009F124E"/>
    <w:rsid w:val="009F1C5D"/>
    <w:rsid w:val="009F1D59"/>
    <w:rsid w:val="009F1DF1"/>
    <w:rsid w:val="009F1E8E"/>
    <w:rsid w:val="009F1F8F"/>
    <w:rsid w:val="009F210E"/>
    <w:rsid w:val="009F2231"/>
    <w:rsid w:val="009F2567"/>
    <w:rsid w:val="009F2607"/>
    <w:rsid w:val="009F2868"/>
    <w:rsid w:val="009F2B0A"/>
    <w:rsid w:val="009F2DB6"/>
    <w:rsid w:val="009F2DEF"/>
    <w:rsid w:val="009F377F"/>
    <w:rsid w:val="009F4777"/>
    <w:rsid w:val="009F4EB9"/>
    <w:rsid w:val="009F500F"/>
    <w:rsid w:val="009F622B"/>
    <w:rsid w:val="009F659E"/>
    <w:rsid w:val="009F6CAC"/>
    <w:rsid w:val="009F6D53"/>
    <w:rsid w:val="009F6ED7"/>
    <w:rsid w:val="009F76DC"/>
    <w:rsid w:val="009F785E"/>
    <w:rsid w:val="00A000BB"/>
    <w:rsid w:val="00A00216"/>
    <w:rsid w:val="00A004ED"/>
    <w:rsid w:val="00A00648"/>
    <w:rsid w:val="00A01BCC"/>
    <w:rsid w:val="00A01CA3"/>
    <w:rsid w:val="00A027F1"/>
    <w:rsid w:val="00A02854"/>
    <w:rsid w:val="00A02BB6"/>
    <w:rsid w:val="00A02C80"/>
    <w:rsid w:val="00A02C82"/>
    <w:rsid w:val="00A0397A"/>
    <w:rsid w:val="00A03E37"/>
    <w:rsid w:val="00A04AAB"/>
    <w:rsid w:val="00A04D67"/>
    <w:rsid w:val="00A04D87"/>
    <w:rsid w:val="00A05270"/>
    <w:rsid w:val="00A054D9"/>
    <w:rsid w:val="00A05DDE"/>
    <w:rsid w:val="00A069BE"/>
    <w:rsid w:val="00A06A43"/>
    <w:rsid w:val="00A07215"/>
    <w:rsid w:val="00A0723E"/>
    <w:rsid w:val="00A07660"/>
    <w:rsid w:val="00A07A58"/>
    <w:rsid w:val="00A104AD"/>
    <w:rsid w:val="00A1056B"/>
    <w:rsid w:val="00A105AB"/>
    <w:rsid w:val="00A109C8"/>
    <w:rsid w:val="00A10A77"/>
    <w:rsid w:val="00A10AC9"/>
    <w:rsid w:val="00A10D8B"/>
    <w:rsid w:val="00A1118B"/>
    <w:rsid w:val="00A112F3"/>
    <w:rsid w:val="00A1150A"/>
    <w:rsid w:val="00A116D4"/>
    <w:rsid w:val="00A119C8"/>
    <w:rsid w:val="00A11B89"/>
    <w:rsid w:val="00A11E04"/>
    <w:rsid w:val="00A1216D"/>
    <w:rsid w:val="00A1264B"/>
    <w:rsid w:val="00A12F51"/>
    <w:rsid w:val="00A130EE"/>
    <w:rsid w:val="00A131BC"/>
    <w:rsid w:val="00A13559"/>
    <w:rsid w:val="00A136B2"/>
    <w:rsid w:val="00A138C4"/>
    <w:rsid w:val="00A14BC4"/>
    <w:rsid w:val="00A14F07"/>
    <w:rsid w:val="00A14FF0"/>
    <w:rsid w:val="00A156EE"/>
    <w:rsid w:val="00A15E26"/>
    <w:rsid w:val="00A16012"/>
    <w:rsid w:val="00A16746"/>
    <w:rsid w:val="00A1725E"/>
    <w:rsid w:val="00A17787"/>
    <w:rsid w:val="00A1780D"/>
    <w:rsid w:val="00A20118"/>
    <w:rsid w:val="00A203EB"/>
    <w:rsid w:val="00A204B3"/>
    <w:rsid w:val="00A2085B"/>
    <w:rsid w:val="00A20BB9"/>
    <w:rsid w:val="00A20C8E"/>
    <w:rsid w:val="00A20CF5"/>
    <w:rsid w:val="00A211F5"/>
    <w:rsid w:val="00A21769"/>
    <w:rsid w:val="00A22092"/>
    <w:rsid w:val="00A22291"/>
    <w:rsid w:val="00A225CE"/>
    <w:rsid w:val="00A225F2"/>
    <w:rsid w:val="00A229B4"/>
    <w:rsid w:val="00A22C8A"/>
    <w:rsid w:val="00A23587"/>
    <w:rsid w:val="00A23727"/>
    <w:rsid w:val="00A23A25"/>
    <w:rsid w:val="00A2436A"/>
    <w:rsid w:val="00A244A7"/>
    <w:rsid w:val="00A252B9"/>
    <w:rsid w:val="00A25B11"/>
    <w:rsid w:val="00A25EF9"/>
    <w:rsid w:val="00A25FF9"/>
    <w:rsid w:val="00A26401"/>
    <w:rsid w:val="00A26822"/>
    <w:rsid w:val="00A27480"/>
    <w:rsid w:val="00A2790E"/>
    <w:rsid w:val="00A27B0D"/>
    <w:rsid w:val="00A30188"/>
    <w:rsid w:val="00A304A5"/>
    <w:rsid w:val="00A309C1"/>
    <w:rsid w:val="00A30BDC"/>
    <w:rsid w:val="00A31D49"/>
    <w:rsid w:val="00A32434"/>
    <w:rsid w:val="00A3311C"/>
    <w:rsid w:val="00A3371F"/>
    <w:rsid w:val="00A33C09"/>
    <w:rsid w:val="00A33F62"/>
    <w:rsid w:val="00A3497C"/>
    <w:rsid w:val="00A34C1D"/>
    <w:rsid w:val="00A353F8"/>
    <w:rsid w:val="00A35EF2"/>
    <w:rsid w:val="00A36376"/>
    <w:rsid w:val="00A368CF"/>
    <w:rsid w:val="00A36C15"/>
    <w:rsid w:val="00A374BF"/>
    <w:rsid w:val="00A377FA"/>
    <w:rsid w:val="00A4030B"/>
    <w:rsid w:val="00A4077A"/>
    <w:rsid w:val="00A40CDA"/>
    <w:rsid w:val="00A40D76"/>
    <w:rsid w:val="00A40EDB"/>
    <w:rsid w:val="00A41435"/>
    <w:rsid w:val="00A41565"/>
    <w:rsid w:val="00A41606"/>
    <w:rsid w:val="00A4250D"/>
    <w:rsid w:val="00A42E41"/>
    <w:rsid w:val="00A43214"/>
    <w:rsid w:val="00A437B9"/>
    <w:rsid w:val="00A437D2"/>
    <w:rsid w:val="00A4415C"/>
    <w:rsid w:val="00A441C4"/>
    <w:rsid w:val="00A441D1"/>
    <w:rsid w:val="00A447CA"/>
    <w:rsid w:val="00A44BCA"/>
    <w:rsid w:val="00A44E06"/>
    <w:rsid w:val="00A44EBC"/>
    <w:rsid w:val="00A44EFF"/>
    <w:rsid w:val="00A451CD"/>
    <w:rsid w:val="00A45461"/>
    <w:rsid w:val="00A4561B"/>
    <w:rsid w:val="00A462C7"/>
    <w:rsid w:val="00A46605"/>
    <w:rsid w:val="00A46606"/>
    <w:rsid w:val="00A46890"/>
    <w:rsid w:val="00A469B2"/>
    <w:rsid w:val="00A473B8"/>
    <w:rsid w:val="00A47E9C"/>
    <w:rsid w:val="00A50109"/>
    <w:rsid w:val="00A50745"/>
    <w:rsid w:val="00A507AC"/>
    <w:rsid w:val="00A50B7C"/>
    <w:rsid w:val="00A50DB6"/>
    <w:rsid w:val="00A50E48"/>
    <w:rsid w:val="00A51660"/>
    <w:rsid w:val="00A5191A"/>
    <w:rsid w:val="00A519F0"/>
    <w:rsid w:val="00A51A18"/>
    <w:rsid w:val="00A52092"/>
    <w:rsid w:val="00A52129"/>
    <w:rsid w:val="00A52531"/>
    <w:rsid w:val="00A52672"/>
    <w:rsid w:val="00A5270F"/>
    <w:rsid w:val="00A52886"/>
    <w:rsid w:val="00A53022"/>
    <w:rsid w:val="00A538CD"/>
    <w:rsid w:val="00A53FC2"/>
    <w:rsid w:val="00A540BC"/>
    <w:rsid w:val="00A54326"/>
    <w:rsid w:val="00A5440C"/>
    <w:rsid w:val="00A54DCD"/>
    <w:rsid w:val="00A55264"/>
    <w:rsid w:val="00A553E0"/>
    <w:rsid w:val="00A55536"/>
    <w:rsid w:val="00A55E98"/>
    <w:rsid w:val="00A5602C"/>
    <w:rsid w:val="00A56500"/>
    <w:rsid w:val="00A566D9"/>
    <w:rsid w:val="00A56E89"/>
    <w:rsid w:val="00A57EA5"/>
    <w:rsid w:val="00A60320"/>
    <w:rsid w:val="00A60A10"/>
    <w:rsid w:val="00A61A74"/>
    <w:rsid w:val="00A62238"/>
    <w:rsid w:val="00A6270A"/>
    <w:rsid w:val="00A62C38"/>
    <w:rsid w:val="00A631A6"/>
    <w:rsid w:val="00A63280"/>
    <w:rsid w:val="00A639B1"/>
    <w:rsid w:val="00A63EED"/>
    <w:rsid w:val="00A6415A"/>
    <w:rsid w:val="00A641FE"/>
    <w:rsid w:val="00A64800"/>
    <w:rsid w:val="00A64C0A"/>
    <w:rsid w:val="00A6563A"/>
    <w:rsid w:val="00A65B3F"/>
    <w:rsid w:val="00A65E64"/>
    <w:rsid w:val="00A662C1"/>
    <w:rsid w:val="00A663B6"/>
    <w:rsid w:val="00A66BFB"/>
    <w:rsid w:val="00A66C62"/>
    <w:rsid w:val="00A670FC"/>
    <w:rsid w:val="00A671EE"/>
    <w:rsid w:val="00A6769B"/>
    <w:rsid w:val="00A67B3C"/>
    <w:rsid w:val="00A703FC"/>
    <w:rsid w:val="00A70839"/>
    <w:rsid w:val="00A709D9"/>
    <w:rsid w:val="00A71D07"/>
    <w:rsid w:val="00A721EB"/>
    <w:rsid w:val="00A729E9"/>
    <w:rsid w:val="00A72C23"/>
    <w:rsid w:val="00A72D11"/>
    <w:rsid w:val="00A730F9"/>
    <w:rsid w:val="00A73A13"/>
    <w:rsid w:val="00A73A40"/>
    <w:rsid w:val="00A74219"/>
    <w:rsid w:val="00A7423D"/>
    <w:rsid w:val="00A7465F"/>
    <w:rsid w:val="00A747B1"/>
    <w:rsid w:val="00A747E9"/>
    <w:rsid w:val="00A748CB"/>
    <w:rsid w:val="00A74C85"/>
    <w:rsid w:val="00A74D02"/>
    <w:rsid w:val="00A7509D"/>
    <w:rsid w:val="00A751EE"/>
    <w:rsid w:val="00A756D9"/>
    <w:rsid w:val="00A75B65"/>
    <w:rsid w:val="00A75E3D"/>
    <w:rsid w:val="00A760C4"/>
    <w:rsid w:val="00A765D8"/>
    <w:rsid w:val="00A76BEE"/>
    <w:rsid w:val="00A76CB3"/>
    <w:rsid w:val="00A76D11"/>
    <w:rsid w:val="00A76D1B"/>
    <w:rsid w:val="00A771ED"/>
    <w:rsid w:val="00A80022"/>
    <w:rsid w:val="00A81929"/>
    <w:rsid w:val="00A81AA9"/>
    <w:rsid w:val="00A81D4B"/>
    <w:rsid w:val="00A82B8E"/>
    <w:rsid w:val="00A82D8F"/>
    <w:rsid w:val="00A834A2"/>
    <w:rsid w:val="00A83634"/>
    <w:rsid w:val="00A83667"/>
    <w:rsid w:val="00A83AD8"/>
    <w:rsid w:val="00A8401E"/>
    <w:rsid w:val="00A842B2"/>
    <w:rsid w:val="00A8438B"/>
    <w:rsid w:val="00A84C24"/>
    <w:rsid w:val="00A84F88"/>
    <w:rsid w:val="00A8610E"/>
    <w:rsid w:val="00A86132"/>
    <w:rsid w:val="00A86448"/>
    <w:rsid w:val="00A865CA"/>
    <w:rsid w:val="00A8718A"/>
    <w:rsid w:val="00A87821"/>
    <w:rsid w:val="00A87883"/>
    <w:rsid w:val="00A87A69"/>
    <w:rsid w:val="00A87A75"/>
    <w:rsid w:val="00A87F0B"/>
    <w:rsid w:val="00A902E3"/>
    <w:rsid w:val="00A910CB"/>
    <w:rsid w:val="00A916D7"/>
    <w:rsid w:val="00A920D4"/>
    <w:rsid w:val="00A921D6"/>
    <w:rsid w:val="00A92396"/>
    <w:rsid w:val="00A934D5"/>
    <w:rsid w:val="00A935FD"/>
    <w:rsid w:val="00A956A9"/>
    <w:rsid w:val="00A9597D"/>
    <w:rsid w:val="00A95BA9"/>
    <w:rsid w:val="00A95DFD"/>
    <w:rsid w:val="00A96040"/>
    <w:rsid w:val="00A960BC"/>
    <w:rsid w:val="00A96243"/>
    <w:rsid w:val="00A96471"/>
    <w:rsid w:val="00A96AD2"/>
    <w:rsid w:val="00A96E1A"/>
    <w:rsid w:val="00A9731A"/>
    <w:rsid w:val="00A9735D"/>
    <w:rsid w:val="00A97933"/>
    <w:rsid w:val="00A97B2D"/>
    <w:rsid w:val="00A97E4D"/>
    <w:rsid w:val="00AA00A2"/>
    <w:rsid w:val="00AA0240"/>
    <w:rsid w:val="00AA0A07"/>
    <w:rsid w:val="00AA0C01"/>
    <w:rsid w:val="00AA110E"/>
    <w:rsid w:val="00AA1551"/>
    <w:rsid w:val="00AA1B44"/>
    <w:rsid w:val="00AA1D27"/>
    <w:rsid w:val="00AA207A"/>
    <w:rsid w:val="00AA23A9"/>
    <w:rsid w:val="00AA26CA"/>
    <w:rsid w:val="00AA2C36"/>
    <w:rsid w:val="00AA3690"/>
    <w:rsid w:val="00AA3A55"/>
    <w:rsid w:val="00AA3B5C"/>
    <w:rsid w:val="00AA3DD9"/>
    <w:rsid w:val="00AA40E2"/>
    <w:rsid w:val="00AA4113"/>
    <w:rsid w:val="00AA423F"/>
    <w:rsid w:val="00AA4D4B"/>
    <w:rsid w:val="00AA5DFD"/>
    <w:rsid w:val="00AA5FE3"/>
    <w:rsid w:val="00AA6312"/>
    <w:rsid w:val="00AA6D89"/>
    <w:rsid w:val="00AA6ECC"/>
    <w:rsid w:val="00AA6F35"/>
    <w:rsid w:val="00AA75D9"/>
    <w:rsid w:val="00AA7660"/>
    <w:rsid w:val="00AA797A"/>
    <w:rsid w:val="00AB05BC"/>
    <w:rsid w:val="00AB06AE"/>
    <w:rsid w:val="00AB079D"/>
    <w:rsid w:val="00AB0B6B"/>
    <w:rsid w:val="00AB0CC8"/>
    <w:rsid w:val="00AB0EBF"/>
    <w:rsid w:val="00AB1350"/>
    <w:rsid w:val="00AB15AE"/>
    <w:rsid w:val="00AB1998"/>
    <w:rsid w:val="00AB23DA"/>
    <w:rsid w:val="00AB2551"/>
    <w:rsid w:val="00AB26A3"/>
    <w:rsid w:val="00AB27D4"/>
    <w:rsid w:val="00AB3E37"/>
    <w:rsid w:val="00AB40A6"/>
    <w:rsid w:val="00AB4254"/>
    <w:rsid w:val="00AB4274"/>
    <w:rsid w:val="00AB4C26"/>
    <w:rsid w:val="00AB58D5"/>
    <w:rsid w:val="00AB599A"/>
    <w:rsid w:val="00AB5DA6"/>
    <w:rsid w:val="00AB60F3"/>
    <w:rsid w:val="00AB638C"/>
    <w:rsid w:val="00AB7077"/>
    <w:rsid w:val="00AB70F2"/>
    <w:rsid w:val="00AB7483"/>
    <w:rsid w:val="00AB7BF8"/>
    <w:rsid w:val="00AB7C72"/>
    <w:rsid w:val="00AC0D1A"/>
    <w:rsid w:val="00AC0D25"/>
    <w:rsid w:val="00AC0DE2"/>
    <w:rsid w:val="00AC1103"/>
    <w:rsid w:val="00AC1A5E"/>
    <w:rsid w:val="00AC1EA8"/>
    <w:rsid w:val="00AC2179"/>
    <w:rsid w:val="00AC261D"/>
    <w:rsid w:val="00AC2A6F"/>
    <w:rsid w:val="00AC2D05"/>
    <w:rsid w:val="00AC325F"/>
    <w:rsid w:val="00AC348F"/>
    <w:rsid w:val="00AC409F"/>
    <w:rsid w:val="00AC44DF"/>
    <w:rsid w:val="00AC4A11"/>
    <w:rsid w:val="00AC4BBE"/>
    <w:rsid w:val="00AC5263"/>
    <w:rsid w:val="00AC59C0"/>
    <w:rsid w:val="00AC6598"/>
    <w:rsid w:val="00AC6F69"/>
    <w:rsid w:val="00AC709B"/>
    <w:rsid w:val="00AC7A98"/>
    <w:rsid w:val="00AC7E62"/>
    <w:rsid w:val="00AD038F"/>
    <w:rsid w:val="00AD0660"/>
    <w:rsid w:val="00AD1122"/>
    <w:rsid w:val="00AD2065"/>
    <w:rsid w:val="00AD21B7"/>
    <w:rsid w:val="00AD22FD"/>
    <w:rsid w:val="00AD233A"/>
    <w:rsid w:val="00AD2735"/>
    <w:rsid w:val="00AD2856"/>
    <w:rsid w:val="00AD2BDC"/>
    <w:rsid w:val="00AD2D52"/>
    <w:rsid w:val="00AD3116"/>
    <w:rsid w:val="00AD389A"/>
    <w:rsid w:val="00AD4CED"/>
    <w:rsid w:val="00AD4F44"/>
    <w:rsid w:val="00AD537C"/>
    <w:rsid w:val="00AD5C69"/>
    <w:rsid w:val="00AD64B4"/>
    <w:rsid w:val="00AD699D"/>
    <w:rsid w:val="00AD6B42"/>
    <w:rsid w:val="00AD6F08"/>
    <w:rsid w:val="00AD7491"/>
    <w:rsid w:val="00AD7C01"/>
    <w:rsid w:val="00AE0154"/>
    <w:rsid w:val="00AE0658"/>
    <w:rsid w:val="00AE0CF1"/>
    <w:rsid w:val="00AE1142"/>
    <w:rsid w:val="00AE11FA"/>
    <w:rsid w:val="00AE210A"/>
    <w:rsid w:val="00AE26F5"/>
    <w:rsid w:val="00AE2CDF"/>
    <w:rsid w:val="00AE2CFA"/>
    <w:rsid w:val="00AE30DB"/>
    <w:rsid w:val="00AE3129"/>
    <w:rsid w:val="00AE31F6"/>
    <w:rsid w:val="00AE326F"/>
    <w:rsid w:val="00AE3488"/>
    <w:rsid w:val="00AE3609"/>
    <w:rsid w:val="00AE3749"/>
    <w:rsid w:val="00AE3A82"/>
    <w:rsid w:val="00AE3D18"/>
    <w:rsid w:val="00AE3E75"/>
    <w:rsid w:val="00AE436F"/>
    <w:rsid w:val="00AE4690"/>
    <w:rsid w:val="00AE4B65"/>
    <w:rsid w:val="00AE4BB3"/>
    <w:rsid w:val="00AE4BC2"/>
    <w:rsid w:val="00AE4C28"/>
    <w:rsid w:val="00AE4E5D"/>
    <w:rsid w:val="00AE5210"/>
    <w:rsid w:val="00AE5518"/>
    <w:rsid w:val="00AE5744"/>
    <w:rsid w:val="00AE58EE"/>
    <w:rsid w:val="00AE593B"/>
    <w:rsid w:val="00AE5A5D"/>
    <w:rsid w:val="00AE5FF3"/>
    <w:rsid w:val="00AE62E0"/>
    <w:rsid w:val="00AE62E2"/>
    <w:rsid w:val="00AE72D9"/>
    <w:rsid w:val="00AE7301"/>
    <w:rsid w:val="00AE74B6"/>
    <w:rsid w:val="00AE7674"/>
    <w:rsid w:val="00AE76C6"/>
    <w:rsid w:val="00AE7BB3"/>
    <w:rsid w:val="00AF06E7"/>
    <w:rsid w:val="00AF0D35"/>
    <w:rsid w:val="00AF113D"/>
    <w:rsid w:val="00AF1F5A"/>
    <w:rsid w:val="00AF2755"/>
    <w:rsid w:val="00AF308D"/>
    <w:rsid w:val="00AF34C3"/>
    <w:rsid w:val="00AF3619"/>
    <w:rsid w:val="00AF392E"/>
    <w:rsid w:val="00AF39AD"/>
    <w:rsid w:val="00AF415D"/>
    <w:rsid w:val="00AF47C2"/>
    <w:rsid w:val="00AF4AD7"/>
    <w:rsid w:val="00AF4D91"/>
    <w:rsid w:val="00AF4F09"/>
    <w:rsid w:val="00AF60C2"/>
    <w:rsid w:val="00AF6B38"/>
    <w:rsid w:val="00AF732E"/>
    <w:rsid w:val="00AF78DA"/>
    <w:rsid w:val="00B0055E"/>
    <w:rsid w:val="00B00C47"/>
    <w:rsid w:val="00B012D2"/>
    <w:rsid w:val="00B01316"/>
    <w:rsid w:val="00B01415"/>
    <w:rsid w:val="00B01915"/>
    <w:rsid w:val="00B01E4E"/>
    <w:rsid w:val="00B021D3"/>
    <w:rsid w:val="00B0248C"/>
    <w:rsid w:val="00B024C9"/>
    <w:rsid w:val="00B0272B"/>
    <w:rsid w:val="00B02BDE"/>
    <w:rsid w:val="00B02C86"/>
    <w:rsid w:val="00B02C8A"/>
    <w:rsid w:val="00B03F5C"/>
    <w:rsid w:val="00B040DE"/>
    <w:rsid w:val="00B04BA2"/>
    <w:rsid w:val="00B053AF"/>
    <w:rsid w:val="00B05EAF"/>
    <w:rsid w:val="00B06BBF"/>
    <w:rsid w:val="00B06CEE"/>
    <w:rsid w:val="00B0716B"/>
    <w:rsid w:val="00B0774E"/>
    <w:rsid w:val="00B100E7"/>
    <w:rsid w:val="00B1019A"/>
    <w:rsid w:val="00B115F8"/>
    <w:rsid w:val="00B11ACC"/>
    <w:rsid w:val="00B1212A"/>
    <w:rsid w:val="00B12C09"/>
    <w:rsid w:val="00B13439"/>
    <w:rsid w:val="00B14610"/>
    <w:rsid w:val="00B150E6"/>
    <w:rsid w:val="00B154C9"/>
    <w:rsid w:val="00B1573D"/>
    <w:rsid w:val="00B15DE5"/>
    <w:rsid w:val="00B1632D"/>
    <w:rsid w:val="00B16B2E"/>
    <w:rsid w:val="00B17C44"/>
    <w:rsid w:val="00B17D82"/>
    <w:rsid w:val="00B20322"/>
    <w:rsid w:val="00B2103D"/>
    <w:rsid w:val="00B2189C"/>
    <w:rsid w:val="00B21A80"/>
    <w:rsid w:val="00B21E49"/>
    <w:rsid w:val="00B226C4"/>
    <w:rsid w:val="00B22BAC"/>
    <w:rsid w:val="00B22C49"/>
    <w:rsid w:val="00B230CB"/>
    <w:rsid w:val="00B23736"/>
    <w:rsid w:val="00B238AC"/>
    <w:rsid w:val="00B239E0"/>
    <w:rsid w:val="00B23A51"/>
    <w:rsid w:val="00B23A66"/>
    <w:rsid w:val="00B23FE7"/>
    <w:rsid w:val="00B24607"/>
    <w:rsid w:val="00B24DF9"/>
    <w:rsid w:val="00B24FA5"/>
    <w:rsid w:val="00B25294"/>
    <w:rsid w:val="00B26060"/>
    <w:rsid w:val="00B269C9"/>
    <w:rsid w:val="00B27109"/>
    <w:rsid w:val="00B272DF"/>
    <w:rsid w:val="00B277B5"/>
    <w:rsid w:val="00B3025D"/>
    <w:rsid w:val="00B30888"/>
    <w:rsid w:val="00B308E8"/>
    <w:rsid w:val="00B318DB"/>
    <w:rsid w:val="00B3279B"/>
    <w:rsid w:val="00B328C6"/>
    <w:rsid w:val="00B32B4C"/>
    <w:rsid w:val="00B33197"/>
    <w:rsid w:val="00B338AF"/>
    <w:rsid w:val="00B3526D"/>
    <w:rsid w:val="00B35C9C"/>
    <w:rsid w:val="00B35FF6"/>
    <w:rsid w:val="00B361BC"/>
    <w:rsid w:val="00B36911"/>
    <w:rsid w:val="00B36F07"/>
    <w:rsid w:val="00B372B2"/>
    <w:rsid w:val="00B37812"/>
    <w:rsid w:val="00B37B0C"/>
    <w:rsid w:val="00B37FDC"/>
    <w:rsid w:val="00B4046D"/>
    <w:rsid w:val="00B40A52"/>
    <w:rsid w:val="00B40BE1"/>
    <w:rsid w:val="00B40DDC"/>
    <w:rsid w:val="00B4159E"/>
    <w:rsid w:val="00B41889"/>
    <w:rsid w:val="00B41BA5"/>
    <w:rsid w:val="00B41D12"/>
    <w:rsid w:val="00B42FCD"/>
    <w:rsid w:val="00B43814"/>
    <w:rsid w:val="00B441A8"/>
    <w:rsid w:val="00B4434A"/>
    <w:rsid w:val="00B444C2"/>
    <w:rsid w:val="00B44668"/>
    <w:rsid w:val="00B45045"/>
    <w:rsid w:val="00B455D7"/>
    <w:rsid w:val="00B45EC4"/>
    <w:rsid w:val="00B460AD"/>
    <w:rsid w:val="00B46422"/>
    <w:rsid w:val="00B46893"/>
    <w:rsid w:val="00B4711B"/>
    <w:rsid w:val="00B47209"/>
    <w:rsid w:val="00B5007E"/>
    <w:rsid w:val="00B50609"/>
    <w:rsid w:val="00B51211"/>
    <w:rsid w:val="00B51302"/>
    <w:rsid w:val="00B51389"/>
    <w:rsid w:val="00B521CF"/>
    <w:rsid w:val="00B52CD9"/>
    <w:rsid w:val="00B52FF1"/>
    <w:rsid w:val="00B53222"/>
    <w:rsid w:val="00B53568"/>
    <w:rsid w:val="00B543FA"/>
    <w:rsid w:val="00B5468D"/>
    <w:rsid w:val="00B54A49"/>
    <w:rsid w:val="00B54AB4"/>
    <w:rsid w:val="00B5505E"/>
    <w:rsid w:val="00B5541B"/>
    <w:rsid w:val="00B56564"/>
    <w:rsid w:val="00B57108"/>
    <w:rsid w:val="00B57434"/>
    <w:rsid w:val="00B5788E"/>
    <w:rsid w:val="00B57B5A"/>
    <w:rsid w:val="00B57D15"/>
    <w:rsid w:val="00B605C4"/>
    <w:rsid w:val="00B609FB"/>
    <w:rsid w:val="00B60B4C"/>
    <w:rsid w:val="00B60E66"/>
    <w:rsid w:val="00B60EC1"/>
    <w:rsid w:val="00B61559"/>
    <w:rsid w:val="00B615BB"/>
    <w:rsid w:val="00B6165E"/>
    <w:rsid w:val="00B61858"/>
    <w:rsid w:val="00B637AE"/>
    <w:rsid w:val="00B63C29"/>
    <w:rsid w:val="00B63C4F"/>
    <w:rsid w:val="00B64022"/>
    <w:rsid w:val="00B64592"/>
    <w:rsid w:val="00B647C6"/>
    <w:rsid w:val="00B64A63"/>
    <w:rsid w:val="00B656F5"/>
    <w:rsid w:val="00B65B26"/>
    <w:rsid w:val="00B661E3"/>
    <w:rsid w:val="00B67DDB"/>
    <w:rsid w:val="00B67E47"/>
    <w:rsid w:val="00B704D0"/>
    <w:rsid w:val="00B712B3"/>
    <w:rsid w:val="00B713BF"/>
    <w:rsid w:val="00B715CD"/>
    <w:rsid w:val="00B7170C"/>
    <w:rsid w:val="00B71802"/>
    <w:rsid w:val="00B71A17"/>
    <w:rsid w:val="00B71A46"/>
    <w:rsid w:val="00B71EB5"/>
    <w:rsid w:val="00B722EF"/>
    <w:rsid w:val="00B7235E"/>
    <w:rsid w:val="00B72587"/>
    <w:rsid w:val="00B725F8"/>
    <w:rsid w:val="00B72BCA"/>
    <w:rsid w:val="00B72C93"/>
    <w:rsid w:val="00B72D9E"/>
    <w:rsid w:val="00B732FC"/>
    <w:rsid w:val="00B737B1"/>
    <w:rsid w:val="00B73C87"/>
    <w:rsid w:val="00B74211"/>
    <w:rsid w:val="00B74476"/>
    <w:rsid w:val="00B746C2"/>
    <w:rsid w:val="00B74C28"/>
    <w:rsid w:val="00B74DB2"/>
    <w:rsid w:val="00B74F1E"/>
    <w:rsid w:val="00B75994"/>
    <w:rsid w:val="00B75B42"/>
    <w:rsid w:val="00B7659D"/>
    <w:rsid w:val="00B76CD6"/>
    <w:rsid w:val="00B773EF"/>
    <w:rsid w:val="00B777FB"/>
    <w:rsid w:val="00B805B7"/>
    <w:rsid w:val="00B80F61"/>
    <w:rsid w:val="00B816A5"/>
    <w:rsid w:val="00B81FA5"/>
    <w:rsid w:val="00B8278D"/>
    <w:rsid w:val="00B82926"/>
    <w:rsid w:val="00B82D0E"/>
    <w:rsid w:val="00B83391"/>
    <w:rsid w:val="00B83636"/>
    <w:rsid w:val="00B838A4"/>
    <w:rsid w:val="00B84230"/>
    <w:rsid w:val="00B8487A"/>
    <w:rsid w:val="00B848CC"/>
    <w:rsid w:val="00B85301"/>
    <w:rsid w:val="00B85E61"/>
    <w:rsid w:val="00B85EA5"/>
    <w:rsid w:val="00B85F84"/>
    <w:rsid w:val="00B86182"/>
    <w:rsid w:val="00B86306"/>
    <w:rsid w:val="00B867B9"/>
    <w:rsid w:val="00B86DC8"/>
    <w:rsid w:val="00B87209"/>
    <w:rsid w:val="00B87539"/>
    <w:rsid w:val="00B876D3"/>
    <w:rsid w:val="00B87AAE"/>
    <w:rsid w:val="00B87D8C"/>
    <w:rsid w:val="00B905A9"/>
    <w:rsid w:val="00B915FB"/>
    <w:rsid w:val="00B91684"/>
    <w:rsid w:val="00B9185F"/>
    <w:rsid w:val="00B91929"/>
    <w:rsid w:val="00B91CC8"/>
    <w:rsid w:val="00B91DEE"/>
    <w:rsid w:val="00B9212B"/>
    <w:rsid w:val="00B922CB"/>
    <w:rsid w:val="00B92654"/>
    <w:rsid w:val="00B9278C"/>
    <w:rsid w:val="00B9329F"/>
    <w:rsid w:val="00B9379A"/>
    <w:rsid w:val="00B93801"/>
    <w:rsid w:val="00B93FBF"/>
    <w:rsid w:val="00B94167"/>
    <w:rsid w:val="00B94AA4"/>
    <w:rsid w:val="00B94B78"/>
    <w:rsid w:val="00B95704"/>
    <w:rsid w:val="00B95B35"/>
    <w:rsid w:val="00B96060"/>
    <w:rsid w:val="00B964B1"/>
    <w:rsid w:val="00BA0C4F"/>
    <w:rsid w:val="00BA0C71"/>
    <w:rsid w:val="00BA12E8"/>
    <w:rsid w:val="00BA140F"/>
    <w:rsid w:val="00BA19FE"/>
    <w:rsid w:val="00BA1F83"/>
    <w:rsid w:val="00BA2DE3"/>
    <w:rsid w:val="00BA2E52"/>
    <w:rsid w:val="00BA2EFB"/>
    <w:rsid w:val="00BA36B4"/>
    <w:rsid w:val="00BA3843"/>
    <w:rsid w:val="00BA423F"/>
    <w:rsid w:val="00BA4A59"/>
    <w:rsid w:val="00BA4BD5"/>
    <w:rsid w:val="00BA5050"/>
    <w:rsid w:val="00BA59FC"/>
    <w:rsid w:val="00BA65D7"/>
    <w:rsid w:val="00BA6E52"/>
    <w:rsid w:val="00BA6F30"/>
    <w:rsid w:val="00BA6F41"/>
    <w:rsid w:val="00BA6FE0"/>
    <w:rsid w:val="00BA73F7"/>
    <w:rsid w:val="00BA7CC2"/>
    <w:rsid w:val="00BA7DEF"/>
    <w:rsid w:val="00BB05C5"/>
    <w:rsid w:val="00BB17C0"/>
    <w:rsid w:val="00BB1838"/>
    <w:rsid w:val="00BB2CE2"/>
    <w:rsid w:val="00BB3083"/>
    <w:rsid w:val="00BB38F8"/>
    <w:rsid w:val="00BB3A95"/>
    <w:rsid w:val="00BB3CB4"/>
    <w:rsid w:val="00BB45EB"/>
    <w:rsid w:val="00BB4874"/>
    <w:rsid w:val="00BB531E"/>
    <w:rsid w:val="00BB5846"/>
    <w:rsid w:val="00BB5D23"/>
    <w:rsid w:val="00BB5D5B"/>
    <w:rsid w:val="00BB6768"/>
    <w:rsid w:val="00BB6A6C"/>
    <w:rsid w:val="00BB6C03"/>
    <w:rsid w:val="00BB6C3A"/>
    <w:rsid w:val="00BB7239"/>
    <w:rsid w:val="00BB7351"/>
    <w:rsid w:val="00BB763D"/>
    <w:rsid w:val="00BB7B2D"/>
    <w:rsid w:val="00BB7BFF"/>
    <w:rsid w:val="00BC05E9"/>
    <w:rsid w:val="00BC061A"/>
    <w:rsid w:val="00BC067B"/>
    <w:rsid w:val="00BC07E3"/>
    <w:rsid w:val="00BC093A"/>
    <w:rsid w:val="00BC1B88"/>
    <w:rsid w:val="00BC1CAF"/>
    <w:rsid w:val="00BC1CFE"/>
    <w:rsid w:val="00BC28C7"/>
    <w:rsid w:val="00BC29F3"/>
    <w:rsid w:val="00BC33D9"/>
    <w:rsid w:val="00BC4437"/>
    <w:rsid w:val="00BC4835"/>
    <w:rsid w:val="00BC4F4E"/>
    <w:rsid w:val="00BC4FB8"/>
    <w:rsid w:val="00BC4FBD"/>
    <w:rsid w:val="00BC56ED"/>
    <w:rsid w:val="00BC5A78"/>
    <w:rsid w:val="00BC5DF5"/>
    <w:rsid w:val="00BC5F48"/>
    <w:rsid w:val="00BC6B4A"/>
    <w:rsid w:val="00BC70DF"/>
    <w:rsid w:val="00BC7B08"/>
    <w:rsid w:val="00BD0051"/>
    <w:rsid w:val="00BD01C1"/>
    <w:rsid w:val="00BD0736"/>
    <w:rsid w:val="00BD1647"/>
    <w:rsid w:val="00BD1692"/>
    <w:rsid w:val="00BD18DE"/>
    <w:rsid w:val="00BD19D6"/>
    <w:rsid w:val="00BD23DB"/>
    <w:rsid w:val="00BD2434"/>
    <w:rsid w:val="00BD2619"/>
    <w:rsid w:val="00BD2686"/>
    <w:rsid w:val="00BD29DC"/>
    <w:rsid w:val="00BD2A4B"/>
    <w:rsid w:val="00BD2F30"/>
    <w:rsid w:val="00BD309B"/>
    <w:rsid w:val="00BD350B"/>
    <w:rsid w:val="00BD3AF4"/>
    <w:rsid w:val="00BD4AF4"/>
    <w:rsid w:val="00BD4B4F"/>
    <w:rsid w:val="00BD4C18"/>
    <w:rsid w:val="00BD5B68"/>
    <w:rsid w:val="00BD5DA1"/>
    <w:rsid w:val="00BD6766"/>
    <w:rsid w:val="00BD67D2"/>
    <w:rsid w:val="00BD68A2"/>
    <w:rsid w:val="00BD7259"/>
    <w:rsid w:val="00BD7CCD"/>
    <w:rsid w:val="00BD7D92"/>
    <w:rsid w:val="00BE0642"/>
    <w:rsid w:val="00BE0A97"/>
    <w:rsid w:val="00BE1AEB"/>
    <w:rsid w:val="00BE2243"/>
    <w:rsid w:val="00BE224C"/>
    <w:rsid w:val="00BE25A2"/>
    <w:rsid w:val="00BE29FB"/>
    <w:rsid w:val="00BE3544"/>
    <w:rsid w:val="00BE38FB"/>
    <w:rsid w:val="00BE4AB7"/>
    <w:rsid w:val="00BE4BDB"/>
    <w:rsid w:val="00BE5088"/>
    <w:rsid w:val="00BE50EB"/>
    <w:rsid w:val="00BE5A87"/>
    <w:rsid w:val="00BE666A"/>
    <w:rsid w:val="00BE6AC3"/>
    <w:rsid w:val="00BE7854"/>
    <w:rsid w:val="00BE7F57"/>
    <w:rsid w:val="00BF04F8"/>
    <w:rsid w:val="00BF08FA"/>
    <w:rsid w:val="00BF0B4C"/>
    <w:rsid w:val="00BF0C91"/>
    <w:rsid w:val="00BF1503"/>
    <w:rsid w:val="00BF1519"/>
    <w:rsid w:val="00BF1AED"/>
    <w:rsid w:val="00BF2146"/>
    <w:rsid w:val="00BF235B"/>
    <w:rsid w:val="00BF25BF"/>
    <w:rsid w:val="00BF2E2C"/>
    <w:rsid w:val="00BF2FB4"/>
    <w:rsid w:val="00BF3383"/>
    <w:rsid w:val="00BF3569"/>
    <w:rsid w:val="00BF3659"/>
    <w:rsid w:val="00BF3F07"/>
    <w:rsid w:val="00BF3FA2"/>
    <w:rsid w:val="00BF41CC"/>
    <w:rsid w:val="00BF42A3"/>
    <w:rsid w:val="00BF44B8"/>
    <w:rsid w:val="00BF44CA"/>
    <w:rsid w:val="00BF4883"/>
    <w:rsid w:val="00BF576B"/>
    <w:rsid w:val="00BF6499"/>
    <w:rsid w:val="00BF7326"/>
    <w:rsid w:val="00BF732D"/>
    <w:rsid w:val="00C00532"/>
    <w:rsid w:val="00C0053B"/>
    <w:rsid w:val="00C00694"/>
    <w:rsid w:val="00C00894"/>
    <w:rsid w:val="00C01657"/>
    <w:rsid w:val="00C0177B"/>
    <w:rsid w:val="00C019B7"/>
    <w:rsid w:val="00C01C13"/>
    <w:rsid w:val="00C01C3B"/>
    <w:rsid w:val="00C01D49"/>
    <w:rsid w:val="00C01F5F"/>
    <w:rsid w:val="00C023CE"/>
    <w:rsid w:val="00C025D4"/>
    <w:rsid w:val="00C029DC"/>
    <w:rsid w:val="00C0300F"/>
    <w:rsid w:val="00C03D50"/>
    <w:rsid w:val="00C0499B"/>
    <w:rsid w:val="00C04B00"/>
    <w:rsid w:val="00C04BAE"/>
    <w:rsid w:val="00C04D5C"/>
    <w:rsid w:val="00C05220"/>
    <w:rsid w:val="00C0539A"/>
    <w:rsid w:val="00C053DD"/>
    <w:rsid w:val="00C05564"/>
    <w:rsid w:val="00C05849"/>
    <w:rsid w:val="00C05DAA"/>
    <w:rsid w:val="00C06460"/>
    <w:rsid w:val="00C06953"/>
    <w:rsid w:val="00C07426"/>
    <w:rsid w:val="00C07430"/>
    <w:rsid w:val="00C07592"/>
    <w:rsid w:val="00C078F4"/>
    <w:rsid w:val="00C07A2D"/>
    <w:rsid w:val="00C07F61"/>
    <w:rsid w:val="00C10075"/>
    <w:rsid w:val="00C109EF"/>
    <w:rsid w:val="00C11058"/>
    <w:rsid w:val="00C11727"/>
    <w:rsid w:val="00C118C7"/>
    <w:rsid w:val="00C118FA"/>
    <w:rsid w:val="00C11CB9"/>
    <w:rsid w:val="00C11CF0"/>
    <w:rsid w:val="00C1265C"/>
    <w:rsid w:val="00C13655"/>
    <w:rsid w:val="00C13B4B"/>
    <w:rsid w:val="00C1420D"/>
    <w:rsid w:val="00C14569"/>
    <w:rsid w:val="00C14AE2"/>
    <w:rsid w:val="00C14C17"/>
    <w:rsid w:val="00C1513B"/>
    <w:rsid w:val="00C15152"/>
    <w:rsid w:val="00C158E9"/>
    <w:rsid w:val="00C1591E"/>
    <w:rsid w:val="00C15E83"/>
    <w:rsid w:val="00C16132"/>
    <w:rsid w:val="00C16AB0"/>
    <w:rsid w:val="00C16C77"/>
    <w:rsid w:val="00C17290"/>
    <w:rsid w:val="00C172E5"/>
    <w:rsid w:val="00C178BC"/>
    <w:rsid w:val="00C178DB"/>
    <w:rsid w:val="00C17B2C"/>
    <w:rsid w:val="00C201A3"/>
    <w:rsid w:val="00C2023B"/>
    <w:rsid w:val="00C2029E"/>
    <w:rsid w:val="00C20BD6"/>
    <w:rsid w:val="00C20E46"/>
    <w:rsid w:val="00C21125"/>
    <w:rsid w:val="00C21176"/>
    <w:rsid w:val="00C2131F"/>
    <w:rsid w:val="00C2163C"/>
    <w:rsid w:val="00C2167B"/>
    <w:rsid w:val="00C2243E"/>
    <w:rsid w:val="00C22509"/>
    <w:rsid w:val="00C228ED"/>
    <w:rsid w:val="00C22ACE"/>
    <w:rsid w:val="00C22C8D"/>
    <w:rsid w:val="00C2309D"/>
    <w:rsid w:val="00C23F5F"/>
    <w:rsid w:val="00C249DC"/>
    <w:rsid w:val="00C24D19"/>
    <w:rsid w:val="00C25134"/>
    <w:rsid w:val="00C2547C"/>
    <w:rsid w:val="00C256B3"/>
    <w:rsid w:val="00C25A6E"/>
    <w:rsid w:val="00C25B4E"/>
    <w:rsid w:val="00C26F01"/>
    <w:rsid w:val="00C270D1"/>
    <w:rsid w:val="00C2791C"/>
    <w:rsid w:val="00C27972"/>
    <w:rsid w:val="00C27CE2"/>
    <w:rsid w:val="00C30396"/>
    <w:rsid w:val="00C3073C"/>
    <w:rsid w:val="00C30FAA"/>
    <w:rsid w:val="00C31622"/>
    <w:rsid w:val="00C31797"/>
    <w:rsid w:val="00C32010"/>
    <w:rsid w:val="00C3249E"/>
    <w:rsid w:val="00C326F3"/>
    <w:rsid w:val="00C328E7"/>
    <w:rsid w:val="00C331B6"/>
    <w:rsid w:val="00C338F3"/>
    <w:rsid w:val="00C33AB1"/>
    <w:rsid w:val="00C33CDF"/>
    <w:rsid w:val="00C341B2"/>
    <w:rsid w:val="00C343B2"/>
    <w:rsid w:val="00C3460D"/>
    <w:rsid w:val="00C34829"/>
    <w:rsid w:val="00C348E9"/>
    <w:rsid w:val="00C3500D"/>
    <w:rsid w:val="00C3538F"/>
    <w:rsid w:val="00C35C47"/>
    <w:rsid w:val="00C35E74"/>
    <w:rsid w:val="00C36115"/>
    <w:rsid w:val="00C364A9"/>
    <w:rsid w:val="00C36866"/>
    <w:rsid w:val="00C377EB"/>
    <w:rsid w:val="00C379B7"/>
    <w:rsid w:val="00C4001A"/>
    <w:rsid w:val="00C4024F"/>
    <w:rsid w:val="00C40779"/>
    <w:rsid w:val="00C40A32"/>
    <w:rsid w:val="00C40B46"/>
    <w:rsid w:val="00C416EA"/>
    <w:rsid w:val="00C419A3"/>
    <w:rsid w:val="00C41DDA"/>
    <w:rsid w:val="00C420BE"/>
    <w:rsid w:val="00C423F9"/>
    <w:rsid w:val="00C426D8"/>
    <w:rsid w:val="00C426FE"/>
    <w:rsid w:val="00C43201"/>
    <w:rsid w:val="00C43385"/>
    <w:rsid w:val="00C4359C"/>
    <w:rsid w:val="00C43979"/>
    <w:rsid w:val="00C43BD5"/>
    <w:rsid w:val="00C44664"/>
    <w:rsid w:val="00C44782"/>
    <w:rsid w:val="00C44C69"/>
    <w:rsid w:val="00C4598D"/>
    <w:rsid w:val="00C45E10"/>
    <w:rsid w:val="00C46604"/>
    <w:rsid w:val="00C467C8"/>
    <w:rsid w:val="00C468F5"/>
    <w:rsid w:val="00C46A01"/>
    <w:rsid w:val="00C46C8B"/>
    <w:rsid w:val="00C47157"/>
    <w:rsid w:val="00C472E3"/>
    <w:rsid w:val="00C4751F"/>
    <w:rsid w:val="00C4775A"/>
    <w:rsid w:val="00C47B1C"/>
    <w:rsid w:val="00C47FE5"/>
    <w:rsid w:val="00C50029"/>
    <w:rsid w:val="00C5048E"/>
    <w:rsid w:val="00C50700"/>
    <w:rsid w:val="00C50752"/>
    <w:rsid w:val="00C50ED6"/>
    <w:rsid w:val="00C512FF"/>
    <w:rsid w:val="00C51C53"/>
    <w:rsid w:val="00C51D5B"/>
    <w:rsid w:val="00C51F66"/>
    <w:rsid w:val="00C524EE"/>
    <w:rsid w:val="00C527FB"/>
    <w:rsid w:val="00C53254"/>
    <w:rsid w:val="00C53387"/>
    <w:rsid w:val="00C5350E"/>
    <w:rsid w:val="00C53607"/>
    <w:rsid w:val="00C53835"/>
    <w:rsid w:val="00C53B3E"/>
    <w:rsid w:val="00C53BBE"/>
    <w:rsid w:val="00C5426F"/>
    <w:rsid w:val="00C54438"/>
    <w:rsid w:val="00C54C1A"/>
    <w:rsid w:val="00C54D24"/>
    <w:rsid w:val="00C55105"/>
    <w:rsid w:val="00C55117"/>
    <w:rsid w:val="00C557D8"/>
    <w:rsid w:val="00C558D9"/>
    <w:rsid w:val="00C55C2D"/>
    <w:rsid w:val="00C5626A"/>
    <w:rsid w:val="00C56726"/>
    <w:rsid w:val="00C567E0"/>
    <w:rsid w:val="00C567ED"/>
    <w:rsid w:val="00C568D7"/>
    <w:rsid w:val="00C572C3"/>
    <w:rsid w:val="00C574F0"/>
    <w:rsid w:val="00C57570"/>
    <w:rsid w:val="00C576EA"/>
    <w:rsid w:val="00C57D3D"/>
    <w:rsid w:val="00C60368"/>
    <w:rsid w:val="00C60616"/>
    <w:rsid w:val="00C6065F"/>
    <w:rsid w:val="00C60668"/>
    <w:rsid w:val="00C60793"/>
    <w:rsid w:val="00C6095D"/>
    <w:rsid w:val="00C60C37"/>
    <w:rsid w:val="00C60E48"/>
    <w:rsid w:val="00C60F78"/>
    <w:rsid w:val="00C617D0"/>
    <w:rsid w:val="00C6194B"/>
    <w:rsid w:val="00C61A16"/>
    <w:rsid w:val="00C61A62"/>
    <w:rsid w:val="00C620B9"/>
    <w:rsid w:val="00C62B99"/>
    <w:rsid w:val="00C63B96"/>
    <w:rsid w:val="00C63FCA"/>
    <w:rsid w:val="00C6549E"/>
    <w:rsid w:val="00C65A85"/>
    <w:rsid w:val="00C66546"/>
    <w:rsid w:val="00C66A03"/>
    <w:rsid w:val="00C670A5"/>
    <w:rsid w:val="00C67EEE"/>
    <w:rsid w:val="00C7010C"/>
    <w:rsid w:val="00C7049B"/>
    <w:rsid w:val="00C70735"/>
    <w:rsid w:val="00C72EC3"/>
    <w:rsid w:val="00C73AA9"/>
    <w:rsid w:val="00C74B41"/>
    <w:rsid w:val="00C74F9B"/>
    <w:rsid w:val="00C74FF0"/>
    <w:rsid w:val="00C750BA"/>
    <w:rsid w:val="00C75292"/>
    <w:rsid w:val="00C754FE"/>
    <w:rsid w:val="00C7574A"/>
    <w:rsid w:val="00C75FC2"/>
    <w:rsid w:val="00C76308"/>
    <w:rsid w:val="00C764F8"/>
    <w:rsid w:val="00C76689"/>
    <w:rsid w:val="00C767BC"/>
    <w:rsid w:val="00C76AE3"/>
    <w:rsid w:val="00C76CF0"/>
    <w:rsid w:val="00C76EFE"/>
    <w:rsid w:val="00C77C41"/>
    <w:rsid w:val="00C80D45"/>
    <w:rsid w:val="00C80DC8"/>
    <w:rsid w:val="00C80EDF"/>
    <w:rsid w:val="00C8110D"/>
    <w:rsid w:val="00C81F1C"/>
    <w:rsid w:val="00C822E4"/>
    <w:rsid w:val="00C8259B"/>
    <w:rsid w:val="00C829C6"/>
    <w:rsid w:val="00C82A5B"/>
    <w:rsid w:val="00C82BD2"/>
    <w:rsid w:val="00C82CAE"/>
    <w:rsid w:val="00C82D5A"/>
    <w:rsid w:val="00C82E9A"/>
    <w:rsid w:val="00C82F3F"/>
    <w:rsid w:val="00C83078"/>
    <w:rsid w:val="00C837A9"/>
    <w:rsid w:val="00C837F5"/>
    <w:rsid w:val="00C84498"/>
    <w:rsid w:val="00C84817"/>
    <w:rsid w:val="00C85285"/>
    <w:rsid w:val="00C86065"/>
    <w:rsid w:val="00C8613A"/>
    <w:rsid w:val="00C86252"/>
    <w:rsid w:val="00C863DE"/>
    <w:rsid w:val="00C86863"/>
    <w:rsid w:val="00C86AF0"/>
    <w:rsid w:val="00C86C82"/>
    <w:rsid w:val="00C86E0D"/>
    <w:rsid w:val="00C8744C"/>
    <w:rsid w:val="00C8745E"/>
    <w:rsid w:val="00C87692"/>
    <w:rsid w:val="00C87AA9"/>
    <w:rsid w:val="00C87D9F"/>
    <w:rsid w:val="00C87EA3"/>
    <w:rsid w:val="00C90290"/>
    <w:rsid w:val="00C90669"/>
    <w:rsid w:val="00C906EF"/>
    <w:rsid w:val="00C91362"/>
    <w:rsid w:val="00C914BE"/>
    <w:rsid w:val="00C915B6"/>
    <w:rsid w:val="00C918E4"/>
    <w:rsid w:val="00C91D86"/>
    <w:rsid w:val="00C91EDA"/>
    <w:rsid w:val="00C91F8A"/>
    <w:rsid w:val="00C928C4"/>
    <w:rsid w:val="00C93127"/>
    <w:rsid w:val="00C938C5"/>
    <w:rsid w:val="00C94062"/>
    <w:rsid w:val="00C94192"/>
    <w:rsid w:val="00C94B0A"/>
    <w:rsid w:val="00C94B7B"/>
    <w:rsid w:val="00C95A24"/>
    <w:rsid w:val="00C95CEF"/>
    <w:rsid w:val="00C96263"/>
    <w:rsid w:val="00C96B51"/>
    <w:rsid w:val="00C96D54"/>
    <w:rsid w:val="00C9755D"/>
    <w:rsid w:val="00CA00DD"/>
    <w:rsid w:val="00CA05A1"/>
    <w:rsid w:val="00CA05BF"/>
    <w:rsid w:val="00CA06D5"/>
    <w:rsid w:val="00CA0775"/>
    <w:rsid w:val="00CA08A9"/>
    <w:rsid w:val="00CA0B4D"/>
    <w:rsid w:val="00CA17DA"/>
    <w:rsid w:val="00CA1B85"/>
    <w:rsid w:val="00CA1C18"/>
    <w:rsid w:val="00CA1E76"/>
    <w:rsid w:val="00CA23CD"/>
    <w:rsid w:val="00CA245D"/>
    <w:rsid w:val="00CA2D52"/>
    <w:rsid w:val="00CA3132"/>
    <w:rsid w:val="00CA3366"/>
    <w:rsid w:val="00CA34D1"/>
    <w:rsid w:val="00CA3FD1"/>
    <w:rsid w:val="00CA4323"/>
    <w:rsid w:val="00CA46EB"/>
    <w:rsid w:val="00CA4731"/>
    <w:rsid w:val="00CA48DF"/>
    <w:rsid w:val="00CA4BB4"/>
    <w:rsid w:val="00CA546F"/>
    <w:rsid w:val="00CA54F2"/>
    <w:rsid w:val="00CA567B"/>
    <w:rsid w:val="00CA58E5"/>
    <w:rsid w:val="00CA5CFB"/>
    <w:rsid w:val="00CA6191"/>
    <w:rsid w:val="00CA6656"/>
    <w:rsid w:val="00CA6681"/>
    <w:rsid w:val="00CA6779"/>
    <w:rsid w:val="00CA695E"/>
    <w:rsid w:val="00CA6D5F"/>
    <w:rsid w:val="00CA6D82"/>
    <w:rsid w:val="00CA6F75"/>
    <w:rsid w:val="00CA70C6"/>
    <w:rsid w:val="00CA79B7"/>
    <w:rsid w:val="00CA7B40"/>
    <w:rsid w:val="00CB029F"/>
    <w:rsid w:val="00CB0312"/>
    <w:rsid w:val="00CB0353"/>
    <w:rsid w:val="00CB0B8B"/>
    <w:rsid w:val="00CB11EB"/>
    <w:rsid w:val="00CB16C9"/>
    <w:rsid w:val="00CB1935"/>
    <w:rsid w:val="00CB1A38"/>
    <w:rsid w:val="00CB258A"/>
    <w:rsid w:val="00CB30DF"/>
    <w:rsid w:val="00CB32E4"/>
    <w:rsid w:val="00CB386D"/>
    <w:rsid w:val="00CB38FC"/>
    <w:rsid w:val="00CB3AD9"/>
    <w:rsid w:val="00CB3CFB"/>
    <w:rsid w:val="00CB45C4"/>
    <w:rsid w:val="00CB4953"/>
    <w:rsid w:val="00CB4F21"/>
    <w:rsid w:val="00CB4FBA"/>
    <w:rsid w:val="00CB532A"/>
    <w:rsid w:val="00CB56EA"/>
    <w:rsid w:val="00CB5B39"/>
    <w:rsid w:val="00CB612A"/>
    <w:rsid w:val="00CB685E"/>
    <w:rsid w:val="00CB68B4"/>
    <w:rsid w:val="00CB68B9"/>
    <w:rsid w:val="00CB7032"/>
    <w:rsid w:val="00CB7273"/>
    <w:rsid w:val="00CB7849"/>
    <w:rsid w:val="00CB78F4"/>
    <w:rsid w:val="00CC0540"/>
    <w:rsid w:val="00CC0B0F"/>
    <w:rsid w:val="00CC2507"/>
    <w:rsid w:val="00CC2575"/>
    <w:rsid w:val="00CC2827"/>
    <w:rsid w:val="00CC29EB"/>
    <w:rsid w:val="00CC2B12"/>
    <w:rsid w:val="00CC2FC0"/>
    <w:rsid w:val="00CC30EA"/>
    <w:rsid w:val="00CC3619"/>
    <w:rsid w:val="00CC3B37"/>
    <w:rsid w:val="00CC40E5"/>
    <w:rsid w:val="00CC48A4"/>
    <w:rsid w:val="00CC4948"/>
    <w:rsid w:val="00CC519B"/>
    <w:rsid w:val="00CC51FB"/>
    <w:rsid w:val="00CC5817"/>
    <w:rsid w:val="00CC5830"/>
    <w:rsid w:val="00CC58AF"/>
    <w:rsid w:val="00CC5928"/>
    <w:rsid w:val="00CC6670"/>
    <w:rsid w:val="00CC6820"/>
    <w:rsid w:val="00CC6A7F"/>
    <w:rsid w:val="00CC6A8B"/>
    <w:rsid w:val="00CC70B5"/>
    <w:rsid w:val="00CC71B3"/>
    <w:rsid w:val="00CC7C4C"/>
    <w:rsid w:val="00CC7F1A"/>
    <w:rsid w:val="00CD0464"/>
    <w:rsid w:val="00CD068B"/>
    <w:rsid w:val="00CD0919"/>
    <w:rsid w:val="00CD0A5D"/>
    <w:rsid w:val="00CD19FC"/>
    <w:rsid w:val="00CD1C33"/>
    <w:rsid w:val="00CD1F1D"/>
    <w:rsid w:val="00CD2043"/>
    <w:rsid w:val="00CD2267"/>
    <w:rsid w:val="00CD22FA"/>
    <w:rsid w:val="00CD23D5"/>
    <w:rsid w:val="00CD2CBD"/>
    <w:rsid w:val="00CD44C5"/>
    <w:rsid w:val="00CD4509"/>
    <w:rsid w:val="00CD4D3D"/>
    <w:rsid w:val="00CD50F8"/>
    <w:rsid w:val="00CD51DA"/>
    <w:rsid w:val="00CD5400"/>
    <w:rsid w:val="00CD6B09"/>
    <w:rsid w:val="00CD70A0"/>
    <w:rsid w:val="00CD73C0"/>
    <w:rsid w:val="00CD78C6"/>
    <w:rsid w:val="00CD7C42"/>
    <w:rsid w:val="00CE0197"/>
    <w:rsid w:val="00CE02CD"/>
    <w:rsid w:val="00CE048E"/>
    <w:rsid w:val="00CE08C7"/>
    <w:rsid w:val="00CE0986"/>
    <w:rsid w:val="00CE18D4"/>
    <w:rsid w:val="00CE1A0B"/>
    <w:rsid w:val="00CE1C26"/>
    <w:rsid w:val="00CE1E96"/>
    <w:rsid w:val="00CE2287"/>
    <w:rsid w:val="00CE2A0B"/>
    <w:rsid w:val="00CE2D5B"/>
    <w:rsid w:val="00CE3D64"/>
    <w:rsid w:val="00CE488F"/>
    <w:rsid w:val="00CE4C7B"/>
    <w:rsid w:val="00CE5490"/>
    <w:rsid w:val="00CE5689"/>
    <w:rsid w:val="00CE5A14"/>
    <w:rsid w:val="00CE5B38"/>
    <w:rsid w:val="00CE5CA1"/>
    <w:rsid w:val="00CE6464"/>
    <w:rsid w:val="00CE68EC"/>
    <w:rsid w:val="00CE6B64"/>
    <w:rsid w:val="00CE6E5A"/>
    <w:rsid w:val="00CE71A1"/>
    <w:rsid w:val="00CE72B8"/>
    <w:rsid w:val="00CE732A"/>
    <w:rsid w:val="00CE7B6C"/>
    <w:rsid w:val="00CF0841"/>
    <w:rsid w:val="00CF0B92"/>
    <w:rsid w:val="00CF0F65"/>
    <w:rsid w:val="00CF11BD"/>
    <w:rsid w:val="00CF26CD"/>
    <w:rsid w:val="00CF29ED"/>
    <w:rsid w:val="00CF33E8"/>
    <w:rsid w:val="00CF3DE1"/>
    <w:rsid w:val="00CF3F21"/>
    <w:rsid w:val="00CF45DA"/>
    <w:rsid w:val="00CF4BD3"/>
    <w:rsid w:val="00CF5060"/>
    <w:rsid w:val="00CF50B8"/>
    <w:rsid w:val="00CF59C7"/>
    <w:rsid w:val="00CF5C91"/>
    <w:rsid w:val="00CF71C9"/>
    <w:rsid w:val="00CF73DA"/>
    <w:rsid w:val="00D003D5"/>
    <w:rsid w:val="00D00577"/>
    <w:rsid w:val="00D00E94"/>
    <w:rsid w:val="00D00EF8"/>
    <w:rsid w:val="00D014BC"/>
    <w:rsid w:val="00D01CFF"/>
    <w:rsid w:val="00D01E1A"/>
    <w:rsid w:val="00D01F45"/>
    <w:rsid w:val="00D0240F"/>
    <w:rsid w:val="00D0241F"/>
    <w:rsid w:val="00D02EF7"/>
    <w:rsid w:val="00D031C8"/>
    <w:rsid w:val="00D037DF"/>
    <w:rsid w:val="00D03AA9"/>
    <w:rsid w:val="00D03C75"/>
    <w:rsid w:val="00D04004"/>
    <w:rsid w:val="00D04526"/>
    <w:rsid w:val="00D04771"/>
    <w:rsid w:val="00D04827"/>
    <w:rsid w:val="00D0485C"/>
    <w:rsid w:val="00D04865"/>
    <w:rsid w:val="00D0494C"/>
    <w:rsid w:val="00D04A44"/>
    <w:rsid w:val="00D04E6B"/>
    <w:rsid w:val="00D05059"/>
    <w:rsid w:val="00D050C6"/>
    <w:rsid w:val="00D051ED"/>
    <w:rsid w:val="00D063DF"/>
    <w:rsid w:val="00D06AB7"/>
    <w:rsid w:val="00D06B91"/>
    <w:rsid w:val="00D06F50"/>
    <w:rsid w:val="00D07224"/>
    <w:rsid w:val="00D07E7F"/>
    <w:rsid w:val="00D1010C"/>
    <w:rsid w:val="00D105FD"/>
    <w:rsid w:val="00D1070A"/>
    <w:rsid w:val="00D11180"/>
    <w:rsid w:val="00D116E1"/>
    <w:rsid w:val="00D11F7A"/>
    <w:rsid w:val="00D12510"/>
    <w:rsid w:val="00D126DC"/>
    <w:rsid w:val="00D1273E"/>
    <w:rsid w:val="00D12987"/>
    <w:rsid w:val="00D133E7"/>
    <w:rsid w:val="00D134EE"/>
    <w:rsid w:val="00D13E4A"/>
    <w:rsid w:val="00D1463D"/>
    <w:rsid w:val="00D146D7"/>
    <w:rsid w:val="00D14B38"/>
    <w:rsid w:val="00D15649"/>
    <w:rsid w:val="00D156BD"/>
    <w:rsid w:val="00D1585B"/>
    <w:rsid w:val="00D15C4E"/>
    <w:rsid w:val="00D16DDE"/>
    <w:rsid w:val="00D16F84"/>
    <w:rsid w:val="00D1702D"/>
    <w:rsid w:val="00D172B3"/>
    <w:rsid w:val="00D172C8"/>
    <w:rsid w:val="00D172D0"/>
    <w:rsid w:val="00D17BC3"/>
    <w:rsid w:val="00D17D1F"/>
    <w:rsid w:val="00D2003C"/>
    <w:rsid w:val="00D2083C"/>
    <w:rsid w:val="00D20B69"/>
    <w:rsid w:val="00D20F22"/>
    <w:rsid w:val="00D210BE"/>
    <w:rsid w:val="00D2118A"/>
    <w:rsid w:val="00D21370"/>
    <w:rsid w:val="00D214B6"/>
    <w:rsid w:val="00D216BC"/>
    <w:rsid w:val="00D21879"/>
    <w:rsid w:val="00D21D19"/>
    <w:rsid w:val="00D220CB"/>
    <w:rsid w:val="00D22637"/>
    <w:rsid w:val="00D226AF"/>
    <w:rsid w:val="00D23D95"/>
    <w:rsid w:val="00D2402C"/>
    <w:rsid w:val="00D242BF"/>
    <w:rsid w:val="00D243ED"/>
    <w:rsid w:val="00D24511"/>
    <w:rsid w:val="00D246A2"/>
    <w:rsid w:val="00D246F4"/>
    <w:rsid w:val="00D250BA"/>
    <w:rsid w:val="00D25580"/>
    <w:rsid w:val="00D257C7"/>
    <w:rsid w:val="00D25C81"/>
    <w:rsid w:val="00D2755B"/>
    <w:rsid w:val="00D27703"/>
    <w:rsid w:val="00D3080A"/>
    <w:rsid w:val="00D309D2"/>
    <w:rsid w:val="00D30D96"/>
    <w:rsid w:val="00D312A4"/>
    <w:rsid w:val="00D317A9"/>
    <w:rsid w:val="00D31A64"/>
    <w:rsid w:val="00D31D15"/>
    <w:rsid w:val="00D3201B"/>
    <w:rsid w:val="00D32104"/>
    <w:rsid w:val="00D32AE5"/>
    <w:rsid w:val="00D32B46"/>
    <w:rsid w:val="00D32F99"/>
    <w:rsid w:val="00D330A3"/>
    <w:rsid w:val="00D3349C"/>
    <w:rsid w:val="00D34063"/>
    <w:rsid w:val="00D34086"/>
    <w:rsid w:val="00D340D6"/>
    <w:rsid w:val="00D340E9"/>
    <w:rsid w:val="00D343DF"/>
    <w:rsid w:val="00D34FE7"/>
    <w:rsid w:val="00D35192"/>
    <w:rsid w:val="00D35538"/>
    <w:rsid w:val="00D35625"/>
    <w:rsid w:val="00D357CF"/>
    <w:rsid w:val="00D35D7F"/>
    <w:rsid w:val="00D36D76"/>
    <w:rsid w:val="00D37883"/>
    <w:rsid w:val="00D37C77"/>
    <w:rsid w:val="00D40087"/>
    <w:rsid w:val="00D40119"/>
    <w:rsid w:val="00D408A2"/>
    <w:rsid w:val="00D40D06"/>
    <w:rsid w:val="00D41DD9"/>
    <w:rsid w:val="00D41E87"/>
    <w:rsid w:val="00D423F7"/>
    <w:rsid w:val="00D42AE6"/>
    <w:rsid w:val="00D42BE0"/>
    <w:rsid w:val="00D42FD8"/>
    <w:rsid w:val="00D43A67"/>
    <w:rsid w:val="00D443D8"/>
    <w:rsid w:val="00D4455B"/>
    <w:rsid w:val="00D4496B"/>
    <w:rsid w:val="00D449E2"/>
    <w:rsid w:val="00D44E29"/>
    <w:rsid w:val="00D457BD"/>
    <w:rsid w:val="00D4586A"/>
    <w:rsid w:val="00D464DF"/>
    <w:rsid w:val="00D46686"/>
    <w:rsid w:val="00D46979"/>
    <w:rsid w:val="00D479C4"/>
    <w:rsid w:val="00D47C2E"/>
    <w:rsid w:val="00D501B3"/>
    <w:rsid w:val="00D50353"/>
    <w:rsid w:val="00D509A6"/>
    <w:rsid w:val="00D50B20"/>
    <w:rsid w:val="00D50CEB"/>
    <w:rsid w:val="00D51708"/>
    <w:rsid w:val="00D521AA"/>
    <w:rsid w:val="00D52424"/>
    <w:rsid w:val="00D52EC4"/>
    <w:rsid w:val="00D53476"/>
    <w:rsid w:val="00D53A9E"/>
    <w:rsid w:val="00D5468B"/>
    <w:rsid w:val="00D550C7"/>
    <w:rsid w:val="00D555A0"/>
    <w:rsid w:val="00D55837"/>
    <w:rsid w:val="00D55D72"/>
    <w:rsid w:val="00D56016"/>
    <w:rsid w:val="00D56CF5"/>
    <w:rsid w:val="00D56CF6"/>
    <w:rsid w:val="00D56FB7"/>
    <w:rsid w:val="00D57D17"/>
    <w:rsid w:val="00D57F70"/>
    <w:rsid w:val="00D6031D"/>
    <w:rsid w:val="00D60BF3"/>
    <w:rsid w:val="00D6180C"/>
    <w:rsid w:val="00D6290B"/>
    <w:rsid w:val="00D63CC4"/>
    <w:rsid w:val="00D641F4"/>
    <w:rsid w:val="00D65003"/>
    <w:rsid w:val="00D6654F"/>
    <w:rsid w:val="00D66825"/>
    <w:rsid w:val="00D66A04"/>
    <w:rsid w:val="00D66E80"/>
    <w:rsid w:val="00D677C4"/>
    <w:rsid w:val="00D678A3"/>
    <w:rsid w:val="00D67C44"/>
    <w:rsid w:val="00D7006B"/>
    <w:rsid w:val="00D704B4"/>
    <w:rsid w:val="00D70BB2"/>
    <w:rsid w:val="00D71CE0"/>
    <w:rsid w:val="00D72527"/>
    <w:rsid w:val="00D727CC"/>
    <w:rsid w:val="00D72D8F"/>
    <w:rsid w:val="00D73062"/>
    <w:rsid w:val="00D73680"/>
    <w:rsid w:val="00D736F8"/>
    <w:rsid w:val="00D742AB"/>
    <w:rsid w:val="00D742C0"/>
    <w:rsid w:val="00D7459C"/>
    <w:rsid w:val="00D74693"/>
    <w:rsid w:val="00D75036"/>
    <w:rsid w:val="00D75187"/>
    <w:rsid w:val="00D754FC"/>
    <w:rsid w:val="00D75BC1"/>
    <w:rsid w:val="00D760ED"/>
    <w:rsid w:val="00D7674E"/>
    <w:rsid w:val="00D76FCA"/>
    <w:rsid w:val="00D77161"/>
    <w:rsid w:val="00D77BED"/>
    <w:rsid w:val="00D77EC7"/>
    <w:rsid w:val="00D8011C"/>
    <w:rsid w:val="00D8040F"/>
    <w:rsid w:val="00D808FA"/>
    <w:rsid w:val="00D80A9F"/>
    <w:rsid w:val="00D812A7"/>
    <w:rsid w:val="00D81623"/>
    <w:rsid w:val="00D81670"/>
    <w:rsid w:val="00D8238D"/>
    <w:rsid w:val="00D829DF"/>
    <w:rsid w:val="00D82FA3"/>
    <w:rsid w:val="00D8305D"/>
    <w:rsid w:val="00D830B9"/>
    <w:rsid w:val="00D8312A"/>
    <w:rsid w:val="00D836D6"/>
    <w:rsid w:val="00D83B94"/>
    <w:rsid w:val="00D84525"/>
    <w:rsid w:val="00D85764"/>
    <w:rsid w:val="00D85801"/>
    <w:rsid w:val="00D85D53"/>
    <w:rsid w:val="00D85DA1"/>
    <w:rsid w:val="00D86378"/>
    <w:rsid w:val="00D8681A"/>
    <w:rsid w:val="00D86976"/>
    <w:rsid w:val="00D86CC3"/>
    <w:rsid w:val="00D871AD"/>
    <w:rsid w:val="00D87CB6"/>
    <w:rsid w:val="00D900D2"/>
    <w:rsid w:val="00D90146"/>
    <w:rsid w:val="00D9027D"/>
    <w:rsid w:val="00D902A8"/>
    <w:rsid w:val="00D90671"/>
    <w:rsid w:val="00D9076D"/>
    <w:rsid w:val="00D90F0A"/>
    <w:rsid w:val="00D91196"/>
    <w:rsid w:val="00D91628"/>
    <w:rsid w:val="00D92360"/>
    <w:rsid w:val="00D92EB8"/>
    <w:rsid w:val="00D93058"/>
    <w:rsid w:val="00D93173"/>
    <w:rsid w:val="00D93603"/>
    <w:rsid w:val="00D93790"/>
    <w:rsid w:val="00D937E6"/>
    <w:rsid w:val="00D93832"/>
    <w:rsid w:val="00D93A40"/>
    <w:rsid w:val="00D93B1C"/>
    <w:rsid w:val="00D940B9"/>
    <w:rsid w:val="00D940BB"/>
    <w:rsid w:val="00D94595"/>
    <w:rsid w:val="00D945F9"/>
    <w:rsid w:val="00D94AC3"/>
    <w:rsid w:val="00D94D2D"/>
    <w:rsid w:val="00D9508C"/>
    <w:rsid w:val="00D95169"/>
    <w:rsid w:val="00D95524"/>
    <w:rsid w:val="00D95B86"/>
    <w:rsid w:val="00D95D77"/>
    <w:rsid w:val="00D95F38"/>
    <w:rsid w:val="00D96257"/>
    <w:rsid w:val="00D962BD"/>
    <w:rsid w:val="00D962E2"/>
    <w:rsid w:val="00D968C5"/>
    <w:rsid w:val="00D969BD"/>
    <w:rsid w:val="00D96A56"/>
    <w:rsid w:val="00D97395"/>
    <w:rsid w:val="00D976EF"/>
    <w:rsid w:val="00D97938"/>
    <w:rsid w:val="00DA0146"/>
    <w:rsid w:val="00DA0A59"/>
    <w:rsid w:val="00DA0A7C"/>
    <w:rsid w:val="00DA1389"/>
    <w:rsid w:val="00DA1B92"/>
    <w:rsid w:val="00DA21A5"/>
    <w:rsid w:val="00DA2465"/>
    <w:rsid w:val="00DA292E"/>
    <w:rsid w:val="00DA2DD0"/>
    <w:rsid w:val="00DA3080"/>
    <w:rsid w:val="00DA3A30"/>
    <w:rsid w:val="00DA3E29"/>
    <w:rsid w:val="00DA5456"/>
    <w:rsid w:val="00DA5742"/>
    <w:rsid w:val="00DA5BA9"/>
    <w:rsid w:val="00DA5CAC"/>
    <w:rsid w:val="00DA619A"/>
    <w:rsid w:val="00DA61E6"/>
    <w:rsid w:val="00DA6487"/>
    <w:rsid w:val="00DA6B22"/>
    <w:rsid w:val="00DA70A4"/>
    <w:rsid w:val="00DA70E7"/>
    <w:rsid w:val="00DA7616"/>
    <w:rsid w:val="00DB04C9"/>
    <w:rsid w:val="00DB0E16"/>
    <w:rsid w:val="00DB0E8F"/>
    <w:rsid w:val="00DB115E"/>
    <w:rsid w:val="00DB15A0"/>
    <w:rsid w:val="00DB2283"/>
    <w:rsid w:val="00DB283C"/>
    <w:rsid w:val="00DB30B9"/>
    <w:rsid w:val="00DB3658"/>
    <w:rsid w:val="00DB43BA"/>
    <w:rsid w:val="00DB4586"/>
    <w:rsid w:val="00DB474C"/>
    <w:rsid w:val="00DB4BFC"/>
    <w:rsid w:val="00DB502B"/>
    <w:rsid w:val="00DB5529"/>
    <w:rsid w:val="00DB55E3"/>
    <w:rsid w:val="00DB5668"/>
    <w:rsid w:val="00DB59E7"/>
    <w:rsid w:val="00DB5E4E"/>
    <w:rsid w:val="00DB64A8"/>
    <w:rsid w:val="00DB6966"/>
    <w:rsid w:val="00DB69F6"/>
    <w:rsid w:val="00DB6E46"/>
    <w:rsid w:val="00DB6EF3"/>
    <w:rsid w:val="00DB7252"/>
    <w:rsid w:val="00DB74C5"/>
    <w:rsid w:val="00DB7D65"/>
    <w:rsid w:val="00DB7FED"/>
    <w:rsid w:val="00DC10B3"/>
    <w:rsid w:val="00DC15F9"/>
    <w:rsid w:val="00DC1DEE"/>
    <w:rsid w:val="00DC225D"/>
    <w:rsid w:val="00DC227B"/>
    <w:rsid w:val="00DC269D"/>
    <w:rsid w:val="00DC29B8"/>
    <w:rsid w:val="00DC35A2"/>
    <w:rsid w:val="00DC364A"/>
    <w:rsid w:val="00DC392E"/>
    <w:rsid w:val="00DC3FCD"/>
    <w:rsid w:val="00DC4362"/>
    <w:rsid w:val="00DC47A0"/>
    <w:rsid w:val="00DC4CDF"/>
    <w:rsid w:val="00DC4E7B"/>
    <w:rsid w:val="00DC4F73"/>
    <w:rsid w:val="00DC52DD"/>
    <w:rsid w:val="00DC5A69"/>
    <w:rsid w:val="00DC5C58"/>
    <w:rsid w:val="00DC5CA5"/>
    <w:rsid w:val="00DC5DC5"/>
    <w:rsid w:val="00DC5ECA"/>
    <w:rsid w:val="00DC5F22"/>
    <w:rsid w:val="00DC5F87"/>
    <w:rsid w:val="00DC62C5"/>
    <w:rsid w:val="00DC67EE"/>
    <w:rsid w:val="00DC690B"/>
    <w:rsid w:val="00DC7012"/>
    <w:rsid w:val="00DC731B"/>
    <w:rsid w:val="00DC75CA"/>
    <w:rsid w:val="00DC762E"/>
    <w:rsid w:val="00DC7E5C"/>
    <w:rsid w:val="00DD01B9"/>
    <w:rsid w:val="00DD0FEA"/>
    <w:rsid w:val="00DD108D"/>
    <w:rsid w:val="00DD145A"/>
    <w:rsid w:val="00DD1D11"/>
    <w:rsid w:val="00DD1F96"/>
    <w:rsid w:val="00DD2626"/>
    <w:rsid w:val="00DD2882"/>
    <w:rsid w:val="00DD2BBD"/>
    <w:rsid w:val="00DD2D74"/>
    <w:rsid w:val="00DD328E"/>
    <w:rsid w:val="00DD3C04"/>
    <w:rsid w:val="00DD3D55"/>
    <w:rsid w:val="00DD3EB3"/>
    <w:rsid w:val="00DD4218"/>
    <w:rsid w:val="00DD4325"/>
    <w:rsid w:val="00DD46D3"/>
    <w:rsid w:val="00DD4A07"/>
    <w:rsid w:val="00DD4D31"/>
    <w:rsid w:val="00DD57AC"/>
    <w:rsid w:val="00DD5A40"/>
    <w:rsid w:val="00DD5C9C"/>
    <w:rsid w:val="00DD636C"/>
    <w:rsid w:val="00DD6A2F"/>
    <w:rsid w:val="00DD6D3D"/>
    <w:rsid w:val="00DD6D4E"/>
    <w:rsid w:val="00DD71E5"/>
    <w:rsid w:val="00DD7E14"/>
    <w:rsid w:val="00DD7F76"/>
    <w:rsid w:val="00DE1466"/>
    <w:rsid w:val="00DE1A66"/>
    <w:rsid w:val="00DE254C"/>
    <w:rsid w:val="00DE264A"/>
    <w:rsid w:val="00DE2835"/>
    <w:rsid w:val="00DE286C"/>
    <w:rsid w:val="00DE2C09"/>
    <w:rsid w:val="00DE2C7B"/>
    <w:rsid w:val="00DE4BF2"/>
    <w:rsid w:val="00DE5516"/>
    <w:rsid w:val="00DE5538"/>
    <w:rsid w:val="00DE57C3"/>
    <w:rsid w:val="00DE5EB4"/>
    <w:rsid w:val="00DE609D"/>
    <w:rsid w:val="00DE66D7"/>
    <w:rsid w:val="00DE6D88"/>
    <w:rsid w:val="00DE7E55"/>
    <w:rsid w:val="00DF00B5"/>
    <w:rsid w:val="00DF0740"/>
    <w:rsid w:val="00DF07B6"/>
    <w:rsid w:val="00DF0B8B"/>
    <w:rsid w:val="00DF0E74"/>
    <w:rsid w:val="00DF1585"/>
    <w:rsid w:val="00DF1B75"/>
    <w:rsid w:val="00DF259B"/>
    <w:rsid w:val="00DF2DD5"/>
    <w:rsid w:val="00DF2DF6"/>
    <w:rsid w:val="00DF3404"/>
    <w:rsid w:val="00DF34E4"/>
    <w:rsid w:val="00DF35CA"/>
    <w:rsid w:val="00DF387F"/>
    <w:rsid w:val="00DF423B"/>
    <w:rsid w:val="00DF477E"/>
    <w:rsid w:val="00DF48DB"/>
    <w:rsid w:val="00DF5A51"/>
    <w:rsid w:val="00DF684B"/>
    <w:rsid w:val="00DF6EB4"/>
    <w:rsid w:val="00DF705D"/>
    <w:rsid w:val="00DF7138"/>
    <w:rsid w:val="00DF77A2"/>
    <w:rsid w:val="00DF77C6"/>
    <w:rsid w:val="00DF7BEC"/>
    <w:rsid w:val="00DF7F85"/>
    <w:rsid w:val="00E000BC"/>
    <w:rsid w:val="00E0012D"/>
    <w:rsid w:val="00E001AF"/>
    <w:rsid w:val="00E00631"/>
    <w:rsid w:val="00E00B8C"/>
    <w:rsid w:val="00E00DD9"/>
    <w:rsid w:val="00E00F2D"/>
    <w:rsid w:val="00E0120E"/>
    <w:rsid w:val="00E018CE"/>
    <w:rsid w:val="00E019B1"/>
    <w:rsid w:val="00E01A3E"/>
    <w:rsid w:val="00E01D5B"/>
    <w:rsid w:val="00E023CE"/>
    <w:rsid w:val="00E02566"/>
    <w:rsid w:val="00E02EF9"/>
    <w:rsid w:val="00E03832"/>
    <w:rsid w:val="00E04970"/>
    <w:rsid w:val="00E04C3D"/>
    <w:rsid w:val="00E050C1"/>
    <w:rsid w:val="00E056CB"/>
    <w:rsid w:val="00E05867"/>
    <w:rsid w:val="00E05FD7"/>
    <w:rsid w:val="00E05FD8"/>
    <w:rsid w:val="00E064FC"/>
    <w:rsid w:val="00E06A2C"/>
    <w:rsid w:val="00E06B58"/>
    <w:rsid w:val="00E07032"/>
    <w:rsid w:val="00E0771D"/>
    <w:rsid w:val="00E07B19"/>
    <w:rsid w:val="00E10047"/>
    <w:rsid w:val="00E10201"/>
    <w:rsid w:val="00E106C0"/>
    <w:rsid w:val="00E10A04"/>
    <w:rsid w:val="00E10FF7"/>
    <w:rsid w:val="00E1116C"/>
    <w:rsid w:val="00E111F0"/>
    <w:rsid w:val="00E113DC"/>
    <w:rsid w:val="00E115EE"/>
    <w:rsid w:val="00E11B65"/>
    <w:rsid w:val="00E12001"/>
    <w:rsid w:val="00E12913"/>
    <w:rsid w:val="00E12BF1"/>
    <w:rsid w:val="00E12D74"/>
    <w:rsid w:val="00E132C3"/>
    <w:rsid w:val="00E13C23"/>
    <w:rsid w:val="00E13EE4"/>
    <w:rsid w:val="00E13F86"/>
    <w:rsid w:val="00E14555"/>
    <w:rsid w:val="00E14649"/>
    <w:rsid w:val="00E14B2C"/>
    <w:rsid w:val="00E14C7A"/>
    <w:rsid w:val="00E157F0"/>
    <w:rsid w:val="00E15AB6"/>
    <w:rsid w:val="00E164E0"/>
    <w:rsid w:val="00E17522"/>
    <w:rsid w:val="00E177A9"/>
    <w:rsid w:val="00E1799D"/>
    <w:rsid w:val="00E17A18"/>
    <w:rsid w:val="00E17BC1"/>
    <w:rsid w:val="00E2001E"/>
    <w:rsid w:val="00E20FAD"/>
    <w:rsid w:val="00E2178D"/>
    <w:rsid w:val="00E21DCD"/>
    <w:rsid w:val="00E21F28"/>
    <w:rsid w:val="00E2203D"/>
    <w:rsid w:val="00E22119"/>
    <w:rsid w:val="00E22492"/>
    <w:rsid w:val="00E22AB4"/>
    <w:rsid w:val="00E22E82"/>
    <w:rsid w:val="00E235C3"/>
    <w:rsid w:val="00E23B43"/>
    <w:rsid w:val="00E23E07"/>
    <w:rsid w:val="00E24301"/>
    <w:rsid w:val="00E243CE"/>
    <w:rsid w:val="00E24763"/>
    <w:rsid w:val="00E24929"/>
    <w:rsid w:val="00E25D7F"/>
    <w:rsid w:val="00E26C8E"/>
    <w:rsid w:val="00E2701E"/>
    <w:rsid w:val="00E2738F"/>
    <w:rsid w:val="00E2764F"/>
    <w:rsid w:val="00E27821"/>
    <w:rsid w:val="00E30075"/>
    <w:rsid w:val="00E306FB"/>
    <w:rsid w:val="00E309A6"/>
    <w:rsid w:val="00E3104B"/>
    <w:rsid w:val="00E31DFB"/>
    <w:rsid w:val="00E32499"/>
    <w:rsid w:val="00E3288B"/>
    <w:rsid w:val="00E338FB"/>
    <w:rsid w:val="00E343F5"/>
    <w:rsid w:val="00E347F9"/>
    <w:rsid w:val="00E34A0E"/>
    <w:rsid w:val="00E34BC1"/>
    <w:rsid w:val="00E350D4"/>
    <w:rsid w:val="00E352C4"/>
    <w:rsid w:val="00E355BE"/>
    <w:rsid w:val="00E35646"/>
    <w:rsid w:val="00E35B50"/>
    <w:rsid w:val="00E36002"/>
    <w:rsid w:val="00E3616A"/>
    <w:rsid w:val="00E3656F"/>
    <w:rsid w:val="00E36876"/>
    <w:rsid w:val="00E36AC8"/>
    <w:rsid w:val="00E3702C"/>
    <w:rsid w:val="00E370BB"/>
    <w:rsid w:val="00E37707"/>
    <w:rsid w:val="00E378E8"/>
    <w:rsid w:val="00E41080"/>
    <w:rsid w:val="00E410E7"/>
    <w:rsid w:val="00E411B9"/>
    <w:rsid w:val="00E41BDA"/>
    <w:rsid w:val="00E41E64"/>
    <w:rsid w:val="00E42303"/>
    <w:rsid w:val="00E4267E"/>
    <w:rsid w:val="00E42887"/>
    <w:rsid w:val="00E42C00"/>
    <w:rsid w:val="00E4304E"/>
    <w:rsid w:val="00E435AA"/>
    <w:rsid w:val="00E4361C"/>
    <w:rsid w:val="00E43AED"/>
    <w:rsid w:val="00E43D5A"/>
    <w:rsid w:val="00E44644"/>
    <w:rsid w:val="00E45255"/>
    <w:rsid w:val="00E455C6"/>
    <w:rsid w:val="00E458D0"/>
    <w:rsid w:val="00E45B54"/>
    <w:rsid w:val="00E45FAA"/>
    <w:rsid w:val="00E46481"/>
    <w:rsid w:val="00E46A8B"/>
    <w:rsid w:val="00E46C48"/>
    <w:rsid w:val="00E46C5F"/>
    <w:rsid w:val="00E46D2E"/>
    <w:rsid w:val="00E46E70"/>
    <w:rsid w:val="00E46EBA"/>
    <w:rsid w:val="00E470DB"/>
    <w:rsid w:val="00E47C22"/>
    <w:rsid w:val="00E47C6D"/>
    <w:rsid w:val="00E5055C"/>
    <w:rsid w:val="00E50CFE"/>
    <w:rsid w:val="00E50E7D"/>
    <w:rsid w:val="00E525A9"/>
    <w:rsid w:val="00E5266B"/>
    <w:rsid w:val="00E52A73"/>
    <w:rsid w:val="00E52C12"/>
    <w:rsid w:val="00E52FD5"/>
    <w:rsid w:val="00E530E1"/>
    <w:rsid w:val="00E53601"/>
    <w:rsid w:val="00E536B9"/>
    <w:rsid w:val="00E537A0"/>
    <w:rsid w:val="00E53872"/>
    <w:rsid w:val="00E53DFD"/>
    <w:rsid w:val="00E541BE"/>
    <w:rsid w:val="00E5439D"/>
    <w:rsid w:val="00E54404"/>
    <w:rsid w:val="00E557FE"/>
    <w:rsid w:val="00E56A40"/>
    <w:rsid w:val="00E571DD"/>
    <w:rsid w:val="00E575BA"/>
    <w:rsid w:val="00E57EED"/>
    <w:rsid w:val="00E603AA"/>
    <w:rsid w:val="00E60446"/>
    <w:rsid w:val="00E60635"/>
    <w:rsid w:val="00E607B8"/>
    <w:rsid w:val="00E60EE8"/>
    <w:rsid w:val="00E60F87"/>
    <w:rsid w:val="00E6114B"/>
    <w:rsid w:val="00E61E8A"/>
    <w:rsid w:val="00E63399"/>
    <w:rsid w:val="00E638BB"/>
    <w:rsid w:val="00E639F8"/>
    <w:rsid w:val="00E63BEF"/>
    <w:rsid w:val="00E63C7D"/>
    <w:rsid w:val="00E641EA"/>
    <w:rsid w:val="00E64B55"/>
    <w:rsid w:val="00E6573D"/>
    <w:rsid w:val="00E6599A"/>
    <w:rsid w:val="00E65C04"/>
    <w:rsid w:val="00E65D8B"/>
    <w:rsid w:val="00E662C2"/>
    <w:rsid w:val="00E66643"/>
    <w:rsid w:val="00E6689B"/>
    <w:rsid w:val="00E66968"/>
    <w:rsid w:val="00E66A4B"/>
    <w:rsid w:val="00E66B69"/>
    <w:rsid w:val="00E66B97"/>
    <w:rsid w:val="00E67203"/>
    <w:rsid w:val="00E701A3"/>
    <w:rsid w:val="00E70DFD"/>
    <w:rsid w:val="00E70F2E"/>
    <w:rsid w:val="00E71B4B"/>
    <w:rsid w:val="00E71CC8"/>
    <w:rsid w:val="00E72226"/>
    <w:rsid w:val="00E7257F"/>
    <w:rsid w:val="00E72D1F"/>
    <w:rsid w:val="00E72DF5"/>
    <w:rsid w:val="00E738EB"/>
    <w:rsid w:val="00E73BBF"/>
    <w:rsid w:val="00E73D3C"/>
    <w:rsid w:val="00E740C3"/>
    <w:rsid w:val="00E74499"/>
    <w:rsid w:val="00E74925"/>
    <w:rsid w:val="00E74A17"/>
    <w:rsid w:val="00E75481"/>
    <w:rsid w:val="00E75692"/>
    <w:rsid w:val="00E77155"/>
    <w:rsid w:val="00E7719F"/>
    <w:rsid w:val="00E771AA"/>
    <w:rsid w:val="00E771D5"/>
    <w:rsid w:val="00E771F8"/>
    <w:rsid w:val="00E77262"/>
    <w:rsid w:val="00E777E3"/>
    <w:rsid w:val="00E77F24"/>
    <w:rsid w:val="00E80148"/>
    <w:rsid w:val="00E80183"/>
    <w:rsid w:val="00E807F1"/>
    <w:rsid w:val="00E80A02"/>
    <w:rsid w:val="00E8143C"/>
    <w:rsid w:val="00E81BDA"/>
    <w:rsid w:val="00E81FA5"/>
    <w:rsid w:val="00E822C7"/>
    <w:rsid w:val="00E82753"/>
    <w:rsid w:val="00E82D09"/>
    <w:rsid w:val="00E82F5D"/>
    <w:rsid w:val="00E83299"/>
    <w:rsid w:val="00E83425"/>
    <w:rsid w:val="00E83D44"/>
    <w:rsid w:val="00E845FB"/>
    <w:rsid w:val="00E846A3"/>
    <w:rsid w:val="00E84711"/>
    <w:rsid w:val="00E84EC1"/>
    <w:rsid w:val="00E84ED9"/>
    <w:rsid w:val="00E84F47"/>
    <w:rsid w:val="00E84FBF"/>
    <w:rsid w:val="00E8536E"/>
    <w:rsid w:val="00E85577"/>
    <w:rsid w:val="00E8557B"/>
    <w:rsid w:val="00E85C67"/>
    <w:rsid w:val="00E85D42"/>
    <w:rsid w:val="00E86775"/>
    <w:rsid w:val="00E86E1E"/>
    <w:rsid w:val="00E86EDF"/>
    <w:rsid w:val="00E87EF8"/>
    <w:rsid w:val="00E905A1"/>
    <w:rsid w:val="00E90921"/>
    <w:rsid w:val="00E911F6"/>
    <w:rsid w:val="00E9136A"/>
    <w:rsid w:val="00E9136E"/>
    <w:rsid w:val="00E914F5"/>
    <w:rsid w:val="00E91770"/>
    <w:rsid w:val="00E9178C"/>
    <w:rsid w:val="00E91892"/>
    <w:rsid w:val="00E918D3"/>
    <w:rsid w:val="00E91B47"/>
    <w:rsid w:val="00E91E0A"/>
    <w:rsid w:val="00E923C6"/>
    <w:rsid w:val="00E9336E"/>
    <w:rsid w:val="00E94438"/>
    <w:rsid w:val="00E9446C"/>
    <w:rsid w:val="00E94547"/>
    <w:rsid w:val="00E950A1"/>
    <w:rsid w:val="00E95A77"/>
    <w:rsid w:val="00E96ED8"/>
    <w:rsid w:val="00E973F4"/>
    <w:rsid w:val="00E978A4"/>
    <w:rsid w:val="00E979AD"/>
    <w:rsid w:val="00E97BBC"/>
    <w:rsid w:val="00EA05E6"/>
    <w:rsid w:val="00EA1175"/>
    <w:rsid w:val="00EA15EC"/>
    <w:rsid w:val="00EA1816"/>
    <w:rsid w:val="00EA2143"/>
    <w:rsid w:val="00EA21A8"/>
    <w:rsid w:val="00EA2D5A"/>
    <w:rsid w:val="00EA365A"/>
    <w:rsid w:val="00EA3FFD"/>
    <w:rsid w:val="00EA4834"/>
    <w:rsid w:val="00EA4E60"/>
    <w:rsid w:val="00EA4FF7"/>
    <w:rsid w:val="00EA543B"/>
    <w:rsid w:val="00EA5A00"/>
    <w:rsid w:val="00EA5E6A"/>
    <w:rsid w:val="00EA689A"/>
    <w:rsid w:val="00EA69F8"/>
    <w:rsid w:val="00EA6C3C"/>
    <w:rsid w:val="00EA6D5B"/>
    <w:rsid w:val="00EA6DA6"/>
    <w:rsid w:val="00EA75C1"/>
    <w:rsid w:val="00EA7643"/>
    <w:rsid w:val="00EA795E"/>
    <w:rsid w:val="00EA7A6E"/>
    <w:rsid w:val="00EA7E10"/>
    <w:rsid w:val="00EB06A6"/>
    <w:rsid w:val="00EB188D"/>
    <w:rsid w:val="00EB200F"/>
    <w:rsid w:val="00EB206B"/>
    <w:rsid w:val="00EB2846"/>
    <w:rsid w:val="00EB2C00"/>
    <w:rsid w:val="00EB2ED6"/>
    <w:rsid w:val="00EB4479"/>
    <w:rsid w:val="00EB4D05"/>
    <w:rsid w:val="00EB4E9B"/>
    <w:rsid w:val="00EB5484"/>
    <w:rsid w:val="00EB5576"/>
    <w:rsid w:val="00EB5F41"/>
    <w:rsid w:val="00EB6344"/>
    <w:rsid w:val="00EB63A1"/>
    <w:rsid w:val="00EB6E37"/>
    <w:rsid w:val="00EB71B8"/>
    <w:rsid w:val="00EB72E4"/>
    <w:rsid w:val="00EB7C2B"/>
    <w:rsid w:val="00EC011E"/>
    <w:rsid w:val="00EC042C"/>
    <w:rsid w:val="00EC0911"/>
    <w:rsid w:val="00EC1BC3"/>
    <w:rsid w:val="00EC1F46"/>
    <w:rsid w:val="00EC241B"/>
    <w:rsid w:val="00EC29B3"/>
    <w:rsid w:val="00EC2E01"/>
    <w:rsid w:val="00EC3010"/>
    <w:rsid w:val="00EC30B4"/>
    <w:rsid w:val="00EC31A3"/>
    <w:rsid w:val="00EC31E0"/>
    <w:rsid w:val="00EC39D1"/>
    <w:rsid w:val="00EC3A50"/>
    <w:rsid w:val="00EC51EB"/>
    <w:rsid w:val="00EC5DC2"/>
    <w:rsid w:val="00EC6388"/>
    <w:rsid w:val="00EC6830"/>
    <w:rsid w:val="00EC6A24"/>
    <w:rsid w:val="00EC6BB7"/>
    <w:rsid w:val="00EC6C05"/>
    <w:rsid w:val="00EC74B6"/>
    <w:rsid w:val="00EC75DD"/>
    <w:rsid w:val="00EC7D51"/>
    <w:rsid w:val="00EC7D7F"/>
    <w:rsid w:val="00EC7E5D"/>
    <w:rsid w:val="00ED037C"/>
    <w:rsid w:val="00ED07A4"/>
    <w:rsid w:val="00ED1EC2"/>
    <w:rsid w:val="00ED2111"/>
    <w:rsid w:val="00ED2B57"/>
    <w:rsid w:val="00ED2D48"/>
    <w:rsid w:val="00ED2DFE"/>
    <w:rsid w:val="00ED3CE3"/>
    <w:rsid w:val="00ED3DC1"/>
    <w:rsid w:val="00ED3FAF"/>
    <w:rsid w:val="00ED41A4"/>
    <w:rsid w:val="00ED489D"/>
    <w:rsid w:val="00ED4EB1"/>
    <w:rsid w:val="00ED4EFD"/>
    <w:rsid w:val="00ED4F9B"/>
    <w:rsid w:val="00ED5442"/>
    <w:rsid w:val="00ED5611"/>
    <w:rsid w:val="00ED6053"/>
    <w:rsid w:val="00ED60E1"/>
    <w:rsid w:val="00ED61E1"/>
    <w:rsid w:val="00ED635A"/>
    <w:rsid w:val="00ED66AA"/>
    <w:rsid w:val="00ED6A79"/>
    <w:rsid w:val="00ED6B6D"/>
    <w:rsid w:val="00ED7124"/>
    <w:rsid w:val="00ED7ADA"/>
    <w:rsid w:val="00ED7CA1"/>
    <w:rsid w:val="00ED7D94"/>
    <w:rsid w:val="00ED7F1F"/>
    <w:rsid w:val="00EE0CAA"/>
    <w:rsid w:val="00EE0D42"/>
    <w:rsid w:val="00EE0FC6"/>
    <w:rsid w:val="00EE189D"/>
    <w:rsid w:val="00EE1AF3"/>
    <w:rsid w:val="00EE1E51"/>
    <w:rsid w:val="00EE21DC"/>
    <w:rsid w:val="00EE2BA4"/>
    <w:rsid w:val="00EE2D2B"/>
    <w:rsid w:val="00EE3284"/>
    <w:rsid w:val="00EE3477"/>
    <w:rsid w:val="00EE374D"/>
    <w:rsid w:val="00EE3BB8"/>
    <w:rsid w:val="00EE3D31"/>
    <w:rsid w:val="00EE3F41"/>
    <w:rsid w:val="00EE4234"/>
    <w:rsid w:val="00EE458B"/>
    <w:rsid w:val="00EE4BA0"/>
    <w:rsid w:val="00EE4E5E"/>
    <w:rsid w:val="00EE5354"/>
    <w:rsid w:val="00EE5826"/>
    <w:rsid w:val="00EE5854"/>
    <w:rsid w:val="00EE58B5"/>
    <w:rsid w:val="00EE6AED"/>
    <w:rsid w:val="00EE6EF7"/>
    <w:rsid w:val="00EE765F"/>
    <w:rsid w:val="00EE76F3"/>
    <w:rsid w:val="00EE7D51"/>
    <w:rsid w:val="00EF0067"/>
    <w:rsid w:val="00EF0316"/>
    <w:rsid w:val="00EF0476"/>
    <w:rsid w:val="00EF06FA"/>
    <w:rsid w:val="00EF0EDF"/>
    <w:rsid w:val="00EF17F6"/>
    <w:rsid w:val="00EF1D3D"/>
    <w:rsid w:val="00EF21D8"/>
    <w:rsid w:val="00EF221B"/>
    <w:rsid w:val="00EF29F1"/>
    <w:rsid w:val="00EF2FFC"/>
    <w:rsid w:val="00EF3310"/>
    <w:rsid w:val="00EF346E"/>
    <w:rsid w:val="00EF39B9"/>
    <w:rsid w:val="00EF42EB"/>
    <w:rsid w:val="00EF4796"/>
    <w:rsid w:val="00EF4AB2"/>
    <w:rsid w:val="00EF4B80"/>
    <w:rsid w:val="00EF4D0B"/>
    <w:rsid w:val="00EF5029"/>
    <w:rsid w:val="00EF5318"/>
    <w:rsid w:val="00EF58E3"/>
    <w:rsid w:val="00EF6725"/>
    <w:rsid w:val="00EF764B"/>
    <w:rsid w:val="00EF791D"/>
    <w:rsid w:val="00EF7A30"/>
    <w:rsid w:val="00EF7AC3"/>
    <w:rsid w:val="00F00605"/>
    <w:rsid w:val="00F00857"/>
    <w:rsid w:val="00F008FA"/>
    <w:rsid w:val="00F01392"/>
    <w:rsid w:val="00F0212D"/>
    <w:rsid w:val="00F028C9"/>
    <w:rsid w:val="00F02C2A"/>
    <w:rsid w:val="00F03B46"/>
    <w:rsid w:val="00F0434C"/>
    <w:rsid w:val="00F0478F"/>
    <w:rsid w:val="00F05068"/>
    <w:rsid w:val="00F056A4"/>
    <w:rsid w:val="00F0597B"/>
    <w:rsid w:val="00F05B26"/>
    <w:rsid w:val="00F06680"/>
    <w:rsid w:val="00F06ABD"/>
    <w:rsid w:val="00F06AD1"/>
    <w:rsid w:val="00F06C1F"/>
    <w:rsid w:val="00F07DA7"/>
    <w:rsid w:val="00F10520"/>
    <w:rsid w:val="00F10A9F"/>
    <w:rsid w:val="00F10C85"/>
    <w:rsid w:val="00F110C5"/>
    <w:rsid w:val="00F1171A"/>
    <w:rsid w:val="00F117FB"/>
    <w:rsid w:val="00F11AAB"/>
    <w:rsid w:val="00F11C70"/>
    <w:rsid w:val="00F125E2"/>
    <w:rsid w:val="00F12604"/>
    <w:rsid w:val="00F127AC"/>
    <w:rsid w:val="00F12C31"/>
    <w:rsid w:val="00F12D9B"/>
    <w:rsid w:val="00F1315B"/>
    <w:rsid w:val="00F1336D"/>
    <w:rsid w:val="00F1354D"/>
    <w:rsid w:val="00F13739"/>
    <w:rsid w:val="00F1376C"/>
    <w:rsid w:val="00F1381A"/>
    <w:rsid w:val="00F13B04"/>
    <w:rsid w:val="00F13BAA"/>
    <w:rsid w:val="00F13BE8"/>
    <w:rsid w:val="00F140DB"/>
    <w:rsid w:val="00F1484E"/>
    <w:rsid w:val="00F14C32"/>
    <w:rsid w:val="00F1509D"/>
    <w:rsid w:val="00F15C4F"/>
    <w:rsid w:val="00F15D1F"/>
    <w:rsid w:val="00F16056"/>
    <w:rsid w:val="00F1628E"/>
    <w:rsid w:val="00F16A37"/>
    <w:rsid w:val="00F1751B"/>
    <w:rsid w:val="00F175CB"/>
    <w:rsid w:val="00F17935"/>
    <w:rsid w:val="00F179E6"/>
    <w:rsid w:val="00F20206"/>
    <w:rsid w:val="00F2021D"/>
    <w:rsid w:val="00F2040A"/>
    <w:rsid w:val="00F20616"/>
    <w:rsid w:val="00F21310"/>
    <w:rsid w:val="00F21AE8"/>
    <w:rsid w:val="00F21B28"/>
    <w:rsid w:val="00F21BE5"/>
    <w:rsid w:val="00F22022"/>
    <w:rsid w:val="00F22476"/>
    <w:rsid w:val="00F224D7"/>
    <w:rsid w:val="00F22688"/>
    <w:rsid w:val="00F2285D"/>
    <w:rsid w:val="00F23554"/>
    <w:rsid w:val="00F23853"/>
    <w:rsid w:val="00F2385E"/>
    <w:rsid w:val="00F238A6"/>
    <w:rsid w:val="00F23A51"/>
    <w:rsid w:val="00F23DF0"/>
    <w:rsid w:val="00F24BA4"/>
    <w:rsid w:val="00F255BE"/>
    <w:rsid w:val="00F25785"/>
    <w:rsid w:val="00F25C7B"/>
    <w:rsid w:val="00F25D10"/>
    <w:rsid w:val="00F25FD8"/>
    <w:rsid w:val="00F26DB3"/>
    <w:rsid w:val="00F272A1"/>
    <w:rsid w:val="00F27311"/>
    <w:rsid w:val="00F27484"/>
    <w:rsid w:val="00F27DCF"/>
    <w:rsid w:val="00F27F97"/>
    <w:rsid w:val="00F30096"/>
    <w:rsid w:val="00F302AC"/>
    <w:rsid w:val="00F3041D"/>
    <w:rsid w:val="00F30F32"/>
    <w:rsid w:val="00F30FDE"/>
    <w:rsid w:val="00F310F6"/>
    <w:rsid w:val="00F314ED"/>
    <w:rsid w:val="00F3152F"/>
    <w:rsid w:val="00F315BE"/>
    <w:rsid w:val="00F317C3"/>
    <w:rsid w:val="00F31BB1"/>
    <w:rsid w:val="00F31D05"/>
    <w:rsid w:val="00F32020"/>
    <w:rsid w:val="00F325C3"/>
    <w:rsid w:val="00F32723"/>
    <w:rsid w:val="00F3292A"/>
    <w:rsid w:val="00F32AFC"/>
    <w:rsid w:val="00F32BF3"/>
    <w:rsid w:val="00F32D29"/>
    <w:rsid w:val="00F333C3"/>
    <w:rsid w:val="00F33B55"/>
    <w:rsid w:val="00F33CE9"/>
    <w:rsid w:val="00F34184"/>
    <w:rsid w:val="00F347E0"/>
    <w:rsid w:val="00F348C4"/>
    <w:rsid w:val="00F34F2B"/>
    <w:rsid w:val="00F3515E"/>
    <w:rsid w:val="00F356A0"/>
    <w:rsid w:val="00F35BEC"/>
    <w:rsid w:val="00F35E11"/>
    <w:rsid w:val="00F35EBB"/>
    <w:rsid w:val="00F361DD"/>
    <w:rsid w:val="00F36279"/>
    <w:rsid w:val="00F3630A"/>
    <w:rsid w:val="00F36CA7"/>
    <w:rsid w:val="00F3716C"/>
    <w:rsid w:val="00F37594"/>
    <w:rsid w:val="00F400A9"/>
    <w:rsid w:val="00F401C9"/>
    <w:rsid w:val="00F4023E"/>
    <w:rsid w:val="00F405B4"/>
    <w:rsid w:val="00F41F98"/>
    <w:rsid w:val="00F42230"/>
    <w:rsid w:val="00F422EB"/>
    <w:rsid w:val="00F425D9"/>
    <w:rsid w:val="00F42934"/>
    <w:rsid w:val="00F4303B"/>
    <w:rsid w:val="00F43732"/>
    <w:rsid w:val="00F43D53"/>
    <w:rsid w:val="00F43EA8"/>
    <w:rsid w:val="00F43EEF"/>
    <w:rsid w:val="00F44046"/>
    <w:rsid w:val="00F4426B"/>
    <w:rsid w:val="00F44AAC"/>
    <w:rsid w:val="00F47295"/>
    <w:rsid w:val="00F472C6"/>
    <w:rsid w:val="00F474CA"/>
    <w:rsid w:val="00F475E1"/>
    <w:rsid w:val="00F50083"/>
    <w:rsid w:val="00F506EC"/>
    <w:rsid w:val="00F50790"/>
    <w:rsid w:val="00F50ADB"/>
    <w:rsid w:val="00F50F5C"/>
    <w:rsid w:val="00F5143E"/>
    <w:rsid w:val="00F51C90"/>
    <w:rsid w:val="00F520A2"/>
    <w:rsid w:val="00F520AD"/>
    <w:rsid w:val="00F52409"/>
    <w:rsid w:val="00F528BB"/>
    <w:rsid w:val="00F52C5C"/>
    <w:rsid w:val="00F52C76"/>
    <w:rsid w:val="00F534AC"/>
    <w:rsid w:val="00F5356E"/>
    <w:rsid w:val="00F53AF4"/>
    <w:rsid w:val="00F53BA5"/>
    <w:rsid w:val="00F5428C"/>
    <w:rsid w:val="00F553AF"/>
    <w:rsid w:val="00F55418"/>
    <w:rsid w:val="00F55AF3"/>
    <w:rsid w:val="00F55C3F"/>
    <w:rsid w:val="00F568C7"/>
    <w:rsid w:val="00F56FEB"/>
    <w:rsid w:val="00F57267"/>
    <w:rsid w:val="00F573A2"/>
    <w:rsid w:val="00F57D5A"/>
    <w:rsid w:val="00F60006"/>
    <w:rsid w:val="00F604B2"/>
    <w:rsid w:val="00F60663"/>
    <w:rsid w:val="00F60A5A"/>
    <w:rsid w:val="00F60ECA"/>
    <w:rsid w:val="00F60F1B"/>
    <w:rsid w:val="00F61200"/>
    <w:rsid w:val="00F6121F"/>
    <w:rsid w:val="00F61E41"/>
    <w:rsid w:val="00F62AD5"/>
    <w:rsid w:val="00F630C5"/>
    <w:rsid w:val="00F63721"/>
    <w:rsid w:val="00F63827"/>
    <w:rsid w:val="00F63845"/>
    <w:rsid w:val="00F63C70"/>
    <w:rsid w:val="00F63D8D"/>
    <w:rsid w:val="00F63FB5"/>
    <w:rsid w:val="00F646C5"/>
    <w:rsid w:val="00F648A2"/>
    <w:rsid w:val="00F6507D"/>
    <w:rsid w:val="00F651D6"/>
    <w:rsid w:val="00F657D4"/>
    <w:rsid w:val="00F65D6C"/>
    <w:rsid w:val="00F6611C"/>
    <w:rsid w:val="00F6634A"/>
    <w:rsid w:val="00F66477"/>
    <w:rsid w:val="00F66786"/>
    <w:rsid w:val="00F67099"/>
    <w:rsid w:val="00F67222"/>
    <w:rsid w:val="00F67613"/>
    <w:rsid w:val="00F67AD3"/>
    <w:rsid w:val="00F702E9"/>
    <w:rsid w:val="00F706F4"/>
    <w:rsid w:val="00F70962"/>
    <w:rsid w:val="00F7110A"/>
    <w:rsid w:val="00F71492"/>
    <w:rsid w:val="00F714AB"/>
    <w:rsid w:val="00F715F2"/>
    <w:rsid w:val="00F7198D"/>
    <w:rsid w:val="00F7243A"/>
    <w:rsid w:val="00F72846"/>
    <w:rsid w:val="00F72A74"/>
    <w:rsid w:val="00F72B4E"/>
    <w:rsid w:val="00F72CB7"/>
    <w:rsid w:val="00F72D5E"/>
    <w:rsid w:val="00F72D7D"/>
    <w:rsid w:val="00F73466"/>
    <w:rsid w:val="00F737F6"/>
    <w:rsid w:val="00F741B9"/>
    <w:rsid w:val="00F74682"/>
    <w:rsid w:val="00F749DA"/>
    <w:rsid w:val="00F7539A"/>
    <w:rsid w:val="00F75A64"/>
    <w:rsid w:val="00F75AEC"/>
    <w:rsid w:val="00F75B6C"/>
    <w:rsid w:val="00F75DA3"/>
    <w:rsid w:val="00F75F3B"/>
    <w:rsid w:val="00F760C2"/>
    <w:rsid w:val="00F7621D"/>
    <w:rsid w:val="00F7646A"/>
    <w:rsid w:val="00F76650"/>
    <w:rsid w:val="00F76B4B"/>
    <w:rsid w:val="00F7787E"/>
    <w:rsid w:val="00F77937"/>
    <w:rsid w:val="00F77A70"/>
    <w:rsid w:val="00F77E53"/>
    <w:rsid w:val="00F80612"/>
    <w:rsid w:val="00F80614"/>
    <w:rsid w:val="00F806D0"/>
    <w:rsid w:val="00F80B09"/>
    <w:rsid w:val="00F80C86"/>
    <w:rsid w:val="00F81951"/>
    <w:rsid w:val="00F81A12"/>
    <w:rsid w:val="00F81B9B"/>
    <w:rsid w:val="00F81E79"/>
    <w:rsid w:val="00F8213A"/>
    <w:rsid w:val="00F8219A"/>
    <w:rsid w:val="00F8267B"/>
    <w:rsid w:val="00F82B41"/>
    <w:rsid w:val="00F82D2D"/>
    <w:rsid w:val="00F82FDA"/>
    <w:rsid w:val="00F84DA3"/>
    <w:rsid w:val="00F854D3"/>
    <w:rsid w:val="00F8550E"/>
    <w:rsid w:val="00F85685"/>
    <w:rsid w:val="00F85800"/>
    <w:rsid w:val="00F859BC"/>
    <w:rsid w:val="00F85D06"/>
    <w:rsid w:val="00F86285"/>
    <w:rsid w:val="00F865F8"/>
    <w:rsid w:val="00F867F9"/>
    <w:rsid w:val="00F868AF"/>
    <w:rsid w:val="00F869A4"/>
    <w:rsid w:val="00F87C1C"/>
    <w:rsid w:val="00F87CD8"/>
    <w:rsid w:val="00F87D77"/>
    <w:rsid w:val="00F90102"/>
    <w:rsid w:val="00F90753"/>
    <w:rsid w:val="00F9085D"/>
    <w:rsid w:val="00F90C71"/>
    <w:rsid w:val="00F90E98"/>
    <w:rsid w:val="00F91877"/>
    <w:rsid w:val="00F91B45"/>
    <w:rsid w:val="00F91CA7"/>
    <w:rsid w:val="00F91F15"/>
    <w:rsid w:val="00F9241B"/>
    <w:rsid w:val="00F92A59"/>
    <w:rsid w:val="00F92EAF"/>
    <w:rsid w:val="00F93400"/>
    <w:rsid w:val="00F934CF"/>
    <w:rsid w:val="00F93780"/>
    <w:rsid w:val="00F94132"/>
    <w:rsid w:val="00F945D1"/>
    <w:rsid w:val="00F948B1"/>
    <w:rsid w:val="00F95076"/>
    <w:rsid w:val="00F95099"/>
    <w:rsid w:val="00F953CA"/>
    <w:rsid w:val="00F9572E"/>
    <w:rsid w:val="00F95ADE"/>
    <w:rsid w:val="00F95AF3"/>
    <w:rsid w:val="00F95B3D"/>
    <w:rsid w:val="00F95B3E"/>
    <w:rsid w:val="00F96EFE"/>
    <w:rsid w:val="00F97433"/>
    <w:rsid w:val="00F97605"/>
    <w:rsid w:val="00F9766F"/>
    <w:rsid w:val="00F97F54"/>
    <w:rsid w:val="00FA096E"/>
    <w:rsid w:val="00FA0C49"/>
    <w:rsid w:val="00FA121B"/>
    <w:rsid w:val="00FA169A"/>
    <w:rsid w:val="00FA1CDA"/>
    <w:rsid w:val="00FA2162"/>
    <w:rsid w:val="00FA2285"/>
    <w:rsid w:val="00FA31F8"/>
    <w:rsid w:val="00FA3978"/>
    <w:rsid w:val="00FA3B19"/>
    <w:rsid w:val="00FA3E59"/>
    <w:rsid w:val="00FA46AC"/>
    <w:rsid w:val="00FA494D"/>
    <w:rsid w:val="00FA49AC"/>
    <w:rsid w:val="00FA4C6B"/>
    <w:rsid w:val="00FA4D89"/>
    <w:rsid w:val="00FA5849"/>
    <w:rsid w:val="00FA5AB8"/>
    <w:rsid w:val="00FA5C6F"/>
    <w:rsid w:val="00FA5C97"/>
    <w:rsid w:val="00FA5FF3"/>
    <w:rsid w:val="00FA62C7"/>
    <w:rsid w:val="00FA6940"/>
    <w:rsid w:val="00FA6F73"/>
    <w:rsid w:val="00FA7C1B"/>
    <w:rsid w:val="00FA7D74"/>
    <w:rsid w:val="00FA7E5C"/>
    <w:rsid w:val="00FB0CDC"/>
    <w:rsid w:val="00FB1806"/>
    <w:rsid w:val="00FB195B"/>
    <w:rsid w:val="00FB2200"/>
    <w:rsid w:val="00FB22D2"/>
    <w:rsid w:val="00FB22E2"/>
    <w:rsid w:val="00FB258A"/>
    <w:rsid w:val="00FB32E2"/>
    <w:rsid w:val="00FB3468"/>
    <w:rsid w:val="00FB3828"/>
    <w:rsid w:val="00FB5C90"/>
    <w:rsid w:val="00FB5D30"/>
    <w:rsid w:val="00FB5D7D"/>
    <w:rsid w:val="00FB6BC2"/>
    <w:rsid w:val="00FB70BA"/>
    <w:rsid w:val="00FB7A1A"/>
    <w:rsid w:val="00FB7DF0"/>
    <w:rsid w:val="00FC01FC"/>
    <w:rsid w:val="00FC062E"/>
    <w:rsid w:val="00FC0BDB"/>
    <w:rsid w:val="00FC0CBA"/>
    <w:rsid w:val="00FC0F5A"/>
    <w:rsid w:val="00FC13FB"/>
    <w:rsid w:val="00FC2174"/>
    <w:rsid w:val="00FC28D6"/>
    <w:rsid w:val="00FC29E9"/>
    <w:rsid w:val="00FC2B08"/>
    <w:rsid w:val="00FC3173"/>
    <w:rsid w:val="00FC3B8C"/>
    <w:rsid w:val="00FC3FB3"/>
    <w:rsid w:val="00FC4428"/>
    <w:rsid w:val="00FC4BE1"/>
    <w:rsid w:val="00FC6271"/>
    <w:rsid w:val="00FC6AE2"/>
    <w:rsid w:val="00FC6B85"/>
    <w:rsid w:val="00FC6EE7"/>
    <w:rsid w:val="00FC7173"/>
    <w:rsid w:val="00FC73D0"/>
    <w:rsid w:val="00FC7435"/>
    <w:rsid w:val="00FD059A"/>
    <w:rsid w:val="00FD1295"/>
    <w:rsid w:val="00FD137A"/>
    <w:rsid w:val="00FD1F32"/>
    <w:rsid w:val="00FD213C"/>
    <w:rsid w:val="00FD260B"/>
    <w:rsid w:val="00FD29F8"/>
    <w:rsid w:val="00FD30A6"/>
    <w:rsid w:val="00FD30ED"/>
    <w:rsid w:val="00FD3108"/>
    <w:rsid w:val="00FD365E"/>
    <w:rsid w:val="00FD38E1"/>
    <w:rsid w:val="00FD3C3D"/>
    <w:rsid w:val="00FD3D14"/>
    <w:rsid w:val="00FD41E6"/>
    <w:rsid w:val="00FD4486"/>
    <w:rsid w:val="00FD47D8"/>
    <w:rsid w:val="00FD5752"/>
    <w:rsid w:val="00FD6A11"/>
    <w:rsid w:val="00FE0163"/>
    <w:rsid w:val="00FE01CC"/>
    <w:rsid w:val="00FE0536"/>
    <w:rsid w:val="00FE1414"/>
    <w:rsid w:val="00FE211B"/>
    <w:rsid w:val="00FE2CC1"/>
    <w:rsid w:val="00FE2E5B"/>
    <w:rsid w:val="00FE2F58"/>
    <w:rsid w:val="00FE3187"/>
    <w:rsid w:val="00FE343C"/>
    <w:rsid w:val="00FE35B4"/>
    <w:rsid w:val="00FE4055"/>
    <w:rsid w:val="00FE4306"/>
    <w:rsid w:val="00FE451F"/>
    <w:rsid w:val="00FE4DE8"/>
    <w:rsid w:val="00FE5062"/>
    <w:rsid w:val="00FE5177"/>
    <w:rsid w:val="00FE519A"/>
    <w:rsid w:val="00FE59F2"/>
    <w:rsid w:val="00FE5A89"/>
    <w:rsid w:val="00FE60BB"/>
    <w:rsid w:val="00FE6226"/>
    <w:rsid w:val="00FE6390"/>
    <w:rsid w:val="00FF0531"/>
    <w:rsid w:val="00FF07F5"/>
    <w:rsid w:val="00FF0F8D"/>
    <w:rsid w:val="00FF10B1"/>
    <w:rsid w:val="00FF1AE9"/>
    <w:rsid w:val="00FF24A5"/>
    <w:rsid w:val="00FF280A"/>
    <w:rsid w:val="00FF2E86"/>
    <w:rsid w:val="00FF3C9B"/>
    <w:rsid w:val="00FF3FC0"/>
    <w:rsid w:val="00FF468F"/>
    <w:rsid w:val="00FF4821"/>
    <w:rsid w:val="00FF520E"/>
    <w:rsid w:val="00FF56DD"/>
    <w:rsid w:val="00FF5779"/>
    <w:rsid w:val="00FF5792"/>
    <w:rsid w:val="00FF58E2"/>
    <w:rsid w:val="00FF5941"/>
    <w:rsid w:val="00FF5D91"/>
    <w:rsid w:val="00FF5F71"/>
    <w:rsid w:val="00FF6787"/>
    <w:rsid w:val="00FF6B42"/>
    <w:rsid w:val="00FF6CB9"/>
    <w:rsid w:val="00FF70A7"/>
    <w:rsid w:val="00FF728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28BA31"/>
  <w15:docId w15:val="{3D930AD0-8720-4748-9F80-F1AB4A453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20" w:line="28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4F0"/>
    <w:rPr>
      <w:rFonts w:ascii="Arial" w:eastAsia="Times New Roman" w:hAnsi="Arial" w:cs="Times New Roman"/>
      <w:sz w:val="20"/>
      <w:szCs w:val="24"/>
      <w:lang w:val="en-GB" w:eastAsia="pt-PT"/>
    </w:rPr>
  </w:style>
  <w:style w:type="paragraph" w:styleId="Ttulo1">
    <w:name w:val="heading 1"/>
    <w:basedOn w:val="Normal"/>
    <w:next w:val="Normal"/>
    <w:link w:val="Ttulo1Carter"/>
    <w:uiPriority w:val="9"/>
    <w:qFormat/>
    <w:rsid w:val="00ED635A"/>
    <w:pPr>
      <w:ind w:left="426" w:hanging="426"/>
      <w:outlineLvl w:val="0"/>
    </w:pPr>
    <w:rPr>
      <w:rFonts w:cs="Arial"/>
      <w:b/>
      <w:smallCaps/>
      <w:sz w:val="24"/>
    </w:rPr>
  </w:style>
  <w:style w:type="paragraph" w:styleId="Ttulo2">
    <w:name w:val="heading 2"/>
    <w:basedOn w:val="Normal"/>
    <w:next w:val="Normal"/>
    <w:link w:val="Ttulo2Carter"/>
    <w:uiPriority w:val="9"/>
    <w:unhideWhenUsed/>
    <w:qFormat/>
    <w:rsid w:val="00ED635A"/>
    <w:pPr>
      <w:outlineLvl w:val="1"/>
    </w:pPr>
    <w:rPr>
      <w:rFonts w:cs="Arial"/>
      <w:smallCaps/>
      <w:szCs w:val="20"/>
    </w:rPr>
  </w:style>
  <w:style w:type="paragraph" w:styleId="Ttulo3">
    <w:name w:val="heading 3"/>
    <w:basedOn w:val="Normal"/>
    <w:next w:val="Normal"/>
    <w:link w:val="Ttulo3Carter"/>
    <w:uiPriority w:val="9"/>
    <w:unhideWhenUsed/>
    <w:qFormat/>
    <w:rsid w:val="00F737F6"/>
    <w:pPr>
      <w:outlineLvl w:val="2"/>
    </w:pPr>
    <w:rPr>
      <w:rFonts w:cs="Arial"/>
      <w:smallCaps/>
      <w:szCs w:val="20"/>
    </w:rPr>
  </w:style>
  <w:style w:type="paragraph" w:styleId="Ttulo4">
    <w:name w:val="heading 4"/>
    <w:basedOn w:val="Ttulo3"/>
    <w:next w:val="Normal"/>
    <w:link w:val="Ttulo4Carter"/>
    <w:uiPriority w:val="9"/>
    <w:unhideWhenUsed/>
    <w:qFormat/>
    <w:rsid w:val="00DA7616"/>
    <w:pPr>
      <w:outlineLvl w:val="3"/>
    </w:pPr>
  </w:style>
  <w:style w:type="paragraph" w:styleId="Ttulo5">
    <w:name w:val="heading 5"/>
    <w:basedOn w:val="TEXTBODY"/>
    <w:next w:val="Normal"/>
    <w:link w:val="Ttulo5Carter"/>
    <w:uiPriority w:val="9"/>
    <w:unhideWhenUsed/>
    <w:qFormat/>
    <w:rsid w:val="00DC10B3"/>
    <w:pPr>
      <w:outlineLvl w:val="4"/>
    </w:pPr>
    <w:rPr>
      <w:b/>
      <w:bCs/>
    </w:rPr>
  </w:style>
  <w:style w:type="paragraph" w:styleId="Ttulo6">
    <w:name w:val="heading 6"/>
    <w:basedOn w:val="Ttulo7"/>
    <w:next w:val="Normal"/>
    <w:link w:val="Ttulo6Carter"/>
    <w:uiPriority w:val="9"/>
    <w:unhideWhenUsed/>
    <w:qFormat/>
    <w:rsid w:val="006D14E5"/>
    <w:pPr>
      <w:outlineLvl w:val="5"/>
    </w:pPr>
    <w:rPr>
      <w:b/>
      <w:bCs/>
      <w:u w:val="none"/>
    </w:rPr>
  </w:style>
  <w:style w:type="paragraph" w:styleId="Ttulo7">
    <w:name w:val="heading 7"/>
    <w:basedOn w:val="Normal"/>
    <w:next w:val="Normal"/>
    <w:link w:val="Ttulo7Carter"/>
    <w:uiPriority w:val="9"/>
    <w:unhideWhenUsed/>
    <w:qFormat/>
    <w:rsid w:val="006D14E5"/>
    <w:pPr>
      <w:outlineLvl w:val="6"/>
    </w:pPr>
    <w:rPr>
      <w:rFonts w:ascii="Times New Roman" w:hAnsi="Times New Roman"/>
      <w:sz w:val="22"/>
      <w:szCs w:val="20"/>
      <w:u w:val="single"/>
    </w:rPr>
  </w:style>
  <w:style w:type="paragraph" w:styleId="Ttulo8">
    <w:name w:val="heading 8"/>
    <w:basedOn w:val="Ttulo7"/>
    <w:next w:val="Normal"/>
    <w:link w:val="Ttulo8Carter"/>
    <w:uiPriority w:val="9"/>
    <w:unhideWhenUsed/>
    <w:qFormat/>
    <w:rsid w:val="006D14E5"/>
    <w:pPr>
      <w:outlineLvl w:val="7"/>
    </w:pPr>
    <w:rPr>
      <w:b/>
      <w:bCs/>
    </w:rPr>
  </w:style>
  <w:style w:type="paragraph" w:styleId="Ttulo9">
    <w:name w:val="heading 9"/>
    <w:basedOn w:val="Normal"/>
    <w:next w:val="Normal"/>
    <w:link w:val="Ttulo9Carter"/>
    <w:uiPriority w:val="9"/>
    <w:unhideWhenUsed/>
    <w:qFormat/>
    <w:rsid w:val="006D14E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arter"/>
    <w:uiPriority w:val="99"/>
    <w:rsid w:val="007C04F0"/>
    <w:pPr>
      <w:tabs>
        <w:tab w:val="center" w:pos="4252"/>
        <w:tab w:val="right" w:pos="8504"/>
      </w:tabs>
    </w:pPr>
  </w:style>
  <w:style w:type="character" w:customStyle="1" w:styleId="RodapCarter">
    <w:name w:val="Rodapé Caráter"/>
    <w:basedOn w:val="Tipodeletrapredefinidodopargrafo"/>
    <w:link w:val="Rodap"/>
    <w:uiPriority w:val="99"/>
    <w:rsid w:val="007C04F0"/>
    <w:rPr>
      <w:rFonts w:ascii="Arial" w:eastAsia="Times New Roman" w:hAnsi="Arial" w:cs="Times New Roman"/>
      <w:sz w:val="20"/>
      <w:szCs w:val="24"/>
      <w:lang w:eastAsia="pt-PT"/>
    </w:rPr>
  </w:style>
  <w:style w:type="character" w:styleId="Nmerodepgina">
    <w:name w:val="page number"/>
    <w:basedOn w:val="Tipodeletrapredefinidodopargrafo"/>
    <w:rsid w:val="00ED635A"/>
    <w:rPr>
      <w:sz w:val="14"/>
      <w:szCs w:val="14"/>
    </w:rPr>
  </w:style>
  <w:style w:type="table" w:styleId="TabelacomGrelha">
    <w:name w:val="Table Grid"/>
    <w:basedOn w:val="Tabelanormal"/>
    <w:uiPriority w:val="59"/>
    <w:rsid w:val="007C04F0"/>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arter"/>
    <w:uiPriority w:val="99"/>
    <w:semiHidden/>
    <w:unhideWhenUsed/>
    <w:rsid w:val="007C04F0"/>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7C04F0"/>
    <w:rPr>
      <w:rFonts w:ascii="Tahoma" w:eastAsia="Times New Roman" w:hAnsi="Tahoma" w:cs="Tahoma"/>
      <w:sz w:val="16"/>
      <w:szCs w:val="16"/>
      <w:lang w:eastAsia="pt-PT"/>
    </w:rPr>
  </w:style>
  <w:style w:type="paragraph" w:customStyle="1" w:styleId="Numberedlist">
    <w:name w:val="Numbered list"/>
    <w:basedOn w:val="Normal"/>
    <w:next w:val="Normal"/>
    <w:qFormat/>
    <w:rsid w:val="004C543A"/>
    <w:pPr>
      <w:numPr>
        <w:numId w:val="1"/>
      </w:numPr>
      <w:spacing w:before="240" w:after="240" w:line="480" w:lineRule="auto"/>
      <w:contextualSpacing/>
    </w:pPr>
    <w:rPr>
      <w:rFonts w:ascii="Times New Roman" w:hAnsi="Times New Roman"/>
      <w:sz w:val="24"/>
      <w:lang w:eastAsia="en-GB"/>
    </w:rPr>
  </w:style>
  <w:style w:type="character" w:customStyle="1" w:styleId="Ttulo2Carter">
    <w:name w:val="Título 2 Caráter"/>
    <w:basedOn w:val="Tipodeletrapredefinidodopargrafo"/>
    <w:link w:val="Ttulo2"/>
    <w:uiPriority w:val="9"/>
    <w:rsid w:val="00ED635A"/>
    <w:rPr>
      <w:rFonts w:ascii="Arial" w:eastAsia="Times New Roman" w:hAnsi="Arial" w:cs="Arial"/>
      <w:smallCaps/>
      <w:sz w:val="20"/>
      <w:szCs w:val="20"/>
      <w:lang w:val="en-GB" w:eastAsia="pt-PT"/>
    </w:rPr>
  </w:style>
  <w:style w:type="paragraph" w:styleId="PargrafodaLista">
    <w:name w:val="List Paragraph"/>
    <w:aliases w:val="Table text"/>
    <w:uiPriority w:val="34"/>
    <w:qFormat/>
    <w:rsid w:val="00E115EE"/>
    <w:pPr>
      <w:ind w:left="720"/>
      <w:contextualSpacing/>
    </w:pPr>
    <w:rPr>
      <w:rFonts w:ascii="Arial" w:eastAsia="Times New Roman" w:hAnsi="Arial" w:cs="Times New Roman"/>
      <w:sz w:val="18"/>
      <w:szCs w:val="24"/>
      <w:lang w:val="en-GB" w:eastAsia="pt-PT"/>
    </w:rPr>
  </w:style>
  <w:style w:type="paragraph" w:styleId="Cabealho">
    <w:name w:val="header"/>
    <w:basedOn w:val="Normal"/>
    <w:link w:val="CabealhoCarter"/>
    <w:uiPriority w:val="99"/>
    <w:unhideWhenUsed/>
    <w:rsid w:val="00ED635A"/>
    <w:pPr>
      <w:spacing w:after="0" w:line="240" w:lineRule="atLeast"/>
      <w:jc w:val="right"/>
    </w:pPr>
    <w:rPr>
      <w:i/>
      <w:sz w:val="16"/>
      <w:lang w:val="en-US"/>
    </w:rPr>
  </w:style>
  <w:style w:type="character" w:customStyle="1" w:styleId="CabealhoCarter">
    <w:name w:val="Cabeçalho Caráter"/>
    <w:basedOn w:val="Tipodeletrapredefinidodopargrafo"/>
    <w:link w:val="Cabealho"/>
    <w:uiPriority w:val="99"/>
    <w:rsid w:val="00ED635A"/>
    <w:rPr>
      <w:rFonts w:ascii="Arial" w:eastAsia="Times New Roman" w:hAnsi="Arial" w:cs="Times New Roman"/>
      <w:i/>
      <w:sz w:val="16"/>
      <w:szCs w:val="24"/>
      <w:lang w:val="en-US" w:eastAsia="pt-PT"/>
    </w:rPr>
  </w:style>
  <w:style w:type="paragraph" w:customStyle="1" w:styleId="Tabletitle">
    <w:name w:val="Table title"/>
    <w:next w:val="Normal"/>
    <w:qFormat/>
    <w:rsid w:val="00397227"/>
    <w:pPr>
      <w:spacing w:line="276" w:lineRule="auto"/>
      <w:jc w:val="center"/>
    </w:pPr>
    <w:rPr>
      <w:rFonts w:ascii="Arial" w:eastAsia="Times New Roman" w:hAnsi="Arial" w:cs="Arial"/>
      <w:sz w:val="16"/>
      <w:szCs w:val="16"/>
      <w:lang w:val="en-GB" w:eastAsia="pt-PT"/>
    </w:rPr>
  </w:style>
  <w:style w:type="paragraph" w:styleId="Textodenotaderodap">
    <w:name w:val="footnote text"/>
    <w:link w:val="TextodenotaderodapCarter"/>
    <w:uiPriority w:val="99"/>
    <w:unhideWhenUsed/>
    <w:rsid w:val="00F737F6"/>
    <w:pPr>
      <w:spacing w:after="0" w:line="240" w:lineRule="auto"/>
    </w:pPr>
    <w:rPr>
      <w:rFonts w:ascii="Times New Roman" w:eastAsia="Calibri" w:hAnsi="Times New Roman" w:cs="Times New Roman"/>
      <w:sz w:val="16"/>
      <w:szCs w:val="16"/>
      <w:lang w:val="en-GB"/>
    </w:rPr>
  </w:style>
  <w:style w:type="character" w:customStyle="1" w:styleId="TextodenotaderodapCarter">
    <w:name w:val="Texto de nota de rodapé Caráter"/>
    <w:basedOn w:val="Tipodeletrapredefinidodopargrafo"/>
    <w:link w:val="Textodenotaderodap"/>
    <w:uiPriority w:val="99"/>
    <w:rsid w:val="00F737F6"/>
    <w:rPr>
      <w:rFonts w:ascii="Times New Roman" w:eastAsia="Calibri" w:hAnsi="Times New Roman" w:cs="Times New Roman"/>
      <w:sz w:val="16"/>
      <w:szCs w:val="16"/>
      <w:lang w:val="en-GB"/>
    </w:rPr>
  </w:style>
  <w:style w:type="character" w:styleId="Refdenotaderodap">
    <w:name w:val="footnote reference"/>
    <w:basedOn w:val="Tipodeletrapredefinidodopargrafo"/>
    <w:uiPriority w:val="99"/>
    <w:semiHidden/>
    <w:unhideWhenUsed/>
    <w:rsid w:val="008A0B53"/>
    <w:rPr>
      <w:vertAlign w:val="superscript"/>
    </w:rPr>
  </w:style>
  <w:style w:type="character" w:styleId="Hiperligao">
    <w:name w:val="Hyperlink"/>
    <w:basedOn w:val="Tipodeletrapredefinidodopargrafo"/>
    <w:uiPriority w:val="99"/>
    <w:unhideWhenUsed/>
    <w:rsid w:val="009202C8"/>
    <w:rPr>
      <w:color w:val="0000FF" w:themeColor="hyperlink"/>
      <w:u w:val="single"/>
    </w:rPr>
  </w:style>
  <w:style w:type="table" w:customStyle="1" w:styleId="TabelacomGrelha1">
    <w:name w:val="Tabela com Grelha1"/>
    <w:basedOn w:val="Tabelanormal"/>
    <w:next w:val="TabelacomGrelha"/>
    <w:rsid w:val="001B301A"/>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NoResolvida1">
    <w:name w:val="Menção Não Resolvida1"/>
    <w:basedOn w:val="Tipodeletrapredefinidodopargrafo"/>
    <w:uiPriority w:val="99"/>
    <w:semiHidden/>
    <w:unhideWhenUsed/>
    <w:rsid w:val="00AE210A"/>
    <w:rPr>
      <w:color w:val="808080"/>
      <w:shd w:val="clear" w:color="auto" w:fill="E6E6E6"/>
    </w:rPr>
  </w:style>
  <w:style w:type="character" w:styleId="Refdecomentrio">
    <w:name w:val="annotation reference"/>
    <w:basedOn w:val="Tipodeletrapredefinidodopargrafo"/>
    <w:uiPriority w:val="99"/>
    <w:semiHidden/>
    <w:unhideWhenUsed/>
    <w:rsid w:val="007F2AFA"/>
    <w:rPr>
      <w:sz w:val="16"/>
      <w:szCs w:val="16"/>
    </w:rPr>
  </w:style>
  <w:style w:type="paragraph" w:styleId="Textodecomentrio">
    <w:name w:val="annotation text"/>
    <w:basedOn w:val="Normal"/>
    <w:link w:val="TextodecomentrioCarter"/>
    <w:uiPriority w:val="99"/>
    <w:unhideWhenUsed/>
    <w:rsid w:val="007F2AFA"/>
    <w:pPr>
      <w:spacing w:line="240" w:lineRule="auto"/>
    </w:pPr>
    <w:rPr>
      <w:szCs w:val="20"/>
    </w:rPr>
  </w:style>
  <w:style w:type="character" w:customStyle="1" w:styleId="TextodecomentrioCarter">
    <w:name w:val="Texto de comentário Caráter"/>
    <w:basedOn w:val="Tipodeletrapredefinidodopargrafo"/>
    <w:link w:val="Textodecomentrio"/>
    <w:uiPriority w:val="99"/>
    <w:rsid w:val="007F2AFA"/>
    <w:rPr>
      <w:rFonts w:ascii="Arial" w:eastAsia="Times New Roman" w:hAnsi="Arial" w:cs="Times New Roman"/>
      <w:sz w:val="20"/>
      <w:szCs w:val="20"/>
      <w:lang w:val="en-GB" w:eastAsia="pt-PT"/>
    </w:rPr>
  </w:style>
  <w:style w:type="paragraph" w:styleId="Assuntodecomentrio">
    <w:name w:val="annotation subject"/>
    <w:basedOn w:val="Textodecomentrio"/>
    <w:next w:val="Textodecomentrio"/>
    <w:link w:val="AssuntodecomentrioCarter"/>
    <w:uiPriority w:val="99"/>
    <w:semiHidden/>
    <w:unhideWhenUsed/>
    <w:rsid w:val="007F2AFA"/>
    <w:rPr>
      <w:b/>
      <w:bCs/>
    </w:rPr>
  </w:style>
  <w:style w:type="character" w:customStyle="1" w:styleId="AssuntodecomentrioCarter">
    <w:name w:val="Assunto de comentário Caráter"/>
    <w:basedOn w:val="TextodecomentrioCarter"/>
    <w:link w:val="Assuntodecomentrio"/>
    <w:uiPriority w:val="99"/>
    <w:semiHidden/>
    <w:rsid w:val="007F2AFA"/>
    <w:rPr>
      <w:rFonts w:ascii="Arial" w:eastAsia="Times New Roman" w:hAnsi="Arial" w:cs="Times New Roman"/>
      <w:b/>
      <w:bCs/>
      <w:sz w:val="20"/>
      <w:szCs w:val="20"/>
      <w:lang w:val="en-GB" w:eastAsia="pt-PT"/>
    </w:rPr>
  </w:style>
  <w:style w:type="paragraph" w:customStyle="1" w:styleId="BasicParagraph">
    <w:name w:val="[Basic Paragraph]"/>
    <w:basedOn w:val="Normal"/>
    <w:uiPriority w:val="99"/>
    <w:rsid w:val="00C17B2C"/>
    <w:pPr>
      <w:autoSpaceDE w:val="0"/>
      <w:autoSpaceDN w:val="0"/>
      <w:adjustRightInd w:val="0"/>
      <w:spacing w:after="0" w:line="288" w:lineRule="auto"/>
      <w:ind w:left="57" w:right="57"/>
      <w:textAlignment w:val="center"/>
    </w:pPr>
    <w:rPr>
      <w:rFonts w:eastAsiaTheme="minorHAnsi" w:cs="Arial"/>
      <w:color w:val="000000"/>
      <w:sz w:val="16"/>
      <w:szCs w:val="16"/>
      <w:lang w:eastAsia="en-US"/>
    </w:rPr>
  </w:style>
  <w:style w:type="paragraph" w:customStyle="1" w:styleId="TEXTBODY">
    <w:name w:val="TEXT BODY"/>
    <w:basedOn w:val="Normal"/>
    <w:qFormat/>
    <w:rsid w:val="001522F8"/>
    <w:rPr>
      <w:rFonts w:ascii="Times New Roman" w:hAnsi="Times New Roman"/>
      <w:sz w:val="18"/>
      <w:szCs w:val="20"/>
    </w:rPr>
  </w:style>
  <w:style w:type="character" w:customStyle="1" w:styleId="Ttulo1Carter">
    <w:name w:val="Título 1 Caráter"/>
    <w:basedOn w:val="Tipodeletrapredefinidodopargrafo"/>
    <w:link w:val="Ttulo1"/>
    <w:uiPriority w:val="9"/>
    <w:rsid w:val="00ED635A"/>
    <w:rPr>
      <w:rFonts w:ascii="Arial" w:eastAsia="Times New Roman" w:hAnsi="Arial" w:cs="Arial"/>
      <w:b/>
      <w:smallCaps/>
      <w:sz w:val="24"/>
      <w:szCs w:val="24"/>
      <w:lang w:val="en-GB" w:eastAsia="pt-PT"/>
    </w:rPr>
  </w:style>
  <w:style w:type="paragraph" w:styleId="Ttulo">
    <w:name w:val="Title"/>
    <w:basedOn w:val="Normal"/>
    <w:next w:val="Normal"/>
    <w:link w:val="TtuloCarter"/>
    <w:uiPriority w:val="10"/>
    <w:qFormat/>
    <w:rsid w:val="003B459A"/>
    <w:pPr>
      <w:jc w:val="right"/>
    </w:pPr>
    <w:rPr>
      <w:rFonts w:cs="Arial"/>
      <w:b/>
      <w:sz w:val="60"/>
      <w:szCs w:val="60"/>
    </w:rPr>
  </w:style>
  <w:style w:type="character" w:customStyle="1" w:styleId="TtuloCarter">
    <w:name w:val="Título Caráter"/>
    <w:basedOn w:val="Tipodeletrapredefinidodopargrafo"/>
    <w:link w:val="Ttulo"/>
    <w:uiPriority w:val="10"/>
    <w:rsid w:val="003B459A"/>
    <w:rPr>
      <w:rFonts w:ascii="Arial" w:eastAsia="Times New Roman" w:hAnsi="Arial" w:cs="Arial"/>
      <w:b/>
      <w:sz w:val="60"/>
      <w:szCs w:val="60"/>
      <w:lang w:val="en-GB" w:eastAsia="pt-PT"/>
    </w:rPr>
  </w:style>
  <w:style w:type="character" w:customStyle="1" w:styleId="Ttulo3Carter">
    <w:name w:val="Título 3 Caráter"/>
    <w:basedOn w:val="Tipodeletrapredefinidodopargrafo"/>
    <w:link w:val="Ttulo3"/>
    <w:uiPriority w:val="9"/>
    <w:rsid w:val="00F737F6"/>
    <w:rPr>
      <w:rFonts w:ascii="Arial" w:eastAsia="Times New Roman" w:hAnsi="Arial" w:cs="Arial"/>
      <w:smallCaps/>
      <w:sz w:val="20"/>
      <w:szCs w:val="20"/>
      <w:lang w:val="en-GB" w:eastAsia="pt-PT"/>
    </w:rPr>
  </w:style>
  <w:style w:type="paragraph" w:styleId="Subttulo">
    <w:name w:val="Subtitle"/>
    <w:basedOn w:val="Ttulo"/>
    <w:next w:val="Normal"/>
    <w:link w:val="SubttuloCarter"/>
    <w:uiPriority w:val="11"/>
    <w:qFormat/>
    <w:rsid w:val="003B459A"/>
  </w:style>
  <w:style w:type="character" w:customStyle="1" w:styleId="SubttuloCarter">
    <w:name w:val="Subtítulo Caráter"/>
    <w:basedOn w:val="Tipodeletrapredefinidodopargrafo"/>
    <w:link w:val="Subttulo"/>
    <w:uiPriority w:val="11"/>
    <w:rsid w:val="003B459A"/>
    <w:rPr>
      <w:rFonts w:ascii="Arial" w:eastAsia="Times New Roman" w:hAnsi="Arial" w:cs="Arial"/>
      <w:b/>
      <w:sz w:val="23"/>
      <w:szCs w:val="23"/>
      <w:lang w:val="en-GB" w:eastAsia="pt-PT"/>
    </w:rPr>
  </w:style>
  <w:style w:type="character" w:styleId="nfase">
    <w:name w:val="Emphasis"/>
    <w:uiPriority w:val="20"/>
    <w:qFormat/>
    <w:rsid w:val="003B459A"/>
    <w:rPr>
      <w:b/>
    </w:rPr>
  </w:style>
  <w:style w:type="paragraph" w:customStyle="1" w:styleId="tablecontenttext">
    <w:name w:val="table content text"/>
    <w:basedOn w:val="Normal"/>
    <w:qFormat/>
    <w:rsid w:val="00E115EE"/>
    <w:pPr>
      <w:spacing w:after="60" w:line="210" w:lineRule="atLeast"/>
      <w:jc w:val="left"/>
    </w:pPr>
    <w:rPr>
      <w:rFonts w:cs="Arial"/>
      <w:bCs/>
      <w:iCs/>
      <w:sz w:val="16"/>
      <w:szCs w:val="16"/>
    </w:rPr>
  </w:style>
  <w:style w:type="paragraph" w:styleId="SemEspaamento">
    <w:name w:val="No Spacing"/>
    <w:uiPriority w:val="1"/>
    <w:qFormat/>
    <w:rsid w:val="005E32AA"/>
    <w:pPr>
      <w:spacing w:after="0" w:line="240" w:lineRule="auto"/>
    </w:pPr>
    <w:rPr>
      <w:rFonts w:ascii="Arial" w:eastAsia="Times New Roman" w:hAnsi="Arial" w:cs="Times New Roman"/>
      <w:sz w:val="20"/>
      <w:szCs w:val="24"/>
      <w:lang w:val="en-GB" w:eastAsia="pt-PT"/>
    </w:rPr>
  </w:style>
  <w:style w:type="paragraph" w:customStyle="1" w:styleId="parag01">
    <w:name w:val="parag 01"/>
    <w:basedOn w:val="Normal"/>
    <w:uiPriority w:val="99"/>
    <w:rsid w:val="001E34B4"/>
    <w:pPr>
      <w:autoSpaceDE w:val="0"/>
      <w:autoSpaceDN w:val="0"/>
      <w:adjustRightInd w:val="0"/>
      <w:spacing w:after="0" w:line="288" w:lineRule="auto"/>
      <w:ind w:left="57" w:right="57"/>
      <w:jc w:val="left"/>
    </w:pPr>
    <w:rPr>
      <w:rFonts w:eastAsia="Calibri" w:cs="Arial"/>
      <w:color w:val="000000"/>
      <w:sz w:val="16"/>
      <w:szCs w:val="16"/>
      <w:lang w:eastAsia="en-US"/>
    </w:rPr>
  </w:style>
  <w:style w:type="character" w:customStyle="1" w:styleId="Ttulo4Carter">
    <w:name w:val="Título 4 Caráter"/>
    <w:basedOn w:val="Tipodeletrapredefinidodopargrafo"/>
    <w:link w:val="Ttulo4"/>
    <w:uiPriority w:val="9"/>
    <w:rsid w:val="00DA7616"/>
    <w:rPr>
      <w:rFonts w:ascii="Arial" w:eastAsia="Times New Roman" w:hAnsi="Arial" w:cs="Arial"/>
      <w:smallCaps/>
      <w:sz w:val="20"/>
      <w:szCs w:val="20"/>
      <w:lang w:val="en-GB" w:eastAsia="pt-PT"/>
    </w:rPr>
  </w:style>
  <w:style w:type="paragraph" w:customStyle="1" w:styleId="Default">
    <w:name w:val="Default"/>
    <w:rsid w:val="000C1BB0"/>
    <w:pPr>
      <w:autoSpaceDE w:val="0"/>
      <w:autoSpaceDN w:val="0"/>
      <w:adjustRightInd w:val="0"/>
      <w:spacing w:after="0" w:line="240" w:lineRule="auto"/>
      <w:jc w:val="left"/>
    </w:pPr>
    <w:rPr>
      <w:rFonts w:ascii="Times New Roman" w:hAnsi="Times New Roman" w:cs="Times New Roman"/>
      <w:color w:val="000000"/>
      <w:sz w:val="24"/>
      <w:szCs w:val="24"/>
    </w:rPr>
  </w:style>
  <w:style w:type="paragraph" w:customStyle="1" w:styleId="Legendaimagensoutabelas">
    <w:name w:val="Legenda imagens ou tabelas"/>
    <w:next w:val="Normal"/>
    <w:qFormat/>
    <w:rsid w:val="004F3CB7"/>
    <w:pPr>
      <w:spacing w:line="276" w:lineRule="auto"/>
      <w:jc w:val="left"/>
    </w:pPr>
    <w:rPr>
      <w:rFonts w:ascii="Arial" w:eastAsia="Times New Roman" w:hAnsi="Arial" w:cs="Arial"/>
      <w:sz w:val="16"/>
      <w:szCs w:val="16"/>
      <w:lang w:val="en-GB" w:eastAsia="pt-PT"/>
    </w:rPr>
  </w:style>
  <w:style w:type="paragraph" w:styleId="CitaoIntensa">
    <w:name w:val="Intense Quote"/>
    <w:basedOn w:val="Normal"/>
    <w:next w:val="Normal"/>
    <w:link w:val="CitaoIntensaCarter"/>
    <w:uiPriority w:val="30"/>
    <w:qFormat/>
    <w:rsid w:val="00FC0BD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oIntensaCarter">
    <w:name w:val="Citação Intensa Caráter"/>
    <w:basedOn w:val="Tipodeletrapredefinidodopargrafo"/>
    <w:link w:val="CitaoIntensa"/>
    <w:uiPriority w:val="30"/>
    <w:rsid w:val="00FC0BDB"/>
    <w:rPr>
      <w:rFonts w:ascii="Arial" w:eastAsia="Times New Roman" w:hAnsi="Arial" w:cs="Times New Roman"/>
      <w:i/>
      <w:iCs/>
      <w:color w:val="4F81BD" w:themeColor="accent1"/>
      <w:sz w:val="20"/>
      <w:szCs w:val="24"/>
      <w:lang w:val="en-GB" w:eastAsia="pt-PT"/>
    </w:rPr>
  </w:style>
  <w:style w:type="character" w:styleId="MenoNoResolvida">
    <w:name w:val="Unresolved Mention"/>
    <w:basedOn w:val="Tipodeletrapredefinidodopargrafo"/>
    <w:uiPriority w:val="99"/>
    <w:semiHidden/>
    <w:unhideWhenUsed/>
    <w:rsid w:val="00A45461"/>
    <w:rPr>
      <w:color w:val="605E5C"/>
      <w:shd w:val="clear" w:color="auto" w:fill="E1DFDD"/>
    </w:rPr>
  </w:style>
  <w:style w:type="character" w:customStyle="1" w:styleId="Ttulo5Carter">
    <w:name w:val="Título 5 Caráter"/>
    <w:basedOn w:val="Tipodeletrapredefinidodopargrafo"/>
    <w:link w:val="Ttulo5"/>
    <w:uiPriority w:val="9"/>
    <w:rsid w:val="00DC10B3"/>
    <w:rPr>
      <w:rFonts w:ascii="Times New Roman" w:eastAsia="Times New Roman" w:hAnsi="Times New Roman" w:cs="Times New Roman"/>
      <w:b/>
      <w:bCs/>
      <w:szCs w:val="20"/>
      <w:lang w:val="en-GB" w:eastAsia="pt-PT"/>
    </w:rPr>
  </w:style>
  <w:style w:type="paragraph" w:styleId="Cabealhodondice">
    <w:name w:val="TOC Heading"/>
    <w:basedOn w:val="Ttulo1"/>
    <w:next w:val="Normal"/>
    <w:uiPriority w:val="39"/>
    <w:unhideWhenUsed/>
    <w:qFormat/>
    <w:rsid w:val="005A264A"/>
    <w:pPr>
      <w:keepNext/>
      <w:keepLines/>
      <w:spacing w:before="240" w:after="0" w:line="259" w:lineRule="auto"/>
      <w:ind w:left="0" w:firstLine="0"/>
      <w:jc w:val="left"/>
      <w:outlineLvl w:val="9"/>
    </w:pPr>
    <w:rPr>
      <w:rFonts w:asciiTheme="majorHAnsi" w:eastAsiaTheme="majorEastAsia" w:hAnsiTheme="majorHAnsi" w:cstheme="majorBidi"/>
      <w:b w:val="0"/>
      <w:smallCaps w:val="0"/>
      <w:color w:val="365F91" w:themeColor="accent1" w:themeShade="BF"/>
      <w:sz w:val="32"/>
      <w:szCs w:val="32"/>
      <w:lang w:val="pt-PT"/>
    </w:rPr>
  </w:style>
  <w:style w:type="paragraph" w:styleId="ndice1">
    <w:name w:val="toc 1"/>
    <w:basedOn w:val="Normal"/>
    <w:next w:val="Normal"/>
    <w:autoRedefine/>
    <w:uiPriority w:val="39"/>
    <w:unhideWhenUsed/>
    <w:rsid w:val="005A264A"/>
    <w:pPr>
      <w:spacing w:after="100"/>
    </w:pPr>
  </w:style>
  <w:style w:type="paragraph" w:styleId="ndice2">
    <w:name w:val="toc 2"/>
    <w:basedOn w:val="Normal"/>
    <w:next w:val="Normal"/>
    <w:autoRedefine/>
    <w:uiPriority w:val="39"/>
    <w:unhideWhenUsed/>
    <w:rsid w:val="005A264A"/>
    <w:pPr>
      <w:spacing w:after="100"/>
      <w:ind w:left="200"/>
    </w:pPr>
  </w:style>
  <w:style w:type="paragraph" w:styleId="ndice3">
    <w:name w:val="toc 3"/>
    <w:basedOn w:val="Normal"/>
    <w:next w:val="Normal"/>
    <w:autoRedefine/>
    <w:uiPriority w:val="39"/>
    <w:unhideWhenUsed/>
    <w:rsid w:val="005A264A"/>
    <w:pPr>
      <w:spacing w:after="100"/>
      <w:ind w:left="400"/>
    </w:pPr>
  </w:style>
  <w:style w:type="paragraph" w:customStyle="1" w:styleId="Box">
    <w:name w:val="Box"/>
    <w:basedOn w:val="TEXTBODY"/>
    <w:qFormat/>
    <w:rsid w:val="006D14E5"/>
    <w:rPr>
      <w:rFonts w:ascii="Arial" w:hAnsi="Arial" w:cs="Arial"/>
      <w:sz w:val="16"/>
      <w:szCs w:val="16"/>
    </w:rPr>
  </w:style>
  <w:style w:type="character" w:customStyle="1" w:styleId="Ttulo6Carter">
    <w:name w:val="Título 6 Caráter"/>
    <w:basedOn w:val="Tipodeletrapredefinidodopargrafo"/>
    <w:link w:val="Ttulo6"/>
    <w:uiPriority w:val="9"/>
    <w:rsid w:val="006D14E5"/>
    <w:rPr>
      <w:rFonts w:ascii="Times New Roman" w:eastAsia="Times New Roman" w:hAnsi="Times New Roman" w:cs="Times New Roman"/>
      <w:b/>
      <w:bCs/>
      <w:szCs w:val="20"/>
      <w:lang w:val="en-GB" w:eastAsia="pt-PT"/>
    </w:rPr>
  </w:style>
  <w:style w:type="character" w:customStyle="1" w:styleId="Ttulo7Carter">
    <w:name w:val="Título 7 Caráter"/>
    <w:basedOn w:val="Tipodeletrapredefinidodopargrafo"/>
    <w:link w:val="Ttulo7"/>
    <w:uiPriority w:val="9"/>
    <w:rsid w:val="006D14E5"/>
    <w:rPr>
      <w:rFonts w:ascii="Times New Roman" w:eastAsia="Times New Roman" w:hAnsi="Times New Roman" w:cs="Times New Roman"/>
      <w:szCs w:val="20"/>
      <w:u w:val="single"/>
      <w:lang w:val="en-GB" w:eastAsia="pt-PT"/>
    </w:rPr>
  </w:style>
  <w:style w:type="character" w:customStyle="1" w:styleId="Ttulo8Carter">
    <w:name w:val="Título 8 Caráter"/>
    <w:basedOn w:val="Tipodeletrapredefinidodopargrafo"/>
    <w:link w:val="Ttulo8"/>
    <w:uiPriority w:val="9"/>
    <w:rsid w:val="006D14E5"/>
    <w:rPr>
      <w:rFonts w:ascii="Times New Roman" w:eastAsia="Times New Roman" w:hAnsi="Times New Roman" w:cs="Times New Roman"/>
      <w:b/>
      <w:bCs/>
      <w:szCs w:val="20"/>
      <w:u w:val="single"/>
      <w:lang w:val="en-GB" w:eastAsia="pt-PT"/>
    </w:rPr>
  </w:style>
  <w:style w:type="character" w:customStyle="1" w:styleId="Ttulo9Carter">
    <w:name w:val="Título 9 Caráter"/>
    <w:basedOn w:val="Tipodeletrapredefinidodopargrafo"/>
    <w:link w:val="Ttulo9"/>
    <w:uiPriority w:val="9"/>
    <w:rsid w:val="006D14E5"/>
    <w:rPr>
      <w:rFonts w:asciiTheme="majorHAnsi" w:eastAsiaTheme="majorEastAsia" w:hAnsiTheme="majorHAnsi" w:cstheme="majorBidi"/>
      <w:i/>
      <w:iCs/>
      <w:color w:val="272727" w:themeColor="text1" w:themeTint="D8"/>
      <w:sz w:val="21"/>
      <w:szCs w:val="21"/>
      <w:lang w:val="en-GB" w:eastAsia="pt-PT"/>
    </w:rPr>
  </w:style>
  <w:style w:type="paragraph" w:customStyle="1" w:styleId="corpotabela">
    <w:name w:val="corpo tabela"/>
    <w:basedOn w:val="TEXTBODY"/>
    <w:rsid w:val="006D14E5"/>
    <w:pPr>
      <w:spacing w:after="0" w:line="276" w:lineRule="auto"/>
      <w:jc w:val="left"/>
    </w:pPr>
    <w:rPr>
      <w:rFonts w:ascii="Arial" w:hAnsi="Arial"/>
      <w:sz w:val="16"/>
    </w:rPr>
  </w:style>
  <w:style w:type="paragraph" w:customStyle="1" w:styleId="Itemsimportantes">
    <w:name w:val="Items importantes"/>
    <w:basedOn w:val="tablecontenttext"/>
    <w:qFormat/>
    <w:rsid w:val="006D14E5"/>
    <w:rPr>
      <w:rFonts w:ascii="Times New Roman" w:hAnsi="Times New Roman"/>
      <w:b/>
      <w:bCs w:val="0"/>
      <w:sz w:val="22"/>
      <w:szCs w:val="18"/>
      <w:lang w:val="en-US"/>
    </w:rPr>
  </w:style>
  <w:style w:type="paragraph" w:styleId="Citao">
    <w:name w:val="Quote"/>
    <w:basedOn w:val="Normal"/>
    <w:next w:val="Normal"/>
    <w:link w:val="CitaoCarter"/>
    <w:uiPriority w:val="29"/>
    <w:qFormat/>
    <w:rsid w:val="006D14E5"/>
    <w:pPr>
      <w:spacing w:before="200" w:after="160"/>
      <w:ind w:left="864" w:right="864"/>
      <w:jc w:val="center"/>
    </w:pPr>
    <w:rPr>
      <w:i/>
      <w:iCs/>
      <w:color w:val="404040" w:themeColor="text1" w:themeTint="BF"/>
    </w:rPr>
  </w:style>
  <w:style w:type="character" w:customStyle="1" w:styleId="CitaoCarter">
    <w:name w:val="Citação Caráter"/>
    <w:basedOn w:val="Tipodeletrapredefinidodopargrafo"/>
    <w:link w:val="Citao"/>
    <w:uiPriority w:val="29"/>
    <w:rsid w:val="006D14E5"/>
    <w:rPr>
      <w:rFonts w:ascii="Arial" w:eastAsia="Times New Roman" w:hAnsi="Arial" w:cs="Times New Roman"/>
      <w:i/>
      <w:iCs/>
      <w:color w:val="404040" w:themeColor="text1" w:themeTint="BF"/>
      <w:sz w:val="20"/>
      <w:szCs w:val="24"/>
      <w:lang w:val="en-GB" w:eastAsia="pt-PT"/>
    </w:rPr>
  </w:style>
  <w:style w:type="paragraph" w:styleId="Legenda">
    <w:name w:val="caption"/>
    <w:basedOn w:val="Normal"/>
    <w:qFormat/>
    <w:rsid w:val="006D14E5"/>
    <w:pPr>
      <w:widowControl w:val="0"/>
      <w:suppressLineNumbers/>
      <w:suppressAutoHyphens/>
      <w:spacing w:line="240" w:lineRule="auto"/>
      <w:jc w:val="left"/>
    </w:pPr>
    <w:rPr>
      <w:rFonts w:ascii="Times New Roman" w:hAnsi="Times New Roman" w:cs="Lohit Hindi"/>
      <w:i/>
      <w:iCs/>
      <w:sz w:val="24"/>
      <w:lang w:eastAsia="zh-CN"/>
    </w:rPr>
  </w:style>
  <w:style w:type="paragraph" w:styleId="ndice4">
    <w:name w:val="toc 4"/>
    <w:basedOn w:val="Normal"/>
    <w:next w:val="Normal"/>
    <w:autoRedefine/>
    <w:uiPriority w:val="39"/>
    <w:unhideWhenUsed/>
    <w:rsid w:val="006D14E5"/>
    <w:pPr>
      <w:spacing w:after="100" w:line="259" w:lineRule="auto"/>
      <w:ind w:left="660"/>
      <w:jc w:val="left"/>
    </w:pPr>
    <w:rPr>
      <w:rFonts w:asciiTheme="minorHAnsi" w:eastAsiaTheme="minorEastAsia" w:hAnsiTheme="minorHAnsi" w:cstheme="minorBidi"/>
      <w:sz w:val="22"/>
      <w:szCs w:val="22"/>
      <w:lang w:val="pt-PT"/>
    </w:rPr>
  </w:style>
  <w:style w:type="paragraph" w:styleId="ndice5">
    <w:name w:val="toc 5"/>
    <w:basedOn w:val="Normal"/>
    <w:next w:val="Normal"/>
    <w:autoRedefine/>
    <w:uiPriority w:val="39"/>
    <w:unhideWhenUsed/>
    <w:rsid w:val="006D14E5"/>
    <w:pPr>
      <w:spacing w:after="100" w:line="259" w:lineRule="auto"/>
      <w:ind w:left="880"/>
      <w:jc w:val="left"/>
    </w:pPr>
    <w:rPr>
      <w:rFonts w:asciiTheme="minorHAnsi" w:eastAsiaTheme="minorEastAsia" w:hAnsiTheme="minorHAnsi" w:cstheme="minorBidi"/>
      <w:sz w:val="22"/>
      <w:szCs w:val="22"/>
      <w:lang w:val="pt-PT"/>
    </w:rPr>
  </w:style>
  <w:style w:type="paragraph" w:styleId="ndice6">
    <w:name w:val="toc 6"/>
    <w:basedOn w:val="Normal"/>
    <w:next w:val="Normal"/>
    <w:autoRedefine/>
    <w:uiPriority w:val="39"/>
    <w:unhideWhenUsed/>
    <w:rsid w:val="006D14E5"/>
    <w:pPr>
      <w:spacing w:after="100" w:line="259" w:lineRule="auto"/>
      <w:ind w:left="1100"/>
      <w:jc w:val="left"/>
    </w:pPr>
    <w:rPr>
      <w:rFonts w:asciiTheme="minorHAnsi" w:eastAsiaTheme="minorEastAsia" w:hAnsiTheme="minorHAnsi" w:cstheme="minorBidi"/>
      <w:sz w:val="22"/>
      <w:szCs w:val="22"/>
      <w:lang w:val="pt-PT"/>
    </w:rPr>
  </w:style>
  <w:style w:type="paragraph" w:styleId="ndice7">
    <w:name w:val="toc 7"/>
    <w:basedOn w:val="Normal"/>
    <w:next w:val="Normal"/>
    <w:autoRedefine/>
    <w:uiPriority w:val="39"/>
    <w:unhideWhenUsed/>
    <w:rsid w:val="006D14E5"/>
    <w:pPr>
      <w:spacing w:after="100" w:line="259" w:lineRule="auto"/>
      <w:ind w:left="1320"/>
      <w:jc w:val="left"/>
    </w:pPr>
    <w:rPr>
      <w:rFonts w:asciiTheme="minorHAnsi" w:eastAsiaTheme="minorEastAsia" w:hAnsiTheme="minorHAnsi" w:cstheme="minorBidi"/>
      <w:sz w:val="22"/>
      <w:szCs w:val="22"/>
      <w:lang w:val="pt-PT"/>
    </w:rPr>
  </w:style>
  <w:style w:type="paragraph" w:styleId="ndice8">
    <w:name w:val="toc 8"/>
    <w:basedOn w:val="Normal"/>
    <w:next w:val="Normal"/>
    <w:autoRedefine/>
    <w:uiPriority w:val="39"/>
    <w:unhideWhenUsed/>
    <w:rsid w:val="006D14E5"/>
    <w:pPr>
      <w:spacing w:after="100" w:line="259" w:lineRule="auto"/>
      <w:ind w:left="1540"/>
      <w:jc w:val="left"/>
    </w:pPr>
    <w:rPr>
      <w:rFonts w:asciiTheme="minorHAnsi" w:eastAsiaTheme="minorEastAsia" w:hAnsiTheme="minorHAnsi" w:cstheme="minorBidi"/>
      <w:sz w:val="22"/>
      <w:szCs w:val="22"/>
      <w:lang w:val="pt-PT"/>
    </w:rPr>
  </w:style>
  <w:style w:type="paragraph" w:styleId="ndice9">
    <w:name w:val="toc 9"/>
    <w:basedOn w:val="Normal"/>
    <w:next w:val="Normal"/>
    <w:autoRedefine/>
    <w:uiPriority w:val="39"/>
    <w:unhideWhenUsed/>
    <w:rsid w:val="006D14E5"/>
    <w:pPr>
      <w:spacing w:after="100" w:line="259" w:lineRule="auto"/>
      <w:ind w:left="1760"/>
      <w:jc w:val="left"/>
    </w:pPr>
    <w:rPr>
      <w:rFonts w:asciiTheme="minorHAnsi" w:eastAsiaTheme="minorEastAsia" w:hAnsiTheme="minorHAnsi" w:cstheme="minorBidi"/>
      <w:sz w:val="22"/>
      <w:szCs w:val="22"/>
      <w:lang w:val="pt-PT"/>
    </w:rPr>
  </w:style>
  <w:style w:type="table" w:customStyle="1" w:styleId="TabelacomGrelha2">
    <w:name w:val="Tabela com Grelha2"/>
    <w:basedOn w:val="Tabelanormal"/>
    <w:next w:val="TabelacomGrelha"/>
    <w:uiPriority w:val="59"/>
    <w:rsid w:val="006D14E5"/>
    <w:pPr>
      <w:spacing w:after="0" w:line="240" w:lineRule="auto"/>
    </w:pPr>
    <w:rPr>
      <w:rFonts w:ascii="Times New Roman" w:eastAsia="Times New Roman" w:hAnsi="Times New Roman" w:cs="Times New Roman"/>
      <w:sz w:val="20"/>
      <w:szCs w:val="20"/>
      <w:lang w:eastAsia="pt-P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fim">
    <w:name w:val="endnote text"/>
    <w:basedOn w:val="Normal"/>
    <w:link w:val="TextodenotadefimCarter"/>
    <w:uiPriority w:val="99"/>
    <w:semiHidden/>
    <w:unhideWhenUsed/>
    <w:rsid w:val="006D14E5"/>
    <w:pPr>
      <w:spacing w:after="0" w:line="240" w:lineRule="auto"/>
    </w:pPr>
    <w:rPr>
      <w:szCs w:val="20"/>
    </w:rPr>
  </w:style>
  <w:style w:type="character" w:customStyle="1" w:styleId="TextodenotadefimCarter">
    <w:name w:val="Texto de nota de fim Caráter"/>
    <w:basedOn w:val="Tipodeletrapredefinidodopargrafo"/>
    <w:link w:val="Textodenotadefim"/>
    <w:uiPriority w:val="99"/>
    <w:semiHidden/>
    <w:rsid w:val="006D14E5"/>
    <w:rPr>
      <w:rFonts w:ascii="Arial" w:eastAsia="Times New Roman" w:hAnsi="Arial" w:cs="Times New Roman"/>
      <w:sz w:val="20"/>
      <w:szCs w:val="20"/>
      <w:lang w:val="en-GB" w:eastAsia="pt-PT"/>
    </w:rPr>
  </w:style>
  <w:style w:type="character" w:styleId="Refdenotadefim">
    <w:name w:val="endnote reference"/>
    <w:basedOn w:val="Tipodeletrapredefinidodopargrafo"/>
    <w:uiPriority w:val="99"/>
    <w:semiHidden/>
    <w:unhideWhenUsed/>
    <w:rsid w:val="006D14E5"/>
    <w:rPr>
      <w:vertAlign w:val="superscript"/>
    </w:rPr>
  </w:style>
  <w:style w:type="character" w:styleId="TtulodoLivro">
    <w:name w:val="Book Title"/>
    <w:basedOn w:val="Tipodeletrapredefinidodopargrafo"/>
    <w:uiPriority w:val="33"/>
    <w:qFormat/>
    <w:rsid w:val="006D14E5"/>
    <w:rPr>
      <w:b/>
      <w:bCs/>
      <w:i/>
      <w:iCs/>
      <w:spacing w:val="5"/>
    </w:rPr>
  </w:style>
  <w:style w:type="numbering" w:customStyle="1" w:styleId="Semlista1">
    <w:name w:val="Sem lista1"/>
    <w:next w:val="Semlista"/>
    <w:uiPriority w:val="99"/>
    <w:semiHidden/>
    <w:unhideWhenUsed/>
    <w:rsid w:val="00A74219"/>
  </w:style>
  <w:style w:type="paragraph" w:customStyle="1" w:styleId="NoParagraphStyle">
    <w:name w:val="[No Paragraph Style]"/>
    <w:rsid w:val="00404FF0"/>
    <w:pPr>
      <w:autoSpaceDE w:val="0"/>
      <w:autoSpaceDN w:val="0"/>
      <w:adjustRightInd w:val="0"/>
      <w:spacing w:after="0" w:line="288" w:lineRule="auto"/>
      <w:jc w:val="left"/>
      <w:textAlignment w:val="center"/>
    </w:pPr>
    <w:rPr>
      <w:rFonts w:ascii="Minion Pro" w:hAnsi="Minion Pro" w:cs="Minion Pro"/>
      <w:color w:val="000000"/>
      <w:sz w:val="24"/>
      <w:szCs w:val="24"/>
      <w:lang w:val="en-GB"/>
    </w:rPr>
  </w:style>
  <w:style w:type="paragraph" w:customStyle="1" w:styleId="CORPOTEXTO">
    <w:name w:val="CORPO TEXTO"/>
    <w:basedOn w:val="Normal"/>
    <w:uiPriority w:val="99"/>
    <w:rsid w:val="00995F3E"/>
    <w:rPr>
      <w:rFonts w:ascii="Times New Roman" w:hAnsi="Times New Roman"/>
      <w:sz w:val="22"/>
      <w:szCs w:val="20"/>
    </w:rPr>
  </w:style>
  <w:style w:type="character" w:styleId="Nmerodelinha">
    <w:name w:val="line number"/>
    <w:basedOn w:val="Tipodeletrapredefinidodopargrafo"/>
    <w:uiPriority w:val="99"/>
    <w:semiHidden/>
    <w:unhideWhenUsed/>
    <w:rsid w:val="00F272A1"/>
  </w:style>
  <w:style w:type="paragraph" w:customStyle="1" w:styleId="caixaazul">
    <w:name w:val="caixa azul"/>
    <w:basedOn w:val="NoParagraphStyle"/>
    <w:uiPriority w:val="99"/>
    <w:rsid w:val="00ED6053"/>
    <w:pPr>
      <w:ind w:left="85" w:right="85"/>
    </w:pPr>
    <w:rPr>
      <w:rFonts w:ascii="Arial" w:hAnsi="Arial" w:cs="Arial"/>
      <w:sz w:val="18"/>
      <w:szCs w:val="18"/>
    </w:rPr>
  </w:style>
  <w:style w:type="paragraph" w:styleId="Reviso">
    <w:name w:val="Revision"/>
    <w:hidden/>
    <w:uiPriority w:val="99"/>
    <w:semiHidden/>
    <w:rsid w:val="00ED6053"/>
    <w:pPr>
      <w:spacing w:after="0" w:line="240" w:lineRule="auto"/>
      <w:jc w:val="left"/>
    </w:pPr>
    <w:rPr>
      <w:rFonts w:ascii="Arial" w:eastAsia="Times New Roman" w:hAnsi="Arial" w:cs="Times New Roman"/>
      <w:sz w:val="20"/>
      <w:szCs w:val="24"/>
      <w:lang w:val="en-US" w:eastAsia="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327518">
      <w:bodyDiv w:val="1"/>
      <w:marLeft w:val="0"/>
      <w:marRight w:val="0"/>
      <w:marTop w:val="0"/>
      <w:marBottom w:val="0"/>
      <w:divBdr>
        <w:top w:val="none" w:sz="0" w:space="0" w:color="auto"/>
        <w:left w:val="none" w:sz="0" w:space="0" w:color="auto"/>
        <w:bottom w:val="none" w:sz="0" w:space="0" w:color="auto"/>
        <w:right w:val="none" w:sz="0" w:space="0" w:color="auto"/>
      </w:divBdr>
    </w:div>
    <w:div w:id="601760976">
      <w:bodyDiv w:val="1"/>
      <w:marLeft w:val="0"/>
      <w:marRight w:val="0"/>
      <w:marTop w:val="0"/>
      <w:marBottom w:val="0"/>
      <w:divBdr>
        <w:top w:val="none" w:sz="0" w:space="0" w:color="auto"/>
        <w:left w:val="none" w:sz="0" w:space="0" w:color="auto"/>
        <w:bottom w:val="none" w:sz="0" w:space="0" w:color="auto"/>
        <w:right w:val="none" w:sz="0" w:space="0" w:color="auto"/>
      </w:divBdr>
    </w:div>
    <w:div w:id="1136876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tif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3.tiff"/><Relationship Id="rId17" Type="http://schemas.openxmlformats.org/officeDocument/2006/relationships/hyperlink" Target="https://link.springer.com/chapter/10.1007/978-3-030-05252-2_14" TargetMode="External"/><Relationship Id="rId2" Type="http://schemas.openxmlformats.org/officeDocument/2006/relationships/customXml" Target="../customXml/item2.xml"/><Relationship Id="rId16" Type="http://schemas.openxmlformats.org/officeDocument/2006/relationships/hyperlink" Target="https://link.springer.com/chapter/10.1007/978-3-030-05252-2_14"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tiff"/><Relationship Id="rId5" Type="http://schemas.openxmlformats.org/officeDocument/2006/relationships/numbering" Target="numbering.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tiff"/><Relationship Id="rId22"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CHICAGO.XSL" StyleName="Chicago Fifteenth Edition"/>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DB189D058F38744E8B2324CA3F0CA1AE" ma:contentTypeVersion="2" ma:contentTypeDescription="Criar um novo documento." ma:contentTypeScope="" ma:versionID="bb5969f9bef2d9d2f9f6fbbad8a5e4dc">
  <xsd:schema xmlns:xsd="http://www.w3.org/2001/XMLSchema" xmlns:xs="http://www.w3.org/2001/XMLSchema" xmlns:p="http://schemas.microsoft.com/office/2006/metadata/properties" xmlns:ns3="e9ed2acc-c12c-4e3a-ad49-e464c64d31c4" targetNamespace="http://schemas.microsoft.com/office/2006/metadata/properties" ma:root="true" ma:fieldsID="c16c140db8e296d280cdc2fed5673048" ns3:_="">
    <xsd:import namespace="e9ed2acc-c12c-4e3a-ad49-e464c64d31c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ed2acc-c12c-4e3a-ad49-e464c64d31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5049D9-C6A6-4709-B026-555B0150AB5D}">
  <ds:schemaRefs>
    <ds:schemaRef ds:uri="http://schemas.microsoft.com/sharepoint/v3/contenttype/forms"/>
  </ds:schemaRefs>
</ds:datastoreItem>
</file>

<file path=customXml/itemProps2.xml><?xml version="1.0" encoding="utf-8"?>
<ds:datastoreItem xmlns:ds="http://schemas.openxmlformats.org/officeDocument/2006/customXml" ds:itemID="{FFBC81B7-5266-4D2B-B587-E71D3C013598}">
  <ds:schemaRefs>
    <ds:schemaRef ds:uri="http://schemas.openxmlformats.org/officeDocument/2006/bibliography"/>
  </ds:schemaRefs>
</ds:datastoreItem>
</file>

<file path=customXml/itemProps3.xml><?xml version="1.0" encoding="utf-8"?>
<ds:datastoreItem xmlns:ds="http://schemas.openxmlformats.org/officeDocument/2006/customXml" ds:itemID="{C34D9ABB-2BC5-4048-A917-657E6C921E6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0C0F264-6CB5-44AD-B646-51F0A8FDC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ed2acc-c12c-4e3a-ad49-e464c64d31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88</Pages>
  <Words>74199</Words>
  <Characters>400679</Characters>
  <Application>Microsoft Office Word</Application>
  <DocSecurity>0</DocSecurity>
  <Lines>3338</Lines>
  <Paragraphs>947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FEUP</Company>
  <LinksUpToDate>false</LinksUpToDate>
  <CharactersWithSpaces>473931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Sofia Valente</dc:creator>
  <cp:lastModifiedBy>Sofia Valente</cp:lastModifiedBy>
  <cp:revision>2</cp:revision>
  <cp:lastPrinted>2024-10-16T03:52:00Z</cp:lastPrinted>
  <dcterms:created xsi:type="dcterms:W3CDTF">2024-12-22T12:52:00Z</dcterms:created>
  <dcterms:modified xsi:type="dcterms:W3CDTF">2024-12-22T12:52:00Z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0x010100DB189D058F38744E8B2324CA3F0CA1AE</vt:lpwstr>
  </property>
</Properties>
</file>