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5DDF1" w14:textId="2DA2D8BB" w:rsidR="0030430E" w:rsidRPr="0030430E" w:rsidRDefault="00B666E1" w:rsidP="00304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eastAsia="Times New Roman" w:cstheme="minorHAnsi"/>
          <w:b/>
          <w:bCs/>
          <w:color w:val="000000"/>
          <w:bdr w:val="none" w:sz="0" w:space="0" w:color="auto" w:frame="1"/>
          <w:lang w:eastAsia="nb-NO"/>
        </w:rPr>
      </w:pPr>
      <w:r>
        <w:rPr>
          <w:rFonts w:eastAsia="Times New Roman" w:cstheme="minorHAnsi"/>
          <w:b/>
          <w:bCs/>
          <w:color w:val="000000"/>
          <w:bdr w:val="none" w:sz="0" w:space="0" w:color="auto" w:frame="1"/>
          <w:lang w:eastAsia="nb-NO"/>
        </w:rPr>
        <w:t xml:space="preserve">Online </w:t>
      </w:r>
      <w:r w:rsidR="002A0F7E">
        <w:rPr>
          <w:rFonts w:eastAsia="Times New Roman" w:cstheme="minorHAnsi"/>
          <w:b/>
          <w:bCs/>
          <w:color w:val="000000"/>
          <w:bdr w:val="none" w:sz="0" w:space="0" w:color="auto" w:frame="1"/>
          <w:lang w:eastAsia="nb-NO"/>
        </w:rPr>
        <w:t>Resource 1</w:t>
      </w:r>
      <w:r w:rsidR="0030430E" w:rsidRPr="0030430E">
        <w:rPr>
          <w:rFonts w:eastAsia="Times New Roman" w:cstheme="minorHAnsi"/>
          <w:b/>
          <w:bCs/>
          <w:color w:val="000000"/>
          <w:bdr w:val="none" w:sz="0" w:space="0" w:color="auto" w:frame="1"/>
          <w:lang w:eastAsia="nb-NO"/>
        </w:rPr>
        <w:t>. Visitor characteristics</w:t>
      </w:r>
    </w:p>
    <w:p w14:paraId="715015D4" w14:textId="77777777" w:rsidR="0030430E" w:rsidRPr="0030430E" w:rsidRDefault="0030430E" w:rsidP="00304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color w:val="000000"/>
          <w:sz w:val="18"/>
          <w:szCs w:val="18"/>
          <w:bdr w:val="none" w:sz="0" w:space="0" w:color="auto" w:frame="1"/>
          <w:lang w:eastAsia="nb-NO"/>
        </w:rPr>
      </w:pPr>
    </w:p>
    <w:p w14:paraId="6C79582F" w14:textId="265C342E" w:rsidR="007C49EF" w:rsidRPr="00AE4F57" w:rsidRDefault="0030430E" w:rsidP="007C49EF">
      <w:pPr>
        <w:spacing w:line="240" w:lineRule="auto"/>
        <w:rPr>
          <w:rFonts w:ascii="Arial" w:hAnsi="Arial" w:cs="Arial"/>
          <w:b/>
          <w:bCs/>
          <w:sz w:val="18"/>
          <w:szCs w:val="18"/>
        </w:rPr>
      </w:pPr>
      <w:r w:rsidRPr="0030430E">
        <w:rPr>
          <w:rFonts w:ascii="Arial" w:hAnsi="Arial" w:cs="Arial"/>
          <w:b/>
          <w:bCs/>
          <w:sz w:val="16"/>
          <w:szCs w:val="16"/>
        </w:rPr>
        <w:t xml:space="preserve">Table </w:t>
      </w:r>
      <w:r w:rsidR="00982899">
        <w:rPr>
          <w:rFonts w:ascii="Arial" w:hAnsi="Arial" w:cs="Arial"/>
          <w:b/>
          <w:bCs/>
          <w:sz w:val="16"/>
          <w:szCs w:val="16"/>
        </w:rPr>
        <w:t>3</w:t>
      </w:r>
      <w:r w:rsidRPr="0030430E">
        <w:rPr>
          <w:rFonts w:ascii="Arial" w:hAnsi="Arial" w:cs="Arial"/>
          <w:sz w:val="16"/>
          <w:szCs w:val="16"/>
        </w:rPr>
        <w:t>. Visitor demographics, visit characteristics, outdoor recreation, and experience of Femundsmarka: percentage distribution across test periods. Rows with variables shown in bold font were tested statistically and show</w:t>
      </w:r>
      <w:r w:rsidRPr="0030430E">
        <w:rPr>
          <w:rFonts w:ascii="Arial" w:eastAsia="Times New Roman" w:hAnsi="Arial" w:cs="Arial"/>
          <w:color w:val="000000"/>
          <w:sz w:val="16"/>
          <w:szCs w:val="16"/>
          <w:bdr w:val="none" w:sz="0" w:space="0" w:color="auto" w:frame="1"/>
          <w:lang w:eastAsia="nb-NO"/>
        </w:rPr>
        <w:t xml:space="preserve"> ± standard deviations,</w:t>
      </w:r>
      <w:r w:rsidRPr="0030430E">
        <w:rPr>
          <w:rFonts w:ascii="Arial" w:hAnsi="Arial" w:cs="Arial"/>
          <w:sz w:val="16"/>
          <w:szCs w:val="16"/>
        </w:rPr>
        <w:t xml:space="preserve"> whereas other rows show the distribution of the variables tested. </w:t>
      </w:r>
      <w:r w:rsidR="007C49EF" w:rsidRPr="003E6D71">
        <w:rPr>
          <w:rFonts w:ascii="Arial" w:hAnsi="Arial" w:cs="Arial"/>
          <w:sz w:val="16"/>
          <w:szCs w:val="16"/>
        </w:rPr>
        <w:t>Age, gender, and nationality were assessed to explore their potential influence on</w:t>
      </w:r>
      <w:r w:rsidR="003E6D71" w:rsidRPr="003E6D71">
        <w:rPr>
          <w:rFonts w:ascii="Arial" w:hAnsi="Arial" w:cs="Arial"/>
          <w:sz w:val="16"/>
          <w:szCs w:val="16"/>
        </w:rPr>
        <w:t xml:space="preserve"> tree damage levels</w:t>
      </w:r>
      <w:r w:rsidR="007C49EF" w:rsidRPr="003E6D71">
        <w:rPr>
          <w:rFonts w:ascii="Arial" w:hAnsi="Arial" w:cs="Arial"/>
          <w:sz w:val="16"/>
          <w:szCs w:val="16"/>
        </w:rPr>
        <w:t>.</w:t>
      </w:r>
    </w:p>
    <w:p w14:paraId="28625775" w14:textId="0639042E" w:rsidR="0030430E" w:rsidRPr="0030430E" w:rsidRDefault="0030430E" w:rsidP="0030430E">
      <w:pPr>
        <w:spacing w:line="240" w:lineRule="auto"/>
        <w:rPr>
          <w:rFonts w:ascii="Arial" w:hAnsi="Arial" w:cs="Arial"/>
          <w:sz w:val="16"/>
          <w:szCs w:val="16"/>
        </w:rPr>
      </w:pPr>
    </w:p>
    <w:tbl>
      <w:tblPr>
        <w:tblW w:w="9072" w:type="dxa"/>
        <w:tblCellMar>
          <w:left w:w="70" w:type="dxa"/>
          <w:right w:w="70" w:type="dxa"/>
        </w:tblCellMar>
        <w:tblLook w:val="04A0" w:firstRow="1" w:lastRow="0" w:firstColumn="1" w:lastColumn="0" w:noHBand="0" w:noVBand="1"/>
      </w:tblPr>
      <w:tblGrid>
        <w:gridCol w:w="5102"/>
        <w:gridCol w:w="1270"/>
        <w:gridCol w:w="1350"/>
        <w:gridCol w:w="1350"/>
      </w:tblGrid>
      <w:tr w:rsidR="0030430E" w:rsidRPr="0030430E" w14:paraId="25692B1A" w14:textId="77777777" w:rsidTr="000D7EF0">
        <w:trPr>
          <w:trHeight w:val="300"/>
        </w:trPr>
        <w:tc>
          <w:tcPr>
            <w:tcW w:w="5102" w:type="dxa"/>
            <w:tcBorders>
              <w:top w:val="nil"/>
              <w:left w:val="nil"/>
              <w:bottom w:val="single" w:sz="4" w:space="0" w:color="auto"/>
              <w:right w:val="nil"/>
            </w:tcBorders>
            <w:noWrap/>
            <w:vAlign w:val="bottom"/>
            <w:hideMark/>
          </w:tcPr>
          <w:p w14:paraId="5FC1FDA4" w14:textId="77777777" w:rsidR="0030430E" w:rsidRPr="0030430E" w:rsidRDefault="0030430E" w:rsidP="000D7EF0">
            <w:pPr>
              <w:spacing w:after="0" w:line="240" w:lineRule="auto"/>
              <w:rPr>
                <w:rFonts w:ascii="Arial" w:eastAsia="Times New Roman" w:hAnsi="Arial" w:cs="Arial"/>
                <w:sz w:val="16"/>
                <w:szCs w:val="16"/>
                <w:lang w:eastAsia="nb-NO"/>
              </w:rPr>
            </w:pPr>
          </w:p>
        </w:tc>
        <w:tc>
          <w:tcPr>
            <w:tcW w:w="1270" w:type="dxa"/>
            <w:tcBorders>
              <w:top w:val="nil"/>
              <w:left w:val="nil"/>
              <w:bottom w:val="single" w:sz="4" w:space="0" w:color="auto"/>
              <w:right w:val="nil"/>
            </w:tcBorders>
            <w:noWrap/>
            <w:vAlign w:val="bottom"/>
            <w:hideMark/>
          </w:tcPr>
          <w:p w14:paraId="302C6A20"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Control</w:t>
            </w:r>
          </w:p>
          <w:p w14:paraId="32F01688"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(N =40)</w:t>
            </w:r>
          </w:p>
        </w:tc>
        <w:tc>
          <w:tcPr>
            <w:tcW w:w="1350" w:type="dxa"/>
            <w:tcBorders>
              <w:top w:val="nil"/>
              <w:left w:val="nil"/>
              <w:bottom w:val="single" w:sz="4" w:space="0" w:color="auto"/>
              <w:right w:val="nil"/>
            </w:tcBorders>
            <w:noWrap/>
            <w:vAlign w:val="bottom"/>
            <w:hideMark/>
          </w:tcPr>
          <w:p w14:paraId="3F9D2F21"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Passive communication 2 (N=46)</w:t>
            </w:r>
          </w:p>
        </w:tc>
        <w:tc>
          <w:tcPr>
            <w:tcW w:w="1350" w:type="dxa"/>
            <w:tcBorders>
              <w:top w:val="nil"/>
              <w:left w:val="nil"/>
              <w:bottom w:val="single" w:sz="4" w:space="0" w:color="auto"/>
              <w:right w:val="nil"/>
            </w:tcBorders>
            <w:noWrap/>
            <w:vAlign w:val="bottom"/>
            <w:hideMark/>
          </w:tcPr>
          <w:p w14:paraId="0C25E905"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Active communication 3 (N=63)</w:t>
            </w:r>
          </w:p>
        </w:tc>
      </w:tr>
      <w:tr w:rsidR="0030430E" w:rsidRPr="0030430E" w14:paraId="37BC3709" w14:textId="77777777" w:rsidTr="000D7EF0">
        <w:trPr>
          <w:trHeight w:val="300"/>
        </w:trPr>
        <w:tc>
          <w:tcPr>
            <w:tcW w:w="5102" w:type="dxa"/>
            <w:tcBorders>
              <w:left w:val="single" w:sz="4" w:space="0" w:color="auto"/>
              <w:bottom w:val="nil"/>
              <w:right w:val="single" w:sz="4" w:space="0" w:color="auto"/>
            </w:tcBorders>
            <w:noWrap/>
            <w:vAlign w:val="bottom"/>
          </w:tcPr>
          <w:p w14:paraId="4EA74675"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 xml:space="preserve">Mean Age- </w:t>
            </w:r>
          </w:p>
        </w:tc>
        <w:tc>
          <w:tcPr>
            <w:tcW w:w="1270" w:type="dxa"/>
            <w:tcBorders>
              <w:left w:val="single" w:sz="4" w:space="0" w:color="auto"/>
              <w:bottom w:val="nil"/>
              <w:right w:val="single" w:sz="4" w:space="0" w:color="auto"/>
            </w:tcBorders>
            <w:noWrap/>
            <w:vAlign w:val="bottom"/>
          </w:tcPr>
          <w:p w14:paraId="0246D152"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42 yrs±17*</w:t>
            </w:r>
          </w:p>
        </w:tc>
        <w:tc>
          <w:tcPr>
            <w:tcW w:w="1350" w:type="dxa"/>
            <w:tcBorders>
              <w:left w:val="single" w:sz="4" w:space="0" w:color="auto"/>
              <w:bottom w:val="nil"/>
              <w:right w:val="single" w:sz="4" w:space="0" w:color="auto"/>
            </w:tcBorders>
            <w:noWrap/>
            <w:vAlign w:val="bottom"/>
          </w:tcPr>
          <w:p w14:paraId="71D8EFF5"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41 yrs ± 12</w:t>
            </w:r>
          </w:p>
        </w:tc>
        <w:tc>
          <w:tcPr>
            <w:tcW w:w="1350" w:type="dxa"/>
            <w:tcBorders>
              <w:left w:val="single" w:sz="4" w:space="0" w:color="auto"/>
              <w:bottom w:val="nil"/>
              <w:right w:val="single" w:sz="4" w:space="0" w:color="auto"/>
            </w:tcBorders>
            <w:noWrap/>
            <w:vAlign w:val="bottom"/>
          </w:tcPr>
          <w:p w14:paraId="2A7A7A8D"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35 yrs ± 13*</w:t>
            </w:r>
          </w:p>
        </w:tc>
      </w:tr>
      <w:tr w:rsidR="0030430E" w:rsidRPr="0030430E" w14:paraId="0AB63654" w14:textId="77777777" w:rsidTr="000D7EF0">
        <w:trPr>
          <w:trHeight w:val="300"/>
        </w:trPr>
        <w:tc>
          <w:tcPr>
            <w:tcW w:w="5102" w:type="dxa"/>
            <w:tcBorders>
              <w:left w:val="single" w:sz="4" w:space="0" w:color="auto"/>
              <w:bottom w:val="nil"/>
              <w:right w:val="single" w:sz="4" w:space="0" w:color="auto"/>
            </w:tcBorders>
            <w:noWrap/>
            <w:vAlign w:val="bottom"/>
          </w:tcPr>
          <w:p w14:paraId="4A981681"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Age 18-30</w:t>
            </w:r>
          </w:p>
        </w:tc>
        <w:tc>
          <w:tcPr>
            <w:tcW w:w="1270" w:type="dxa"/>
            <w:tcBorders>
              <w:left w:val="single" w:sz="4" w:space="0" w:color="auto"/>
              <w:bottom w:val="nil"/>
              <w:right w:val="single" w:sz="4" w:space="0" w:color="auto"/>
            </w:tcBorders>
            <w:noWrap/>
            <w:vAlign w:val="bottom"/>
          </w:tcPr>
          <w:p w14:paraId="47A44295"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35%</w:t>
            </w:r>
          </w:p>
        </w:tc>
        <w:tc>
          <w:tcPr>
            <w:tcW w:w="1350" w:type="dxa"/>
            <w:tcBorders>
              <w:left w:val="single" w:sz="4" w:space="0" w:color="auto"/>
              <w:bottom w:val="nil"/>
              <w:right w:val="single" w:sz="4" w:space="0" w:color="auto"/>
            </w:tcBorders>
            <w:noWrap/>
            <w:vAlign w:val="bottom"/>
          </w:tcPr>
          <w:p w14:paraId="039B214E"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24%</w:t>
            </w:r>
          </w:p>
        </w:tc>
        <w:tc>
          <w:tcPr>
            <w:tcW w:w="1350" w:type="dxa"/>
            <w:tcBorders>
              <w:left w:val="single" w:sz="4" w:space="0" w:color="auto"/>
              <w:bottom w:val="nil"/>
              <w:right w:val="single" w:sz="4" w:space="0" w:color="auto"/>
            </w:tcBorders>
            <w:noWrap/>
            <w:vAlign w:val="bottom"/>
          </w:tcPr>
          <w:p w14:paraId="71595246"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50%</w:t>
            </w:r>
          </w:p>
        </w:tc>
      </w:tr>
      <w:tr w:rsidR="0030430E" w:rsidRPr="0030430E" w14:paraId="228FBE77" w14:textId="77777777" w:rsidTr="000D7EF0">
        <w:trPr>
          <w:trHeight w:val="300"/>
        </w:trPr>
        <w:tc>
          <w:tcPr>
            <w:tcW w:w="5102" w:type="dxa"/>
            <w:tcBorders>
              <w:left w:val="single" w:sz="4" w:space="0" w:color="auto"/>
              <w:bottom w:val="nil"/>
              <w:right w:val="single" w:sz="4" w:space="0" w:color="auto"/>
            </w:tcBorders>
            <w:noWrap/>
            <w:vAlign w:val="bottom"/>
          </w:tcPr>
          <w:p w14:paraId="0B4EE167"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Age 31-50</w:t>
            </w:r>
          </w:p>
        </w:tc>
        <w:tc>
          <w:tcPr>
            <w:tcW w:w="1270" w:type="dxa"/>
            <w:tcBorders>
              <w:left w:val="single" w:sz="4" w:space="0" w:color="auto"/>
              <w:bottom w:val="nil"/>
              <w:right w:val="single" w:sz="4" w:space="0" w:color="auto"/>
            </w:tcBorders>
            <w:noWrap/>
            <w:vAlign w:val="bottom"/>
          </w:tcPr>
          <w:p w14:paraId="6C29D853"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28%</w:t>
            </w:r>
          </w:p>
        </w:tc>
        <w:tc>
          <w:tcPr>
            <w:tcW w:w="1350" w:type="dxa"/>
            <w:tcBorders>
              <w:left w:val="single" w:sz="4" w:space="0" w:color="auto"/>
              <w:bottom w:val="nil"/>
              <w:right w:val="single" w:sz="4" w:space="0" w:color="auto"/>
            </w:tcBorders>
            <w:noWrap/>
            <w:vAlign w:val="bottom"/>
          </w:tcPr>
          <w:p w14:paraId="1C5CD2ED"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52%</w:t>
            </w:r>
          </w:p>
        </w:tc>
        <w:tc>
          <w:tcPr>
            <w:tcW w:w="1350" w:type="dxa"/>
            <w:tcBorders>
              <w:left w:val="single" w:sz="4" w:space="0" w:color="auto"/>
              <w:bottom w:val="nil"/>
              <w:right w:val="single" w:sz="4" w:space="0" w:color="auto"/>
            </w:tcBorders>
            <w:noWrap/>
            <w:vAlign w:val="bottom"/>
          </w:tcPr>
          <w:p w14:paraId="3014A1CB"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32%</w:t>
            </w:r>
          </w:p>
        </w:tc>
      </w:tr>
      <w:tr w:rsidR="0030430E" w:rsidRPr="0030430E" w14:paraId="15E1B5CD" w14:textId="77777777" w:rsidTr="000D7EF0">
        <w:trPr>
          <w:trHeight w:val="300"/>
        </w:trPr>
        <w:tc>
          <w:tcPr>
            <w:tcW w:w="5102" w:type="dxa"/>
            <w:tcBorders>
              <w:left w:val="single" w:sz="4" w:space="0" w:color="auto"/>
              <w:bottom w:val="nil"/>
              <w:right w:val="single" w:sz="4" w:space="0" w:color="auto"/>
            </w:tcBorders>
            <w:noWrap/>
            <w:vAlign w:val="bottom"/>
          </w:tcPr>
          <w:p w14:paraId="7F8AAD46"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Age &lt; 50</w:t>
            </w:r>
          </w:p>
        </w:tc>
        <w:tc>
          <w:tcPr>
            <w:tcW w:w="1270" w:type="dxa"/>
            <w:tcBorders>
              <w:left w:val="single" w:sz="4" w:space="0" w:color="auto"/>
              <w:bottom w:val="nil"/>
              <w:right w:val="single" w:sz="4" w:space="0" w:color="auto"/>
            </w:tcBorders>
            <w:noWrap/>
            <w:vAlign w:val="bottom"/>
          </w:tcPr>
          <w:p w14:paraId="062652AA"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38%</w:t>
            </w:r>
          </w:p>
        </w:tc>
        <w:tc>
          <w:tcPr>
            <w:tcW w:w="1350" w:type="dxa"/>
            <w:tcBorders>
              <w:left w:val="single" w:sz="4" w:space="0" w:color="auto"/>
              <w:bottom w:val="nil"/>
              <w:right w:val="single" w:sz="4" w:space="0" w:color="auto"/>
            </w:tcBorders>
            <w:noWrap/>
            <w:vAlign w:val="bottom"/>
          </w:tcPr>
          <w:p w14:paraId="073DFD88"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24%</w:t>
            </w:r>
          </w:p>
        </w:tc>
        <w:tc>
          <w:tcPr>
            <w:tcW w:w="1350" w:type="dxa"/>
            <w:tcBorders>
              <w:left w:val="single" w:sz="4" w:space="0" w:color="auto"/>
              <w:bottom w:val="nil"/>
              <w:right w:val="single" w:sz="4" w:space="0" w:color="auto"/>
            </w:tcBorders>
            <w:noWrap/>
            <w:vAlign w:val="bottom"/>
          </w:tcPr>
          <w:p w14:paraId="7033FF9A"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18%</w:t>
            </w:r>
          </w:p>
        </w:tc>
      </w:tr>
      <w:tr w:rsidR="0030430E" w:rsidRPr="0030430E" w14:paraId="73168E3C" w14:textId="77777777" w:rsidTr="000D7EF0">
        <w:trPr>
          <w:trHeight w:val="300"/>
        </w:trPr>
        <w:tc>
          <w:tcPr>
            <w:tcW w:w="5102" w:type="dxa"/>
            <w:tcBorders>
              <w:top w:val="nil"/>
              <w:left w:val="single" w:sz="4" w:space="0" w:color="auto"/>
              <w:bottom w:val="nil"/>
              <w:right w:val="single" w:sz="4" w:space="0" w:color="auto"/>
            </w:tcBorders>
            <w:noWrap/>
            <w:vAlign w:val="bottom"/>
          </w:tcPr>
          <w:p w14:paraId="0F0840E2"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Mean trip duration-</w:t>
            </w:r>
          </w:p>
        </w:tc>
        <w:tc>
          <w:tcPr>
            <w:tcW w:w="1270" w:type="dxa"/>
            <w:tcBorders>
              <w:top w:val="nil"/>
              <w:left w:val="single" w:sz="4" w:space="0" w:color="auto"/>
              <w:bottom w:val="nil"/>
              <w:right w:val="single" w:sz="4" w:space="0" w:color="auto"/>
            </w:tcBorders>
            <w:noWrap/>
            <w:vAlign w:val="bottom"/>
          </w:tcPr>
          <w:p w14:paraId="4AADD58C"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 days ± 1.8</w:t>
            </w:r>
          </w:p>
        </w:tc>
        <w:tc>
          <w:tcPr>
            <w:tcW w:w="1350" w:type="dxa"/>
            <w:tcBorders>
              <w:top w:val="nil"/>
              <w:left w:val="single" w:sz="4" w:space="0" w:color="auto"/>
              <w:bottom w:val="nil"/>
              <w:right w:val="single" w:sz="4" w:space="0" w:color="auto"/>
            </w:tcBorders>
            <w:noWrap/>
            <w:vAlign w:val="bottom"/>
          </w:tcPr>
          <w:p w14:paraId="09E64596"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5 days ±1.9</w:t>
            </w:r>
          </w:p>
        </w:tc>
        <w:tc>
          <w:tcPr>
            <w:tcW w:w="1350" w:type="dxa"/>
            <w:tcBorders>
              <w:top w:val="nil"/>
              <w:left w:val="single" w:sz="4" w:space="0" w:color="auto"/>
              <w:bottom w:val="nil"/>
              <w:right w:val="single" w:sz="4" w:space="0" w:color="auto"/>
            </w:tcBorders>
            <w:noWrap/>
            <w:vAlign w:val="bottom"/>
          </w:tcPr>
          <w:p w14:paraId="62084A48"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5 days ± 2.9</w:t>
            </w:r>
          </w:p>
        </w:tc>
      </w:tr>
      <w:tr w:rsidR="0030430E" w:rsidRPr="0030430E" w14:paraId="61E005DC" w14:textId="77777777" w:rsidTr="000D7EF0">
        <w:trPr>
          <w:trHeight w:val="300"/>
        </w:trPr>
        <w:tc>
          <w:tcPr>
            <w:tcW w:w="5102" w:type="dxa"/>
            <w:tcBorders>
              <w:top w:val="nil"/>
              <w:left w:val="single" w:sz="4" w:space="0" w:color="auto"/>
              <w:bottom w:val="nil"/>
              <w:right w:val="single" w:sz="4" w:space="0" w:color="auto"/>
            </w:tcBorders>
            <w:noWrap/>
            <w:vAlign w:val="bottom"/>
          </w:tcPr>
          <w:p w14:paraId="435B8B15"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Trip between 1-3 days</w:t>
            </w:r>
          </w:p>
        </w:tc>
        <w:tc>
          <w:tcPr>
            <w:tcW w:w="1270" w:type="dxa"/>
            <w:tcBorders>
              <w:top w:val="nil"/>
              <w:left w:val="single" w:sz="4" w:space="0" w:color="auto"/>
              <w:bottom w:val="nil"/>
              <w:right w:val="single" w:sz="4" w:space="0" w:color="auto"/>
            </w:tcBorders>
            <w:noWrap/>
            <w:vAlign w:val="bottom"/>
          </w:tcPr>
          <w:p w14:paraId="29F38510"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35%</w:t>
            </w:r>
          </w:p>
        </w:tc>
        <w:tc>
          <w:tcPr>
            <w:tcW w:w="1350" w:type="dxa"/>
            <w:tcBorders>
              <w:top w:val="nil"/>
              <w:left w:val="single" w:sz="4" w:space="0" w:color="auto"/>
              <w:bottom w:val="nil"/>
              <w:right w:val="single" w:sz="4" w:space="0" w:color="auto"/>
            </w:tcBorders>
            <w:noWrap/>
            <w:vAlign w:val="bottom"/>
          </w:tcPr>
          <w:p w14:paraId="7E4487E2"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35%</w:t>
            </w:r>
          </w:p>
        </w:tc>
        <w:tc>
          <w:tcPr>
            <w:tcW w:w="1350" w:type="dxa"/>
            <w:tcBorders>
              <w:top w:val="nil"/>
              <w:left w:val="single" w:sz="4" w:space="0" w:color="auto"/>
              <w:bottom w:val="nil"/>
              <w:right w:val="single" w:sz="4" w:space="0" w:color="auto"/>
            </w:tcBorders>
            <w:noWrap/>
            <w:vAlign w:val="bottom"/>
          </w:tcPr>
          <w:p w14:paraId="261DD779"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35%</w:t>
            </w:r>
          </w:p>
        </w:tc>
      </w:tr>
      <w:tr w:rsidR="0030430E" w:rsidRPr="0030430E" w14:paraId="6AEFCF02" w14:textId="77777777" w:rsidTr="000D7EF0">
        <w:trPr>
          <w:trHeight w:val="300"/>
        </w:trPr>
        <w:tc>
          <w:tcPr>
            <w:tcW w:w="5102" w:type="dxa"/>
            <w:tcBorders>
              <w:top w:val="nil"/>
              <w:left w:val="single" w:sz="4" w:space="0" w:color="auto"/>
              <w:bottom w:val="nil"/>
              <w:right w:val="single" w:sz="4" w:space="0" w:color="auto"/>
            </w:tcBorders>
            <w:noWrap/>
            <w:vAlign w:val="bottom"/>
          </w:tcPr>
          <w:p w14:paraId="6A4DBF02"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Trip between 4-7 days</w:t>
            </w:r>
          </w:p>
        </w:tc>
        <w:tc>
          <w:tcPr>
            <w:tcW w:w="1270" w:type="dxa"/>
            <w:tcBorders>
              <w:top w:val="nil"/>
              <w:left w:val="single" w:sz="4" w:space="0" w:color="auto"/>
              <w:bottom w:val="nil"/>
              <w:right w:val="single" w:sz="4" w:space="0" w:color="auto"/>
            </w:tcBorders>
            <w:noWrap/>
            <w:vAlign w:val="bottom"/>
          </w:tcPr>
          <w:p w14:paraId="43A593C2"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63%</w:t>
            </w:r>
          </w:p>
        </w:tc>
        <w:tc>
          <w:tcPr>
            <w:tcW w:w="1350" w:type="dxa"/>
            <w:tcBorders>
              <w:top w:val="nil"/>
              <w:left w:val="single" w:sz="4" w:space="0" w:color="auto"/>
              <w:bottom w:val="nil"/>
              <w:right w:val="single" w:sz="4" w:space="0" w:color="auto"/>
            </w:tcBorders>
            <w:noWrap/>
            <w:vAlign w:val="bottom"/>
          </w:tcPr>
          <w:p w14:paraId="42223FC2"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59%</w:t>
            </w:r>
          </w:p>
        </w:tc>
        <w:tc>
          <w:tcPr>
            <w:tcW w:w="1350" w:type="dxa"/>
            <w:tcBorders>
              <w:top w:val="nil"/>
              <w:left w:val="single" w:sz="4" w:space="0" w:color="auto"/>
              <w:bottom w:val="nil"/>
              <w:right w:val="single" w:sz="4" w:space="0" w:color="auto"/>
            </w:tcBorders>
            <w:noWrap/>
            <w:vAlign w:val="bottom"/>
          </w:tcPr>
          <w:p w14:paraId="36F4DDDA"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48%</w:t>
            </w:r>
          </w:p>
        </w:tc>
      </w:tr>
      <w:tr w:rsidR="0030430E" w:rsidRPr="0030430E" w14:paraId="7C480552" w14:textId="77777777" w:rsidTr="000D7EF0">
        <w:trPr>
          <w:trHeight w:val="300"/>
        </w:trPr>
        <w:tc>
          <w:tcPr>
            <w:tcW w:w="5102" w:type="dxa"/>
            <w:tcBorders>
              <w:top w:val="nil"/>
              <w:left w:val="single" w:sz="4" w:space="0" w:color="auto"/>
              <w:bottom w:val="single" w:sz="4" w:space="0" w:color="auto"/>
              <w:right w:val="single" w:sz="4" w:space="0" w:color="auto"/>
            </w:tcBorders>
            <w:noWrap/>
            <w:vAlign w:val="bottom"/>
          </w:tcPr>
          <w:p w14:paraId="0CE55F43"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Trip longer than 7 days</w:t>
            </w:r>
          </w:p>
        </w:tc>
        <w:tc>
          <w:tcPr>
            <w:tcW w:w="1270" w:type="dxa"/>
            <w:tcBorders>
              <w:top w:val="nil"/>
              <w:left w:val="single" w:sz="4" w:space="0" w:color="auto"/>
              <w:bottom w:val="single" w:sz="4" w:space="0" w:color="auto"/>
              <w:right w:val="single" w:sz="4" w:space="0" w:color="auto"/>
            </w:tcBorders>
            <w:noWrap/>
            <w:vAlign w:val="bottom"/>
          </w:tcPr>
          <w:p w14:paraId="56845798"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3%</w:t>
            </w:r>
          </w:p>
        </w:tc>
        <w:tc>
          <w:tcPr>
            <w:tcW w:w="1350" w:type="dxa"/>
            <w:tcBorders>
              <w:top w:val="nil"/>
              <w:left w:val="single" w:sz="4" w:space="0" w:color="auto"/>
              <w:bottom w:val="single" w:sz="4" w:space="0" w:color="auto"/>
              <w:right w:val="single" w:sz="4" w:space="0" w:color="auto"/>
            </w:tcBorders>
            <w:noWrap/>
            <w:vAlign w:val="bottom"/>
          </w:tcPr>
          <w:p w14:paraId="2E213C49"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7%</w:t>
            </w:r>
          </w:p>
        </w:tc>
        <w:tc>
          <w:tcPr>
            <w:tcW w:w="1350" w:type="dxa"/>
            <w:tcBorders>
              <w:top w:val="nil"/>
              <w:left w:val="single" w:sz="4" w:space="0" w:color="auto"/>
              <w:bottom w:val="single" w:sz="4" w:space="0" w:color="auto"/>
              <w:right w:val="single" w:sz="4" w:space="0" w:color="auto"/>
            </w:tcBorders>
            <w:noWrap/>
            <w:vAlign w:val="bottom"/>
          </w:tcPr>
          <w:p w14:paraId="4C127CBC"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17%</w:t>
            </w:r>
          </w:p>
        </w:tc>
      </w:tr>
      <w:tr w:rsidR="0030430E" w:rsidRPr="0030430E" w14:paraId="25747CA7" w14:textId="77777777" w:rsidTr="000D7EF0">
        <w:trPr>
          <w:trHeight w:val="300"/>
        </w:trPr>
        <w:tc>
          <w:tcPr>
            <w:tcW w:w="5102" w:type="dxa"/>
            <w:tcBorders>
              <w:top w:val="nil"/>
              <w:left w:val="single" w:sz="4" w:space="0" w:color="auto"/>
              <w:bottom w:val="nil"/>
              <w:right w:val="single" w:sz="4" w:space="0" w:color="auto"/>
            </w:tcBorders>
            <w:noWrap/>
            <w:vAlign w:val="bottom"/>
          </w:tcPr>
          <w:p w14:paraId="72011080"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 xml:space="preserve">Mean outdoor recreation experience (scale 1–6)” </w:t>
            </w:r>
          </w:p>
        </w:tc>
        <w:tc>
          <w:tcPr>
            <w:tcW w:w="1270" w:type="dxa"/>
            <w:tcBorders>
              <w:top w:val="nil"/>
              <w:left w:val="single" w:sz="4" w:space="0" w:color="auto"/>
              <w:bottom w:val="nil"/>
              <w:right w:val="single" w:sz="4" w:space="0" w:color="auto"/>
            </w:tcBorders>
            <w:noWrap/>
            <w:vAlign w:val="bottom"/>
          </w:tcPr>
          <w:p w14:paraId="2DE2E621"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4.7 ± 1.5</w:t>
            </w:r>
          </w:p>
        </w:tc>
        <w:tc>
          <w:tcPr>
            <w:tcW w:w="1350" w:type="dxa"/>
            <w:tcBorders>
              <w:top w:val="nil"/>
              <w:left w:val="single" w:sz="4" w:space="0" w:color="auto"/>
              <w:bottom w:val="nil"/>
              <w:right w:val="single" w:sz="4" w:space="0" w:color="auto"/>
            </w:tcBorders>
            <w:noWrap/>
            <w:vAlign w:val="bottom"/>
          </w:tcPr>
          <w:p w14:paraId="74A33B8E"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4.9 ± 1.4</w:t>
            </w:r>
          </w:p>
        </w:tc>
        <w:tc>
          <w:tcPr>
            <w:tcW w:w="1350" w:type="dxa"/>
            <w:tcBorders>
              <w:top w:val="nil"/>
              <w:left w:val="single" w:sz="4" w:space="0" w:color="auto"/>
              <w:bottom w:val="nil"/>
              <w:right w:val="single" w:sz="4" w:space="0" w:color="auto"/>
            </w:tcBorders>
            <w:noWrap/>
            <w:vAlign w:val="bottom"/>
          </w:tcPr>
          <w:p w14:paraId="35309FF0"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4.5 ± 1.5</w:t>
            </w:r>
          </w:p>
        </w:tc>
      </w:tr>
      <w:tr w:rsidR="0030430E" w:rsidRPr="0030430E" w14:paraId="4FD944D5" w14:textId="77777777" w:rsidTr="000D7EF0">
        <w:trPr>
          <w:trHeight w:val="300"/>
        </w:trPr>
        <w:tc>
          <w:tcPr>
            <w:tcW w:w="5102" w:type="dxa"/>
            <w:tcBorders>
              <w:top w:val="nil"/>
              <w:left w:val="single" w:sz="4" w:space="0" w:color="auto"/>
              <w:bottom w:val="nil"/>
              <w:right w:val="single" w:sz="4" w:space="0" w:color="auto"/>
            </w:tcBorders>
            <w:noWrap/>
            <w:vAlign w:val="bottom"/>
          </w:tcPr>
          <w:p w14:paraId="00DECA92"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Unexperienced with multi-day hikes (&lt; 6 times, 1-3)</w:t>
            </w:r>
          </w:p>
        </w:tc>
        <w:tc>
          <w:tcPr>
            <w:tcW w:w="1270" w:type="dxa"/>
            <w:tcBorders>
              <w:top w:val="nil"/>
              <w:left w:val="single" w:sz="4" w:space="0" w:color="auto"/>
              <w:bottom w:val="nil"/>
              <w:right w:val="single" w:sz="4" w:space="0" w:color="auto"/>
            </w:tcBorders>
            <w:noWrap/>
            <w:vAlign w:val="bottom"/>
          </w:tcPr>
          <w:p w14:paraId="7E0DE37B"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20%</w:t>
            </w:r>
          </w:p>
        </w:tc>
        <w:tc>
          <w:tcPr>
            <w:tcW w:w="1350" w:type="dxa"/>
            <w:tcBorders>
              <w:top w:val="nil"/>
              <w:left w:val="single" w:sz="4" w:space="0" w:color="auto"/>
              <w:bottom w:val="nil"/>
              <w:right w:val="single" w:sz="4" w:space="0" w:color="auto"/>
            </w:tcBorders>
            <w:noWrap/>
            <w:vAlign w:val="bottom"/>
          </w:tcPr>
          <w:p w14:paraId="75DCD879"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24%</w:t>
            </w:r>
          </w:p>
        </w:tc>
        <w:tc>
          <w:tcPr>
            <w:tcW w:w="1350" w:type="dxa"/>
            <w:tcBorders>
              <w:top w:val="nil"/>
              <w:left w:val="single" w:sz="4" w:space="0" w:color="auto"/>
              <w:bottom w:val="nil"/>
              <w:right w:val="single" w:sz="4" w:space="0" w:color="auto"/>
            </w:tcBorders>
            <w:noWrap/>
            <w:vAlign w:val="bottom"/>
          </w:tcPr>
          <w:p w14:paraId="346989D3"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25%</w:t>
            </w:r>
          </w:p>
        </w:tc>
      </w:tr>
      <w:tr w:rsidR="0030430E" w:rsidRPr="0030430E" w14:paraId="5371C74D" w14:textId="77777777" w:rsidTr="000D7EF0">
        <w:trPr>
          <w:trHeight w:val="300"/>
        </w:trPr>
        <w:tc>
          <w:tcPr>
            <w:tcW w:w="5102" w:type="dxa"/>
            <w:tcBorders>
              <w:top w:val="nil"/>
              <w:left w:val="single" w:sz="4" w:space="0" w:color="auto"/>
              <w:bottom w:val="nil"/>
              <w:right w:val="single" w:sz="4" w:space="0" w:color="auto"/>
            </w:tcBorders>
            <w:noWrap/>
            <w:vAlign w:val="bottom"/>
          </w:tcPr>
          <w:p w14:paraId="5D328FC5"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Mid experienced with multi-days hikes (6-20 times, 4-5)</w:t>
            </w:r>
          </w:p>
        </w:tc>
        <w:tc>
          <w:tcPr>
            <w:tcW w:w="1270" w:type="dxa"/>
            <w:tcBorders>
              <w:top w:val="nil"/>
              <w:left w:val="single" w:sz="4" w:space="0" w:color="auto"/>
              <w:bottom w:val="nil"/>
              <w:right w:val="single" w:sz="4" w:space="0" w:color="auto"/>
            </w:tcBorders>
            <w:noWrap/>
            <w:vAlign w:val="bottom"/>
          </w:tcPr>
          <w:p w14:paraId="77C26416"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35%</w:t>
            </w:r>
          </w:p>
        </w:tc>
        <w:tc>
          <w:tcPr>
            <w:tcW w:w="1350" w:type="dxa"/>
            <w:tcBorders>
              <w:top w:val="nil"/>
              <w:left w:val="single" w:sz="4" w:space="0" w:color="auto"/>
              <w:bottom w:val="nil"/>
              <w:right w:val="single" w:sz="4" w:space="0" w:color="auto"/>
            </w:tcBorders>
            <w:noWrap/>
            <w:vAlign w:val="bottom"/>
          </w:tcPr>
          <w:p w14:paraId="778692EE"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20%</w:t>
            </w:r>
          </w:p>
        </w:tc>
        <w:tc>
          <w:tcPr>
            <w:tcW w:w="1350" w:type="dxa"/>
            <w:tcBorders>
              <w:top w:val="nil"/>
              <w:left w:val="single" w:sz="4" w:space="0" w:color="auto"/>
              <w:bottom w:val="nil"/>
              <w:right w:val="single" w:sz="4" w:space="0" w:color="auto"/>
            </w:tcBorders>
            <w:noWrap/>
            <w:vAlign w:val="bottom"/>
          </w:tcPr>
          <w:p w14:paraId="00BFA6E1"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40%</w:t>
            </w:r>
          </w:p>
        </w:tc>
      </w:tr>
      <w:tr w:rsidR="0030430E" w:rsidRPr="0030430E" w14:paraId="1FBFE25C" w14:textId="77777777" w:rsidTr="000D7EF0">
        <w:trPr>
          <w:trHeight w:val="300"/>
        </w:trPr>
        <w:tc>
          <w:tcPr>
            <w:tcW w:w="5102" w:type="dxa"/>
            <w:tcBorders>
              <w:top w:val="nil"/>
              <w:left w:val="single" w:sz="4" w:space="0" w:color="auto"/>
              <w:bottom w:val="nil"/>
              <w:right w:val="single" w:sz="4" w:space="0" w:color="auto"/>
            </w:tcBorders>
            <w:noWrap/>
            <w:vAlign w:val="bottom"/>
          </w:tcPr>
          <w:p w14:paraId="4EF7AC57"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Very experienced with multi-day hikes (more than 20 times, 6)</w:t>
            </w:r>
          </w:p>
        </w:tc>
        <w:tc>
          <w:tcPr>
            <w:tcW w:w="1270" w:type="dxa"/>
            <w:tcBorders>
              <w:top w:val="nil"/>
              <w:left w:val="single" w:sz="4" w:space="0" w:color="auto"/>
              <w:bottom w:val="nil"/>
              <w:right w:val="single" w:sz="4" w:space="0" w:color="auto"/>
            </w:tcBorders>
            <w:noWrap/>
            <w:vAlign w:val="bottom"/>
          </w:tcPr>
          <w:p w14:paraId="0E9B62F8"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45%</w:t>
            </w:r>
          </w:p>
        </w:tc>
        <w:tc>
          <w:tcPr>
            <w:tcW w:w="1350" w:type="dxa"/>
            <w:tcBorders>
              <w:top w:val="nil"/>
              <w:left w:val="single" w:sz="4" w:space="0" w:color="auto"/>
              <w:bottom w:val="nil"/>
              <w:right w:val="single" w:sz="4" w:space="0" w:color="auto"/>
            </w:tcBorders>
            <w:noWrap/>
            <w:vAlign w:val="bottom"/>
          </w:tcPr>
          <w:p w14:paraId="7A308401"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56%</w:t>
            </w:r>
          </w:p>
        </w:tc>
        <w:tc>
          <w:tcPr>
            <w:tcW w:w="1350" w:type="dxa"/>
            <w:tcBorders>
              <w:top w:val="nil"/>
              <w:left w:val="single" w:sz="4" w:space="0" w:color="auto"/>
              <w:bottom w:val="nil"/>
              <w:right w:val="single" w:sz="4" w:space="0" w:color="auto"/>
            </w:tcBorders>
            <w:noWrap/>
            <w:vAlign w:val="bottom"/>
          </w:tcPr>
          <w:p w14:paraId="3245183E"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35%</w:t>
            </w:r>
          </w:p>
        </w:tc>
      </w:tr>
      <w:tr w:rsidR="0030430E" w:rsidRPr="0030430E" w14:paraId="2BFA2B9E" w14:textId="77777777" w:rsidTr="000D7EF0">
        <w:trPr>
          <w:trHeight w:val="300"/>
        </w:trPr>
        <w:tc>
          <w:tcPr>
            <w:tcW w:w="5102" w:type="dxa"/>
            <w:tcBorders>
              <w:top w:val="nil"/>
              <w:left w:val="single" w:sz="4" w:space="0" w:color="auto"/>
              <w:bottom w:val="nil"/>
              <w:right w:val="single" w:sz="4" w:space="0" w:color="auto"/>
            </w:tcBorders>
            <w:noWrap/>
            <w:vAlign w:val="bottom"/>
          </w:tcPr>
          <w:p w14:paraId="1F5BA31D"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Mean prior experience of Femundsmarka (scale 1–7)”</w:t>
            </w:r>
          </w:p>
        </w:tc>
        <w:tc>
          <w:tcPr>
            <w:tcW w:w="1270" w:type="dxa"/>
            <w:tcBorders>
              <w:top w:val="nil"/>
              <w:left w:val="single" w:sz="4" w:space="0" w:color="auto"/>
              <w:bottom w:val="nil"/>
              <w:right w:val="single" w:sz="4" w:space="0" w:color="auto"/>
            </w:tcBorders>
            <w:noWrap/>
            <w:vAlign w:val="bottom"/>
          </w:tcPr>
          <w:p w14:paraId="198D5226"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2.8 ± 2.3</w:t>
            </w:r>
          </w:p>
        </w:tc>
        <w:tc>
          <w:tcPr>
            <w:tcW w:w="1350" w:type="dxa"/>
            <w:tcBorders>
              <w:top w:val="nil"/>
              <w:left w:val="single" w:sz="4" w:space="0" w:color="auto"/>
              <w:bottom w:val="nil"/>
              <w:right w:val="single" w:sz="4" w:space="0" w:color="auto"/>
            </w:tcBorders>
            <w:noWrap/>
            <w:vAlign w:val="bottom"/>
          </w:tcPr>
          <w:p w14:paraId="5D9541A3"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2.5 ± 2.2</w:t>
            </w:r>
          </w:p>
        </w:tc>
        <w:tc>
          <w:tcPr>
            <w:tcW w:w="1350" w:type="dxa"/>
            <w:tcBorders>
              <w:top w:val="nil"/>
              <w:left w:val="single" w:sz="4" w:space="0" w:color="auto"/>
              <w:bottom w:val="nil"/>
              <w:right w:val="single" w:sz="4" w:space="0" w:color="auto"/>
            </w:tcBorders>
            <w:noWrap/>
            <w:vAlign w:val="bottom"/>
          </w:tcPr>
          <w:p w14:paraId="4203EF25"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2.3 ± 2.0</w:t>
            </w:r>
          </w:p>
        </w:tc>
      </w:tr>
      <w:tr w:rsidR="0030430E" w:rsidRPr="0030430E" w14:paraId="12C4C47A" w14:textId="77777777" w:rsidTr="000D7EF0">
        <w:trPr>
          <w:trHeight w:val="300"/>
        </w:trPr>
        <w:tc>
          <w:tcPr>
            <w:tcW w:w="5102" w:type="dxa"/>
            <w:tcBorders>
              <w:top w:val="nil"/>
              <w:left w:val="single" w:sz="4" w:space="0" w:color="auto"/>
              <w:bottom w:val="nil"/>
              <w:right w:val="single" w:sz="4" w:space="0" w:color="auto"/>
            </w:tcBorders>
            <w:noWrap/>
            <w:vAlign w:val="bottom"/>
          </w:tcPr>
          <w:p w14:paraId="376829AF"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First-time visitor to Femundsmarka</w:t>
            </w:r>
          </w:p>
        </w:tc>
        <w:tc>
          <w:tcPr>
            <w:tcW w:w="1270" w:type="dxa"/>
            <w:tcBorders>
              <w:top w:val="nil"/>
              <w:left w:val="single" w:sz="4" w:space="0" w:color="auto"/>
              <w:bottom w:val="nil"/>
              <w:right w:val="single" w:sz="4" w:space="0" w:color="auto"/>
            </w:tcBorders>
            <w:noWrap/>
            <w:vAlign w:val="bottom"/>
          </w:tcPr>
          <w:p w14:paraId="3213FDE2"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50%</w:t>
            </w:r>
          </w:p>
        </w:tc>
        <w:tc>
          <w:tcPr>
            <w:tcW w:w="1350" w:type="dxa"/>
            <w:tcBorders>
              <w:top w:val="nil"/>
              <w:left w:val="single" w:sz="4" w:space="0" w:color="auto"/>
              <w:bottom w:val="nil"/>
              <w:right w:val="single" w:sz="4" w:space="0" w:color="auto"/>
            </w:tcBorders>
            <w:noWrap/>
            <w:vAlign w:val="bottom"/>
          </w:tcPr>
          <w:p w14:paraId="43FFA2BD"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59%</w:t>
            </w:r>
          </w:p>
        </w:tc>
        <w:tc>
          <w:tcPr>
            <w:tcW w:w="1350" w:type="dxa"/>
            <w:tcBorders>
              <w:top w:val="nil"/>
              <w:left w:val="single" w:sz="4" w:space="0" w:color="auto"/>
              <w:bottom w:val="nil"/>
              <w:right w:val="single" w:sz="4" w:space="0" w:color="auto"/>
            </w:tcBorders>
            <w:noWrap/>
            <w:vAlign w:val="bottom"/>
          </w:tcPr>
          <w:p w14:paraId="41130C1E"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59%</w:t>
            </w:r>
          </w:p>
        </w:tc>
      </w:tr>
      <w:tr w:rsidR="0030430E" w:rsidRPr="0030430E" w14:paraId="6B8AF654" w14:textId="77777777" w:rsidTr="000D7EF0">
        <w:trPr>
          <w:trHeight w:val="300"/>
        </w:trPr>
        <w:tc>
          <w:tcPr>
            <w:tcW w:w="5102" w:type="dxa"/>
            <w:tcBorders>
              <w:top w:val="nil"/>
              <w:left w:val="single" w:sz="4" w:space="0" w:color="auto"/>
              <w:bottom w:val="nil"/>
              <w:right w:val="single" w:sz="4" w:space="0" w:color="auto"/>
            </w:tcBorders>
            <w:noWrap/>
            <w:vAlign w:val="bottom"/>
          </w:tcPr>
          <w:p w14:paraId="21B22D2D"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Visited Femundsmarka 2-4 times</w:t>
            </w:r>
          </w:p>
        </w:tc>
        <w:tc>
          <w:tcPr>
            <w:tcW w:w="1270" w:type="dxa"/>
            <w:tcBorders>
              <w:top w:val="nil"/>
              <w:left w:val="single" w:sz="4" w:space="0" w:color="auto"/>
              <w:bottom w:val="nil"/>
              <w:right w:val="single" w:sz="4" w:space="0" w:color="auto"/>
            </w:tcBorders>
            <w:noWrap/>
            <w:vAlign w:val="bottom"/>
          </w:tcPr>
          <w:p w14:paraId="4B7BDB4F"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28%</w:t>
            </w:r>
          </w:p>
        </w:tc>
        <w:tc>
          <w:tcPr>
            <w:tcW w:w="1350" w:type="dxa"/>
            <w:tcBorders>
              <w:top w:val="nil"/>
              <w:left w:val="single" w:sz="4" w:space="0" w:color="auto"/>
              <w:bottom w:val="nil"/>
              <w:right w:val="single" w:sz="4" w:space="0" w:color="auto"/>
            </w:tcBorders>
            <w:noWrap/>
            <w:vAlign w:val="bottom"/>
          </w:tcPr>
          <w:p w14:paraId="699935DF"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24%</w:t>
            </w:r>
          </w:p>
        </w:tc>
        <w:tc>
          <w:tcPr>
            <w:tcW w:w="1350" w:type="dxa"/>
            <w:tcBorders>
              <w:top w:val="nil"/>
              <w:left w:val="single" w:sz="4" w:space="0" w:color="auto"/>
              <w:bottom w:val="nil"/>
              <w:right w:val="single" w:sz="4" w:space="0" w:color="auto"/>
            </w:tcBorders>
            <w:noWrap/>
            <w:vAlign w:val="bottom"/>
          </w:tcPr>
          <w:p w14:paraId="35B4937D"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27%</w:t>
            </w:r>
          </w:p>
        </w:tc>
      </w:tr>
      <w:tr w:rsidR="0030430E" w:rsidRPr="0030430E" w14:paraId="5D8426D9" w14:textId="77777777" w:rsidTr="000D7EF0">
        <w:trPr>
          <w:trHeight w:val="300"/>
        </w:trPr>
        <w:tc>
          <w:tcPr>
            <w:tcW w:w="5102" w:type="dxa"/>
            <w:tcBorders>
              <w:top w:val="nil"/>
              <w:left w:val="single" w:sz="4" w:space="0" w:color="auto"/>
              <w:bottom w:val="nil"/>
              <w:right w:val="single" w:sz="4" w:space="0" w:color="auto"/>
            </w:tcBorders>
            <w:noWrap/>
            <w:vAlign w:val="bottom"/>
          </w:tcPr>
          <w:p w14:paraId="4D18DF23"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Visited Femundsmarka more than 4 times</w:t>
            </w:r>
          </w:p>
        </w:tc>
        <w:tc>
          <w:tcPr>
            <w:tcW w:w="1270" w:type="dxa"/>
            <w:tcBorders>
              <w:top w:val="nil"/>
              <w:left w:val="single" w:sz="4" w:space="0" w:color="auto"/>
              <w:bottom w:val="nil"/>
              <w:right w:val="single" w:sz="4" w:space="0" w:color="auto"/>
            </w:tcBorders>
            <w:noWrap/>
            <w:vAlign w:val="bottom"/>
          </w:tcPr>
          <w:p w14:paraId="4E352DD6"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22%</w:t>
            </w:r>
          </w:p>
        </w:tc>
        <w:tc>
          <w:tcPr>
            <w:tcW w:w="1350" w:type="dxa"/>
            <w:tcBorders>
              <w:top w:val="nil"/>
              <w:left w:val="single" w:sz="4" w:space="0" w:color="auto"/>
              <w:bottom w:val="nil"/>
              <w:right w:val="single" w:sz="4" w:space="0" w:color="auto"/>
            </w:tcBorders>
            <w:noWrap/>
            <w:vAlign w:val="bottom"/>
          </w:tcPr>
          <w:p w14:paraId="692C48B3"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17%</w:t>
            </w:r>
          </w:p>
        </w:tc>
        <w:tc>
          <w:tcPr>
            <w:tcW w:w="1350" w:type="dxa"/>
            <w:tcBorders>
              <w:top w:val="nil"/>
              <w:left w:val="single" w:sz="4" w:space="0" w:color="auto"/>
              <w:bottom w:val="nil"/>
              <w:right w:val="single" w:sz="4" w:space="0" w:color="auto"/>
            </w:tcBorders>
            <w:noWrap/>
            <w:vAlign w:val="bottom"/>
          </w:tcPr>
          <w:p w14:paraId="62EDF2B0"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color w:val="000000"/>
                <w:sz w:val="16"/>
                <w:szCs w:val="16"/>
                <w:lang w:eastAsia="nb-NO"/>
              </w:rPr>
              <w:t>14%</w:t>
            </w:r>
          </w:p>
        </w:tc>
      </w:tr>
      <w:tr w:rsidR="0030430E" w:rsidRPr="0030430E" w14:paraId="6B99EF66" w14:textId="77777777" w:rsidTr="000D7EF0">
        <w:trPr>
          <w:trHeight w:val="300"/>
        </w:trPr>
        <w:tc>
          <w:tcPr>
            <w:tcW w:w="5102" w:type="dxa"/>
            <w:tcBorders>
              <w:top w:val="single" w:sz="4" w:space="0" w:color="auto"/>
              <w:left w:val="single" w:sz="4" w:space="0" w:color="auto"/>
              <w:right w:val="single" w:sz="4" w:space="0" w:color="auto"/>
            </w:tcBorders>
            <w:noWrap/>
            <w:vAlign w:val="bottom"/>
          </w:tcPr>
          <w:p w14:paraId="31D335AA" w14:textId="77777777" w:rsidR="0030430E" w:rsidRPr="0030430E" w:rsidRDefault="0030430E" w:rsidP="000D7EF0">
            <w:pPr>
              <w:spacing w:after="0" w:line="240" w:lineRule="auto"/>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Male^</w:t>
            </w:r>
          </w:p>
        </w:tc>
        <w:tc>
          <w:tcPr>
            <w:tcW w:w="1270" w:type="dxa"/>
            <w:tcBorders>
              <w:top w:val="single" w:sz="4" w:space="0" w:color="auto"/>
              <w:left w:val="single" w:sz="4" w:space="0" w:color="auto"/>
              <w:right w:val="single" w:sz="4" w:space="0" w:color="auto"/>
            </w:tcBorders>
            <w:noWrap/>
            <w:vAlign w:val="bottom"/>
          </w:tcPr>
          <w:p w14:paraId="0EBE84A4"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85%</w:t>
            </w:r>
          </w:p>
        </w:tc>
        <w:tc>
          <w:tcPr>
            <w:tcW w:w="1350" w:type="dxa"/>
            <w:tcBorders>
              <w:top w:val="single" w:sz="4" w:space="0" w:color="auto"/>
              <w:left w:val="single" w:sz="4" w:space="0" w:color="auto"/>
              <w:right w:val="single" w:sz="4" w:space="0" w:color="auto"/>
            </w:tcBorders>
            <w:noWrap/>
            <w:vAlign w:val="bottom"/>
          </w:tcPr>
          <w:p w14:paraId="3DF33ECD"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74%</w:t>
            </w:r>
          </w:p>
        </w:tc>
        <w:tc>
          <w:tcPr>
            <w:tcW w:w="1350" w:type="dxa"/>
            <w:tcBorders>
              <w:top w:val="single" w:sz="4" w:space="0" w:color="auto"/>
              <w:left w:val="single" w:sz="4" w:space="0" w:color="auto"/>
              <w:right w:val="single" w:sz="4" w:space="0" w:color="auto"/>
            </w:tcBorders>
            <w:noWrap/>
            <w:vAlign w:val="bottom"/>
          </w:tcPr>
          <w:p w14:paraId="37BD134B"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70%</w:t>
            </w:r>
          </w:p>
        </w:tc>
      </w:tr>
      <w:tr w:rsidR="0030430E" w:rsidRPr="0030430E" w14:paraId="72C5BE1D" w14:textId="77777777" w:rsidTr="000D7EF0">
        <w:trPr>
          <w:trHeight w:val="300"/>
        </w:trPr>
        <w:tc>
          <w:tcPr>
            <w:tcW w:w="5102" w:type="dxa"/>
            <w:tcBorders>
              <w:top w:val="nil"/>
              <w:left w:val="single" w:sz="4" w:space="0" w:color="auto"/>
              <w:bottom w:val="single" w:sz="4" w:space="0" w:color="auto"/>
              <w:right w:val="single" w:sz="4" w:space="0" w:color="auto"/>
            </w:tcBorders>
            <w:noWrap/>
            <w:vAlign w:val="bottom"/>
            <w:hideMark/>
          </w:tcPr>
          <w:p w14:paraId="0B81FD04"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b/>
                <w:bCs/>
                <w:color w:val="000000"/>
                <w:sz w:val="16"/>
                <w:szCs w:val="16"/>
                <w:lang w:eastAsia="nb-NO"/>
              </w:rPr>
              <w:t>Norwegian^</w:t>
            </w:r>
          </w:p>
        </w:tc>
        <w:tc>
          <w:tcPr>
            <w:tcW w:w="1270" w:type="dxa"/>
            <w:tcBorders>
              <w:top w:val="nil"/>
              <w:left w:val="single" w:sz="4" w:space="0" w:color="auto"/>
              <w:bottom w:val="single" w:sz="4" w:space="0" w:color="auto"/>
              <w:right w:val="single" w:sz="4" w:space="0" w:color="auto"/>
            </w:tcBorders>
            <w:noWrap/>
            <w:hideMark/>
          </w:tcPr>
          <w:p w14:paraId="14D437BB"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82%</w:t>
            </w:r>
          </w:p>
        </w:tc>
        <w:tc>
          <w:tcPr>
            <w:tcW w:w="1350" w:type="dxa"/>
            <w:tcBorders>
              <w:top w:val="nil"/>
              <w:left w:val="single" w:sz="4" w:space="0" w:color="auto"/>
              <w:bottom w:val="single" w:sz="4" w:space="0" w:color="auto"/>
              <w:right w:val="single" w:sz="4" w:space="0" w:color="auto"/>
            </w:tcBorders>
            <w:noWrap/>
            <w:hideMark/>
          </w:tcPr>
          <w:p w14:paraId="2C6ABA08"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65%*</w:t>
            </w:r>
          </w:p>
        </w:tc>
        <w:tc>
          <w:tcPr>
            <w:tcW w:w="1350" w:type="dxa"/>
            <w:tcBorders>
              <w:top w:val="nil"/>
              <w:left w:val="single" w:sz="4" w:space="0" w:color="auto"/>
              <w:bottom w:val="single" w:sz="4" w:space="0" w:color="auto"/>
              <w:right w:val="single" w:sz="4" w:space="0" w:color="auto"/>
            </w:tcBorders>
            <w:noWrap/>
            <w:hideMark/>
          </w:tcPr>
          <w:p w14:paraId="156F881F"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86%*</w:t>
            </w:r>
          </w:p>
        </w:tc>
      </w:tr>
    </w:tbl>
    <w:p w14:paraId="271B48DC" w14:textId="77777777" w:rsidR="0030430E" w:rsidRPr="0030430E" w:rsidRDefault="0030430E" w:rsidP="0030430E">
      <w:pPr>
        <w:spacing w:line="240" w:lineRule="auto"/>
        <w:rPr>
          <w:rFonts w:ascii="Arial" w:hAnsi="Arial" w:cs="Arial"/>
          <w:sz w:val="14"/>
          <w:szCs w:val="14"/>
        </w:rPr>
      </w:pPr>
      <w:r w:rsidRPr="0030430E">
        <w:rPr>
          <w:rFonts w:ascii="Arial" w:hAnsi="Arial" w:cs="Arial"/>
          <w:sz w:val="14"/>
          <w:szCs w:val="14"/>
        </w:rPr>
        <w:t xml:space="preserve">* We detected a statistically significant difference in means (p &lt; 0.05) between those groups through a one-way ANOVA, followed by a Tukey HSD post hoc test (-), Kruskal-Wallis, followed by either a Dunn-Bonferroni post-hoc test (“) or a chi-square test of independence followed by Bonferroni correction (^). </w:t>
      </w:r>
    </w:p>
    <w:p w14:paraId="0ACF4919" w14:textId="77777777" w:rsidR="0030430E" w:rsidRDefault="0030430E" w:rsidP="0030430E">
      <w:pPr>
        <w:spacing w:line="240" w:lineRule="auto"/>
        <w:rPr>
          <w:rFonts w:ascii="Arial" w:hAnsi="Arial" w:cs="Arial"/>
          <w:b/>
          <w:bCs/>
          <w:sz w:val="16"/>
          <w:szCs w:val="16"/>
        </w:rPr>
      </w:pPr>
    </w:p>
    <w:p w14:paraId="604ABC7D" w14:textId="77777777" w:rsidR="0030430E" w:rsidRDefault="0030430E" w:rsidP="0030430E">
      <w:pPr>
        <w:spacing w:line="240" w:lineRule="auto"/>
        <w:rPr>
          <w:rFonts w:ascii="Arial" w:hAnsi="Arial" w:cs="Arial"/>
          <w:b/>
          <w:bCs/>
          <w:sz w:val="16"/>
          <w:szCs w:val="16"/>
        </w:rPr>
      </w:pPr>
    </w:p>
    <w:p w14:paraId="5CC6F02B" w14:textId="5A7921D8" w:rsidR="0030430E" w:rsidRPr="0030430E" w:rsidRDefault="0030430E" w:rsidP="0030430E">
      <w:pPr>
        <w:spacing w:line="240" w:lineRule="auto"/>
        <w:rPr>
          <w:rFonts w:ascii="Arial" w:hAnsi="Arial" w:cs="Arial"/>
          <w:sz w:val="16"/>
          <w:szCs w:val="16"/>
        </w:rPr>
      </w:pPr>
      <w:r w:rsidRPr="0030430E">
        <w:rPr>
          <w:rFonts w:ascii="Arial" w:hAnsi="Arial" w:cs="Arial"/>
          <w:b/>
          <w:bCs/>
          <w:sz w:val="16"/>
          <w:szCs w:val="16"/>
        </w:rPr>
        <w:t xml:space="preserve">Table </w:t>
      </w:r>
      <w:r w:rsidR="00982899">
        <w:rPr>
          <w:rFonts w:ascii="Arial" w:hAnsi="Arial" w:cs="Arial"/>
          <w:b/>
          <w:bCs/>
          <w:sz w:val="16"/>
          <w:szCs w:val="16"/>
        </w:rPr>
        <w:t>4</w:t>
      </w:r>
      <w:r w:rsidRPr="0030430E">
        <w:rPr>
          <w:rFonts w:ascii="Arial" w:hAnsi="Arial" w:cs="Arial"/>
          <w:sz w:val="16"/>
          <w:szCs w:val="16"/>
        </w:rPr>
        <w:t xml:space="preserve">. The respondents were presented with a series of statements related to campfires and tree damage, and they were asked to assess each statement’s alignment with their behavior during a trip to Femundsmarka National Park. They rated each statement on a scale ranging from 1 (strongly disagree) to 7 (strongly agree). Below are the averages for respondents from each test period </w:t>
      </w:r>
      <w:r w:rsidRPr="0030430E">
        <w:rPr>
          <w:rFonts w:ascii="Arial" w:eastAsia="Times New Roman" w:hAnsi="Arial" w:cs="Arial"/>
          <w:color w:val="000000"/>
          <w:sz w:val="16"/>
          <w:szCs w:val="16"/>
          <w:bdr w:val="none" w:sz="0" w:space="0" w:color="auto" w:frame="1"/>
          <w:lang w:eastAsia="nb-NO"/>
        </w:rPr>
        <w:t>and ± standard deviations</w:t>
      </w:r>
      <w:r w:rsidRPr="0030430E">
        <w:rPr>
          <w:rFonts w:ascii="Arial" w:hAnsi="Arial" w:cs="Arial"/>
          <w:sz w:val="16"/>
          <w:szCs w:val="16"/>
        </w:rPr>
        <w:t xml:space="preserve">. We detected no statistically significant difference in means (p &lt; 0.05) between the specific groups through non-parametric Kruskal-Wallis tests. </w:t>
      </w:r>
    </w:p>
    <w:tbl>
      <w:tblPr>
        <w:tblW w:w="9062" w:type="dxa"/>
        <w:tblBorders>
          <w:top w:val="single" w:sz="4" w:space="0" w:color="auto"/>
          <w:left w:val="single" w:sz="4" w:space="0" w:color="auto"/>
          <w:bottom w:val="single" w:sz="4" w:space="0" w:color="auto"/>
          <w:right w:val="single" w:sz="4" w:space="0" w:color="auto"/>
          <w:insideV w:val="single" w:sz="4" w:space="0" w:color="auto"/>
        </w:tblBorders>
        <w:tblCellMar>
          <w:left w:w="70" w:type="dxa"/>
          <w:right w:w="70" w:type="dxa"/>
        </w:tblCellMar>
        <w:tblLook w:val="04A0" w:firstRow="1" w:lastRow="0" w:firstColumn="1" w:lastColumn="0" w:noHBand="0" w:noVBand="1"/>
      </w:tblPr>
      <w:tblGrid>
        <w:gridCol w:w="5080"/>
        <w:gridCol w:w="1294"/>
        <w:gridCol w:w="1418"/>
        <w:gridCol w:w="1270"/>
      </w:tblGrid>
      <w:tr w:rsidR="0030430E" w:rsidRPr="0030430E" w14:paraId="7364EE94" w14:textId="77777777" w:rsidTr="000D7EF0">
        <w:trPr>
          <w:trHeight w:val="300"/>
        </w:trPr>
        <w:tc>
          <w:tcPr>
            <w:tcW w:w="5080" w:type="dxa"/>
            <w:tcBorders>
              <w:top w:val="nil"/>
              <w:left w:val="nil"/>
              <w:bottom w:val="single" w:sz="4" w:space="0" w:color="auto"/>
              <w:right w:val="nil"/>
            </w:tcBorders>
            <w:noWrap/>
            <w:vAlign w:val="bottom"/>
          </w:tcPr>
          <w:p w14:paraId="56F89010" w14:textId="77777777" w:rsidR="0030430E" w:rsidRPr="0030430E" w:rsidRDefault="0030430E" w:rsidP="000D7EF0">
            <w:pPr>
              <w:spacing w:after="0" w:line="240" w:lineRule="auto"/>
              <w:rPr>
                <w:rFonts w:ascii="Arial" w:eastAsia="Times New Roman" w:hAnsi="Arial" w:cs="Arial"/>
                <w:color w:val="000000"/>
                <w:sz w:val="16"/>
                <w:szCs w:val="16"/>
                <w:lang w:eastAsia="nb-NO"/>
              </w:rPr>
            </w:pPr>
          </w:p>
        </w:tc>
        <w:tc>
          <w:tcPr>
            <w:tcW w:w="1294" w:type="dxa"/>
            <w:tcBorders>
              <w:top w:val="nil"/>
              <w:left w:val="nil"/>
              <w:bottom w:val="single" w:sz="4" w:space="0" w:color="auto"/>
              <w:right w:val="nil"/>
            </w:tcBorders>
            <w:noWrap/>
            <w:vAlign w:val="bottom"/>
          </w:tcPr>
          <w:p w14:paraId="18BBABFA"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hAnsi="Arial" w:cs="Arial"/>
                <w:sz w:val="16"/>
                <w:szCs w:val="16"/>
              </w:rPr>
              <w:t>Control</w:t>
            </w:r>
            <w:r w:rsidRPr="0030430E">
              <w:rPr>
                <w:rFonts w:ascii="Arial" w:hAnsi="Arial" w:cs="Arial"/>
                <w:sz w:val="16"/>
                <w:szCs w:val="16"/>
              </w:rPr>
              <w:br/>
              <w:t>(N =40)</w:t>
            </w:r>
          </w:p>
        </w:tc>
        <w:tc>
          <w:tcPr>
            <w:tcW w:w="1418" w:type="dxa"/>
            <w:tcBorders>
              <w:top w:val="nil"/>
              <w:left w:val="nil"/>
              <w:bottom w:val="single" w:sz="4" w:space="0" w:color="auto"/>
              <w:right w:val="nil"/>
            </w:tcBorders>
            <w:noWrap/>
            <w:vAlign w:val="bottom"/>
          </w:tcPr>
          <w:p w14:paraId="72C15A74"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hAnsi="Arial" w:cs="Arial"/>
                <w:sz w:val="16"/>
                <w:szCs w:val="16"/>
              </w:rPr>
              <w:t xml:space="preserve">Passive communication (N = 46) </w:t>
            </w:r>
          </w:p>
        </w:tc>
        <w:tc>
          <w:tcPr>
            <w:tcW w:w="1270" w:type="dxa"/>
            <w:tcBorders>
              <w:top w:val="nil"/>
              <w:left w:val="nil"/>
              <w:bottom w:val="single" w:sz="4" w:space="0" w:color="auto"/>
              <w:right w:val="nil"/>
            </w:tcBorders>
            <w:noWrap/>
            <w:vAlign w:val="bottom"/>
          </w:tcPr>
          <w:p w14:paraId="7EB7FCA9"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hAnsi="Arial" w:cs="Arial"/>
                <w:sz w:val="16"/>
                <w:szCs w:val="16"/>
              </w:rPr>
              <w:t>Active communication (N = 63)</w:t>
            </w:r>
          </w:p>
        </w:tc>
      </w:tr>
      <w:tr w:rsidR="0030430E" w:rsidRPr="0030430E" w14:paraId="363536CF" w14:textId="77777777" w:rsidTr="000D7EF0">
        <w:trPr>
          <w:trHeight w:val="300"/>
        </w:trPr>
        <w:tc>
          <w:tcPr>
            <w:tcW w:w="5080" w:type="dxa"/>
            <w:tcBorders>
              <w:top w:val="single" w:sz="4" w:space="0" w:color="auto"/>
              <w:bottom w:val="nil"/>
              <w:right w:val="nil"/>
            </w:tcBorders>
            <w:noWrap/>
            <w:vAlign w:val="bottom"/>
            <w:hideMark/>
          </w:tcPr>
          <w:p w14:paraId="0221A878" w14:textId="77777777" w:rsidR="0030430E" w:rsidRPr="0030430E" w:rsidRDefault="0030430E" w:rsidP="000D7EF0">
            <w:pPr>
              <w:spacing w:after="0" w:line="240" w:lineRule="auto"/>
              <w:rPr>
                <w:rFonts w:ascii="Arial" w:eastAsia="Times New Roman" w:hAnsi="Arial" w:cs="Arial"/>
                <w:color w:val="000000"/>
                <w:sz w:val="16"/>
                <w:szCs w:val="16"/>
                <w:lang w:eastAsia="nb-NO"/>
              </w:rPr>
            </w:pPr>
            <w:bookmarkStart w:id="0" w:name="_Hlk162522581"/>
            <w:r w:rsidRPr="0030430E">
              <w:rPr>
                <w:rFonts w:ascii="Arial" w:eastAsia="Times New Roman" w:hAnsi="Arial" w:cs="Arial"/>
                <w:color w:val="000000"/>
                <w:sz w:val="16"/>
                <w:szCs w:val="16"/>
                <w:lang w:eastAsia="nb-NO"/>
              </w:rPr>
              <w:t>I usually take an axe and/or saw with me</w:t>
            </w:r>
          </w:p>
        </w:tc>
        <w:tc>
          <w:tcPr>
            <w:tcW w:w="1294" w:type="dxa"/>
            <w:tcBorders>
              <w:top w:val="single" w:sz="4" w:space="0" w:color="auto"/>
              <w:left w:val="nil"/>
              <w:bottom w:val="nil"/>
              <w:right w:val="nil"/>
            </w:tcBorders>
            <w:noWrap/>
            <w:vAlign w:val="center"/>
            <w:hideMark/>
          </w:tcPr>
          <w:p w14:paraId="6048AB14"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3.1 ± 2.3</w:t>
            </w:r>
          </w:p>
        </w:tc>
        <w:tc>
          <w:tcPr>
            <w:tcW w:w="1418" w:type="dxa"/>
            <w:tcBorders>
              <w:top w:val="single" w:sz="4" w:space="0" w:color="auto"/>
              <w:left w:val="nil"/>
              <w:bottom w:val="nil"/>
              <w:right w:val="nil"/>
            </w:tcBorders>
            <w:noWrap/>
            <w:vAlign w:val="center"/>
            <w:hideMark/>
          </w:tcPr>
          <w:p w14:paraId="5ED813E7"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3.3 ± 2.1</w:t>
            </w:r>
          </w:p>
        </w:tc>
        <w:tc>
          <w:tcPr>
            <w:tcW w:w="1270" w:type="dxa"/>
            <w:tcBorders>
              <w:top w:val="single" w:sz="4" w:space="0" w:color="auto"/>
              <w:left w:val="nil"/>
              <w:bottom w:val="nil"/>
            </w:tcBorders>
            <w:noWrap/>
            <w:vAlign w:val="center"/>
            <w:hideMark/>
          </w:tcPr>
          <w:p w14:paraId="22807C81"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2.6 ± 2.2</w:t>
            </w:r>
          </w:p>
        </w:tc>
      </w:tr>
      <w:bookmarkEnd w:id="0"/>
      <w:tr w:rsidR="0030430E" w:rsidRPr="0030430E" w14:paraId="0951E684" w14:textId="77777777" w:rsidTr="000D7EF0">
        <w:trPr>
          <w:trHeight w:val="300"/>
        </w:trPr>
        <w:tc>
          <w:tcPr>
            <w:tcW w:w="5080" w:type="dxa"/>
            <w:tcBorders>
              <w:top w:val="nil"/>
              <w:bottom w:val="nil"/>
              <w:right w:val="nil"/>
            </w:tcBorders>
            <w:noWrap/>
            <w:vAlign w:val="bottom"/>
            <w:hideMark/>
          </w:tcPr>
          <w:p w14:paraId="328463CA"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 xml:space="preserve">Stumps and dead trees are important for biodiversity </w:t>
            </w:r>
          </w:p>
        </w:tc>
        <w:tc>
          <w:tcPr>
            <w:tcW w:w="1294" w:type="dxa"/>
            <w:tcBorders>
              <w:top w:val="nil"/>
              <w:left w:val="nil"/>
              <w:bottom w:val="nil"/>
              <w:right w:val="nil"/>
            </w:tcBorders>
            <w:noWrap/>
            <w:hideMark/>
          </w:tcPr>
          <w:p w14:paraId="1BF505E4"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6.2 ± 1.2</w:t>
            </w:r>
          </w:p>
        </w:tc>
        <w:tc>
          <w:tcPr>
            <w:tcW w:w="1418" w:type="dxa"/>
            <w:tcBorders>
              <w:top w:val="nil"/>
              <w:left w:val="nil"/>
              <w:bottom w:val="nil"/>
              <w:right w:val="nil"/>
            </w:tcBorders>
            <w:noWrap/>
            <w:hideMark/>
          </w:tcPr>
          <w:p w14:paraId="21EFB693"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6.1 ± 1.3</w:t>
            </w:r>
          </w:p>
        </w:tc>
        <w:tc>
          <w:tcPr>
            <w:tcW w:w="1270" w:type="dxa"/>
            <w:tcBorders>
              <w:top w:val="nil"/>
              <w:left w:val="nil"/>
              <w:bottom w:val="nil"/>
            </w:tcBorders>
            <w:noWrap/>
            <w:hideMark/>
          </w:tcPr>
          <w:p w14:paraId="043BE878"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6.1 ± 1.2</w:t>
            </w:r>
          </w:p>
        </w:tc>
      </w:tr>
      <w:tr w:rsidR="0030430E" w:rsidRPr="0030430E" w14:paraId="2FA32659" w14:textId="77777777" w:rsidTr="000D7EF0">
        <w:trPr>
          <w:trHeight w:val="300"/>
        </w:trPr>
        <w:tc>
          <w:tcPr>
            <w:tcW w:w="5080" w:type="dxa"/>
            <w:tcBorders>
              <w:top w:val="nil"/>
              <w:bottom w:val="nil"/>
              <w:right w:val="nil"/>
            </w:tcBorders>
            <w:noWrap/>
            <w:vAlign w:val="bottom"/>
            <w:hideMark/>
          </w:tcPr>
          <w:p w14:paraId="2604FBCB" w14:textId="77777777" w:rsidR="0030430E" w:rsidRPr="0030430E" w:rsidRDefault="0030430E" w:rsidP="000D7EF0">
            <w:pPr>
              <w:spacing w:after="0" w:line="240" w:lineRule="auto"/>
              <w:rPr>
                <w:rFonts w:ascii="Arial" w:hAnsi="Arial" w:cs="Arial"/>
                <w:sz w:val="16"/>
                <w:szCs w:val="16"/>
              </w:rPr>
            </w:pPr>
            <w:r w:rsidRPr="0030430E">
              <w:rPr>
                <w:rFonts w:ascii="Arial" w:hAnsi="Arial" w:cs="Arial"/>
                <w:sz w:val="16"/>
                <w:szCs w:val="16"/>
              </w:rPr>
              <w:t xml:space="preserve">I only use twigs I find on the ground for campfires </w:t>
            </w:r>
          </w:p>
        </w:tc>
        <w:tc>
          <w:tcPr>
            <w:tcW w:w="1294" w:type="dxa"/>
            <w:tcBorders>
              <w:top w:val="nil"/>
              <w:left w:val="nil"/>
              <w:bottom w:val="nil"/>
              <w:right w:val="nil"/>
            </w:tcBorders>
            <w:noWrap/>
            <w:hideMark/>
          </w:tcPr>
          <w:p w14:paraId="283C6A2C"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5.2 ± 2.1</w:t>
            </w:r>
          </w:p>
        </w:tc>
        <w:tc>
          <w:tcPr>
            <w:tcW w:w="1418" w:type="dxa"/>
            <w:tcBorders>
              <w:top w:val="nil"/>
              <w:left w:val="nil"/>
              <w:bottom w:val="nil"/>
              <w:right w:val="nil"/>
            </w:tcBorders>
            <w:noWrap/>
            <w:hideMark/>
          </w:tcPr>
          <w:p w14:paraId="30C1E224"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5.1 ± 2.2</w:t>
            </w:r>
          </w:p>
        </w:tc>
        <w:tc>
          <w:tcPr>
            <w:tcW w:w="1270" w:type="dxa"/>
            <w:tcBorders>
              <w:top w:val="nil"/>
              <w:left w:val="nil"/>
              <w:bottom w:val="nil"/>
            </w:tcBorders>
            <w:noWrap/>
            <w:hideMark/>
          </w:tcPr>
          <w:p w14:paraId="190D55D9"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4.9 ± 2.1</w:t>
            </w:r>
          </w:p>
        </w:tc>
      </w:tr>
      <w:tr w:rsidR="0030430E" w:rsidRPr="0030430E" w14:paraId="3623E0F0" w14:textId="77777777" w:rsidTr="000D7EF0">
        <w:trPr>
          <w:trHeight w:val="300"/>
        </w:trPr>
        <w:tc>
          <w:tcPr>
            <w:tcW w:w="5080" w:type="dxa"/>
            <w:tcBorders>
              <w:top w:val="nil"/>
              <w:bottom w:val="nil"/>
              <w:right w:val="nil"/>
            </w:tcBorders>
            <w:noWrap/>
            <w:vAlign w:val="bottom"/>
            <w:hideMark/>
          </w:tcPr>
          <w:p w14:paraId="2102E6DF" w14:textId="77777777" w:rsidR="0030430E" w:rsidRPr="0030430E" w:rsidRDefault="0030430E" w:rsidP="000D7EF0">
            <w:pPr>
              <w:spacing w:after="0" w:line="240" w:lineRule="auto"/>
              <w:rPr>
                <w:rFonts w:ascii="Arial" w:hAnsi="Arial" w:cs="Arial"/>
                <w:sz w:val="16"/>
                <w:szCs w:val="16"/>
              </w:rPr>
            </w:pPr>
            <w:r w:rsidRPr="0030430E">
              <w:rPr>
                <w:rFonts w:ascii="Arial" w:hAnsi="Arial" w:cs="Arial"/>
                <w:sz w:val="16"/>
                <w:szCs w:val="16"/>
              </w:rPr>
              <w:t xml:space="preserve">It bothers me to see a tree cut down by others </w:t>
            </w:r>
          </w:p>
        </w:tc>
        <w:tc>
          <w:tcPr>
            <w:tcW w:w="1294" w:type="dxa"/>
            <w:tcBorders>
              <w:top w:val="nil"/>
              <w:left w:val="nil"/>
              <w:bottom w:val="nil"/>
              <w:right w:val="nil"/>
            </w:tcBorders>
            <w:noWrap/>
            <w:hideMark/>
          </w:tcPr>
          <w:p w14:paraId="075FB7E1"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5.2 ± 1.9</w:t>
            </w:r>
          </w:p>
        </w:tc>
        <w:tc>
          <w:tcPr>
            <w:tcW w:w="1418" w:type="dxa"/>
            <w:tcBorders>
              <w:top w:val="nil"/>
              <w:left w:val="nil"/>
              <w:bottom w:val="nil"/>
              <w:right w:val="nil"/>
            </w:tcBorders>
            <w:noWrap/>
            <w:hideMark/>
          </w:tcPr>
          <w:p w14:paraId="7E1DF56C"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5.5 ± 1.7</w:t>
            </w:r>
          </w:p>
        </w:tc>
        <w:tc>
          <w:tcPr>
            <w:tcW w:w="1270" w:type="dxa"/>
            <w:tcBorders>
              <w:top w:val="nil"/>
              <w:left w:val="nil"/>
              <w:bottom w:val="nil"/>
            </w:tcBorders>
            <w:noWrap/>
            <w:hideMark/>
          </w:tcPr>
          <w:p w14:paraId="5E5D2366"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5.3 ± 1.9</w:t>
            </w:r>
          </w:p>
        </w:tc>
      </w:tr>
      <w:tr w:rsidR="0030430E" w:rsidRPr="0030430E" w14:paraId="24C36B4A" w14:textId="77777777" w:rsidTr="000D7EF0">
        <w:trPr>
          <w:trHeight w:val="300"/>
        </w:trPr>
        <w:tc>
          <w:tcPr>
            <w:tcW w:w="5080" w:type="dxa"/>
            <w:tcBorders>
              <w:top w:val="nil"/>
              <w:bottom w:val="nil"/>
              <w:right w:val="nil"/>
            </w:tcBorders>
            <w:noWrap/>
            <w:vAlign w:val="bottom"/>
            <w:hideMark/>
          </w:tcPr>
          <w:p w14:paraId="19792BB6"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hAnsi="Arial" w:cs="Arial"/>
                <w:sz w:val="16"/>
                <w:szCs w:val="16"/>
              </w:rPr>
              <w:t>I only use the commercial wood at maintained campsites for making a campfire</w:t>
            </w:r>
          </w:p>
        </w:tc>
        <w:tc>
          <w:tcPr>
            <w:tcW w:w="1294" w:type="dxa"/>
            <w:tcBorders>
              <w:top w:val="nil"/>
              <w:left w:val="nil"/>
              <w:bottom w:val="nil"/>
              <w:right w:val="nil"/>
            </w:tcBorders>
            <w:noWrap/>
            <w:vAlign w:val="center"/>
            <w:hideMark/>
          </w:tcPr>
          <w:p w14:paraId="588E9465"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4.1 ± 2.1</w:t>
            </w:r>
          </w:p>
        </w:tc>
        <w:tc>
          <w:tcPr>
            <w:tcW w:w="1418" w:type="dxa"/>
            <w:tcBorders>
              <w:top w:val="nil"/>
              <w:left w:val="nil"/>
              <w:bottom w:val="nil"/>
              <w:right w:val="nil"/>
            </w:tcBorders>
            <w:noWrap/>
            <w:vAlign w:val="center"/>
            <w:hideMark/>
          </w:tcPr>
          <w:p w14:paraId="70DFD821"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4.4 ± 1.2</w:t>
            </w:r>
          </w:p>
        </w:tc>
        <w:tc>
          <w:tcPr>
            <w:tcW w:w="1270" w:type="dxa"/>
            <w:tcBorders>
              <w:top w:val="nil"/>
              <w:left w:val="nil"/>
              <w:bottom w:val="nil"/>
            </w:tcBorders>
            <w:noWrap/>
            <w:vAlign w:val="center"/>
            <w:hideMark/>
          </w:tcPr>
          <w:p w14:paraId="56736A57"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4.2 ± 2.2</w:t>
            </w:r>
          </w:p>
        </w:tc>
      </w:tr>
      <w:tr w:rsidR="0030430E" w:rsidRPr="0030430E" w14:paraId="47AE4402" w14:textId="77777777" w:rsidTr="000D7EF0">
        <w:trPr>
          <w:trHeight w:val="226"/>
        </w:trPr>
        <w:tc>
          <w:tcPr>
            <w:tcW w:w="5080" w:type="dxa"/>
            <w:tcBorders>
              <w:top w:val="nil"/>
              <w:bottom w:val="nil"/>
              <w:right w:val="nil"/>
            </w:tcBorders>
            <w:noWrap/>
            <w:vAlign w:val="bottom"/>
            <w:hideMark/>
          </w:tcPr>
          <w:p w14:paraId="77F7CDFF" w14:textId="77777777" w:rsidR="0030430E" w:rsidRPr="0030430E" w:rsidRDefault="0030430E" w:rsidP="000D7EF0">
            <w:pPr>
              <w:spacing w:after="0" w:line="240" w:lineRule="auto"/>
              <w:rPr>
                <w:rFonts w:ascii="Arial" w:eastAsia="Times New Roman" w:hAnsi="Arial" w:cs="Arial"/>
                <w:color w:val="000000"/>
                <w:sz w:val="16"/>
                <w:szCs w:val="16"/>
                <w:lang w:eastAsia="nb-NO"/>
              </w:rPr>
            </w:pPr>
            <w:r w:rsidRPr="0030430E">
              <w:rPr>
                <w:rFonts w:ascii="Arial" w:hAnsi="Arial" w:cs="Arial"/>
                <w:sz w:val="16"/>
                <w:szCs w:val="16"/>
              </w:rPr>
              <w:t>I have seen too much damage to trees caused by other visitors</w:t>
            </w:r>
          </w:p>
        </w:tc>
        <w:tc>
          <w:tcPr>
            <w:tcW w:w="1294" w:type="dxa"/>
            <w:tcBorders>
              <w:top w:val="nil"/>
              <w:left w:val="nil"/>
              <w:bottom w:val="nil"/>
              <w:right w:val="nil"/>
            </w:tcBorders>
            <w:noWrap/>
            <w:vAlign w:val="center"/>
            <w:hideMark/>
          </w:tcPr>
          <w:p w14:paraId="78A6A0DA"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3.5 ± 2.0</w:t>
            </w:r>
          </w:p>
        </w:tc>
        <w:tc>
          <w:tcPr>
            <w:tcW w:w="1418" w:type="dxa"/>
            <w:tcBorders>
              <w:top w:val="nil"/>
              <w:left w:val="nil"/>
              <w:bottom w:val="nil"/>
              <w:right w:val="nil"/>
            </w:tcBorders>
            <w:noWrap/>
            <w:vAlign w:val="center"/>
            <w:hideMark/>
          </w:tcPr>
          <w:p w14:paraId="2B75B6B8"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3.3 ± 1.8</w:t>
            </w:r>
          </w:p>
        </w:tc>
        <w:tc>
          <w:tcPr>
            <w:tcW w:w="1270" w:type="dxa"/>
            <w:tcBorders>
              <w:top w:val="nil"/>
              <w:left w:val="nil"/>
              <w:bottom w:val="nil"/>
            </w:tcBorders>
            <w:noWrap/>
            <w:vAlign w:val="center"/>
            <w:hideMark/>
          </w:tcPr>
          <w:p w14:paraId="5DEF7D7E"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3.4 ± 1.9</w:t>
            </w:r>
          </w:p>
        </w:tc>
      </w:tr>
      <w:tr w:rsidR="0030430E" w:rsidRPr="0030430E" w14:paraId="5B8CA826" w14:textId="77777777" w:rsidTr="000D7EF0">
        <w:trPr>
          <w:trHeight w:val="226"/>
        </w:trPr>
        <w:tc>
          <w:tcPr>
            <w:tcW w:w="5080" w:type="dxa"/>
            <w:tcBorders>
              <w:top w:val="nil"/>
              <w:bottom w:val="nil"/>
              <w:right w:val="nil"/>
            </w:tcBorders>
            <w:noWrap/>
            <w:vAlign w:val="bottom"/>
          </w:tcPr>
          <w:p w14:paraId="0373D686" w14:textId="77777777" w:rsidR="0030430E" w:rsidRPr="0030430E" w:rsidRDefault="0030430E" w:rsidP="000D7EF0">
            <w:pPr>
              <w:spacing w:after="0" w:line="240" w:lineRule="auto"/>
              <w:rPr>
                <w:rFonts w:ascii="Arial" w:hAnsi="Arial" w:cs="Arial"/>
                <w:sz w:val="16"/>
                <w:szCs w:val="16"/>
              </w:rPr>
            </w:pPr>
            <w:r w:rsidRPr="0030430E">
              <w:rPr>
                <w:rFonts w:ascii="Arial" w:hAnsi="Arial" w:cs="Arial"/>
                <w:sz w:val="16"/>
                <w:szCs w:val="16"/>
              </w:rPr>
              <w:t>I always avoid making a campfire</w:t>
            </w:r>
          </w:p>
        </w:tc>
        <w:tc>
          <w:tcPr>
            <w:tcW w:w="1294" w:type="dxa"/>
            <w:tcBorders>
              <w:top w:val="nil"/>
              <w:left w:val="nil"/>
              <w:bottom w:val="nil"/>
              <w:right w:val="nil"/>
            </w:tcBorders>
            <w:noWrap/>
            <w:vAlign w:val="center"/>
          </w:tcPr>
          <w:p w14:paraId="0DF98556"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2.3 ± 1.8</w:t>
            </w:r>
          </w:p>
        </w:tc>
        <w:tc>
          <w:tcPr>
            <w:tcW w:w="1418" w:type="dxa"/>
            <w:tcBorders>
              <w:top w:val="nil"/>
              <w:left w:val="nil"/>
              <w:bottom w:val="nil"/>
              <w:right w:val="nil"/>
            </w:tcBorders>
            <w:noWrap/>
            <w:vAlign w:val="center"/>
          </w:tcPr>
          <w:p w14:paraId="387CDFA0"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2.9 ± 1.8</w:t>
            </w:r>
          </w:p>
        </w:tc>
        <w:tc>
          <w:tcPr>
            <w:tcW w:w="1270" w:type="dxa"/>
            <w:tcBorders>
              <w:top w:val="nil"/>
              <w:left w:val="nil"/>
              <w:bottom w:val="nil"/>
            </w:tcBorders>
            <w:noWrap/>
            <w:vAlign w:val="center"/>
          </w:tcPr>
          <w:p w14:paraId="299BDD7C" w14:textId="77777777" w:rsidR="0030430E" w:rsidRPr="0030430E" w:rsidRDefault="0030430E" w:rsidP="000D7EF0">
            <w:pPr>
              <w:spacing w:after="0" w:line="240" w:lineRule="auto"/>
              <w:jc w:val="center"/>
              <w:rPr>
                <w:rFonts w:ascii="Arial" w:eastAsia="Times New Roman" w:hAnsi="Arial" w:cs="Arial"/>
                <w:color w:val="000000"/>
                <w:sz w:val="16"/>
                <w:szCs w:val="16"/>
                <w:lang w:eastAsia="nb-NO"/>
              </w:rPr>
            </w:pPr>
            <w:r w:rsidRPr="0030430E">
              <w:rPr>
                <w:rFonts w:ascii="Arial" w:eastAsia="Times New Roman" w:hAnsi="Arial" w:cs="Arial"/>
                <w:color w:val="000000"/>
                <w:sz w:val="16"/>
                <w:szCs w:val="16"/>
                <w:lang w:eastAsia="nb-NO"/>
              </w:rPr>
              <w:t>2.6 ± 2.0</w:t>
            </w:r>
          </w:p>
        </w:tc>
      </w:tr>
      <w:tr w:rsidR="0030430E" w:rsidRPr="0030430E" w14:paraId="311403CE" w14:textId="77777777" w:rsidTr="000D7EF0">
        <w:trPr>
          <w:trHeight w:val="226"/>
        </w:trPr>
        <w:tc>
          <w:tcPr>
            <w:tcW w:w="5080" w:type="dxa"/>
            <w:tcBorders>
              <w:top w:val="nil"/>
              <w:bottom w:val="single" w:sz="4" w:space="0" w:color="auto"/>
              <w:right w:val="nil"/>
            </w:tcBorders>
            <w:noWrap/>
            <w:vAlign w:val="bottom"/>
          </w:tcPr>
          <w:p w14:paraId="3E1BAC4C" w14:textId="77777777" w:rsidR="0030430E" w:rsidRPr="0030430E" w:rsidRDefault="0030430E" w:rsidP="000D7EF0">
            <w:pPr>
              <w:spacing w:after="0" w:line="240" w:lineRule="auto"/>
              <w:rPr>
                <w:rFonts w:ascii="Arial" w:hAnsi="Arial" w:cs="Arial"/>
                <w:b/>
                <w:bCs/>
                <w:sz w:val="16"/>
                <w:szCs w:val="16"/>
              </w:rPr>
            </w:pPr>
            <w:r w:rsidRPr="0030430E">
              <w:rPr>
                <w:rFonts w:ascii="Arial" w:hAnsi="Arial" w:cs="Arial"/>
                <w:b/>
                <w:bCs/>
                <w:sz w:val="16"/>
                <w:szCs w:val="16"/>
              </w:rPr>
              <w:t>Self-reported campfire behavior^</w:t>
            </w:r>
          </w:p>
        </w:tc>
        <w:tc>
          <w:tcPr>
            <w:tcW w:w="1294" w:type="dxa"/>
            <w:tcBorders>
              <w:top w:val="nil"/>
              <w:left w:val="nil"/>
              <w:bottom w:val="single" w:sz="4" w:space="0" w:color="auto"/>
              <w:right w:val="nil"/>
            </w:tcBorders>
            <w:noWrap/>
            <w:vAlign w:val="bottom"/>
          </w:tcPr>
          <w:p w14:paraId="46ADA811"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4.5 ± 0.9</w:t>
            </w:r>
          </w:p>
        </w:tc>
        <w:tc>
          <w:tcPr>
            <w:tcW w:w="1418" w:type="dxa"/>
            <w:tcBorders>
              <w:top w:val="nil"/>
              <w:left w:val="nil"/>
              <w:bottom w:val="single" w:sz="4" w:space="0" w:color="auto"/>
              <w:right w:val="nil"/>
            </w:tcBorders>
            <w:noWrap/>
            <w:vAlign w:val="bottom"/>
          </w:tcPr>
          <w:p w14:paraId="0F156075"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4.6 ± 0.9</w:t>
            </w:r>
          </w:p>
        </w:tc>
        <w:tc>
          <w:tcPr>
            <w:tcW w:w="1270" w:type="dxa"/>
            <w:tcBorders>
              <w:top w:val="nil"/>
              <w:left w:val="nil"/>
              <w:bottom w:val="single" w:sz="4" w:space="0" w:color="auto"/>
            </w:tcBorders>
            <w:noWrap/>
            <w:vAlign w:val="bottom"/>
          </w:tcPr>
          <w:p w14:paraId="42221888" w14:textId="77777777" w:rsidR="0030430E" w:rsidRPr="0030430E" w:rsidRDefault="0030430E" w:rsidP="000D7EF0">
            <w:pPr>
              <w:spacing w:after="0" w:line="240" w:lineRule="auto"/>
              <w:jc w:val="center"/>
              <w:rPr>
                <w:rFonts w:ascii="Arial" w:eastAsia="Times New Roman" w:hAnsi="Arial" w:cs="Arial"/>
                <w:b/>
                <w:bCs/>
                <w:color w:val="000000"/>
                <w:sz w:val="16"/>
                <w:szCs w:val="16"/>
                <w:lang w:eastAsia="nb-NO"/>
              </w:rPr>
            </w:pPr>
            <w:r w:rsidRPr="0030430E">
              <w:rPr>
                <w:rFonts w:ascii="Arial" w:eastAsia="Times New Roman" w:hAnsi="Arial" w:cs="Arial"/>
                <w:b/>
                <w:bCs/>
                <w:color w:val="000000"/>
                <w:sz w:val="16"/>
                <w:szCs w:val="16"/>
                <w:lang w:eastAsia="nb-NO"/>
              </w:rPr>
              <w:t>4.6 ± 0.9</w:t>
            </w:r>
          </w:p>
        </w:tc>
      </w:tr>
    </w:tbl>
    <w:p w14:paraId="67E2CCFA" w14:textId="77777777" w:rsidR="0030430E" w:rsidRPr="0030430E" w:rsidRDefault="0030430E" w:rsidP="0030430E">
      <w:pPr>
        <w:rPr>
          <w:rFonts w:ascii="Arial" w:hAnsi="Arial" w:cs="Arial"/>
          <w:sz w:val="14"/>
          <w:szCs w:val="14"/>
        </w:rPr>
      </w:pPr>
      <w:r w:rsidRPr="0030430E">
        <w:rPr>
          <w:rFonts w:ascii="Arial" w:hAnsi="Arial" w:cs="Arial"/>
          <w:sz w:val="14"/>
          <w:szCs w:val="14"/>
        </w:rPr>
        <w:t>^ The seven campfire-related factors were combined into the variable “self-reported campfire behavior”. Responses to the statement, “I usually take an axe and/or saw with me”, were reversed. Higher values in “self-reported campfire behavior” indicated more responsible campfire conduct.</w:t>
      </w:r>
    </w:p>
    <w:p w14:paraId="02DE762E" w14:textId="77777777" w:rsidR="0030430E" w:rsidRDefault="0030430E" w:rsidP="00304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eastAsia="Times New Roman" w:cstheme="minorHAnsi"/>
          <w:b/>
          <w:bCs/>
          <w:color w:val="000000"/>
          <w:sz w:val="24"/>
          <w:szCs w:val="24"/>
          <w:bdr w:val="none" w:sz="0" w:space="0" w:color="auto" w:frame="1"/>
          <w:lang w:eastAsia="nb-NO"/>
        </w:rPr>
      </w:pPr>
    </w:p>
    <w:p w14:paraId="33D76E35" w14:textId="549757B5" w:rsidR="0030430E" w:rsidRPr="0030430E" w:rsidRDefault="0030430E" w:rsidP="009E76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Arial" w:hAnsi="Arial" w:cs="Arial"/>
          <w:sz w:val="14"/>
          <w:szCs w:val="14"/>
        </w:rPr>
      </w:pPr>
      <w:r w:rsidRPr="0030430E">
        <w:rPr>
          <w:rFonts w:ascii="Arial" w:hAnsi="Arial" w:cs="Arial"/>
          <w:sz w:val="14"/>
          <w:szCs w:val="14"/>
        </w:rPr>
        <w:t xml:space="preserve"> </w:t>
      </w:r>
    </w:p>
    <w:p w14:paraId="58721A88" w14:textId="77777777" w:rsidR="0030430E" w:rsidRPr="003F1110" w:rsidRDefault="0030430E" w:rsidP="0030430E">
      <w:pPr>
        <w:rPr>
          <w:rFonts w:cstheme="minorHAnsi"/>
          <w:sz w:val="18"/>
          <w:szCs w:val="18"/>
        </w:rPr>
      </w:pPr>
    </w:p>
    <w:p w14:paraId="2C70A8E7" w14:textId="610048EC" w:rsidR="0030430E" w:rsidRPr="0030430E" w:rsidRDefault="002A0F7E" w:rsidP="0030430E">
      <w:pPr>
        <w:rPr>
          <w:rFonts w:cstheme="minorHAnsi"/>
          <w:b/>
          <w:bCs/>
        </w:rPr>
      </w:pPr>
      <w:r>
        <w:rPr>
          <w:rFonts w:cstheme="minorHAnsi"/>
          <w:b/>
          <w:bCs/>
        </w:rPr>
        <w:t xml:space="preserve">Online Resource </w:t>
      </w:r>
      <w:r w:rsidR="009E7650">
        <w:rPr>
          <w:rFonts w:cstheme="minorHAnsi"/>
          <w:b/>
          <w:bCs/>
        </w:rPr>
        <w:t>2</w:t>
      </w:r>
      <w:r w:rsidR="0030430E" w:rsidRPr="0030430E">
        <w:rPr>
          <w:rFonts w:cstheme="minorHAnsi"/>
          <w:b/>
          <w:bCs/>
        </w:rPr>
        <w:t>. Pre-study 2022: Components influencing campfire behavior at Røsanden</w:t>
      </w:r>
    </w:p>
    <w:p w14:paraId="790C630E" w14:textId="77777777" w:rsidR="0030430E" w:rsidRPr="0030430E" w:rsidRDefault="0030430E" w:rsidP="0030430E">
      <w:pPr>
        <w:rPr>
          <w:sz w:val="18"/>
          <w:szCs w:val="18"/>
        </w:rPr>
      </w:pPr>
      <w:r w:rsidRPr="0030430E">
        <w:rPr>
          <w:sz w:val="18"/>
          <w:szCs w:val="18"/>
        </w:rPr>
        <w:t>To gain insight into campfire behavior among visitors at Røsanden, a combination of coupled semi-structured interviews (held with visitors, n = 11) and field observations (n = 22) were conducted in 2022. The findings were analyzed, and the COM-B model (Michie et al. 2014, see References for details) was employed to categorize and structure the findings into three distinct bundles.</w:t>
      </w:r>
    </w:p>
    <w:p w14:paraId="6B4118AE" w14:textId="77777777" w:rsidR="0030430E" w:rsidRPr="0030430E" w:rsidRDefault="0030430E" w:rsidP="0030430E">
      <w:pPr>
        <w:rPr>
          <w:sz w:val="18"/>
          <w:szCs w:val="18"/>
        </w:rPr>
      </w:pPr>
      <w:r w:rsidRPr="0030430E">
        <w:rPr>
          <w:sz w:val="18"/>
          <w:szCs w:val="18"/>
        </w:rPr>
        <w:t>Many visitors expressed that they did not use a campfire to cook food, as they had portable stoves for that purpose, but many used campfires to dry clothes, create a cozy and warm atmosphere, and/or keep mosquitoes away. The motivation (M) to exhibit the desired behavior was therefore less because campfires were important for many visitors, and it was socially accepted and important for a wilderness experience. At the same time, ancient pines and pristine nature were a significant part of the nature experience, and keeping the nature pristine was important to most of the interviewed visitors. The national park status also motivated interviewed visitors to protect the environment and behave differently than they would in non-protected areas.</w:t>
      </w:r>
    </w:p>
    <w:p w14:paraId="3B5CAA25" w14:textId="77777777" w:rsidR="0030430E" w:rsidRPr="0030430E" w:rsidRDefault="0030430E" w:rsidP="0030430E">
      <w:pPr>
        <w:rPr>
          <w:sz w:val="18"/>
          <w:szCs w:val="18"/>
        </w:rPr>
      </w:pPr>
      <w:r w:rsidRPr="0030430E">
        <w:rPr>
          <w:sz w:val="18"/>
          <w:szCs w:val="18"/>
        </w:rPr>
        <w:t xml:space="preserve">The scheme with firewood provided for visitor use at designated sites was warmly received by the visitors, yet it remained unknown to all interviewees that it was available for them to use. While visitors appeared to have the opportunity (O) to engage in the desired behavior, such as utilizing alternative cooking equipment or the provided designated firewood, their lack of awareness regarding firewood options and the significance of preserving trees was evident. Additionally, a common practice observed was that the wood from ancient trees at campsites was left for the next visitors, establishing it as an accepted social norm. Based on the results from the COM-B analyses, the message design was crafted in collaboration with a communication advisor, graphic designer, national park managers, and a reference group with experience in similar projects. </w:t>
      </w:r>
    </w:p>
    <w:p w14:paraId="6CF82CAC" w14:textId="77777777" w:rsidR="0030430E" w:rsidRPr="000B1A7B" w:rsidRDefault="0030430E" w:rsidP="00304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Arial" w:hAnsi="Arial" w:cs="Arial"/>
          <w:sz w:val="18"/>
          <w:szCs w:val="18"/>
        </w:rPr>
      </w:pPr>
    </w:p>
    <w:p w14:paraId="07D6BD85" w14:textId="77777777" w:rsidR="0030430E" w:rsidRPr="000B1A7B" w:rsidRDefault="0030430E" w:rsidP="0030430E">
      <w:pPr>
        <w:rPr>
          <w:rFonts w:ascii="Arial" w:hAnsi="Arial" w:cs="Arial"/>
          <w:sz w:val="18"/>
          <w:szCs w:val="18"/>
        </w:rPr>
      </w:pPr>
      <w:r w:rsidRPr="000B1A7B">
        <w:rPr>
          <w:rFonts w:ascii="Arial" w:hAnsi="Arial" w:cs="Arial"/>
          <w:noProof/>
          <w:sz w:val="18"/>
          <w:szCs w:val="18"/>
        </w:rPr>
        <w:drawing>
          <wp:inline distT="0" distB="0" distL="0" distR="0" wp14:anchorId="59B43B1C" wp14:editId="54A4CD34">
            <wp:extent cx="5625388" cy="2878423"/>
            <wp:effectExtent l="0" t="0" r="0" b="0"/>
            <wp:docPr id="1459330639"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30639" name="Picture 1" descr="A diagram of a diagram&#10;&#10;Description automatically generated with medium confidence"/>
                    <pic:cNvPicPr/>
                  </pic:nvPicPr>
                  <pic:blipFill>
                    <a:blip r:embed="rId4"/>
                    <a:stretch>
                      <a:fillRect/>
                    </a:stretch>
                  </pic:blipFill>
                  <pic:spPr>
                    <a:xfrm>
                      <a:off x="0" y="0"/>
                      <a:ext cx="5663038" cy="2897688"/>
                    </a:xfrm>
                    <a:prstGeom prst="rect">
                      <a:avLst/>
                    </a:prstGeom>
                  </pic:spPr>
                </pic:pic>
              </a:graphicData>
            </a:graphic>
          </wp:inline>
        </w:drawing>
      </w:r>
    </w:p>
    <w:p w14:paraId="038A8E5A" w14:textId="138D1DA3" w:rsidR="0030430E" w:rsidRPr="0030430E" w:rsidRDefault="0030430E" w:rsidP="0030430E">
      <w:pPr>
        <w:rPr>
          <w:rFonts w:ascii="Arial" w:hAnsi="Arial" w:cs="Arial"/>
          <w:sz w:val="16"/>
          <w:szCs w:val="16"/>
        </w:rPr>
      </w:pPr>
      <w:r w:rsidRPr="0030430E">
        <w:rPr>
          <w:rFonts w:ascii="Arial" w:hAnsi="Arial" w:cs="Arial"/>
          <w:b/>
          <w:bCs/>
          <w:sz w:val="16"/>
          <w:szCs w:val="16"/>
        </w:rPr>
        <w:t>Fig</w:t>
      </w:r>
      <w:r w:rsidR="00982899">
        <w:rPr>
          <w:rFonts w:ascii="Arial" w:hAnsi="Arial" w:cs="Arial"/>
          <w:b/>
          <w:bCs/>
          <w:sz w:val="16"/>
          <w:szCs w:val="16"/>
        </w:rPr>
        <w:t>.</w:t>
      </w:r>
      <w:r w:rsidRPr="0030430E">
        <w:rPr>
          <w:rFonts w:ascii="Arial" w:hAnsi="Arial" w:cs="Arial"/>
          <w:b/>
          <w:bCs/>
          <w:sz w:val="16"/>
          <w:szCs w:val="16"/>
        </w:rPr>
        <w:t xml:space="preserve"> </w:t>
      </w:r>
      <w:r w:rsidR="00982899">
        <w:rPr>
          <w:rFonts w:ascii="Arial" w:hAnsi="Arial" w:cs="Arial"/>
          <w:b/>
          <w:bCs/>
          <w:sz w:val="16"/>
          <w:szCs w:val="16"/>
        </w:rPr>
        <w:t>7</w:t>
      </w:r>
      <w:r w:rsidRPr="0030430E">
        <w:rPr>
          <w:rFonts w:ascii="Arial" w:hAnsi="Arial" w:cs="Arial"/>
          <w:sz w:val="16"/>
          <w:szCs w:val="16"/>
        </w:rPr>
        <w:t xml:space="preserve"> Components in green boxes with plus signs are regarded as positive factors for shifting campfire behavior towards a more sustainable direction, whereas components in red boxes with minus signs are seen as obstacles to reducing tree damages by visitors</w:t>
      </w:r>
    </w:p>
    <w:p w14:paraId="51339776" w14:textId="77777777" w:rsidR="00966566" w:rsidRDefault="00966566" w:rsidP="0030430E">
      <w:pPr>
        <w:spacing w:line="240" w:lineRule="auto"/>
        <w:rPr>
          <w:rFonts w:cstheme="minorHAnsi"/>
          <w:b/>
          <w:bCs/>
        </w:rPr>
      </w:pPr>
      <w:r>
        <w:rPr>
          <w:rFonts w:cstheme="minorHAnsi"/>
          <w:b/>
          <w:bCs/>
        </w:rPr>
        <w:br w:type="page"/>
      </w:r>
    </w:p>
    <w:p w14:paraId="14A51EE9" w14:textId="3C33E4ED" w:rsidR="0030430E" w:rsidRPr="0030430E" w:rsidRDefault="00966566" w:rsidP="0030430E">
      <w:pPr>
        <w:spacing w:line="240" w:lineRule="auto"/>
        <w:rPr>
          <w:rFonts w:cstheme="minorHAnsi"/>
          <w:b/>
          <w:bCs/>
        </w:rPr>
      </w:pPr>
      <w:r>
        <w:rPr>
          <w:rFonts w:cstheme="minorHAnsi"/>
          <w:b/>
          <w:bCs/>
        </w:rPr>
        <w:lastRenderedPageBreak/>
        <w:t xml:space="preserve">Online Resource </w:t>
      </w:r>
      <w:r w:rsidR="009E7650">
        <w:rPr>
          <w:rFonts w:cstheme="minorHAnsi"/>
          <w:b/>
          <w:bCs/>
        </w:rPr>
        <w:t>3</w:t>
      </w:r>
      <w:r w:rsidR="0030430E" w:rsidRPr="0030430E">
        <w:rPr>
          <w:rFonts w:cstheme="minorHAnsi"/>
          <w:b/>
          <w:bCs/>
        </w:rPr>
        <w:t>. Detailed description of analyses and results of tree damage models</w:t>
      </w:r>
    </w:p>
    <w:p w14:paraId="1D9F9368" w14:textId="77777777" w:rsidR="0030430E" w:rsidRPr="0030430E" w:rsidRDefault="0030430E" w:rsidP="0030430E">
      <w:pPr>
        <w:spacing w:line="240" w:lineRule="auto"/>
        <w:rPr>
          <w:rFonts w:cstheme="minorHAnsi"/>
          <w:sz w:val="18"/>
          <w:szCs w:val="18"/>
        </w:rPr>
      </w:pPr>
      <w:r w:rsidRPr="0030430E">
        <w:rPr>
          <w:rFonts w:cstheme="minorHAnsi"/>
          <w:sz w:val="18"/>
          <w:szCs w:val="18"/>
        </w:rPr>
        <w:t xml:space="preserve">To select the most parsimonious model to explain tree damage number, we used AIC and backward elimination to explore alternative models, with a significance threshold of α=0.05 (Table E1). </w:t>
      </w:r>
    </w:p>
    <w:p w14:paraId="3C23DD5E" w14:textId="77777777" w:rsidR="0030430E" w:rsidRDefault="0030430E" w:rsidP="0030430E">
      <w:pPr>
        <w:spacing w:line="240" w:lineRule="auto"/>
        <w:rPr>
          <w:rFonts w:ascii="Arial" w:hAnsi="Arial" w:cs="Arial"/>
          <w:b/>
          <w:bCs/>
          <w:sz w:val="16"/>
          <w:szCs w:val="16"/>
        </w:rPr>
      </w:pPr>
    </w:p>
    <w:p w14:paraId="0DE6D08E" w14:textId="488CCF81" w:rsidR="0030430E" w:rsidRPr="0030430E" w:rsidRDefault="0030430E" w:rsidP="0030430E">
      <w:pPr>
        <w:spacing w:line="240" w:lineRule="auto"/>
        <w:rPr>
          <w:rFonts w:ascii="Arial" w:hAnsi="Arial" w:cs="Arial"/>
          <w:sz w:val="16"/>
          <w:szCs w:val="16"/>
        </w:rPr>
      </w:pPr>
      <w:r w:rsidRPr="0030430E">
        <w:rPr>
          <w:rFonts w:ascii="Arial" w:hAnsi="Arial" w:cs="Arial"/>
          <w:b/>
          <w:bCs/>
          <w:sz w:val="16"/>
          <w:szCs w:val="16"/>
        </w:rPr>
        <w:t xml:space="preserve">Table </w:t>
      </w:r>
      <w:r w:rsidR="00982899">
        <w:rPr>
          <w:rFonts w:ascii="Arial" w:hAnsi="Arial" w:cs="Arial"/>
          <w:b/>
          <w:bCs/>
          <w:sz w:val="16"/>
          <w:szCs w:val="16"/>
        </w:rPr>
        <w:t>5</w:t>
      </w:r>
      <w:r w:rsidRPr="0030430E">
        <w:rPr>
          <w:rFonts w:ascii="Arial" w:hAnsi="Arial" w:cs="Arial"/>
          <w:sz w:val="16"/>
          <w:szCs w:val="16"/>
        </w:rPr>
        <w:t xml:space="preserve">. Model selection results. The table shows AIC values (AICc), difference in AICc-values from the best model (Delta_AICc), the proportion of the predictive power of the complete dataset (AICcWt), and the cumulative predictive power (Cum.Wt). In the model column, we show the explanatory variables included in the model. </w:t>
      </w:r>
    </w:p>
    <w:tbl>
      <w:tblPr>
        <w:tblStyle w:val="TableGrid"/>
        <w:tblW w:w="0" w:type="auto"/>
        <w:tblInd w:w="0" w:type="dxa"/>
        <w:tblLayout w:type="fixed"/>
        <w:tblLook w:val="04A0" w:firstRow="1" w:lastRow="0" w:firstColumn="1" w:lastColumn="0" w:noHBand="0" w:noVBand="1"/>
      </w:tblPr>
      <w:tblGrid>
        <w:gridCol w:w="4673"/>
        <w:gridCol w:w="992"/>
        <w:gridCol w:w="1202"/>
        <w:gridCol w:w="1097"/>
        <w:gridCol w:w="1098"/>
      </w:tblGrid>
      <w:tr w:rsidR="0030430E" w:rsidRPr="0030430E" w14:paraId="58C96143" w14:textId="77777777" w:rsidTr="000D7EF0">
        <w:tc>
          <w:tcPr>
            <w:tcW w:w="4673" w:type="dxa"/>
          </w:tcPr>
          <w:p w14:paraId="6ADB8DE8" w14:textId="77777777" w:rsidR="0030430E" w:rsidRPr="0030430E" w:rsidRDefault="0030430E" w:rsidP="000D7EF0">
            <w:pPr>
              <w:rPr>
                <w:rFonts w:cstheme="minorHAnsi"/>
                <w:sz w:val="18"/>
                <w:szCs w:val="18"/>
              </w:rPr>
            </w:pPr>
            <w:r w:rsidRPr="0030430E">
              <w:rPr>
                <w:rFonts w:cstheme="minorHAnsi"/>
                <w:sz w:val="18"/>
                <w:szCs w:val="18"/>
              </w:rPr>
              <w:t>Model</w:t>
            </w:r>
          </w:p>
        </w:tc>
        <w:tc>
          <w:tcPr>
            <w:tcW w:w="992" w:type="dxa"/>
          </w:tcPr>
          <w:p w14:paraId="03DFF193" w14:textId="77777777" w:rsidR="0030430E" w:rsidRPr="0030430E" w:rsidRDefault="0030430E" w:rsidP="000D7EF0">
            <w:pPr>
              <w:rPr>
                <w:rFonts w:cstheme="minorHAnsi"/>
                <w:sz w:val="18"/>
                <w:szCs w:val="18"/>
              </w:rPr>
            </w:pPr>
            <w:r w:rsidRPr="0030430E">
              <w:rPr>
                <w:rFonts w:cstheme="minorHAnsi"/>
                <w:sz w:val="18"/>
                <w:szCs w:val="18"/>
              </w:rPr>
              <w:t>AICc</w:t>
            </w:r>
          </w:p>
        </w:tc>
        <w:tc>
          <w:tcPr>
            <w:tcW w:w="1202" w:type="dxa"/>
          </w:tcPr>
          <w:p w14:paraId="41434448" w14:textId="77777777" w:rsidR="0030430E" w:rsidRPr="0030430E" w:rsidRDefault="0030430E" w:rsidP="000D7EF0">
            <w:pPr>
              <w:rPr>
                <w:rFonts w:cstheme="minorHAnsi"/>
                <w:sz w:val="18"/>
                <w:szCs w:val="18"/>
              </w:rPr>
            </w:pPr>
            <w:r w:rsidRPr="0030430E">
              <w:rPr>
                <w:rFonts w:cstheme="minorHAnsi"/>
                <w:sz w:val="18"/>
                <w:szCs w:val="18"/>
              </w:rPr>
              <w:t>Delta_AICc</w:t>
            </w:r>
          </w:p>
        </w:tc>
        <w:tc>
          <w:tcPr>
            <w:tcW w:w="1097" w:type="dxa"/>
          </w:tcPr>
          <w:p w14:paraId="4C9F5A9E" w14:textId="77777777" w:rsidR="0030430E" w:rsidRPr="0030430E" w:rsidRDefault="0030430E" w:rsidP="000D7EF0">
            <w:pPr>
              <w:rPr>
                <w:rFonts w:cstheme="minorHAnsi"/>
                <w:sz w:val="18"/>
                <w:szCs w:val="18"/>
              </w:rPr>
            </w:pPr>
            <w:r w:rsidRPr="0030430E">
              <w:rPr>
                <w:rFonts w:cstheme="minorHAnsi"/>
                <w:sz w:val="18"/>
                <w:szCs w:val="18"/>
              </w:rPr>
              <w:t>AICcWt</w:t>
            </w:r>
          </w:p>
        </w:tc>
        <w:tc>
          <w:tcPr>
            <w:tcW w:w="1098" w:type="dxa"/>
          </w:tcPr>
          <w:p w14:paraId="18643EC9" w14:textId="77777777" w:rsidR="0030430E" w:rsidRPr="0030430E" w:rsidRDefault="0030430E" w:rsidP="000D7EF0">
            <w:pPr>
              <w:rPr>
                <w:rFonts w:cstheme="minorHAnsi"/>
                <w:sz w:val="18"/>
                <w:szCs w:val="18"/>
              </w:rPr>
            </w:pPr>
            <w:r w:rsidRPr="0030430E">
              <w:rPr>
                <w:rFonts w:cstheme="minorHAnsi"/>
                <w:sz w:val="18"/>
                <w:szCs w:val="18"/>
              </w:rPr>
              <w:t>Cum.Wt</w:t>
            </w:r>
          </w:p>
        </w:tc>
      </w:tr>
      <w:tr w:rsidR="0030430E" w:rsidRPr="0030430E" w14:paraId="5DDAAEB8" w14:textId="77777777" w:rsidTr="000D7EF0">
        <w:tc>
          <w:tcPr>
            <w:tcW w:w="4673" w:type="dxa"/>
          </w:tcPr>
          <w:p w14:paraId="40A522AD" w14:textId="77777777" w:rsidR="0030430E" w:rsidRPr="0030430E" w:rsidRDefault="0030430E" w:rsidP="000D7EF0">
            <w:pPr>
              <w:rPr>
                <w:rFonts w:cstheme="minorHAnsi"/>
                <w:sz w:val="18"/>
                <w:szCs w:val="18"/>
              </w:rPr>
            </w:pPr>
            <w:r w:rsidRPr="0030430E">
              <w:rPr>
                <w:rFonts w:cstheme="minorHAnsi"/>
                <w:sz w:val="18"/>
                <w:szCs w:val="18"/>
              </w:rPr>
              <w:t>Test period</w:t>
            </w:r>
            <w:r w:rsidRPr="0030430E">
              <w:rPr>
                <w:rFonts w:cs="Arial"/>
                <w:sz w:val="18"/>
                <w:szCs w:val="18"/>
              </w:rPr>
              <w:t>+Visitor number+Wind speed+Rainfall</w:t>
            </w:r>
          </w:p>
        </w:tc>
        <w:tc>
          <w:tcPr>
            <w:tcW w:w="992" w:type="dxa"/>
          </w:tcPr>
          <w:p w14:paraId="1A3030CD" w14:textId="77777777" w:rsidR="0030430E" w:rsidRPr="0030430E" w:rsidRDefault="0030430E" w:rsidP="000D7EF0">
            <w:pPr>
              <w:rPr>
                <w:rFonts w:cstheme="minorHAnsi"/>
                <w:sz w:val="18"/>
                <w:szCs w:val="18"/>
              </w:rPr>
            </w:pPr>
            <w:r w:rsidRPr="0030430E">
              <w:rPr>
                <w:rFonts w:cstheme="minorHAnsi"/>
                <w:sz w:val="18"/>
                <w:szCs w:val="18"/>
              </w:rPr>
              <w:t>135.20</w:t>
            </w:r>
          </w:p>
        </w:tc>
        <w:tc>
          <w:tcPr>
            <w:tcW w:w="1202" w:type="dxa"/>
          </w:tcPr>
          <w:p w14:paraId="45CCD5CE" w14:textId="77777777" w:rsidR="0030430E" w:rsidRPr="0030430E" w:rsidRDefault="0030430E" w:rsidP="000D7EF0">
            <w:pPr>
              <w:rPr>
                <w:rFonts w:cstheme="minorHAnsi"/>
                <w:sz w:val="18"/>
                <w:szCs w:val="18"/>
              </w:rPr>
            </w:pPr>
            <w:r w:rsidRPr="0030430E">
              <w:rPr>
                <w:rFonts w:cstheme="minorHAnsi"/>
                <w:sz w:val="18"/>
                <w:szCs w:val="18"/>
              </w:rPr>
              <w:t>0.00</w:t>
            </w:r>
          </w:p>
        </w:tc>
        <w:tc>
          <w:tcPr>
            <w:tcW w:w="1097" w:type="dxa"/>
          </w:tcPr>
          <w:p w14:paraId="5E33158D" w14:textId="77777777" w:rsidR="0030430E" w:rsidRPr="0030430E" w:rsidRDefault="0030430E" w:rsidP="000D7EF0">
            <w:pPr>
              <w:rPr>
                <w:rFonts w:cstheme="minorHAnsi"/>
                <w:sz w:val="18"/>
                <w:szCs w:val="18"/>
              </w:rPr>
            </w:pPr>
            <w:r w:rsidRPr="0030430E">
              <w:rPr>
                <w:rFonts w:cstheme="minorHAnsi"/>
                <w:sz w:val="18"/>
                <w:szCs w:val="18"/>
              </w:rPr>
              <w:t>0.61</w:t>
            </w:r>
          </w:p>
        </w:tc>
        <w:tc>
          <w:tcPr>
            <w:tcW w:w="1098" w:type="dxa"/>
          </w:tcPr>
          <w:p w14:paraId="68CEBAA1" w14:textId="77777777" w:rsidR="0030430E" w:rsidRPr="0030430E" w:rsidRDefault="0030430E" w:rsidP="000D7EF0">
            <w:pPr>
              <w:rPr>
                <w:rFonts w:cstheme="minorHAnsi"/>
                <w:sz w:val="18"/>
                <w:szCs w:val="18"/>
              </w:rPr>
            </w:pPr>
            <w:r w:rsidRPr="0030430E">
              <w:rPr>
                <w:rFonts w:cstheme="minorHAnsi"/>
                <w:sz w:val="18"/>
                <w:szCs w:val="18"/>
              </w:rPr>
              <w:t>0.61</w:t>
            </w:r>
          </w:p>
        </w:tc>
      </w:tr>
      <w:tr w:rsidR="0030430E" w:rsidRPr="0030430E" w14:paraId="5C50CD1B" w14:textId="77777777" w:rsidTr="000D7EF0">
        <w:tc>
          <w:tcPr>
            <w:tcW w:w="4673" w:type="dxa"/>
          </w:tcPr>
          <w:p w14:paraId="296DA8D4" w14:textId="77777777" w:rsidR="0030430E" w:rsidRPr="0030430E" w:rsidRDefault="0030430E" w:rsidP="000D7EF0">
            <w:pPr>
              <w:rPr>
                <w:rFonts w:cstheme="minorHAnsi"/>
                <w:sz w:val="18"/>
                <w:szCs w:val="18"/>
              </w:rPr>
            </w:pPr>
            <w:r w:rsidRPr="0030430E">
              <w:rPr>
                <w:rFonts w:cstheme="minorHAnsi"/>
                <w:sz w:val="18"/>
                <w:szCs w:val="18"/>
              </w:rPr>
              <w:t>Test period</w:t>
            </w:r>
            <w:r w:rsidRPr="0030430E">
              <w:rPr>
                <w:rFonts w:cs="Arial"/>
                <w:sz w:val="18"/>
                <w:szCs w:val="18"/>
              </w:rPr>
              <w:t>+Visitor number+Wind speed+Rainfall+ Outdoor recreation experience</w:t>
            </w:r>
          </w:p>
        </w:tc>
        <w:tc>
          <w:tcPr>
            <w:tcW w:w="992" w:type="dxa"/>
          </w:tcPr>
          <w:p w14:paraId="6EF29AA4" w14:textId="77777777" w:rsidR="0030430E" w:rsidRPr="0030430E" w:rsidRDefault="0030430E" w:rsidP="000D7EF0">
            <w:pPr>
              <w:rPr>
                <w:rFonts w:cstheme="minorHAnsi"/>
                <w:sz w:val="18"/>
                <w:szCs w:val="18"/>
              </w:rPr>
            </w:pPr>
            <w:r w:rsidRPr="0030430E">
              <w:rPr>
                <w:rFonts w:cstheme="minorHAnsi"/>
                <w:sz w:val="18"/>
                <w:szCs w:val="18"/>
              </w:rPr>
              <w:t>137.43</w:t>
            </w:r>
          </w:p>
        </w:tc>
        <w:tc>
          <w:tcPr>
            <w:tcW w:w="1202" w:type="dxa"/>
          </w:tcPr>
          <w:p w14:paraId="6C23664F" w14:textId="77777777" w:rsidR="0030430E" w:rsidRPr="0030430E" w:rsidRDefault="0030430E" w:rsidP="000D7EF0">
            <w:pPr>
              <w:rPr>
                <w:rFonts w:cstheme="minorHAnsi"/>
                <w:sz w:val="18"/>
                <w:szCs w:val="18"/>
              </w:rPr>
            </w:pPr>
            <w:r w:rsidRPr="0030430E">
              <w:rPr>
                <w:rFonts w:cstheme="minorHAnsi"/>
                <w:sz w:val="18"/>
                <w:szCs w:val="18"/>
              </w:rPr>
              <w:t>2.23</w:t>
            </w:r>
          </w:p>
        </w:tc>
        <w:tc>
          <w:tcPr>
            <w:tcW w:w="1097" w:type="dxa"/>
          </w:tcPr>
          <w:p w14:paraId="2518D1B9" w14:textId="77777777" w:rsidR="0030430E" w:rsidRPr="0030430E" w:rsidRDefault="0030430E" w:rsidP="000D7EF0">
            <w:pPr>
              <w:rPr>
                <w:rFonts w:cstheme="minorHAnsi"/>
                <w:sz w:val="18"/>
                <w:szCs w:val="18"/>
              </w:rPr>
            </w:pPr>
            <w:r w:rsidRPr="0030430E">
              <w:rPr>
                <w:rFonts w:cstheme="minorHAnsi"/>
                <w:sz w:val="18"/>
                <w:szCs w:val="18"/>
              </w:rPr>
              <w:t>0.20</w:t>
            </w:r>
          </w:p>
        </w:tc>
        <w:tc>
          <w:tcPr>
            <w:tcW w:w="1098" w:type="dxa"/>
          </w:tcPr>
          <w:p w14:paraId="443264C6" w14:textId="77777777" w:rsidR="0030430E" w:rsidRPr="0030430E" w:rsidRDefault="0030430E" w:rsidP="000D7EF0">
            <w:pPr>
              <w:rPr>
                <w:rFonts w:cstheme="minorHAnsi"/>
                <w:sz w:val="18"/>
                <w:szCs w:val="18"/>
              </w:rPr>
            </w:pPr>
            <w:r w:rsidRPr="0030430E">
              <w:rPr>
                <w:rFonts w:cstheme="minorHAnsi"/>
                <w:sz w:val="18"/>
                <w:szCs w:val="18"/>
              </w:rPr>
              <w:t>0.82</w:t>
            </w:r>
          </w:p>
        </w:tc>
      </w:tr>
      <w:tr w:rsidR="0030430E" w:rsidRPr="0030430E" w14:paraId="3F4E8262" w14:textId="77777777" w:rsidTr="000D7EF0">
        <w:tc>
          <w:tcPr>
            <w:tcW w:w="4673" w:type="dxa"/>
          </w:tcPr>
          <w:p w14:paraId="22D96219" w14:textId="77777777" w:rsidR="0030430E" w:rsidRPr="0030430E" w:rsidRDefault="0030430E" w:rsidP="000D7EF0">
            <w:pPr>
              <w:rPr>
                <w:rFonts w:cstheme="minorHAnsi"/>
                <w:sz w:val="18"/>
                <w:szCs w:val="18"/>
              </w:rPr>
            </w:pPr>
            <w:r w:rsidRPr="0030430E">
              <w:rPr>
                <w:rFonts w:cstheme="minorHAnsi"/>
                <w:sz w:val="18"/>
                <w:szCs w:val="18"/>
              </w:rPr>
              <w:t>Test period</w:t>
            </w:r>
            <w:r w:rsidRPr="0030430E">
              <w:rPr>
                <w:rFonts w:cs="Arial"/>
                <w:sz w:val="18"/>
                <w:szCs w:val="18"/>
              </w:rPr>
              <w:t>+Visitor number+Wind speed</w:t>
            </w:r>
          </w:p>
        </w:tc>
        <w:tc>
          <w:tcPr>
            <w:tcW w:w="992" w:type="dxa"/>
          </w:tcPr>
          <w:p w14:paraId="08951208" w14:textId="77777777" w:rsidR="0030430E" w:rsidRPr="0030430E" w:rsidRDefault="0030430E" w:rsidP="000D7EF0">
            <w:pPr>
              <w:rPr>
                <w:rFonts w:cstheme="minorHAnsi"/>
                <w:sz w:val="18"/>
                <w:szCs w:val="18"/>
              </w:rPr>
            </w:pPr>
            <w:r w:rsidRPr="0030430E">
              <w:rPr>
                <w:rFonts w:cstheme="minorHAnsi"/>
                <w:sz w:val="18"/>
                <w:szCs w:val="18"/>
              </w:rPr>
              <w:t>138.63</w:t>
            </w:r>
          </w:p>
        </w:tc>
        <w:tc>
          <w:tcPr>
            <w:tcW w:w="1202" w:type="dxa"/>
          </w:tcPr>
          <w:p w14:paraId="59E1722E" w14:textId="77777777" w:rsidR="0030430E" w:rsidRPr="0030430E" w:rsidRDefault="0030430E" w:rsidP="000D7EF0">
            <w:pPr>
              <w:rPr>
                <w:rFonts w:cstheme="minorHAnsi"/>
                <w:sz w:val="18"/>
                <w:szCs w:val="18"/>
              </w:rPr>
            </w:pPr>
            <w:r w:rsidRPr="0030430E">
              <w:rPr>
                <w:rFonts w:cstheme="minorHAnsi"/>
                <w:sz w:val="18"/>
                <w:szCs w:val="18"/>
              </w:rPr>
              <w:t>3.44</w:t>
            </w:r>
          </w:p>
        </w:tc>
        <w:tc>
          <w:tcPr>
            <w:tcW w:w="1097" w:type="dxa"/>
          </w:tcPr>
          <w:p w14:paraId="38E62E2C" w14:textId="77777777" w:rsidR="0030430E" w:rsidRPr="0030430E" w:rsidRDefault="0030430E" w:rsidP="000D7EF0">
            <w:pPr>
              <w:rPr>
                <w:rFonts w:cstheme="minorHAnsi"/>
                <w:sz w:val="18"/>
                <w:szCs w:val="18"/>
              </w:rPr>
            </w:pPr>
            <w:r w:rsidRPr="0030430E">
              <w:rPr>
                <w:rFonts w:cstheme="minorHAnsi"/>
                <w:sz w:val="18"/>
                <w:szCs w:val="18"/>
              </w:rPr>
              <w:t>0.11</w:t>
            </w:r>
          </w:p>
        </w:tc>
        <w:tc>
          <w:tcPr>
            <w:tcW w:w="1098" w:type="dxa"/>
          </w:tcPr>
          <w:p w14:paraId="71861131" w14:textId="77777777" w:rsidR="0030430E" w:rsidRPr="0030430E" w:rsidRDefault="0030430E" w:rsidP="000D7EF0">
            <w:pPr>
              <w:rPr>
                <w:rFonts w:cstheme="minorHAnsi"/>
                <w:sz w:val="18"/>
                <w:szCs w:val="18"/>
              </w:rPr>
            </w:pPr>
            <w:r w:rsidRPr="0030430E">
              <w:rPr>
                <w:rFonts w:cstheme="minorHAnsi"/>
                <w:sz w:val="18"/>
                <w:szCs w:val="18"/>
              </w:rPr>
              <w:t>0.93</w:t>
            </w:r>
          </w:p>
        </w:tc>
      </w:tr>
      <w:tr w:rsidR="0030430E" w:rsidRPr="0030430E" w14:paraId="383D8FF0" w14:textId="77777777" w:rsidTr="000D7EF0">
        <w:trPr>
          <w:trHeight w:val="737"/>
        </w:trPr>
        <w:tc>
          <w:tcPr>
            <w:tcW w:w="4673" w:type="dxa"/>
          </w:tcPr>
          <w:p w14:paraId="41ECAD90" w14:textId="77777777" w:rsidR="0030430E" w:rsidRPr="0030430E" w:rsidRDefault="0030430E" w:rsidP="000D7EF0">
            <w:pPr>
              <w:rPr>
                <w:rFonts w:cstheme="minorHAnsi"/>
                <w:sz w:val="18"/>
                <w:szCs w:val="18"/>
              </w:rPr>
            </w:pPr>
            <w:r w:rsidRPr="0030430E">
              <w:rPr>
                <w:rFonts w:cstheme="minorHAnsi"/>
                <w:sz w:val="18"/>
                <w:szCs w:val="18"/>
              </w:rPr>
              <w:t>Test period</w:t>
            </w:r>
            <w:r w:rsidRPr="0030430E">
              <w:rPr>
                <w:rFonts w:cs="Arial"/>
                <w:sz w:val="18"/>
                <w:szCs w:val="18"/>
              </w:rPr>
              <w:t>+Visitor number+Wind speed+Rainfall+ Outdoor recreation experience+</w:t>
            </w:r>
            <w:r w:rsidRPr="0030430E">
              <w:rPr>
                <w:sz w:val="18"/>
                <w:szCs w:val="18"/>
              </w:rPr>
              <w:t xml:space="preserve"> Self-reported campfire behavior</w:t>
            </w:r>
          </w:p>
        </w:tc>
        <w:tc>
          <w:tcPr>
            <w:tcW w:w="992" w:type="dxa"/>
          </w:tcPr>
          <w:p w14:paraId="2FCB3D7D" w14:textId="77777777" w:rsidR="0030430E" w:rsidRPr="0030430E" w:rsidRDefault="0030430E" w:rsidP="000D7EF0">
            <w:pPr>
              <w:rPr>
                <w:rFonts w:cstheme="minorHAnsi"/>
                <w:sz w:val="18"/>
                <w:szCs w:val="18"/>
              </w:rPr>
            </w:pPr>
            <w:r w:rsidRPr="0030430E">
              <w:rPr>
                <w:rFonts w:cstheme="minorHAnsi"/>
                <w:sz w:val="18"/>
                <w:szCs w:val="18"/>
              </w:rPr>
              <w:t>140.71</w:t>
            </w:r>
          </w:p>
        </w:tc>
        <w:tc>
          <w:tcPr>
            <w:tcW w:w="1202" w:type="dxa"/>
          </w:tcPr>
          <w:p w14:paraId="2302A586" w14:textId="77777777" w:rsidR="0030430E" w:rsidRPr="0030430E" w:rsidRDefault="0030430E" w:rsidP="000D7EF0">
            <w:pPr>
              <w:rPr>
                <w:rFonts w:cstheme="minorHAnsi"/>
                <w:sz w:val="18"/>
                <w:szCs w:val="18"/>
              </w:rPr>
            </w:pPr>
            <w:r w:rsidRPr="0030430E">
              <w:rPr>
                <w:rFonts w:cstheme="minorHAnsi"/>
                <w:sz w:val="18"/>
                <w:szCs w:val="18"/>
              </w:rPr>
              <w:t>5.51</w:t>
            </w:r>
          </w:p>
        </w:tc>
        <w:tc>
          <w:tcPr>
            <w:tcW w:w="1097" w:type="dxa"/>
          </w:tcPr>
          <w:p w14:paraId="3794D99A" w14:textId="77777777" w:rsidR="0030430E" w:rsidRPr="0030430E" w:rsidRDefault="0030430E" w:rsidP="000D7EF0">
            <w:pPr>
              <w:rPr>
                <w:rFonts w:cstheme="minorHAnsi"/>
                <w:sz w:val="18"/>
                <w:szCs w:val="18"/>
              </w:rPr>
            </w:pPr>
            <w:r w:rsidRPr="0030430E">
              <w:rPr>
                <w:rFonts w:cstheme="minorHAnsi"/>
                <w:sz w:val="18"/>
                <w:szCs w:val="18"/>
              </w:rPr>
              <w:t>0.04</w:t>
            </w:r>
          </w:p>
        </w:tc>
        <w:tc>
          <w:tcPr>
            <w:tcW w:w="1098" w:type="dxa"/>
          </w:tcPr>
          <w:p w14:paraId="646CAD34" w14:textId="77777777" w:rsidR="0030430E" w:rsidRPr="0030430E" w:rsidRDefault="0030430E" w:rsidP="000D7EF0">
            <w:pPr>
              <w:rPr>
                <w:rFonts w:cstheme="minorHAnsi"/>
                <w:sz w:val="18"/>
                <w:szCs w:val="18"/>
              </w:rPr>
            </w:pPr>
            <w:r w:rsidRPr="0030430E">
              <w:rPr>
                <w:rFonts w:cstheme="minorHAnsi"/>
                <w:sz w:val="18"/>
                <w:szCs w:val="18"/>
              </w:rPr>
              <w:t>0.97</w:t>
            </w:r>
          </w:p>
        </w:tc>
      </w:tr>
      <w:tr w:rsidR="0030430E" w:rsidRPr="0030430E" w14:paraId="4AD5B36D" w14:textId="77777777" w:rsidTr="000D7EF0">
        <w:tc>
          <w:tcPr>
            <w:tcW w:w="4673" w:type="dxa"/>
          </w:tcPr>
          <w:p w14:paraId="2CC7C12E" w14:textId="77777777" w:rsidR="0030430E" w:rsidRPr="0030430E" w:rsidRDefault="0030430E" w:rsidP="000D7EF0">
            <w:pPr>
              <w:rPr>
                <w:sz w:val="18"/>
                <w:szCs w:val="18"/>
              </w:rPr>
            </w:pPr>
            <w:r w:rsidRPr="0030430E">
              <w:rPr>
                <w:rFonts w:cstheme="minorHAnsi"/>
                <w:sz w:val="18"/>
                <w:szCs w:val="18"/>
              </w:rPr>
              <w:t>Test period</w:t>
            </w:r>
            <w:r w:rsidRPr="0030430E">
              <w:rPr>
                <w:rFonts w:cs="Arial"/>
                <w:sz w:val="18"/>
                <w:szCs w:val="18"/>
              </w:rPr>
              <w:t>+Visitor number+Wind speed+Rainfall+ Outdoor recreation experience+</w:t>
            </w:r>
            <w:r w:rsidRPr="0030430E">
              <w:rPr>
                <w:sz w:val="18"/>
                <w:szCs w:val="18"/>
              </w:rPr>
              <w:t xml:space="preserve"> Self-reported campfire behavior+ Prior experience of Femundsmarka</w:t>
            </w:r>
          </w:p>
        </w:tc>
        <w:tc>
          <w:tcPr>
            <w:tcW w:w="992" w:type="dxa"/>
          </w:tcPr>
          <w:p w14:paraId="064AD722" w14:textId="77777777" w:rsidR="0030430E" w:rsidRPr="0030430E" w:rsidRDefault="0030430E" w:rsidP="000D7EF0">
            <w:pPr>
              <w:rPr>
                <w:rFonts w:cstheme="minorHAnsi"/>
                <w:sz w:val="18"/>
                <w:szCs w:val="18"/>
              </w:rPr>
            </w:pPr>
            <w:r w:rsidRPr="0030430E">
              <w:rPr>
                <w:rFonts w:cstheme="minorHAnsi"/>
                <w:sz w:val="18"/>
                <w:szCs w:val="18"/>
              </w:rPr>
              <w:t>141.29</w:t>
            </w:r>
          </w:p>
        </w:tc>
        <w:tc>
          <w:tcPr>
            <w:tcW w:w="1202" w:type="dxa"/>
          </w:tcPr>
          <w:p w14:paraId="002BE987" w14:textId="77777777" w:rsidR="0030430E" w:rsidRPr="0030430E" w:rsidRDefault="0030430E" w:rsidP="000D7EF0">
            <w:pPr>
              <w:rPr>
                <w:rFonts w:cstheme="minorHAnsi"/>
                <w:sz w:val="18"/>
                <w:szCs w:val="18"/>
              </w:rPr>
            </w:pPr>
            <w:r w:rsidRPr="0030430E">
              <w:rPr>
                <w:rFonts w:cstheme="minorHAnsi"/>
                <w:sz w:val="18"/>
                <w:szCs w:val="18"/>
              </w:rPr>
              <w:t>6.09</w:t>
            </w:r>
          </w:p>
        </w:tc>
        <w:tc>
          <w:tcPr>
            <w:tcW w:w="1097" w:type="dxa"/>
          </w:tcPr>
          <w:p w14:paraId="2FAAA008" w14:textId="77777777" w:rsidR="0030430E" w:rsidRPr="0030430E" w:rsidRDefault="0030430E" w:rsidP="000D7EF0">
            <w:pPr>
              <w:rPr>
                <w:rFonts w:cstheme="minorHAnsi"/>
                <w:sz w:val="18"/>
                <w:szCs w:val="18"/>
              </w:rPr>
            </w:pPr>
            <w:r w:rsidRPr="0030430E">
              <w:rPr>
                <w:rFonts w:cstheme="minorHAnsi"/>
                <w:sz w:val="18"/>
                <w:szCs w:val="18"/>
              </w:rPr>
              <w:t>0.03</w:t>
            </w:r>
          </w:p>
        </w:tc>
        <w:tc>
          <w:tcPr>
            <w:tcW w:w="1098" w:type="dxa"/>
          </w:tcPr>
          <w:p w14:paraId="3FCA3165" w14:textId="77777777" w:rsidR="0030430E" w:rsidRPr="0030430E" w:rsidRDefault="0030430E" w:rsidP="000D7EF0">
            <w:pPr>
              <w:rPr>
                <w:rFonts w:cstheme="minorHAnsi"/>
                <w:sz w:val="18"/>
                <w:szCs w:val="18"/>
              </w:rPr>
            </w:pPr>
            <w:r w:rsidRPr="0030430E">
              <w:rPr>
                <w:rFonts w:cstheme="minorHAnsi"/>
                <w:sz w:val="18"/>
                <w:szCs w:val="18"/>
              </w:rPr>
              <w:t>0.99</w:t>
            </w:r>
          </w:p>
        </w:tc>
      </w:tr>
      <w:tr w:rsidR="0030430E" w:rsidRPr="0030430E" w14:paraId="2BA4A545" w14:textId="77777777" w:rsidTr="000D7EF0">
        <w:tc>
          <w:tcPr>
            <w:tcW w:w="4673" w:type="dxa"/>
          </w:tcPr>
          <w:p w14:paraId="03513E3C" w14:textId="77777777" w:rsidR="0030430E" w:rsidRPr="0030430E" w:rsidRDefault="0030430E" w:rsidP="000D7EF0">
            <w:pPr>
              <w:rPr>
                <w:rFonts w:cstheme="minorHAnsi"/>
                <w:sz w:val="18"/>
                <w:szCs w:val="18"/>
              </w:rPr>
            </w:pPr>
            <w:r w:rsidRPr="0030430E">
              <w:rPr>
                <w:rFonts w:cstheme="minorHAnsi"/>
                <w:sz w:val="18"/>
                <w:szCs w:val="18"/>
              </w:rPr>
              <w:t>Test period</w:t>
            </w:r>
            <w:r w:rsidRPr="0030430E">
              <w:rPr>
                <w:rFonts w:cs="Arial"/>
                <w:sz w:val="18"/>
                <w:szCs w:val="18"/>
              </w:rPr>
              <w:t>+Visitor number+Wind speed+Rainfall+ Outdoor recreation experience+</w:t>
            </w:r>
            <w:r w:rsidRPr="0030430E">
              <w:rPr>
                <w:sz w:val="18"/>
                <w:szCs w:val="18"/>
              </w:rPr>
              <w:t xml:space="preserve"> Self-reported campfire behavior+ Prior experience of Femundsmarka</w:t>
            </w:r>
            <w:r w:rsidRPr="0030430E">
              <w:rPr>
                <w:rFonts w:cs="Arial"/>
                <w:sz w:val="18"/>
                <w:szCs w:val="18"/>
              </w:rPr>
              <w:t>+Temperature</w:t>
            </w:r>
          </w:p>
        </w:tc>
        <w:tc>
          <w:tcPr>
            <w:tcW w:w="992" w:type="dxa"/>
          </w:tcPr>
          <w:p w14:paraId="5ECD2AE8" w14:textId="77777777" w:rsidR="0030430E" w:rsidRPr="0030430E" w:rsidRDefault="0030430E" w:rsidP="000D7EF0">
            <w:pPr>
              <w:rPr>
                <w:rFonts w:cstheme="minorHAnsi"/>
                <w:sz w:val="18"/>
                <w:szCs w:val="18"/>
              </w:rPr>
            </w:pPr>
            <w:r w:rsidRPr="0030430E">
              <w:rPr>
                <w:rFonts w:cstheme="minorHAnsi"/>
                <w:sz w:val="18"/>
                <w:szCs w:val="18"/>
              </w:rPr>
              <w:t>145.61</w:t>
            </w:r>
          </w:p>
        </w:tc>
        <w:tc>
          <w:tcPr>
            <w:tcW w:w="1202" w:type="dxa"/>
          </w:tcPr>
          <w:p w14:paraId="7FF3FF70" w14:textId="77777777" w:rsidR="0030430E" w:rsidRPr="0030430E" w:rsidRDefault="0030430E" w:rsidP="000D7EF0">
            <w:pPr>
              <w:rPr>
                <w:rFonts w:cstheme="minorHAnsi"/>
                <w:sz w:val="18"/>
                <w:szCs w:val="18"/>
              </w:rPr>
            </w:pPr>
            <w:r w:rsidRPr="0030430E">
              <w:rPr>
                <w:rFonts w:cstheme="minorHAnsi"/>
                <w:sz w:val="18"/>
                <w:szCs w:val="18"/>
              </w:rPr>
              <w:t>10.42</w:t>
            </w:r>
          </w:p>
        </w:tc>
        <w:tc>
          <w:tcPr>
            <w:tcW w:w="1097" w:type="dxa"/>
          </w:tcPr>
          <w:p w14:paraId="4E9B77E1" w14:textId="77777777" w:rsidR="0030430E" w:rsidRPr="0030430E" w:rsidRDefault="0030430E" w:rsidP="000D7EF0">
            <w:pPr>
              <w:rPr>
                <w:rFonts w:cstheme="minorHAnsi"/>
                <w:sz w:val="18"/>
                <w:szCs w:val="18"/>
              </w:rPr>
            </w:pPr>
            <w:r w:rsidRPr="0030430E">
              <w:rPr>
                <w:rFonts w:cstheme="minorHAnsi"/>
                <w:sz w:val="18"/>
                <w:szCs w:val="18"/>
              </w:rPr>
              <w:t>0.00</w:t>
            </w:r>
          </w:p>
        </w:tc>
        <w:tc>
          <w:tcPr>
            <w:tcW w:w="1098" w:type="dxa"/>
          </w:tcPr>
          <w:p w14:paraId="3D52C6E2" w14:textId="77777777" w:rsidR="0030430E" w:rsidRPr="0030430E" w:rsidRDefault="0030430E" w:rsidP="000D7EF0">
            <w:pPr>
              <w:rPr>
                <w:rFonts w:cstheme="minorHAnsi"/>
                <w:sz w:val="18"/>
                <w:szCs w:val="18"/>
              </w:rPr>
            </w:pPr>
            <w:r w:rsidRPr="0030430E">
              <w:rPr>
                <w:rFonts w:cstheme="minorHAnsi"/>
                <w:sz w:val="18"/>
                <w:szCs w:val="18"/>
              </w:rPr>
              <w:t>1.00</w:t>
            </w:r>
          </w:p>
        </w:tc>
      </w:tr>
      <w:tr w:rsidR="0030430E" w:rsidRPr="0030430E" w14:paraId="24354B65" w14:textId="77777777" w:rsidTr="000D7EF0">
        <w:tc>
          <w:tcPr>
            <w:tcW w:w="4673" w:type="dxa"/>
          </w:tcPr>
          <w:p w14:paraId="66650162" w14:textId="77777777" w:rsidR="0030430E" w:rsidRPr="0030430E" w:rsidRDefault="0030430E" w:rsidP="000D7EF0">
            <w:pPr>
              <w:rPr>
                <w:rFonts w:cstheme="minorHAnsi"/>
                <w:sz w:val="18"/>
                <w:szCs w:val="18"/>
              </w:rPr>
            </w:pPr>
            <w:r w:rsidRPr="0030430E">
              <w:rPr>
                <w:rFonts w:cstheme="minorHAnsi"/>
                <w:sz w:val="18"/>
                <w:szCs w:val="18"/>
              </w:rPr>
              <w:t>Test period</w:t>
            </w:r>
            <w:r w:rsidRPr="0030430E">
              <w:rPr>
                <w:rFonts w:cs="Arial"/>
                <w:sz w:val="18"/>
                <w:szCs w:val="18"/>
              </w:rPr>
              <w:t>+Visitor number</w:t>
            </w:r>
          </w:p>
        </w:tc>
        <w:tc>
          <w:tcPr>
            <w:tcW w:w="992" w:type="dxa"/>
          </w:tcPr>
          <w:p w14:paraId="4BF30B15" w14:textId="77777777" w:rsidR="0030430E" w:rsidRPr="0030430E" w:rsidRDefault="0030430E" w:rsidP="000D7EF0">
            <w:pPr>
              <w:rPr>
                <w:rFonts w:cstheme="minorHAnsi"/>
                <w:sz w:val="18"/>
                <w:szCs w:val="18"/>
              </w:rPr>
            </w:pPr>
            <w:r w:rsidRPr="0030430E">
              <w:rPr>
                <w:rFonts w:cstheme="minorHAnsi"/>
                <w:sz w:val="18"/>
                <w:szCs w:val="18"/>
              </w:rPr>
              <w:t>146.38</w:t>
            </w:r>
          </w:p>
        </w:tc>
        <w:tc>
          <w:tcPr>
            <w:tcW w:w="1202" w:type="dxa"/>
          </w:tcPr>
          <w:p w14:paraId="45FCEF7B" w14:textId="77777777" w:rsidR="0030430E" w:rsidRPr="0030430E" w:rsidRDefault="0030430E" w:rsidP="000D7EF0">
            <w:pPr>
              <w:rPr>
                <w:rFonts w:cstheme="minorHAnsi"/>
                <w:sz w:val="18"/>
                <w:szCs w:val="18"/>
              </w:rPr>
            </w:pPr>
            <w:r w:rsidRPr="0030430E">
              <w:rPr>
                <w:rFonts w:cstheme="minorHAnsi"/>
                <w:sz w:val="18"/>
                <w:szCs w:val="18"/>
              </w:rPr>
              <w:t>11.18</w:t>
            </w:r>
          </w:p>
        </w:tc>
        <w:tc>
          <w:tcPr>
            <w:tcW w:w="1097" w:type="dxa"/>
          </w:tcPr>
          <w:p w14:paraId="137C2D22" w14:textId="77777777" w:rsidR="0030430E" w:rsidRPr="0030430E" w:rsidRDefault="0030430E" w:rsidP="000D7EF0">
            <w:pPr>
              <w:rPr>
                <w:rFonts w:cstheme="minorHAnsi"/>
                <w:sz w:val="18"/>
                <w:szCs w:val="18"/>
              </w:rPr>
            </w:pPr>
            <w:r w:rsidRPr="0030430E">
              <w:rPr>
                <w:rFonts w:cstheme="minorHAnsi"/>
                <w:sz w:val="18"/>
                <w:szCs w:val="18"/>
              </w:rPr>
              <w:t>0.00</w:t>
            </w:r>
          </w:p>
        </w:tc>
        <w:tc>
          <w:tcPr>
            <w:tcW w:w="1098" w:type="dxa"/>
          </w:tcPr>
          <w:p w14:paraId="1DDC36F6" w14:textId="77777777" w:rsidR="0030430E" w:rsidRPr="0030430E" w:rsidRDefault="0030430E" w:rsidP="000D7EF0">
            <w:pPr>
              <w:rPr>
                <w:rFonts w:cstheme="minorHAnsi"/>
                <w:sz w:val="18"/>
                <w:szCs w:val="18"/>
              </w:rPr>
            </w:pPr>
            <w:r w:rsidRPr="0030430E">
              <w:rPr>
                <w:rFonts w:cstheme="minorHAnsi"/>
                <w:sz w:val="18"/>
                <w:szCs w:val="18"/>
              </w:rPr>
              <w:t>1.00</w:t>
            </w:r>
          </w:p>
        </w:tc>
      </w:tr>
      <w:tr w:rsidR="0030430E" w:rsidRPr="0030430E" w14:paraId="0F2E1644" w14:textId="77777777" w:rsidTr="000D7EF0">
        <w:tc>
          <w:tcPr>
            <w:tcW w:w="4673" w:type="dxa"/>
          </w:tcPr>
          <w:p w14:paraId="2B9A14DE" w14:textId="77777777" w:rsidR="0030430E" w:rsidRPr="0030430E" w:rsidRDefault="0030430E" w:rsidP="000D7EF0">
            <w:pPr>
              <w:rPr>
                <w:rFonts w:cstheme="minorHAnsi"/>
                <w:sz w:val="18"/>
                <w:szCs w:val="18"/>
              </w:rPr>
            </w:pPr>
            <w:r w:rsidRPr="0030430E">
              <w:rPr>
                <w:rFonts w:cstheme="minorHAnsi"/>
                <w:sz w:val="18"/>
                <w:szCs w:val="18"/>
              </w:rPr>
              <w:t>Test period</w:t>
            </w:r>
          </w:p>
        </w:tc>
        <w:tc>
          <w:tcPr>
            <w:tcW w:w="992" w:type="dxa"/>
          </w:tcPr>
          <w:p w14:paraId="511F64CF" w14:textId="77777777" w:rsidR="0030430E" w:rsidRPr="0030430E" w:rsidRDefault="0030430E" w:rsidP="000D7EF0">
            <w:pPr>
              <w:rPr>
                <w:rFonts w:cstheme="minorHAnsi"/>
                <w:sz w:val="18"/>
                <w:szCs w:val="18"/>
              </w:rPr>
            </w:pPr>
            <w:r w:rsidRPr="0030430E">
              <w:rPr>
                <w:rFonts w:cstheme="minorHAnsi"/>
                <w:sz w:val="18"/>
                <w:szCs w:val="18"/>
              </w:rPr>
              <w:t>173.63</w:t>
            </w:r>
          </w:p>
        </w:tc>
        <w:tc>
          <w:tcPr>
            <w:tcW w:w="1202" w:type="dxa"/>
          </w:tcPr>
          <w:p w14:paraId="3C6B4313" w14:textId="77777777" w:rsidR="0030430E" w:rsidRPr="0030430E" w:rsidRDefault="0030430E" w:rsidP="000D7EF0">
            <w:pPr>
              <w:rPr>
                <w:rFonts w:cstheme="minorHAnsi"/>
                <w:sz w:val="18"/>
                <w:szCs w:val="18"/>
              </w:rPr>
            </w:pPr>
            <w:r w:rsidRPr="0030430E">
              <w:rPr>
                <w:rFonts w:cstheme="minorHAnsi"/>
                <w:sz w:val="18"/>
                <w:szCs w:val="18"/>
              </w:rPr>
              <w:t>38.44</w:t>
            </w:r>
          </w:p>
        </w:tc>
        <w:tc>
          <w:tcPr>
            <w:tcW w:w="1097" w:type="dxa"/>
          </w:tcPr>
          <w:p w14:paraId="79F8FCA0" w14:textId="77777777" w:rsidR="0030430E" w:rsidRPr="0030430E" w:rsidRDefault="0030430E" w:rsidP="000D7EF0">
            <w:pPr>
              <w:rPr>
                <w:rFonts w:cstheme="minorHAnsi"/>
                <w:sz w:val="18"/>
                <w:szCs w:val="18"/>
              </w:rPr>
            </w:pPr>
            <w:r w:rsidRPr="0030430E">
              <w:rPr>
                <w:rFonts w:cstheme="minorHAnsi"/>
                <w:sz w:val="18"/>
                <w:szCs w:val="18"/>
              </w:rPr>
              <w:t>0.00</w:t>
            </w:r>
          </w:p>
        </w:tc>
        <w:tc>
          <w:tcPr>
            <w:tcW w:w="1098" w:type="dxa"/>
          </w:tcPr>
          <w:p w14:paraId="60008653" w14:textId="77777777" w:rsidR="0030430E" w:rsidRPr="0030430E" w:rsidRDefault="0030430E" w:rsidP="000D7EF0">
            <w:pPr>
              <w:rPr>
                <w:rFonts w:cstheme="minorHAnsi"/>
                <w:sz w:val="18"/>
                <w:szCs w:val="18"/>
              </w:rPr>
            </w:pPr>
            <w:r w:rsidRPr="0030430E">
              <w:rPr>
                <w:rFonts w:cstheme="minorHAnsi"/>
                <w:sz w:val="18"/>
                <w:szCs w:val="18"/>
              </w:rPr>
              <w:t>1.00</w:t>
            </w:r>
          </w:p>
        </w:tc>
      </w:tr>
    </w:tbl>
    <w:p w14:paraId="079F00E8" w14:textId="77777777" w:rsidR="0030430E" w:rsidRDefault="0030430E" w:rsidP="0030430E">
      <w:pPr>
        <w:spacing w:line="240" w:lineRule="auto"/>
        <w:rPr>
          <w:sz w:val="18"/>
          <w:szCs w:val="18"/>
          <w:lang w:val="nb-NO"/>
        </w:rPr>
      </w:pPr>
    </w:p>
    <w:p w14:paraId="6636BBA8" w14:textId="77777777" w:rsidR="0030430E" w:rsidRDefault="0030430E" w:rsidP="0030430E">
      <w:pPr>
        <w:spacing w:line="240" w:lineRule="auto"/>
        <w:rPr>
          <w:sz w:val="18"/>
          <w:szCs w:val="18"/>
          <w:lang w:val="nb-NO"/>
        </w:rPr>
      </w:pPr>
    </w:p>
    <w:p w14:paraId="34A3E522" w14:textId="79F279C7" w:rsidR="0030430E" w:rsidRPr="0030430E" w:rsidRDefault="0030430E" w:rsidP="0030430E">
      <w:pPr>
        <w:spacing w:line="240" w:lineRule="auto"/>
        <w:rPr>
          <w:sz w:val="18"/>
          <w:szCs w:val="18"/>
        </w:rPr>
      </w:pPr>
      <w:r w:rsidRPr="0030430E">
        <w:rPr>
          <w:sz w:val="18"/>
          <w:szCs w:val="18"/>
        </w:rPr>
        <w:t xml:space="preserve">The full model including all seven explanatory variables had poor fit, and </w:t>
      </w:r>
      <w:r w:rsidRPr="0030430E">
        <w:rPr>
          <w:rFonts w:cs="Arial"/>
          <w:sz w:val="18"/>
          <w:szCs w:val="18"/>
        </w:rPr>
        <w:t>outdoor recreation experience,</w:t>
      </w:r>
      <w:r w:rsidRPr="0030430E">
        <w:rPr>
          <w:sz w:val="18"/>
          <w:szCs w:val="18"/>
        </w:rPr>
        <w:t xml:space="preserve"> self-reported campfire behavior, prior experience of Femundsmarka</w:t>
      </w:r>
      <w:r w:rsidRPr="0030430E">
        <w:rPr>
          <w:rFonts w:cs="Arial"/>
          <w:sz w:val="18"/>
          <w:szCs w:val="18"/>
        </w:rPr>
        <w:t xml:space="preserve"> and temperature</w:t>
      </w:r>
      <w:r w:rsidRPr="0030430E">
        <w:rPr>
          <w:sz w:val="18"/>
          <w:szCs w:val="18"/>
        </w:rPr>
        <w:t xml:space="preserve"> were non-significant. We thus tested different simpler models. The best model included test period,</w:t>
      </w:r>
      <w:r w:rsidRPr="0030430E">
        <w:rPr>
          <w:rFonts w:cs="Arial"/>
          <w:sz w:val="18"/>
          <w:szCs w:val="18"/>
        </w:rPr>
        <w:t xml:space="preserve"> visitor number, wind speed and rainfall</w:t>
      </w:r>
      <w:r w:rsidRPr="0030430E">
        <w:rPr>
          <w:sz w:val="18"/>
          <w:szCs w:val="18"/>
        </w:rPr>
        <w:t xml:space="preserve"> as explanatory variables, containing 61 % of the total explanation that could be found in the full set of models. </w:t>
      </w:r>
    </w:p>
    <w:p w14:paraId="0E9A158F" w14:textId="77777777" w:rsidR="0030430E" w:rsidRPr="0030430E" w:rsidRDefault="0030430E" w:rsidP="00304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000000"/>
          <w:sz w:val="18"/>
          <w:szCs w:val="18"/>
          <w:bdr w:val="none" w:sz="0" w:space="0" w:color="auto" w:frame="1"/>
          <w:lang w:eastAsia="nb-NO"/>
        </w:rPr>
      </w:pPr>
    </w:p>
    <w:p w14:paraId="4839B802" w14:textId="77777777" w:rsidR="0030430E" w:rsidRPr="0030430E" w:rsidRDefault="0030430E" w:rsidP="0030430E">
      <w:pPr>
        <w:spacing w:line="240" w:lineRule="auto"/>
        <w:rPr>
          <w:rFonts w:cstheme="minorHAnsi"/>
          <w:color w:val="2E2E2E"/>
          <w:sz w:val="18"/>
          <w:szCs w:val="18"/>
        </w:rPr>
      </w:pPr>
      <w:r w:rsidRPr="0030430E">
        <w:rPr>
          <w:noProof/>
          <w:sz w:val="20"/>
          <w:szCs w:val="20"/>
        </w:rPr>
        <w:drawing>
          <wp:inline distT="0" distB="0" distL="0" distR="0" wp14:anchorId="00A78482" wp14:editId="35931F08">
            <wp:extent cx="5334000" cy="2419350"/>
            <wp:effectExtent l="0" t="0" r="0" b="0"/>
            <wp:docPr id="1494501056" name="Picture 1"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01056" name="Picture 1" descr="A comparison of a graph&#10;&#10;Description automatically generated with medium confidence"/>
                    <pic:cNvPicPr/>
                  </pic:nvPicPr>
                  <pic:blipFill>
                    <a:blip r:embed="rId5"/>
                    <a:stretch>
                      <a:fillRect/>
                    </a:stretch>
                  </pic:blipFill>
                  <pic:spPr>
                    <a:xfrm>
                      <a:off x="0" y="0"/>
                      <a:ext cx="5334000" cy="2419350"/>
                    </a:xfrm>
                    <a:prstGeom prst="rect">
                      <a:avLst/>
                    </a:prstGeom>
                  </pic:spPr>
                </pic:pic>
              </a:graphicData>
            </a:graphic>
          </wp:inline>
        </w:drawing>
      </w:r>
    </w:p>
    <w:p w14:paraId="6955133E" w14:textId="18467A11" w:rsidR="0030430E" w:rsidRPr="0030430E" w:rsidRDefault="0030430E" w:rsidP="0030430E">
      <w:pPr>
        <w:spacing w:line="240" w:lineRule="auto"/>
        <w:rPr>
          <w:rFonts w:cstheme="minorHAnsi"/>
          <w:sz w:val="18"/>
          <w:szCs w:val="18"/>
        </w:rPr>
      </w:pPr>
      <w:r w:rsidRPr="0030430E">
        <w:rPr>
          <w:rFonts w:ascii="Arial" w:hAnsi="Arial" w:cs="Arial"/>
          <w:b/>
          <w:bCs/>
          <w:sz w:val="16"/>
          <w:szCs w:val="16"/>
        </w:rPr>
        <w:t>Fig</w:t>
      </w:r>
      <w:r w:rsidR="00982899">
        <w:rPr>
          <w:rFonts w:ascii="Arial" w:hAnsi="Arial" w:cs="Arial"/>
          <w:b/>
          <w:bCs/>
          <w:sz w:val="16"/>
          <w:szCs w:val="16"/>
        </w:rPr>
        <w:t>. 8</w:t>
      </w:r>
      <w:r w:rsidRPr="0030430E">
        <w:rPr>
          <w:rFonts w:ascii="Arial" w:hAnsi="Arial" w:cs="Arial"/>
          <w:sz w:val="16"/>
          <w:szCs w:val="16"/>
        </w:rPr>
        <w:t xml:space="preserve"> The diagnostic plots for the linear regression model (Tree damage~Test period+Visitor number+ Wind speed+Rainfall) include scatterplots that illustrate the prediction errors (residuals) plotted against the predicted values. These plots provide a visual assessment of the model's performance and its ability to accurately predict tree damage levels based on the treatment variable (Test period) and visitor number, wind speed and rainfall variables</w:t>
      </w:r>
    </w:p>
    <w:p w14:paraId="7FD02EA6" w14:textId="77777777" w:rsidR="0051197F" w:rsidRDefault="0051197F"/>
    <w:sectPr w:rsidR="005119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0E"/>
    <w:rsid w:val="0008692E"/>
    <w:rsid w:val="00252CA4"/>
    <w:rsid w:val="002A0F7E"/>
    <w:rsid w:val="0030430E"/>
    <w:rsid w:val="00312E29"/>
    <w:rsid w:val="003A2615"/>
    <w:rsid w:val="003B1D5D"/>
    <w:rsid w:val="003E6D71"/>
    <w:rsid w:val="00445BFC"/>
    <w:rsid w:val="00490C2A"/>
    <w:rsid w:val="0051197F"/>
    <w:rsid w:val="0053402F"/>
    <w:rsid w:val="0054476A"/>
    <w:rsid w:val="00754D92"/>
    <w:rsid w:val="007C49EF"/>
    <w:rsid w:val="007C6356"/>
    <w:rsid w:val="00820A86"/>
    <w:rsid w:val="0090019C"/>
    <w:rsid w:val="00966566"/>
    <w:rsid w:val="00982899"/>
    <w:rsid w:val="009E7650"/>
    <w:rsid w:val="00A575B5"/>
    <w:rsid w:val="00A8104F"/>
    <w:rsid w:val="00B666E1"/>
    <w:rsid w:val="00B810A5"/>
    <w:rsid w:val="00D42C1F"/>
    <w:rsid w:val="00EE78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61FD7"/>
  <w15:chartTrackingRefBased/>
  <w15:docId w15:val="{89BDFD18-D99D-4662-A304-75EC0862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30E"/>
    <w:rPr>
      <w:kern w:val="0"/>
      <w:lang w:val="en-US"/>
    </w:rPr>
  </w:style>
  <w:style w:type="paragraph" w:styleId="Heading1">
    <w:name w:val="heading 1"/>
    <w:basedOn w:val="Normal"/>
    <w:next w:val="Normal"/>
    <w:link w:val="Heading1Char"/>
    <w:uiPriority w:val="9"/>
    <w:qFormat/>
    <w:rsid w:val="00304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30E"/>
    <w:rPr>
      <w:rFonts w:eastAsiaTheme="majorEastAsia" w:cstheme="majorBidi"/>
      <w:color w:val="272727" w:themeColor="text1" w:themeTint="D8"/>
    </w:rPr>
  </w:style>
  <w:style w:type="paragraph" w:styleId="Title">
    <w:name w:val="Title"/>
    <w:basedOn w:val="Normal"/>
    <w:next w:val="Normal"/>
    <w:link w:val="TitleChar"/>
    <w:uiPriority w:val="10"/>
    <w:qFormat/>
    <w:rsid w:val="00304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30E"/>
    <w:pPr>
      <w:spacing w:before="160"/>
      <w:jc w:val="center"/>
    </w:pPr>
    <w:rPr>
      <w:i/>
      <w:iCs/>
      <w:color w:val="404040" w:themeColor="text1" w:themeTint="BF"/>
    </w:rPr>
  </w:style>
  <w:style w:type="character" w:customStyle="1" w:styleId="QuoteChar">
    <w:name w:val="Quote Char"/>
    <w:basedOn w:val="DefaultParagraphFont"/>
    <w:link w:val="Quote"/>
    <w:uiPriority w:val="29"/>
    <w:rsid w:val="0030430E"/>
    <w:rPr>
      <w:i/>
      <w:iCs/>
      <w:color w:val="404040" w:themeColor="text1" w:themeTint="BF"/>
    </w:rPr>
  </w:style>
  <w:style w:type="paragraph" w:styleId="ListParagraph">
    <w:name w:val="List Paragraph"/>
    <w:basedOn w:val="Normal"/>
    <w:uiPriority w:val="34"/>
    <w:qFormat/>
    <w:rsid w:val="0030430E"/>
    <w:pPr>
      <w:ind w:left="720"/>
      <w:contextualSpacing/>
    </w:pPr>
  </w:style>
  <w:style w:type="character" w:styleId="IntenseEmphasis">
    <w:name w:val="Intense Emphasis"/>
    <w:basedOn w:val="DefaultParagraphFont"/>
    <w:uiPriority w:val="21"/>
    <w:qFormat/>
    <w:rsid w:val="0030430E"/>
    <w:rPr>
      <w:i/>
      <w:iCs/>
      <w:color w:val="0F4761" w:themeColor="accent1" w:themeShade="BF"/>
    </w:rPr>
  </w:style>
  <w:style w:type="paragraph" w:styleId="IntenseQuote">
    <w:name w:val="Intense Quote"/>
    <w:basedOn w:val="Normal"/>
    <w:next w:val="Normal"/>
    <w:link w:val="IntenseQuoteChar"/>
    <w:uiPriority w:val="30"/>
    <w:qFormat/>
    <w:rsid w:val="00304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30E"/>
    <w:rPr>
      <w:i/>
      <w:iCs/>
      <w:color w:val="0F4761" w:themeColor="accent1" w:themeShade="BF"/>
    </w:rPr>
  </w:style>
  <w:style w:type="character" w:styleId="IntenseReference">
    <w:name w:val="Intense Reference"/>
    <w:basedOn w:val="DefaultParagraphFont"/>
    <w:uiPriority w:val="32"/>
    <w:qFormat/>
    <w:rsid w:val="0030430E"/>
    <w:rPr>
      <w:b/>
      <w:bCs/>
      <w:smallCaps/>
      <w:color w:val="0F4761" w:themeColor="accent1" w:themeShade="BF"/>
      <w:spacing w:val="5"/>
    </w:rPr>
  </w:style>
  <w:style w:type="table" w:styleId="TableGrid">
    <w:name w:val="Table Grid"/>
    <w:basedOn w:val="TableNormal"/>
    <w:uiPriority w:val="39"/>
    <w:rsid w:val="0030430E"/>
    <w:pPr>
      <w:spacing w:after="0" w:line="240" w:lineRule="auto"/>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ef3730-2131-4901-8310-55b3abf02c73}" enabled="0" method="" siteId="{6cef3730-2131-4901-8310-55b3abf02c7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1264</Words>
  <Characters>6700</Characters>
  <Application>Microsoft Office Word</Application>
  <DocSecurity>0</DocSecurity>
  <Lines>55</Lines>
  <Paragraphs>15</Paragraphs>
  <ScaleCrop>false</ScaleCrop>
  <Company>NINA</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Selvaag</dc:creator>
  <cp:keywords/>
  <dc:description/>
  <cp:lastModifiedBy>Sofie Kjendlie Selvaag</cp:lastModifiedBy>
  <cp:revision>10</cp:revision>
  <dcterms:created xsi:type="dcterms:W3CDTF">2025-09-11T13:27:00Z</dcterms:created>
  <dcterms:modified xsi:type="dcterms:W3CDTF">2025-09-11T13:55:00Z</dcterms:modified>
</cp:coreProperties>
</file>