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CCCF2" w14:textId="76E6A01F" w:rsidR="00D76B16" w:rsidRPr="008E6B3C" w:rsidRDefault="00D76B16" w:rsidP="00D76B16">
      <w:pPr>
        <w:pStyle w:val="Kop1"/>
        <w:rPr>
          <w:lang w:val="en-US"/>
        </w:rPr>
      </w:pPr>
      <w:r w:rsidRPr="008E6B3C">
        <w:rPr>
          <w:lang w:val="en-US"/>
        </w:rPr>
        <w:t xml:space="preserve">Appendix II </w:t>
      </w:r>
      <w:r w:rsidR="00236710">
        <w:rPr>
          <w:lang w:val="en-US"/>
        </w:rPr>
        <w:t>E</w:t>
      </w:r>
      <w:r>
        <w:rPr>
          <w:lang w:val="en-US"/>
        </w:rPr>
        <w:t>xpected</w:t>
      </w:r>
      <w:r w:rsidRPr="008E6B3C">
        <w:rPr>
          <w:lang w:val="en-US"/>
        </w:rPr>
        <w:t xml:space="preserve"> effects </w:t>
      </w:r>
      <w:r w:rsidR="00D60FC0">
        <w:rPr>
          <w:lang w:val="en-US"/>
        </w:rPr>
        <w:t xml:space="preserve">of agri-environmental </w:t>
      </w:r>
      <w:r w:rsidR="006A2182">
        <w:rPr>
          <w:lang w:val="en-US"/>
        </w:rPr>
        <w:t xml:space="preserve">management practices </w:t>
      </w:r>
      <w:r w:rsidRPr="008E6B3C">
        <w:rPr>
          <w:lang w:val="en-US"/>
        </w:rPr>
        <w:t>on public goods</w:t>
      </w:r>
    </w:p>
    <w:p w14:paraId="1A2F1D6F" w14:textId="77777777" w:rsidR="00D76B16" w:rsidRPr="008E6B3C" w:rsidRDefault="00D76B16" w:rsidP="00D76B16">
      <w:pPr>
        <w:rPr>
          <w:lang w:val="en-US"/>
        </w:rPr>
      </w:pPr>
    </w:p>
    <w:tbl>
      <w:tblPr>
        <w:tblStyle w:val="TableGrid1"/>
        <w:tblW w:w="13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1701"/>
        <w:gridCol w:w="1701"/>
        <w:gridCol w:w="1701"/>
        <w:gridCol w:w="1701"/>
        <w:gridCol w:w="1701"/>
        <w:gridCol w:w="1701"/>
        <w:gridCol w:w="1701"/>
      </w:tblGrid>
      <w:tr w:rsidR="001A574A" w:rsidRPr="001A574A" w14:paraId="30B2A567" w14:textId="77777777" w:rsidTr="001A574A">
        <w:tc>
          <w:tcPr>
            <w:tcW w:w="18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7D45" w14:textId="35B0758E" w:rsidR="001A574A" w:rsidRPr="00186C14" w:rsidRDefault="001A574A" w:rsidP="001A574A">
            <w:pPr>
              <w:spacing w:line="276" w:lineRule="auto"/>
              <w:jc w:val="center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MANAGEMENT PRACTICE</w:t>
            </w:r>
          </w:p>
        </w:tc>
        <w:tc>
          <w:tcPr>
            <w:tcW w:w="1190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5F270" w14:textId="012B8416" w:rsidR="001A574A" w:rsidRPr="00186C14" w:rsidRDefault="001A574A" w:rsidP="001A574A">
            <w:pPr>
              <w:spacing w:line="276" w:lineRule="auto"/>
              <w:jc w:val="center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EXPECTED EFFECTS ON PUBLIC GOODS</w:t>
            </w:r>
          </w:p>
        </w:tc>
      </w:tr>
      <w:tr w:rsidR="006A2182" w:rsidRPr="00186C14" w14:paraId="66AB539A" w14:textId="77777777" w:rsidTr="006A2182">
        <w:tc>
          <w:tcPr>
            <w:tcW w:w="18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411AC8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4AD5E0C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Climate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9FDC1B6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Soil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6FD244F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Water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8669F3A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Flood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3F73435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Biodiversity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D9AC1AD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Animal welfare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504DD51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Landscapes &amp; recreation</w:t>
            </w:r>
          </w:p>
        </w:tc>
      </w:tr>
      <w:tr w:rsidR="006A2182" w:rsidRPr="00186C14" w14:paraId="06B70206" w14:textId="77777777" w:rsidTr="006A2182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55B3195B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Sowing flower strips</w:t>
            </w:r>
          </w:p>
          <w:p w14:paraId="52E08CCD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with (endemic) species  along agricultural plots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B867F06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climate regulation by diverse plant species contribute to carbon sequestration</w:t>
            </w:r>
          </w:p>
          <w:p w14:paraId="41C3C7E5" w14:textId="77777777" w:rsidR="00D76B16" w:rsidRPr="00186C14" w:rsidRDefault="00D76B16" w:rsidP="00C52602">
            <w:pPr>
              <w:rPr>
                <w:rFonts w:ascii="Times" w:eastAsia="Calibri" w:hAnsi="Times" w:cs="Times"/>
                <w:sz w:val="18"/>
                <w:szCs w:val="18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ED8774F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reducing erosion; enhancing water retention; more microbial activity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65C062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buffer zones filtering runoff; preventing soil erosion</w:t>
            </w:r>
          </w:p>
          <w:p w14:paraId="5792294C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D471D35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reducing surface runoff; enhancing soil permeability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C383080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habitat and food sources pollinators/wildlife</w:t>
            </w:r>
          </w:p>
          <w:p w14:paraId="22A98BD3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Wrong plant choice invasive species potentially lead to biodiversity loss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D65D1A7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628CFC2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improves visual appeal of agricultural landscapes; attracting visitors</w:t>
            </w:r>
          </w:p>
        </w:tc>
      </w:tr>
      <w:tr w:rsidR="006A2182" w:rsidRPr="00186C14" w14:paraId="7E6A7E8C" w14:textId="77777777" w:rsidTr="006A2182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35D54AAA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Sowing herb-rich grassland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instead of mono-crop high productivity grass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29E3539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climate regulation by diverse plant species contribute to carbon sequestration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A6CA0E7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reducing erosion; enhancing water retention; more microbial activity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465858C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buffer zones filtering runoff; preventing soil erosion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5C13E93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reducing surface runoff; enhancing soil permeability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18A6AC3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providing habitat and food sources</w:t>
            </w:r>
          </w:p>
          <w:p w14:paraId="662EA11D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wrong plant choice invasive species potentially lead to biodiversity loss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5E7D37E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diverse forage options and a more natural environment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9A94936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6A2182" w:rsidRPr="00186C14" w14:paraId="57B1185D" w14:textId="77777777" w:rsidTr="006A2182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5685AA35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Nest protection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marking and protecting the nest of meadow birds to protect them from agricultural activities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0DF9C14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D738986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46FC6D9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F2C65B2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4648F6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nest protection safeguards the reproductive success of bird species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469E367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D45BEAF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attracting birdwatchers</w:t>
            </w:r>
          </w:p>
        </w:tc>
      </w:tr>
      <w:tr w:rsidR="006A2182" w:rsidRPr="00186C14" w14:paraId="077F7A0F" w14:textId="77777777" w:rsidTr="006F7E00">
        <w:tc>
          <w:tcPr>
            <w:tcW w:w="1856" w:type="dxa"/>
            <w:tcBorders>
              <w:right w:val="single" w:sz="4" w:space="0" w:color="auto"/>
            </w:tcBorders>
          </w:tcPr>
          <w:p w14:paraId="40008AFE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Extended mowing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practices until after the breeding season of meadow birds</w:t>
            </w:r>
          </w:p>
          <w:p w14:paraId="6FE0F8A1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AF27D5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97ED38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reducing soil disturbance and supporting plant growth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746B30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promoting vegetation along water bodies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40F55D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59B128" w14:textId="77777777" w:rsidR="00D76B16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providing habitat and food sources for various species</w:t>
            </w:r>
          </w:p>
          <w:p w14:paraId="088ECBF9" w14:textId="77777777" w:rsidR="00B6219F" w:rsidRDefault="00B6219F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045F3EC1" w14:textId="77777777" w:rsidR="00B6219F" w:rsidRDefault="00B6219F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2A07D0E8" w14:textId="77777777" w:rsidR="00B6219F" w:rsidRDefault="00B6219F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4D11E453" w14:textId="77777777" w:rsidR="00B6219F" w:rsidRPr="00186C14" w:rsidRDefault="00B6219F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712197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2264BE" w14:textId="77777777" w:rsidR="00D76B16" w:rsidRPr="00186C14" w:rsidRDefault="00D76B16" w:rsidP="00C52602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B6219F" w:rsidRPr="00186C14" w14:paraId="21E1414B" w14:textId="77777777" w:rsidTr="006F7E00">
        <w:tc>
          <w:tcPr>
            <w:tcW w:w="18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479498" w14:textId="066936F3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MANAGEMENT PRACTICE</w:t>
            </w:r>
          </w:p>
        </w:tc>
        <w:tc>
          <w:tcPr>
            <w:tcW w:w="11907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D754E9" w14:textId="3B342107" w:rsidR="00B6219F" w:rsidRPr="00186C14" w:rsidRDefault="00B6219F" w:rsidP="00B6219F">
            <w:pPr>
              <w:spacing w:line="276" w:lineRule="auto"/>
              <w:jc w:val="center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EXPECTED EFFECTS ON PUBLIC GOODS</w:t>
            </w:r>
          </w:p>
        </w:tc>
      </w:tr>
      <w:tr w:rsidR="00B6219F" w:rsidRPr="00186C14" w14:paraId="1AF4E904" w14:textId="77777777" w:rsidTr="006F7E00">
        <w:tc>
          <w:tcPr>
            <w:tcW w:w="18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7A4B4B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Flooded fields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inundation of agricultural land during spring to provide habitat for meadow birds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EA75EC7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5EBCCA9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Prolonged inundation may lead to oxygen depletion in the soil, negatively impacting soil health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2175D77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569718C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9360776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providing habitat for aquatic and wetland species</w:t>
            </w:r>
          </w:p>
          <w:p w14:paraId="58C92098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Intense or prolonged inundation may disrupt nesting and foraging habitats, impacting certain species negatively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6F4422F" w14:textId="7EC8C23A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p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rolonged inundation may limit access to grazing and disrupt farm activities, negatively impacting animal welfare.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39BCC2E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B6219F" w:rsidRPr="00186C14" w14:paraId="1AC4301D" w14:textId="77777777" w:rsidTr="006A2182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409BEBEF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Reduction pesticide and/or fertilizer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reducing the amount or frequency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8B7137B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+ minimizing greenhouse gas emissions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2731F7C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improve soil functionality by enabling natural nutrient cycling, microbial diversity, and reducing the risk of soil contamination</w:t>
            </w:r>
          </w:p>
          <w:p w14:paraId="758BD506" w14:textId="0C57F749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r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educed fertilizer use may lead to nutrient deficiencies in crops, affecting soil fertility.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078467C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minimizing runoff and leaching of harmful chemicals into water bodies.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134CDE6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minimizing nutrient runoff and soil erosion</w:t>
            </w:r>
          </w:p>
          <w:p w14:paraId="11CBDC01" w14:textId="09A96FCE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f pest-related crop damage increases, it might indirectly impact soil stability and contribute to runoff during heavy rainfall.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4C3D81F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preserving natural predators and minimizing harm to non-target species</w:t>
            </w:r>
          </w:p>
          <w:p w14:paraId="7846FB38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may lead to increased pest pressure, impacting certain plant and animal species negatively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208B01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981825A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safer recreational spaces</w:t>
            </w:r>
          </w:p>
          <w:p w14:paraId="38727A22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B6219F" w:rsidRPr="00186C14" w14:paraId="694450AC" w14:textId="77777777" w:rsidTr="006F7E00">
        <w:tc>
          <w:tcPr>
            <w:tcW w:w="1856" w:type="dxa"/>
            <w:tcBorders>
              <w:right w:val="single" w:sz="4" w:space="0" w:color="auto"/>
            </w:tcBorders>
          </w:tcPr>
          <w:p w14:paraId="73768021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Tillage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reduced or no tillage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1E69A7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helps sequester carbon in the soil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C7E24B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improves soil structure, water retention, and reduces erosion.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411AAF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minimizes soil disturbance, reducing sediment and nutrient runoff into water bodies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A97155" w14:textId="77777777" w:rsidR="00B6219F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Improved soil structure from reduced or no tillage can contribute to better water infiltration and flood protection</w:t>
            </w:r>
          </w:p>
          <w:p w14:paraId="4D212313" w14:textId="77777777" w:rsidR="00E9601D" w:rsidRDefault="00E9601D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68C27413" w14:textId="77777777" w:rsidR="00E9601D" w:rsidRDefault="00E9601D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223AD5F2" w14:textId="77777777" w:rsidR="00E9601D" w:rsidRPr="00186C14" w:rsidRDefault="00E9601D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  <w:p w14:paraId="636DA7D6" w14:textId="77777777" w:rsidR="00B6219F" w:rsidRPr="00186C14" w:rsidRDefault="00B6219F" w:rsidP="00B6219F">
            <w:pPr>
              <w:rPr>
                <w:rFonts w:ascii="Times" w:eastAsia="Calibri" w:hAnsi="Times" w:cs="Times"/>
                <w:sz w:val="18"/>
                <w:szCs w:val="18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CCB468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supports biodiversity by preserving soil organisms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31B054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466959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E9601D" w:rsidRPr="00E9601D" w14:paraId="03044FF5" w14:textId="77777777" w:rsidTr="006F7E00">
        <w:tc>
          <w:tcPr>
            <w:tcW w:w="18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DBAFA07" w14:textId="3F40B0B5" w:rsidR="00E9601D" w:rsidRPr="00186C14" w:rsidRDefault="00E9601D" w:rsidP="00E9601D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MANAGEMENT PRACTICE</w:t>
            </w:r>
          </w:p>
        </w:tc>
        <w:tc>
          <w:tcPr>
            <w:tcW w:w="11907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8DB3F5F" w14:textId="77777777" w:rsidR="00E9601D" w:rsidRPr="00186C14" w:rsidRDefault="00E9601D" w:rsidP="00E9601D">
            <w:pPr>
              <w:spacing w:line="276" w:lineRule="auto"/>
              <w:jc w:val="center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A2182">
              <w:rPr>
                <w:rFonts w:ascii="Times" w:eastAsia="Calibri" w:hAnsi="Times" w:cs="Times"/>
                <w:b/>
                <w:bCs/>
                <w:color w:val="AD8082" w:themeColor="accent4"/>
                <w:sz w:val="18"/>
                <w:szCs w:val="18"/>
                <w:u w:color="000000"/>
                <w:bdr w:val="nil"/>
                <w:lang w:val="en-US" w:eastAsia="en-GB"/>
              </w:rPr>
              <w:t>EXPECTED EFFECTS ON PUBLIC GOODS</w:t>
            </w:r>
          </w:p>
          <w:p w14:paraId="588BB750" w14:textId="47986EAB" w:rsidR="00E9601D" w:rsidRPr="00186C14" w:rsidRDefault="00E9601D" w:rsidP="00E9601D">
            <w:pPr>
              <w:spacing w:line="276" w:lineRule="auto"/>
              <w:jc w:val="center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B6219F" w:rsidRPr="00186C14" w14:paraId="02BE8E99" w14:textId="77777777" w:rsidTr="006F7E00">
        <w:tc>
          <w:tcPr>
            <w:tcW w:w="18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D7D26A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Maintenance of waterways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Cleaning of waterways and ditches and reducing run off by implementing buffer strips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EB016FA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46E795E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D32F16D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enhances water quality by preventing sedimentation</w:t>
            </w:r>
          </w:p>
          <w:p w14:paraId="0664BA1E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short-term water quality disturbance during maintenance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144CA5E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Well-maintained waterways contribute to effective flood protection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7145E34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supports diverse aquatic habitats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36EB380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8E921B2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  <w:tr w:rsidR="00B6219F" w:rsidRPr="00186C14" w14:paraId="787BA850" w14:textId="77777777" w:rsidTr="006A2182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63712A65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Woodwall trees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Implement or maintain woodwalls, hedge rows or trees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77441FC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sequestering carbon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2140A23" w14:textId="77777777" w:rsidR="00B6219F" w:rsidRPr="006F7E00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6F7E00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stabilize soil, prevent erosion; enhance nutrient cycling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5D58CED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Vegetative barriers improve water quality by filtering runoff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8C1A05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help mitigate floods by reducing runoff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7A7E01B" w14:textId="77777777" w:rsidR="00B6219F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provide habitats for biodiversity</w:t>
            </w:r>
          </w:p>
          <w:p w14:paraId="75CEF4F3" w14:textId="7F0A877D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-provides habitat for predators may impact (young) </w:t>
            </w:r>
            <w:r w:rsidR="006F7E00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meadow birds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F9804E4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offers shade and shelter for animals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60066FC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enhance landscape aesthetics</w:t>
            </w:r>
          </w:p>
        </w:tc>
      </w:tr>
      <w:tr w:rsidR="00B6219F" w:rsidRPr="00186C14" w14:paraId="3D924834" w14:textId="77777777" w:rsidTr="006F7E00">
        <w:tc>
          <w:tcPr>
            <w:tcW w:w="1856" w:type="dxa"/>
            <w:tcBorders>
              <w:bottom w:val="single" w:sz="4" w:space="0" w:color="auto"/>
              <w:right w:val="single" w:sz="4" w:space="0" w:color="auto"/>
            </w:tcBorders>
          </w:tcPr>
          <w:p w14:paraId="3AF4EBF1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Maintain or restore cultural </w:t>
            </w:r>
          </w:p>
          <w:p w14:paraId="610C3F29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heritage and facilitate recreation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and facilitate recreation e.g. by facilitating hiking paths, providing an attractive landscape or maintaining historical features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DDFF418" w14:textId="28CBFBD9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ncreased human activity may contribute to localized environmental impacts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3A3FB4A" w14:textId="192FD223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ntensive recreational use may lead to soil compaction and erosion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4EBECB2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9E445F4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55C5A96" w14:textId="5F4B7C41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- </w:t>
            </w:r>
            <w:r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i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ncreased human activity may disrupt local flora and fauna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30C0821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opportunities for education on animal welfare.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FA0B972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contribute to landscape aesthetics and provide recreational opportunities.</w:t>
            </w:r>
          </w:p>
          <w:p w14:paraId="03F733FE" w14:textId="75F85E4E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Overuse or inadequate management may impact landscape integrity and recreation</w:t>
            </w:r>
          </w:p>
        </w:tc>
      </w:tr>
      <w:tr w:rsidR="00B6219F" w:rsidRPr="00186C14" w14:paraId="7EC6840A" w14:textId="77777777" w:rsidTr="006F7E00">
        <w:tc>
          <w:tcPr>
            <w:tcW w:w="185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E8BDD2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b/>
                <w:b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Grazing</w:t>
            </w: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 xml:space="preserve"> </w:t>
            </w:r>
            <w:r w:rsidRPr="00186C14">
              <w:rPr>
                <w:rFonts w:ascii="Times" w:eastAsia="Calibri" w:hAnsi="Times" w:cs="Times"/>
                <w:i/>
                <w:iCs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enable grazing and natural behavior for livestock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EC6ED58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healthy grasslands that sequester carbon</w:t>
            </w:r>
          </w:p>
          <w:p w14:paraId="008C0A76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Overgrazing may lead to soil degradation and reduced carbon sequestration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779FAE8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can enhance soil structure; nutrient cycling</w:t>
            </w:r>
          </w:p>
          <w:p w14:paraId="3D9B45F0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 may lead to soil compaction and erosion</w:t>
            </w:r>
          </w:p>
          <w:p w14:paraId="08D6DB40" w14:textId="77777777" w:rsidR="00B6219F" w:rsidRPr="00186C14" w:rsidRDefault="00B6219F" w:rsidP="00B6219F">
            <w:pPr>
              <w:rPr>
                <w:rFonts w:ascii="Times" w:eastAsia="Calibri" w:hAnsi="Times" w:cs="Times"/>
                <w:color w:val="000000" w:themeColor="text1"/>
                <w:sz w:val="18"/>
                <w:szCs w:val="18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5A5D3F5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can contribute to vegetation control along water bodies, improving water quality</w:t>
            </w:r>
          </w:p>
          <w:p w14:paraId="35C13034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Overgrazing near water sources may lead to sedimentation and nutrient runoff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62F855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may decrease vegetation cover, increasing the risk of soil erosion and impacting flood protection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2DDAC9F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can support diverse ecosystems</w:t>
            </w:r>
          </w:p>
          <w:p w14:paraId="2D341E23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- Uncontrolled or excessive grazing may negatively impact native plant and animal species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374FE67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provides natural foraging opportunities for livestock, contributing to animal welfare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A509F83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  <w:r w:rsidRPr="00186C14"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  <w:t>+ contribute to the aesthetic appeal and cultural value of rural areas</w:t>
            </w:r>
          </w:p>
          <w:p w14:paraId="02046C97" w14:textId="77777777" w:rsidR="00B6219F" w:rsidRPr="00186C14" w:rsidRDefault="00B6219F" w:rsidP="00B6219F">
            <w:pPr>
              <w:spacing w:line="276" w:lineRule="auto"/>
              <w:rPr>
                <w:rFonts w:ascii="Times" w:eastAsia="Calibri" w:hAnsi="Times" w:cs="Times"/>
                <w:color w:val="000000" w:themeColor="text1"/>
                <w:sz w:val="18"/>
                <w:szCs w:val="18"/>
                <w:u w:color="000000"/>
                <w:bdr w:val="nil"/>
                <w:lang w:val="en-US" w:eastAsia="en-GB"/>
              </w:rPr>
            </w:pPr>
          </w:p>
        </w:tc>
      </w:tr>
    </w:tbl>
    <w:p w14:paraId="20C473C4" w14:textId="77777777" w:rsidR="00D76B16" w:rsidRPr="00CE2DED" w:rsidRDefault="00D76B16" w:rsidP="006F7E00">
      <w:pPr>
        <w:rPr>
          <w:lang w:val="en-US"/>
        </w:rPr>
      </w:pPr>
    </w:p>
    <w:sectPr w:rsidR="00D76B16" w:rsidRPr="00CE2DED" w:rsidSect="006A2182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6559" w14:textId="77777777" w:rsidR="001B6457" w:rsidRDefault="001B6457" w:rsidP="001B6457">
      <w:pPr>
        <w:spacing w:after="0" w:line="240" w:lineRule="auto"/>
      </w:pPr>
      <w:r>
        <w:separator/>
      </w:r>
    </w:p>
  </w:endnote>
  <w:endnote w:type="continuationSeparator" w:id="0">
    <w:p w14:paraId="490AE39D" w14:textId="77777777" w:rsidR="001B6457" w:rsidRDefault="001B6457" w:rsidP="001B6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7FAC" w14:textId="77777777" w:rsidR="001B6457" w:rsidRPr="000127FA" w:rsidRDefault="001B6457" w:rsidP="001B6457">
    <w:pPr>
      <w:pStyle w:val="Voettekst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0127FA">
      <w:rPr>
        <w:rFonts w:ascii="Times New Roman" w:hAnsi="Times New Roman" w:cs="Times New Roman"/>
        <w:sz w:val="20"/>
        <w:szCs w:val="20"/>
        <w:lang w:val="en-US"/>
      </w:rPr>
      <w:t xml:space="preserve">Perceived effects of agri-environmental management practices on public good delivery | Environmental Management | </w:t>
    </w:r>
    <w:r w:rsidRPr="000127FA">
      <w:rPr>
        <w:rFonts w:ascii="Times New Roman" w:eastAsia="Calibri" w:hAnsi="Times New Roman" w:cs="Times New Roman"/>
        <w:sz w:val="20"/>
        <w:szCs w:val="20"/>
        <w:lang w:val="en-US"/>
      </w:rPr>
      <w:t>Kina S. Harmanny* | Franziska Komossa | Peter H.</w:t>
    </w:r>
    <w:r>
      <w:rPr>
        <w:rFonts w:ascii="Times New Roman" w:eastAsia="Calibri" w:hAnsi="Times New Roman" w:cs="Times New Roman"/>
        <w:sz w:val="20"/>
        <w:szCs w:val="20"/>
        <w:lang w:val="en-US"/>
      </w:rPr>
      <w:t xml:space="preserve"> </w:t>
    </w:r>
    <w:r w:rsidRPr="000127FA">
      <w:rPr>
        <w:rFonts w:ascii="Times New Roman" w:eastAsia="Calibri" w:hAnsi="Times New Roman" w:cs="Times New Roman"/>
        <w:sz w:val="20"/>
        <w:szCs w:val="20"/>
        <w:lang w:val="en-US"/>
      </w:rPr>
      <w:t>Verburg | Catharina J. E. Schulp</w:t>
    </w:r>
    <w:r w:rsidRPr="000127FA">
      <w:rPr>
        <w:rFonts w:ascii="Times New Roman" w:hAnsi="Times New Roman" w:cs="Times New Roman"/>
        <w:sz w:val="20"/>
        <w:szCs w:val="20"/>
        <w:lang w:val="en-US"/>
      </w:rPr>
      <w:t xml:space="preserve"> | e-mail: kina.harmanny@vu.nl | Environmental Geography Group, Institute for Environmental Studies (IVM), Vrije Universiteit Amsterdam, 1081HV Amsterdam, the Netherlands</w:t>
    </w:r>
  </w:p>
  <w:p w14:paraId="0BA03B68" w14:textId="77777777" w:rsidR="001B6457" w:rsidRPr="001B6457" w:rsidRDefault="001B645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7706" w14:textId="77777777" w:rsidR="001B6457" w:rsidRDefault="001B6457" w:rsidP="001B6457">
      <w:pPr>
        <w:spacing w:after="0" w:line="240" w:lineRule="auto"/>
      </w:pPr>
      <w:r>
        <w:separator/>
      </w:r>
    </w:p>
  </w:footnote>
  <w:footnote w:type="continuationSeparator" w:id="0">
    <w:p w14:paraId="3EAD3F4A" w14:textId="77777777" w:rsidR="001B6457" w:rsidRDefault="001B6457" w:rsidP="001B6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F9A4" w14:textId="42C18F11" w:rsidR="006F7E00" w:rsidRDefault="006F7E00" w:rsidP="006F7E00">
    <w:pPr>
      <w:pStyle w:val="Koptekst"/>
      <w:tabs>
        <w:tab w:val="clear" w:pos="4513"/>
        <w:tab w:val="clear" w:pos="9026"/>
        <w:tab w:val="left" w:pos="17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83"/>
    <w:rsid w:val="00086386"/>
    <w:rsid w:val="000E58A8"/>
    <w:rsid w:val="00155283"/>
    <w:rsid w:val="00186C14"/>
    <w:rsid w:val="001A574A"/>
    <w:rsid w:val="001B6457"/>
    <w:rsid w:val="00236710"/>
    <w:rsid w:val="00245134"/>
    <w:rsid w:val="00313C27"/>
    <w:rsid w:val="00415867"/>
    <w:rsid w:val="004E49FD"/>
    <w:rsid w:val="005133C6"/>
    <w:rsid w:val="005D3BD2"/>
    <w:rsid w:val="006A2182"/>
    <w:rsid w:val="006F7E00"/>
    <w:rsid w:val="008D24C7"/>
    <w:rsid w:val="00B6219F"/>
    <w:rsid w:val="00BA2703"/>
    <w:rsid w:val="00BB7ED0"/>
    <w:rsid w:val="00D37F1E"/>
    <w:rsid w:val="00D60FC0"/>
    <w:rsid w:val="00D76B16"/>
    <w:rsid w:val="00D95E93"/>
    <w:rsid w:val="00E9601D"/>
    <w:rsid w:val="00F92C41"/>
    <w:rsid w:val="00FF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8B44"/>
  <w15:chartTrackingRefBased/>
  <w15:docId w15:val="{970D8C16-0E58-4129-AE45-2E0D408B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6B16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2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74A55" w:themeColor="accent1" w:themeShade="BF"/>
      <w:sz w:val="32"/>
      <w:szCs w:val="32"/>
      <w:lang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2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74A55" w:themeColor="accent1" w:themeShade="BF"/>
      <w:sz w:val="26"/>
      <w:szCs w:val="26"/>
      <w:lang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2C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3138" w:themeColor="accent1" w:themeShade="7F"/>
      <w:sz w:val="24"/>
      <w:szCs w:val="24"/>
      <w:lang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5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74A55" w:themeColor="accent1" w:themeShade="BF"/>
      <w:lang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5283"/>
    <w:pPr>
      <w:keepNext/>
      <w:keepLines/>
      <w:spacing w:before="80" w:after="40"/>
      <w:outlineLvl w:val="4"/>
    </w:pPr>
    <w:rPr>
      <w:rFonts w:eastAsiaTheme="majorEastAsia" w:cstheme="majorBidi"/>
      <w:color w:val="474A55" w:themeColor="accent1" w:themeShade="BF"/>
      <w:lang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5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5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5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5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2C41"/>
    <w:rPr>
      <w:rFonts w:asciiTheme="majorHAnsi" w:eastAsiaTheme="majorEastAsia" w:hAnsiTheme="majorHAnsi" w:cstheme="majorBidi"/>
      <w:color w:val="474A5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2C41"/>
    <w:rPr>
      <w:rFonts w:asciiTheme="majorHAnsi" w:eastAsiaTheme="majorEastAsia" w:hAnsiTheme="majorHAnsi" w:cstheme="majorBidi"/>
      <w:color w:val="474A5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2C41"/>
    <w:rPr>
      <w:rFonts w:asciiTheme="majorHAnsi" w:eastAsiaTheme="majorEastAsia" w:hAnsiTheme="majorHAnsi" w:cstheme="majorBidi"/>
      <w:color w:val="2F3138" w:themeColor="accent1" w:themeShade="7F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F92C41"/>
    <w:pPr>
      <w:spacing w:after="200" w:line="240" w:lineRule="auto"/>
    </w:pPr>
    <w:rPr>
      <w:i/>
      <w:iCs/>
      <w:color w:val="121316" w:themeColor="text2"/>
      <w:sz w:val="18"/>
      <w:szCs w:val="18"/>
      <w:lang/>
    </w:rPr>
  </w:style>
  <w:style w:type="character" w:styleId="Nadruk">
    <w:name w:val="Emphasis"/>
    <w:basedOn w:val="Standaardalinea-lettertype"/>
    <w:uiPriority w:val="20"/>
    <w:qFormat/>
    <w:rsid w:val="00F92C41"/>
    <w:rPr>
      <w:i/>
      <w:iCs/>
    </w:rPr>
  </w:style>
  <w:style w:type="paragraph" w:styleId="Geenafstand">
    <w:name w:val="No Spacing"/>
    <w:uiPriority w:val="1"/>
    <w:qFormat/>
    <w:rsid w:val="00F92C4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92C41"/>
    <w:pPr>
      <w:ind w:left="720"/>
      <w:contextualSpacing/>
    </w:pPr>
    <w:rPr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5283"/>
    <w:rPr>
      <w:rFonts w:eastAsiaTheme="majorEastAsia" w:cstheme="majorBidi"/>
      <w:i/>
      <w:iCs/>
      <w:color w:val="474A5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5283"/>
    <w:rPr>
      <w:rFonts w:eastAsiaTheme="majorEastAsia" w:cstheme="majorBidi"/>
      <w:color w:val="474A5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52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52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52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52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5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</w:rPr>
  </w:style>
  <w:style w:type="character" w:customStyle="1" w:styleId="TitelChar">
    <w:name w:val="Titel Char"/>
    <w:basedOn w:val="Standaardalinea-lettertype"/>
    <w:link w:val="Titel"/>
    <w:uiPriority w:val="10"/>
    <w:rsid w:val="00155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5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5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5283"/>
    <w:pPr>
      <w:spacing w:before="160"/>
      <w:jc w:val="center"/>
    </w:pPr>
    <w:rPr>
      <w:i/>
      <w:iCs/>
      <w:color w:val="404040" w:themeColor="text1" w:themeTint="BF"/>
      <w:lang/>
    </w:rPr>
  </w:style>
  <w:style w:type="character" w:customStyle="1" w:styleId="CitaatChar">
    <w:name w:val="Citaat Char"/>
    <w:basedOn w:val="Standaardalinea-lettertype"/>
    <w:link w:val="Citaat"/>
    <w:uiPriority w:val="29"/>
    <w:rsid w:val="00155283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155283"/>
    <w:rPr>
      <w:i/>
      <w:iCs/>
      <w:color w:val="474A5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5283"/>
    <w:pPr>
      <w:pBdr>
        <w:top w:val="single" w:sz="4" w:space="10" w:color="474A55" w:themeColor="accent1" w:themeShade="BF"/>
        <w:bottom w:val="single" w:sz="4" w:space="10" w:color="474A55" w:themeColor="accent1" w:themeShade="BF"/>
      </w:pBdr>
      <w:spacing w:before="360" w:after="360"/>
      <w:ind w:left="864" w:right="864"/>
      <w:jc w:val="center"/>
    </w:pPr>
    <w:rPr>
      <w:i/>
      <w:iCs/>
      <w:color w:val="474A55" w:themeColor="accent1" w:themeShade="BF"/>
      <w:lang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5283"/>
    <w:rPr>
      <w:i/>
      <w:iCs/>
      <w:color w:val="474A5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5283"/>
    <w:rPr>
      <w:b/>
      <w:bCs/>
      <w:smallCaps/>
      <w:color w:val="474A55" w:themeColor="accent1" w:themeShade="BF"/>
      <w:spacing w:val="5"/>
    </w:rPr>
  </w:style>
  <w:style w:type="table" w:customStyle="1" w:styleId="TableGrid1">
    <w:name w:val="Table Grid1"/>
    <w:basedOn w:val="Standaardtabel"/>
    <w:next w:val="Tabelraster"/>
    <w:uiPriority w:val="39"/>
    <w:rsid w:val="00D76B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D7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6457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B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6457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e1">
  <a:themeElements>
    <a:clrScheme name="Feathered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Feathered">
      <a:majorFont>
        <a:latin typeface="Century Schoolbook" panose="02040604050505020304"/>
        <a:ea typeface=""/>
        <a:cs typeface=""/>
        <a:font script="Jpan" typeface="メイリオ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Harmanny, D.S. (Kina)</dc:creator>
  <cp:keywords/>
  <dc:description/>
  <cp:lastModifiedBy>Harmanny, D.S. (Kina)</cp:lastModifiedBy>
  <cp:revision>21</cp:revision>
  <dcterms:created xsi:type="dcterms:W3CDTF">2025-12-02T22:11:00Z</dcterms:created>
  <dcterms:modified xsi:type="dcterms:W3CDTF">2026-03-14T11:29:00Z</dcterms:modified>
</cp:coreProperties>
</file>