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219998" w14:textId="77777777" w:rsidR="002F4AB1" w:rsidRPr="009601E6" w:rsidRDefault="002F4AB1" w:rsidP="009601E6">
      <w:pPr>
        <w:spacing w:before="100" w:beforeAutospacing="1" w:after="100" w:afterAutospacing="1"/>
        <w:jc w:val="left"/>
        <w:rPr>
          <w:rFonts w:ascii="Times New Roman" w:hAnsi="Times New Roman" w:cs="Times New Roman"/>
          <w:sz w:val="22"/>
        </w:rPr>
      </w:pPr>
      <w:r w:rsidRPr="009601E6">
        <w:rPr>
          <w:rFonts w:ascii="Times New Roman" w:hAnsi="Times New Roman" w:cs="Times New Roman"/>
          <w:sz w:val="22"/>
        </w:rPr>
        <w:t>Supporting Information for</w:t>
      </w:r>
    </w:p>
    <w:p w14:paraId="43E06024" w14:textId="73B70F4D" w:rsidR="00A27909" w:rsidRPr="009601E6" w:rsidRDefault="005C11C2" w:rsidP="00A27909">
      <w:pPr>
        <w:spacing w:before="100" w:beforeAutospacing="1" w:after="100" w:afterAutospacing="1"/>
        <w:jc w:val="center"/>
        <w:rPr>
          <w:rFonts w:ascii="Times New Roman" w:hAnsi="Times New Roman" w:cs="Times New Roman"/>
          <w:b/>
          <w:sz w:val="22"/>
        </w:rPr>
      </w:pPr>
      <w:r w:rsidRPr="009601E6">
        <w:rPr>
          <w:rFonts w:ascii="Times New Roman" w:hAnsi="Times New Roman" w:cs="Times New Roman"/>
          <w:b/>
          <w:sz w:val="22"/>
        </w:rPr>
        <w:t>High-pressure spectroscopic investigation of ε-FeOOH: toward a better understanding of pressure-induced hydrogen-bond symmetrization</w:t>
      </w:r>
    </w:p>
    <w:p w14:paraId="11D52870" w14:textId="4029FE67" w:rsidR="00A27909" w:rsidRPr="009601E6" w:rsidRDefault="00A27909" w:rsidP="009601E6">
      <w:pPr>
        <w:spacing w:before="100" w:beforeAutospacing="1" w:after="100" w:afterAutospacing="1"/>
        <w:jc w:val="left"/>
        <w:rPr>
          <w:rFonts w:ascii="Times New Roman" w:hAnsi="Times New Roman" w:cs="Times New Roman"/>
          <w:sz w:val="22"/>
        </w:rPr>
      </w:pPr>
      <w:r w:rsidRPr="009601E6">
        <w:rPr>
          <w:rFonts w:ascii="Times New Roman" w:hAnsi="Times New Roman" w:cs="Times New Roman"/>
          <w:sz w:val="22"/>
        </w:rPr>
        <w:t>Izumi Mashino</w:t>
      </w:r>
      <w:r w:rsidRPr="009601E6">
        <w:rPr>
          <w:rFonts w:ascii="Times New Roman" w:hAnsi="Times New Roman" w:cs="Times New Roman"/>
          <w:sz w:val="22"/>
          <w:vertAlign w:val="superscript"/>
        </w:rPr>
        <w:t>1</w:t>
      </w:r>
      <w:r w:rsidRPr="009601E6">
        <w:rPr>
          <w:rFonts w:ascii="Times New Roman" w:hAnsi="Times New Roman" w:cs="Times New Roman"/>
          <w:sz w:val="22"/>
        </w:rPr>
        <w:t xml:space="preserve">*, </w:t>
      </w:r>
      <w:r w:rsidR="00EA0DFA" w:rsidRPr="009601E6">
        <w:rPr>
          <w:rFonts w:ascii="Times New Roman" w:hAnsi="Times New Roman" w:cs="Times New Roman"/>
          <w:sz w:val="22"/>
        </w:rPr>
        <w:t>Shigeru Yamashita</w:t>
      </w:r>
      <w:r w:rsidR="00EA0DFA" w:rsidRPr="009601E6">
        <w:rPr>
          <w:rFonts w:ascii="Times New Roman" w:hAnsi="Times New Roman" w:cs="Times New Roman"/>
          <w:sz w:val="22"/>
          <w:vertAlign w:val="superscript"/>
        </w:rPr>
        <w:t>1</w:t>
      </w:r>
      <w:r w:rsidR="00EA0DFA" w:rsidRPr="009601E6">
        <w:rPr>
          <w:rFonts w:ascii="Times New Roman" w:hAnsi="Times New Roman" w:cs="Times New Roman"/>
          <w:sz w:val="22"/>
        </w:rPr>
        <w:t xml:space="preserve">, and </w:t>
      </w:r>
      <w:r w:rsidRPr="009601E6">
        <w:rPr>
          <w:rFonts w:ascii="Times New Roman" w:hAnsi="Times New Roman" w:cs="Times New Roman"/>
          <w:sz w:val="22"/>
        </w:rPr>
        <w:t>Takashi Yoshino</w:t>
      </w:r>
      <w:r w:rsidRPr="009601E6">
        <w:rPr>
          <w:rFonts w:ascii="Times New Roman" w:hAnsi="Times New Roman" w:cs="Times New Roman"/>
          <w:sz w:val="22"/>
          <w:vertAlign w:val="superscript"/>
        </w:rPr>
        <w:t>1</w:t>
      </w:r>
      <w:r w:rsidRPr="009601E6">
        <w:rPr>
          <w:rFonts w:ascii="Times New Roman" w:hAnsi="Times New Roman" w:cs="Times New Roman"/>
          <w:sz w:val="22"/>
        </w:rPr>
        <w:t xml:space="preserve"> </w:t>
      </w:r>
    </w:p>
    <w:p w14:paraId="397CFE9F" w14:textId="77777777" w:rsidR="00A27909" w:rsidRPr="009601E6" w:rsidRDefault="00A27909" w:rsidP="009601E6">
      <w:pPr>
        <w:spacing w:before="100" w:beforeAutospacing="1" w:after="100" w:afterAutospacing="1"/>
        <w:jc w:val="left"/>
        <w:rPr>
          <w:rFonts w:ascii="Times New Roman" w:hAnsi="Times New Roman" w:cs="Times New Roman"/>
          <w:sz w:val="18"/>
          <w:szCs w:val="18"/>
        </w:rPr>
      </w:pPr>
      <w:r w:rsidRPr="009601E6">
        <w:rPr>
          <w:rFonts w:ascii="Times New Roman" w:hAnsi="Times New Roman" w:cs="Times New Roman"/>
          <w:sz w:val="18"/>
          <w:szCs w:val="18"/>
          <w:vertAlign w:val="superscript"/>
        </w:rPr>
        <w:t>1</w:t>
      </w:r>
      <w:r w:rsidRPr="009601E6">
        <w:rPr>
          <w:rFonts w:ascii="Times New Roman" w:hAnsi="Times New Roman" w:cs="Times New Roman"/>
          <w:sz w:val="18"/>
          <w:szCs w:val="18"/>
        </w:rPr>
        <w:t>Institute for Planetary Materials, Okayama University, 827 Yamada, Misasa, Tottori, Japan</w:t>
      </w:r>
    </w:p>
    <w:p w14:paraId="136DF16B" w14:textId="77777777" w:rsidR="00A27909" w:rsidRPr="009601E6" w:rsidRDefault="00A27909" w:rsidP="00A27909">
      <w:pPr>
        <w:spacing w:before="100" w:beforeAutospacing="1" w:after="100" w:afterAutospacing="1"/>
        <w:jc w:val="center"/>
        <w:rPr>
          <w:rFonts w:ascii="Times New Roman" w:hAnsi="Times New Roman" w:cs="Times New Roman"/>
          <w:sz w:val="22"/>
        </w:rPr>
      </w:pPr>
    </w:p>
    <w:p w14:paraId="1B58D25E" w14:textId="39F78427" w:rsidR="007C5E0A" w:rsidRPr="009601E6" w:rsidRDefault="00DC4883" w:rsidP="007C5E0A">
      <w:pPr>
        <w:pStyle w:val="Heading-Secondary"/>
        <w:ind w:left="0"/>
        <w:rPr>
          <w:rFonts w:ascii="Times New Roman" w:hAnsi="Times New Roman" w:cs="Times New Roman"/>
          <w:sz w:val="22"/>
          <w:szCs w:val="22"/>
        </w:rPr>
      </w:pPr>
      <w:r w:rsidRPr="009601E6">
        <w:rPr>
          <w:rFonts w:ascii="Times New Roman" w:hAnsi="Times New Roman" w:cs="Times New Roman"/>
          <w:b/>
          <w:bCs/>
          <w:sz w:val="22"/>
          <w:szCs w:val="22"/>
        </w:rPr>
        <w:t>Text S1</w:t>
      </w:r>
      <w:r w:rsidR="007C5E0A" w:rsidRPr="009601E6">
        <w:rPr>
          <w:rFonts w:ascii="Times New Roman" w:eastAsia="Times New Roman" w:hAnsi="Times New Roman" w:cs="Times New Roman"/>
          <w:b/>
          <w:bCs/>
          <w:sz w:val="22"/>
          <w:szCs w:val="22"/>
        </w:rPr>
        <w:t xml:space="preserve">. </w:t>
      </w:r>
      <w:r w:rsidR="00693FBA" w:rsidRPr="009601E6">
        <w:rPr>
          <w:rFonts w:ascii="Times New Roman" w:hAnsi="Times New Roman" w:cs="Times New Roman"/>
          <w:sz w:val="22"/>
          <w:szCs w:val="22"/>
        </w:rPr>
        <w:t>S</w:t>
      </w:r>
      <w:r w:rsidR="00693FBA" w:rsidRPr="009601E6">
        <w:rPr>
          <w:rFonts w:ascii="Times New Roman" w:eastAsia="Times New Roman" w:hAnsi="Times New Roman" w:cs="Times New Roman"/>
          <w:sz w:val="22"/>
          <w:szCs w:val="22"/>
        </w:rPr>
        <w:t xml:space="preserve">ynchrotron </w:t>
      </w:r>
      <w:r w:rsidR="00693FBA" w:rsidRPr="009601E6">
        <w:rPr>
          <w:rFonts w:ascii="Times New Roman" w:hAnsi="Times New Roman" w:cs="Times New Roman"/>
          <w:sz w:val="22"/>
          <w:szCs w:val="22"/>
        </w:rPr>
        <w:t xml:space="preserve">XRD and </w:t>
      </w:r>
      <w:r w:rsidR="00693FBA" w:rsidRPr="009601E6">
        <w:rPr>
          <w:rFonts w:ascii="Times New Roman" w:eastAsia="Times New Roman" w:hAnsi="Times New Roman" w:cs="Times New Roman"/>
          <w:sz w:val="22"/>
          <w:szCs w:val="22"/>
        </w:rPr>
        <w:t>Mössbauer spectroscopic measurements</w:t>
      </w:r>
    </w:p>
    <w:p w14:paraId="3F913594" w14:textId="5860C691" w:rsidR="00BE6B89" w:rsidRPr="009601E6" w:rsidRDefault="00D20F54" w:rsidP="1323D982">
      <w:pPr>
        <w:rPr>
          <w:rFonts w:ascii="Times New Roman" w:hAnsi="Times New Roman" w:cs="Times New Roman"/>
          <w:b/>
          <w:bCs/>
          <w:sz w:val="22"/>
        </w:rPr>
      </w:pPr>
      <w:r w:rsidRPr="1323D982">
        <w:rPr>
          <w:rFonts w:ascii="Times New Roman" w:hAnsi="Times New Roman" w:cs="Times New Roman"/>
          <w:sz w:val="22"/>
        </w:rPr>
        <w:t xml:space="preserve">To confirm the spin transition, high-pressure XRD measurements </w:t>
      </w:r>
      <w:proofErr w:type="gramStart"/>
      <w:r w:rsidRPr="1323D982">
        <w:rPr>
          <w:rFonts w:ascii="Times New Roman" w:hAnsi="Times New Roman" w:cs="Times New Roman"/>
          <w:sz w:val="22"/>
        </w:rPr>
        <w:t>were conducted</w:t>
      </w:r>
      <w:proofErr w:type="gramEnd"/>
      <w:r w:rsidRPr="1323D982">
        <w:rPr>
          <w:rFonts w:ascii="Times New Roman" w:hAnsi="Times New Roman" w:cs="Times New Roman"/>
          <w:sz w:val="22"/>
        </w:rPr>
        <w:t xml:space="preserve"> </w:t>
      </w:r>
      <w:r w:rsidR="001E5536">
        <w:rPr>
          <w:rFonts w:ascii="Times New Roman" w:hAnsi="Times New Roman" w:cs="Times New Roman" w:hint="eastAsia"/>
          <w:sz w:val="22"/>
        </w:rPr>
        <w:t>during</w:t>
      </w:r>
      <w:r w:rsidR="001E5536" w:rsidRPr="1323D982">
        <w:rPr>
          <w:rFonts w:ascii="Times New Roman" w:hAnsi="Times New Roman" w:cs="Times New Roman"/>
          <w:sz w:val="22"/>
        </w:rPr>
        <w:t xml:space="preserve"> </w:t>
      </w:r>
      <w:r w:rsidRPr="1323D982">
        <w:rPr>
          <w:rFonts w:ascii="Times New Roman" w:hAnsi="Times New Roman" w:cs="Times New Roman"/>
          <w:sz w:val="22"/>
        </w:rPr>
        <w:t>decompression of the Raman measurements at BL10XU, SPring-8.</w:t>
      </w:r>
      <w:r w:rsidRPr="1323D982">
        <w:rPr>
          <w:rFonts w:ascii="Times New Roman" w:eastAsia="ＭＳ 明朝" w:hAnsi="Times New Roman" w:cs="Times New Roman"/>
          <w:sz w:val="22"/>
        </w:rPr>
        <w:t xml:space="preserve"> The X-ray beam size was approximately </w:t>
      </w:r>
      <w:proofErr w:type="gramStart"/>
      <w:r w:rsidRPr="1323D982">
        <w:rPr>
          <w:rFonts w:ascii="Times New Roman" w:eastAsia="ＭＳ 明朝" w:hAnsi="Times New Roman" w:cs="Times New Roman"/>
          <w:sz w:val="22"/>
        </w:rPr>
        <w:t>5</w:t>
      </w:r>
      <w:proofErr w:type="gramEnd"/>
      <w:r w:rsidRPr="1323D982">
        <w:rPr>
          <w:rFonts w:ascii="Times New Roman" w:eastAsia="ＭＳ 明朝" w:hAnsi="Times New Roman" w:cs="Times New Roman"/>
          <w:sz w:val="22"/>
        </w:rPr>
        <w:t xml:space="preserve"> μm and the wavelength of x-ray was 0.414255(9) Å. The XRD Debye rings </w:t>
      </w:r>
      <w:proofErr w:type="gramStart"/>
      <w:r w:rsidR="00BB36E1">
        <w:rPr>
          <w:rFonts w:ascii="Times New Roman" w:eastAsia="ＭＳ 明朝" w:hAnsi="Times New Roman" w:cs="Times New Roman" w:hint="eastAsia"/>
          <w:sz w:val="22"/>
        </w:rPr>
        <w:t>were</w:t>
      </w:r>
      <w:r w:rsidRPr="1323D982">
        <w:rPr>
          <w:rFonts w:ascii="Times New Roman" w:eastAsia="ＭＳ 明朝" w:hAnsi="Times New Roman" w:cs="Times New Roman"/>
          <w:sz w:val="22"/>
        </w:rPr>
        <w:t xml:space="preserve"> collected</w:t>
      </w:r>
      <w:proofErr w:type="gramEnd"/>
      <w:r w:rsidRPr="1323D982">
        <w:rPr>
          <w:rFonts w:ascii="Times New Roman" w:eastAsia="ＭＳ 明朝" w:hAnsi="Times New Roman" w:cs="Times New Roman"/>
          <w:sz w:val="22"/>
        </w:rPr>
        <w:t xml:space="preserve"> on the Perkin Elmer digital x-ray flat panel detector. The diffraction patterns were integrated to provide 2θ profile using IPAnalyzer (</w:t>
      </w:r>
      <w:hyperlink r:id="rId7">
        <w:r w:rsidRPr="1323D982">
          <w:rPr>
            <w:rStyle w:val="ae"/>
            <w:rFonts w:ascii="Times New Roman" w:eastAsia="ＭＳ 明朝" w:hAnsi="Times New Roman" w:cs="Times New Roman"/>
            <w:color w:val="auto"/>
            <w:sz w:val="22"/>
          </w:rPr>
          <w:t>https://yseto.net/soft/ipanalyzer</w:t>
        </w:r>
      </w:hyperlink>
      <w:r w:rsidRPr="1323D982">
        <w:rPr>
          <w:rFonts w:ascii="Times New Roman" w:eastAsia="ＭＳ 明朝" w:hAnsi="Times New Roman" w:cs="Times New Roman"/>
          <w:sz w:val="22"/>
        </w:rPr>
        <w:t>) and the lattice parameters were calculated using PDIndexter (</w:t>
      </w:r>
      <w:hyperlink r:id="rId8">
        <w:r w:rsidRPr="1323D982">
          <w:rPr>
            <w:rStyle w:val="ae"/>
            <w:rFonts w:ascii="Times New Roman" w:eastAsia="ＭＳ 明朝" w:hAnsi="Times New Roman" w:cs="Times New Roman"/>
            <w:color w:val="auto"/>
            <w:sz w:val="22"/>
          </w:rPr>
          <w:t>https://yseto.net/soft/pdi</w:t>
        </w:r>
      </w:hyperlink>
      <w:r w:rsidRPr="1323D982">
        <w:rPr>
          <w:rFonts w:ascii="Times New Roman" w:eastAsia="ＭＳ 明朝" w:hAnsi="Times New Roman" w:cs="Times New Roman"/>
          <w:sz w:val="22"/>
        </w:rPr>
        <w:t xml:space="preserve">). The pressure was determined from the observed unit cell volume of </w:t>
      </w:r>
      <w:r w:rsidRPr="1323D982">
        <w:rPr>
          <w:rFonts w:ascii="Times New Roman" w:hAnsi="Times New Roman" w:cs="Times New Roman"/>
          <w:sz w:val="22"/>
        </w:rPr>
        <w:t>KCl</w:t>
      </w:r>
      <w:r w:rsidRPr="1323D982">
        <w:rPr>
          <w:rFonts w:ascii="Times New Roman" w:eastAsia="ＭＳ 明朝" w:hAnsi="Times New Roman" w:cs="Times New Roman"/>
          <w:sz w:val="22"/>
        </w:rPr>
        <w:t xml:space="preserve"> using the equation of state of </w:t>
      </w:r>
      <w:r w:rsidRPr="1323D982">
        <w:rPr>
          <w:rFonts w:ascii="Times New Roman" w:eastAsia="ＭＳ 明朝" w:hAnsi="Times New Roman" w:cs="Times New Roman"/>
          <w:sz w:val="22"/>
        </w:rPr>
        <w:fldChar w:fldCharType="begin" w:fldLock="1"/>
      </w:r>
      <w:r w:rsidRPr="1323D982">
        <w:rPr>
          <w:rFonts w:ascii="Times New Roman" w:eastAsia="ＭＳ 明朝" w:hAnsi="Times New Roman" w:cs="Times New Roman"/>
          <w:sz w:val="22"/>
        </w:rPr>
        <w:instrText>ADDIN CSL_CITATION {"citationItems":[{"id":"ITEM-1","itemData":{"DOI":"10.1103/PhysRevB.85.214105","ISBN":"10980121 (ISSN)","ISSN":"10980121","abstract":"The equation of state of KCl and KBr, compressed in a helium pressure medium in a diamond-anvil cell, has been measured by x-ray diffraction in the B1 and B2 phases up to 165 GPa at 298 K. The P-V-T of B2 KCl and B2 KBr has been calculated by ab initio molecular dynamics in a wide compression range and up to 7000 K. The thermal pressure exhibits a linear behavior with temperature and remains low under high compression. The experimental P-V points and the thermal pressure calculated by molecular dynamics have been used to set up a high-pressure–high-temperature equation of state of B2 KCl and B2 KBr. With these equations of state, B2 KCl and B2 KBr can be used as pressure markers in laser-heated diamond-anvil-cell experiments.","author":[{"dropping-particle":"","family":"Dewaele","given":"A.","non-dropping-particle":"","parse-names":false,"suffix":""},{"dropping-particle":"","family":"Belonoshko","given":"A. B.","non-dropping-particle":"","parse-names":false,"suffix":""},{"dropping-particle":"","family":"Garbarino","given":"G.","non-dropping-particle":"","parse-names":false,"suffix":""},{"dropping-particle":"","family":"Occelli","given":"F.","non-dropping-particle":"","parse-names":false,"suffix":""},{"dropping-particle":"","family":"Bouvier","given":"P.","non-dropping-particle":"","parse-names":false,"suffix":""},{"dropping-particle":"","family":"Hanfland","given":"M.","non-dropping-particle":"","parse-names":false,"suffix":""},{"dropping-particle":"","family":"Mezouar","given":"M.","non-dropping-particle":"","parse-names":false,"suffix":""}],"container-title":"Physical Review B - Condensed Matter and Materials Physics","id":"ITEM-1","issue":"21","issued":{"date-parts":[["2012"]]},"page":"1-7","title":"High-pressure-high-temperature equation of state of KCl and KBr","type":"article-journal","volume":"85"},"uris":["http://www.mendeley.com/documents/?uuid=81d56fa0-3873-438b-bd2f-f24156065941"]}],"mendeley":{"formattedCitation":"(Dewaele et al., 2012)","manualFormatting":"Dewaele et al. (2012)","plainTextFormattedCitation":"(Dewaele et al., 2012)","previouslyFormattedCitation":"(Dewaele et al., 2012)"},"properties":{"noteIndex":0},"schema":"https://github.com/citation-style-language/schema/raw/master/csl-citation.json"}</w:instrText>
      </w:r>
      <w:r w:rsidRPr="1323D982">
        <w:rPr>
          <w:rFonts w:ascii="Times New Roman" w:eastAsia="ＭＳ 明朝" w:hAnsi="Times New Roman" w:cs="Times New Roman"/>
          <w:sz w:val="22"/>
        </w:rPr>
        <w:fldChar w:fldCharType="separate"/>
      </w:r>
      <w:r w:rsidRPr="1323D982">
        <w:rPr>
          <w:rFonts w:ascii="Times New Roman" w:eastAsia="ＭＳ 明朝" w:hAnsi="Times New Roman" w:cs="Times New Roman"/>
          <w:noProof/>
          <w:sz w:val="22"/>
        </w:rPr>
        <w:t>Dewaele et al. (2012)</w:t>
      </w:r>
      <w:r w:rsidRPr="1323D982">
        <w:rPr>
          <w:rFonts w:ascii="Times New Roman" w:eastAsia="ＭＳ 明朝" w:hAnsi="Times New Roman" w:cs="Times New Roman"/>
          <w:sz w:val="22"/>
        </w:rPr>
        <w:fldChar w:fldCharType="end"/>
      </w:r>
      <w:r w:rsidRPr="1323D982">
        <w:rPr>
          <w:rFonts w:ascii="Times New Roman" w:eastAsia="ＭＳ 明朝" w:hAnsi="Times New Roman" w:cs="Times New Roman"/>
          <w:sz w:val="22"/>
        </w:rPr>
        <w:t>.</w:t>
      </w:r>
      <w:r w:rsidR="001033B3">
        <w:rPr>
          <w:rFonts w:ascii="Times New Roman" w:eastAsia="ＭＳ 明朝" w:hAnsi="Times New Roman" w:cs="Times New Roman" w:hint="eastAsia"/>
          <w:sz w:val="22"/>
        </w:rPr>
        <w:t xml:space="preserve"> </w:t>
      </w:r>
      <w:r w:rsidR="001033B3" w:rsidRPr="00156357">
        <w:rPr>
          <w:rFonts w:ascii="Times New Roman" w:eastAsia="ＭＳ 明朝" w:hAnsi="Times New Roman" w:cs="Times New Roman"/>
          <w:color w:val="0000FF"/>
          <w:sz w:val="22"/>
        </w:rPr>
        <w:t>Fig. S</w:t>
      </w:r>
      <w:r w:rsidR="0097577B">
        <w:rPr>
          <w:rFonts w:ascii="Times New Roman" w:eastAsia="ＭＳ 明朝" w:hAnsi="Times New Roman" w:cs="Times New Roman" w:hint="eastAsia"/>
          <w:color w:val="0000FF"/>
          <w:sz w:val="22"/>
        </w:rPr>
        <w:t>7</w:t>
      </w:r>
      <w:r w:rsidR="001033B3">
        <w:rPr>
          <w:rFonts w:ascii="Times New Roman" w:eastAsia="ＭＳ 明朝" w:hAnsi="Times New Roman" w:cs="Times New Roman" w:hint="eastAsia"/>
          <w:sz w:val="22"/>
        </w:rPr>
        <w:t xml:space="preserve"> shows </w:t>
      </w:r>
      <w:r w:rsidR="008946D6">
        <w:rPr>
          <w:rFonts w:ascii="Times New Roman" w:eastAsia="ＭＳ 明朝" w:hAnsi="Times New Roman" w:cs="Times New Roman" w:hint="eastAsia"/>
          <w:sz w:val="22"/>
        </w:rPr>
        <w:t>r</w:t>
      </w:r>
      <w:r w:rsidR="008946D6" w:rsidRPr="008946D6">
        <w:rPr>
          <w:rFonts w:ascii="Times New Roman" w:eastAsia="ＭＳ 明朝" w:hAnsi="Times New Roman" w:cs="Times New Roman"/>
          <w:sz w:val="22"/>
        </w:rPr>
        <w:t>epresentative high-pressure XRD patterns collected at 2</w:t>
      </w:r>
      <w:r w:rsidR="008946D6">
        <w:rPr>
          <w:rFonts w:ascii="Times New Roman" w:eastAsia="ＭＳ 明朝" w:hAnsi="Times New Roman" w:cs="Times New Roman" w:hint="eastAsia"/>
          <w:sz w:val="22"/>
        </w:rPr>
        <w:t>9</w:t>
      </w:r>
      <w:r w:rsidR="008946D6" w:rsidRPr="008946D6">
        <w:rPr>
          <w:rFonts w:ascii="Times New Roman" w:eastAsia="ＭＳ 明朝" w:hAnsi="Times New Roman" w:cs="Times New Roman"/>
          <w:sz w:val="22"/>
        </w:rPr>
        <w:t xml:space="preserve"> (HS state) and 6</w:t>
      </w:r>
      <w:r w:rsidR="008946D6">
        <w:rPr>
          <w:rFonts w:ascii="Times New Roman" w:eastAsia="ＭＳ 明朝" w:hAnsi="Times New Roman" w:cs="Times New Roman" w:hint="eastAsia"/>
          <w:sz w:val="22"/>
        </w:rPr>
        <w:t>3</w:t>
      </w:r>
      <w:r w:rsidR="008946D6" w:rsidRPr="008946D6">
        <w:rPr>
          <w:rFonts w:ascii="Times New Roman" w:eastAsia="ＭＳ 明朝" w:hAnsi="Times New Roman" w:cs="Times New Roman"/>
          <w:sz w:val="22"/>
        </w:rPr>
        <w:t xml:space="preserve"> GPa (LS state)</w:t>
      </w:r>
      <w:r w:rsidR="00F32659">
        <w:rPr>
          <w:rFonts w:ascii="Times New Roman" w:eastAsia="ＭＳ 明朝" w:hAnsi="Times New Roman" w:cs="Times New Roman" w:hint="eastAsia"/>
          <w:sz w:val="22"/>
        </w:rPr>
        <w:t>.</w:t>
      </w:r>
    </w:p>
    <w:p w14:paraId="442AA053" w14:textId="6B3286D3" w:rsidR="00F523A4" w:rsidRPr="00197A7E" w:rsidRDefault="20C014F7" w:rsidP="00237BC7">
      <w:pPr>
        <w:pStyle w:val="Abstract"/>
        <w:spacing w:before="240" w:after="240" w:line="259" w:lineRule="auto"/>
        <w:rPr>
          <w:rFonts w:ascii="Times New Roman" w:hAnsi="Times New Roman" w:cs="Times New Roman"/>
          <w:color w:val="000000" w:themeColor="text1"/>
          <w:sz w:val="22"/>
          <w:szCs w:val="22"/>
        </w:rPr>
      </w:pPr>
      <w:r w:rsidRPr="00931BE9">
        <w:rPr>
          <w:rFonts w:ascii="Times New Roman" w:hAnsi="Times New Roman" w:cs="Times New Roman"/>
          <w:color w:val="0000FF"/>
          <w:sz w:val="22"/>
          <w:szCs w:val="22"/>
        </w:rPr>
        <w:t xml:space="preserve">Fig. </w:t>
      </w:r>
      <w:r w:rsidR="0097577B" w:rsidRPr="00931BE9">
        <w:rPr>
          <w:rFonts w:ascii="Times New Roman" w:hAnsi="Times New Roman" w:cs="Times New Roman"/>
          <w:color w:val="0000FF"/>
          <w:sz w:val="22"/>
          <w:szCs w:val="22"/>
        </w:rPr>
        <w:t>S</w:t>
      </w:r>
      <w:r w:rsidR="0097577B">
        <w:rPr>
          <w:rFonts w:ascii="Times New Roman" w:hAnsi="Times New Roman" w:cs="Times New Roman" w:hint="eastAsia"/>
          <w:color w:val="0000FF"/>
          <w:sz w:val="22"/>
          <w:szCs w:val="22"/>
        </w:rPr>
        <w:t>8</w:t>
      </w:r>
      <w:r w:rsidR="0097577B" w:rsidRPr="1323D982">
        <w:rPr>
          <w:rFonts w:ascii="Times New Roman" w:hAnsi="Times New Roman" w:cs="Times New Roman"/>
          <w:color w:val="0000FF"/>
          <w:sz w:val="22"/>
          <w:szCs w:val="22"/>
        </w:rPr>
        <w:t xml:space="preserve"> </w:t>
      </w:r>
      <w:r w:rsidRPr="1323D982">
        <w:rPr>
          <w:rFonts w:ascii="Times New Roman" w:hAnsi="Times New Roman" w:cs="Times New Roman"/>
          <w:sz w:val="22"/>
          <w:szCs w:val="22"/>
        </w:rPr>
        <w:t xml:space="preserve">shows the pressure dependence of the unit cell volume of </w:t>
      </w:r>
      <w:r w:rsidRPr="1323D982">
        <w:rPr>
          <w:rFonts w:ascii="Times New Roman" w:hAnsi="Times New Roman" w:cs="Times New Roman"/>
          <w:color w:val="000000" w:themeColor="text1"/>
          <w:sz w:val="22"/>
          <w:szCs w:val="22"/>
        </w:rPr>
        <w:t xml:space="preserve">ε-FeOOH together with previous studies </w:t>
      </w:r>
      <w:r w:rsidRPr="1323D982">
        <w:rPr>
          <w:rFonts w:ascii="Times New Roman" w:hAnsi="Times New Roman" w:cs="Times New Roman"/>
          <w:color w:val="000000" w:themeColor="text1"/>
          <w:sz w:val="22"/>
          <w:szCs w:val="22"/>
        </w:rPr>
        <w:fldChar w:fldCharType="begin" w:fldLock="1"/>
      </w:r>
      <w:r w:rsidRPr="1323D982">
        <w:rPr>
          <w:rFonts w:ascii="Times New Roman" w:hAnsi="Times New Roman" w:cs="Times New Roman"/>
          <w:color w:val="000000" w:themeColor="text1"/>
          <w:sz w:val="22"/>
          <w:szCs w:val="22"/>
        </w:rPr>
        <w:instrText>ADDIN CSL_CITATION {"citationItems":[{"id":"ITEM-1","itemData":{"DOI":"10.1016/j.epsl.2013.08.012","ISSN":"0012821X","author":[{"dropping-particle":"","family":"Gleason","given":"A.E.","non-dropping-particle":"","parse-names":false,"suffix":""},{"dropping-particle":"","family":"Quiroga","given":"C.E.","non-dropping-particle":"","parse-names":false,"suffix":""},{"dropping-particle":"","family":"Suzuki","given":"A.","non-dropping-particle":"","parse-names":false,"suffix":""},{"dropping-particle":"","family":"Pentcheva","given":"R.","non-dropping-particle":"","parse-names":false,"suffix":""},{"dropping-particle":"","family":"Mao","given":"W.L.","non-dropping-particle":"","parse-names":false,"suffix":""}],"container-title":"Earth and Planetary Science Letters","id":"ITEM-1","issued":{"date-parts":[["2013","10"]]},"page":"49-55","title":"Symmetrization driven spin transition in ε-FeOOH at high pressure","type":"article-journal","volume":"379"},"uris":["http://www.mendeley.com/documents/?uuid=8227d837-d687-499b-9f5f-9fe3c2adeb66"]}],"mendeley":{"formattedCitation":"(Gleason et al., 2013)","manualFormatting":"(Gleason et al., 2013","plainTextFormattedCitation":"(Gleason et al., 2013)","previouslyFormattedCitation":"(Gleason et al., 2013)"},"properties":{"noteIndex":0},"schema":"https://github.com/citation-style-language/schema/raw/master/csl-citation.json"}</w:instrText>
      </w:r>
      <w:r w:rsidRPr="1323D982">
        <w:rPr>
          <w:rFonts w:ascii="Times New Roman" w:hAnsi="Times New Roman" w:cs="Times New Roman"/>
          <w:color w:val="000000" w:themeColor="text1"/>
          <w:sz w:val="22"/>
          <w:szCs w:val="22"/>
        </w:rPr>
        <w:fldChar w:fldCharType="separate"/>
      </w:r>
      <w:r w:rsidRPr="1323D982">
        <w:rPr>
          <w:rFonts w:ascii="Times New Roman" w:hAnsi="Times New Roman" w:cs="Times New Roman"/>
          <w:noProof/>
          <w:color w:val="000000" w:themeColor="text1"/>
          <w:sz w:val="22"/>
          <w:szCs w:val="22"/>
        </w:rPr>
        <w:t>(Gleason et al.</w:t>
      </w:r>
      <w:r w:rsidRPr="1323D982">
        <w:rPr>
          <w:rFonts w:ascii="Times New Roman" w:eastAsia="ＭＳ ゴシック" w:hAnsi="Times New Roman" w:cs="Times New Roman"/>
          <w:noProof/>
          <w:color w:val="000000" w:themeColor="text1"/>
          <w:sz w:val="22"/>
          <w:szCs w:val="22"/>
        </w:rPr>
        <w:t>,</w:t>
      </w:r>
      <w:r w:rsidRPr="1323D982">
        <w:rPr>
          <w:rFonts w:ascii="Times New Roman" w:hAnsi="Times New Roman" w:cs="Times New Roman"/>
          <w:noProof/>
          <w:color w:val="000000" w:themeColor="text1"/>
          <w:sz w:val="22"/>
          <w:szCs w:val="22"/>
        </w:rPr>
        <w:t xml:space="preserve"> 2013</w:t>
      </w:r>
      <w:r w:rsidRPr="1323D982">
        <w:rPr>
          <w:rFonts w:ascii="Times New Roman" w:hAnsi="Times New Roman" w:cs="Times New Roman"/>
          <w:color w:val="000000" w:themeColor="text1"/>
          <w:sz w:val="22"/>
          <w:szCs w:val="22"/>
        </w:rPr>
        <w:fldChar w:fldCharType="end"/>
      </w:r>
      <w:r w:rsidRPr="1323D982">
        <w:rPr>
          <w:rFonts w:ascii="Times New Roman" w:hAnsi="Times New Roman" w:cs="Times New Roman"/>
          <w:color w:val="000000" w:themeColor="text1"/>
          <w:sz w:val="22"/>
          <w:szCs w:val="22"/>
        </w:rPr>
        <w:t xml:space="preserve">; </w:t>
      </w:r>
      <w:r w:rsidRPr="1323D982">
        <w:rPr>
          <w:rFonts w:ascii="Times New Roman" w:hAnsi="Times New Roman" w:cs="Times New Roman"/>
          <w:color w:val="000000" w:themeColor="text1"/>
          <w:sz w:val="22"/>
          <w:szCs w:val="22"/>
        </w:rPr>
        <w:fldChar w:fldCharType="begin" w:fldLock="1"/>
      </w:r>
      <w:r w:rsidRPr="1323D982">
        <w:rPr>
          <w:rFonts w:ascii="Times New Roman" w:hAnsi="Times New Roman" w:cs="Times New Roman"/>
          <w:color w:val="000000" w:themeColor="text1"/>
          <w:sz w:val="22"/>
          <w:szCs w:val="22"/>
        </w:rPr>
        <w:instrText>ADDIN CSL_CITATION {"citationItems":[{"id":"ITEM-1","itemData":{"DOI":"10.2138/am-2020-7468","ISSN":"0003-004X","abstract":"Constraining the accommodation, distribution, and circulation of hydrogen in the Earth's interior is vital to our broader understanding of the deep Earth due to the significant influence of hydrogen on the material and rheological properties of minerals. Recently, a great deal of attention has been paid to the high-pressure polymorphs of FeOOH (space groups P21nm and Pnnm). These structures potentially form a hydrogen-bearing solid solution with AlOOH and phase H (MgSiO4H2) that may transport water (OH–) deep into the Earth's lower mantle. Additionally, the pyrite-type polymorph (space group Pa3 of FeOOH), and its potential dehydration have been linked to phenomena as diverse as the introduction of hydrogen into the outer core (Nishi et al. 2017), the formation of ultralow-velocity zones (ULVZs) (Liu et al. 2017), and the Great Oxidation Event (Hu et al. 2016). In this study, the high-pressure evolution of FeOOH was re-evaluated up to ~75 GPa using a combination of synchrotron-based X-ray diffraction (XRD), Fourier transform infrared spectroscopy (FTIR), and optical absorption spectroscopy. Based on these measurements, we report three principal findings: (1) pressure-induced changes in hydrogen bonding (proton disordering or hydrogen bond symmetrization) occur at substantially lower pressures in ε-FeOOH than previously reported and are unlikely to be linked to the high-spin to low-spin transition; (2) ε-FeOOH undergoes a 10% volume collapse coincident with an isostructural Pnnm → Pnnm transition at approximately 45 GPa; and (3) a pressure-induced band gap reduction is observed in FeOOH at pressures consistent with the previously reported spin transition (40 to 50 GPa).","author":[{"dropping-particle":"","family":"Thompson","given":"Elizabeth C.","non-dropping-particle":"","parse-names":false,"suffix":""},{"dropping-particle":"","family":"Davis","given":"Anne H.","non-dropping-particle":"","parse-names":false,"suffix":""},{"dropping-particle":"","family":"Brauser","given":"Nigel M.","non-dropping-particle":"","parse-names":false,"suffix":""},{"dropping-particle":"","family":"Liu","given":"Zhenxian","non-dropping-particle":"","parse-names":false,"suffix":""},{"dropping-particle":"","family":"Prakapenka","given":"Vitali B.","non-dropping-particle":"","parse-names":false,"suffix":""},{"dropping-particle":"","family":"Campbell","given":"Andrew J.","non-dropping-particle":"","parse-names":false,"suffix":""}],"container-title":"American Mineralogist","id":"ITEM-1","issue":"12","issued":{"date-parts":[["2020","12","1"]]},"page":"1769-1777","title":"Phase transitions in ε-FeOOH at high pressure and ambient temperature","type":"article-journal","volume":"105"},"uris":["http://www.mendeley.com/documents/?uuid=4b0537b0-1900-4198-bfc6-8a10795c4dd8"]}],"mendeley":{"formattedCitation":"(Thompson et al., 2020)","manualFormatting":"Thompson et al., 2020)","plainTextFormattedCitation":"(Thompson et al., 2020)","previouslyFormattedCitation":"(Thompson et al., 2020)"},"properties":{"noteIndex":0},"schema":"https://github.com/citation-style-language/schema/raw/master/csl-citation.json"}</w:instrText>
      </w:r>
      <w:r w:rsidRPr="1323D982">
        <w:rPr>
          <w:rFonts w:ascii="Times New Roman" w:hAnsi="Times New Roman" w:cs="Times New Roman"/>
          <w:color w:val="000000" w:themeColor="text1"/>
          <w:sz w:val="22"/>
          <w:szCs w:val="22"/>
        </w:rPr>
        <w:fldChar w:fldCharType="separate"/>
      </w:r>
      <w:r w:rsidRPr="1323D982">
        <w:rPr>
          <w:rFonts w:ascii="Times New Roman" w:hAnsi="Times New Roman" w:cs="Times New Roman"/>
          <w:noProof/>
          <w:color w:val="000000" w:themeColor="text1"/>
          <w:sz w:val="22"/>
          <w:szCs w:val="22"/>
        </w:rPr>
        <w:t>Thompson et al., 2020)</w:t>
      </w:r>
      <w:r w:rsidRPr="1323D982">
        <w:rPr>
          <w:rFonts w:ascii="Times New Roman" w:hAnsi="Times New Roman" w:cs="Times New Roman"/>
          <w:color w:val="000000" w:themeColor="text1"/>
          <w:sz w:val="22"/>
          <w:szCs w:val="22"/>
        </w:rPr>
        <w:fldChar w:fldCharType="end"/>
      </w:r>
      <w:r w:rsidRPr="1323D982">
        <w:rPr>
          <w:rFonts w:ascii="Times New Roman" w:hAnsi="Times New Roman" w:cs="Times New Roman"/>
          <w:color w:val="000000" w:themeColor="text1"/>
          <w:sz w:val="22"/>
          <w:szCs w:val="22"/>
        </w:rPr>
        <w:t>. There is a sudden reduction of the volume at around 45 GPa, indicating the HS-LS transition. The unit cell volume</w:t>
      </w:r>
      <w:r w:rsidR="006243EE" w:rsidRPr="1323D982">
        <w:rPr>
          <w:rFonts w:ascii="Times New Roman" w:hAnsi="Times New Roman" w:cs="Times New Roman"/>
          <w:color w:val="000000" w:themeColor="text1"/>
          <w:sz w:val="22"/>
          <w:szCs w:val="22"/>
        </w:rPr>
        <w:t>s</w:t>
      </w:r>
      <w:r w:rsidRPr="1323D982">
        <w:rPr>
          <w:rFonts w:ascii="Times New Roman" w:hAnsi="Times New Roman" w:cs="Times New Roman"/>
          <w:color w:val="000000" w:themeColor="text1"/>
          <w:sz w:val="22"/>
          <w:szCs w:val="22"/>
        </w:rPr>
        <w:t xml:space="preserve"> </w:t>
      </w:r>
      <w:r w:rsidR="006243EE" w:rsidRPr="1323D982">
        <w:rPr>
          <w:rFonts w:ascii="Times New Roman" w:hAnsi="Times New Roman" w:cs="Times New Roman"/>
          <w:color w:val="000000" w:themeColor="text1"/>
          <w:sz w:val="22"/>
          <w:szCs w:val="22"/>
        </w:rPr>
        <w:t xml:space="preserve">obtained </w:t>
      </w:r>
      <w:r w:rsidRPr="1323D982">
        <w:rPr>
          <w:rFonts w:ascii="Times New Roman" w:hAnsi="Times New Roman" w:cs="Times New Roman"/>
          <w:color w:val="000000" w:themeColor="text1"/>
          <w:sz w:val="22"/>
          <w:szCs w:val="22"/>
        </w:rPr>
        <w:t xml:space="preserve">in this study </w:t>
      </w:r>
      <w:r w:rsidR="006243EE" w:rsidRPr="1323D982">
        <w:rPr>
          <w:rFonts w:ascii="Times New Roman" w:hAnsi="Times New Roman" w:cs="Times New Roman"/>
          <w:color w:val="000000" w:themeColor="text1"/>
          <w:sz w:val="22"/>
          <w:szCs w:val="22"/>
        </w:rPr>
        <w:t xml:space="preserve">are generally </w:t>
      </w:r>
      <w:r w:rsidR="00CB21C0" w:rsidRPr="1323D982">
        <w:rPr>
          <w:rFonts w:ascii="Times New Roman" w:hAnsi="Times New Roman" w:cs="Times New Roman"/>
          <w:color w:val="000000" w:themeColor="text1"/>
          <w:sz w:val="22"/>
          <w:szCs w:val="22"/>
        </w:rPr>
        <w:t>consistent with</w:t>
      </w:r>
      <w:r w:rsidRPr="1323D982">
        <w:rPr>
          <w:rFonts w:ascii="Times New Roman" w:hAnsi="Times New Roman" w:cs="Times New Roman"/>
          <w:color w:val="000000" w:themeColor="text1"/>
          <w:sz w:val="22"/>
          <w:szCs w:val="22"/>
        </w:rPr>
        <w:t xml:space="preserve"> previous </w:t>
      </w:r>
      <w:r w:rsidR="00B93A54" w:rsidRPr="1323D982">
        <w:rPr>
          <w:rFonts w:ascii="Times New Roman" w:hAnsi="Times New Roman" w:cs="Times New Roman"/>
          <w:color w:val="000000" w:themeColor="text1"/>
          <w:sz w:val="22"/>
          <w:szCs w:val="22"/>
        </w:rPr>
        <w:t>reports</w:t>
      </w:r>
      <w:r w:rsidR="00CB21C0" w:rsidRPr="1323D982">
        <w:rPr>
          <w:rFonts w:ascii="Times New Roman" w:hAnsi="Times New Roman" w:cs="Times New Roman"/>
          <w:color w:val="000000" w:themeColor="text1"/>
          <w:sz w:val="22"/>
          <w:szCs w:val="22"/>
        </w:rPr>
        <w:t xml:space="preserve"> for both the HS and LS states, although</w:t>
      </w:r>
      <w:r w:rsidRPr="1323D982">
        <w:rPr>
          <w:rFonts w:ascii="Times New Roman" w:hAnsi="Times New Roman" w:cs="Times New Roman"/>
          <w:color w:val="000000" w:themeColor="text1"/>
          <w:sz w:val="22"/>
          <w:szCs w:val="22"/>
        </w:rPr>
        <w:t xml:space="preserve"> </w:t>
      </w:r>
      <w:r w:rsidR="009066E4" w:rsidRPr="1323D982">
        <w:rPr>
          <w:rFonts w:ascii="Times New Roman" w:hAnsi="Times New Roman" w:cs="Times New Roman"/>
          <w:color w:val="000000" w:themeColor="text1"/>
          <w:sz w:val="22"/>
          <w:szCs w:val="22"/>
        </w:rPr>
        <w:t xml:space="preserve">the </w:t>
      </w:r>
      <w:r w:rsidR="00CB21C0" w:rsidRPr="1323D982">
        <w:rPr>
          <w:rFonts w:ascii="Times New Roman" w:hAnsi="Times New Roman" w:cs="Times New Roman"/>
          <w:color w:val="000000" w:themeColor="text1"/>
          <w:sz w:val="22"/>
          <w:szCs w:val="22"/>
        </w:rPr>
        <w:t>LS-</w:t>
      </w:r>
      <w:r w:rsidR="009066E4" w:rsidRPr="1323D982">
        <w:rPr>
          <w:rFonts w:ascii="Times New Roman" w:hAnsi="Times New Roman" w:cs="Times New Roman"/>
          <w:color w:val="000000" w:themeColor="text1"/>
          <w:sz w:val="22"/>
          <w:szCs w:val="22"/>
        </w:rPr>
        <w:t>state</w:t>
      </w:r>
      <w:r w:rsidR="00CB21C0" w:rsidRPr="1323D982">
        <w:rPr>
          <w:rFonts w:ascii="Times New Roman" w:hAnsi="Times New Roman" w:cs="Times New Roman"/>
          <w:color w:val="000000" w:themeColor="text1"/>
          <w:sz w:val="22"/>
          <w:szCs w:val="22"/>
        </w:rPr>
        <w:t xml:space="preserve"> volume</w:t>
      </w:r>
      <w:r w:rsidRPr="1323D982">
        <w:rPr>
          <w:rFonts w:ascii="Times New Roman" w:hAnsi="Times New Roman" w:cs="Times New Roman"/>
          <w:color w:val="000000" w:themeColor="text1"/>
          <w:sz w:val="22"/>
          <w:szCs w:val="22"/>
        </w:rPr>
        <w:t xml:space="preserve"> is slightly smaller than </w:t>
      </w:r>
      <w:r w:rsidR="002571B5" w:rsidRPr="1323D982">
        <w:rPr>
          <w:rFonts w:ascii="Times New Roman" w:hAnsi="Times New Roman" w:cs="Times New Roman"/>
          <w:color w:val="000000" w:themeColor="text1"/>
          <w:sz w:val="22"/>
          <w:szCs w:val="22"/>
        </w:rPr>
        <w:t xml:space="preserve">that </w:t>
      </w:r>
      <w:r w:rsidR="00BB36E1">
        <w:rPr>
          <w:rFonts w:ascii="Times New Roman" w:hAnsi="Times New Roman" w:cs="Times New Roman" w:hint="eastAsia"/>
          <w:color w:val="000000" w:themeColor="text1"/>
          <w:sz w:val="22"/>
          <w:szCs w:val="22"/>
        </w:rPr>
        <w:t>reported by</w:t>
      </w:r>
      <w:r w:rsidR="00BB36E1" w:rsidRPr="1323D982">
        <w:rPr>
          <w:rFonts w:ascii="Times New Roman" w:hAnsi="Times New Roman" w:cs="Times New Roman"/>
          <w:color w:val="000000" w:themeColor="text1"/>
          <w:sz w:val="22"/>
          <w:szCs w:val="22"/>
        </w:rPr>
        <w:t xml:space="preserve"> </w:t>
      </w:r>
      <w:r w:rsidRPr="1323D982">
        <w:rPr>
          <w:rFonts w:ascii="Times New Roman" w:hAnsi="Times New Roman" w:cs="Times New Roman"/>
          <w:color w:val="000000" w:themeColor="text1"/>
          <w:sz w:val="22"/>
          <w:szCs w:val="22"/>
        </w:rPr>
        <w:fldChar w:fldCharType="begin" w:fldLock="1"/>
      </w:r>
      <w:r w:rsidRPr="1323D982">
        <w:rPr>
          <w:rFonts w:ascii="Times New Roman" w:hAnsi="Times New Roman" w:cs="Times New Roman"/>
          <w:color w:val="000000" w:themeColor="text1"/>
          <w:sz w:val="22"/>
          <w:szCs w:val="22"/>
        </w:rPr>
        <w:instrText>ADDIN CSL_CITATION {"citationItems":[{"id":"ITEM-1","itemData":{"DOI":"10.1016/j.epsl.2013.08.012","ISSN":"0012821X","author":[{"dropping-particle":"","family":"Gleason","given":"A.E.","non-dropping-particle":"","parse-names":false,"suffix":""},{"dropping-particle":"","family":"Quiroga","given":"C.E.","non-dropping-particle":"","parse-names":false,"suffix":""},{"dropping-particle":"","family":"Suzuki","given":"A.","non-dropping-particle":"","parse-names":false,"suffix":""},{"dropping-particle":"","family":"Pentcheva","given":"R.","non-dropping-particle":"","parse-names":false,"suffix":""},{"dropping-particle":"","family":"Mao","given":"W.L.","non-dropping-particle":"","parse-names":false,"suffix":""}],"container-title":"Earth and Planetary Science Letters","id":"ITEM-1","issued":{"date-parts":[["2013","10"]]},"page":"49-55","title":"Symmetrization driven spin transition in ε-FeOOH at high pressure","type":"article-journal","volume":"379"},"uris":["http://www.mendeley.com/documents/?uuid=8227d837-d687-499b-9f5f-9fe3c2adeb66"]}],"mendeley":{"formattedCitation":"(Gleason et al., 2013)","manualFormatting":"Gleason et al. (2013)","plainTextFormattedCitation":"(Gleason et al., 2013)","previouslyFormattedCitation":"(Gleason et al., 2013)"},"properties":{"noteIndex":0},"schema":"https://github.com/citation-style-language/schema/raw/master/csl-citation.json"}</w:instrText>
      </w:r>
      <w:r w:rsidRPr="1323D982">
        <w:rPr>
          <w:rFonts w:ascii="Times New Roman" w:hAnsi="Times New Roman" w:cs="Times New Roman"/>
          <w:color w:val="000000" w:themeColor="text1"/>
          <w:sz w:val="22"/>
          <w:szCs w:val="22"/>
        </w:rPr>
        <w:fldChar w:fldCharType="separate"/>
      </w:r>
      <w:r w:rsidRPr="1323D982">
        <w:rPr>
          <w:rFonts w:ascii="Times New Roman" w:hAnsi="Times New Roman" w:cs="Times New Roman"/>
          <w:noProof/>
          <w:color w:val="000000" w:themeColor="text1"/>
          <w:sz w:val="22"/>
          <w:szCs w:val="22"/>
        </w:rPr>
        <w:t>Gleason et al. (2013)</w:t>
      </w:r>
      <w:r w:rsidRPr="1323D982">
        <w:rPr>
          <w:rFonts w:ascii="Times New Roman" w:hAnsi="Times New Roman" w:cs="Times New Roman"/>
          <w:color w:val="000000" w:themeColor="text1"/>
          <w:sz w:val="22"/>
          <w:szCs w:val="22"/>
        </w:rPr>
        <w:fldChar w:fldCharType="end"/>
      </w:r>
      <w:r w:rsidRPr="1323D982">
        <w:rPr>
          <w:rFonts w:ascii="Times New Roman" w:eastAsia="Times New Roman" w:hAnsi="Times New Roman" w:cs="Times New Roman"/>
          <w:color w:val="000000" w:themeColor="text1"/>
          <w:sz w:val="22"/>
          <w:szCs w:val="22"/>
        </w:rPr>
        <w:t xml:space="preserve"> and larger than</w:t>
      </w:r>
      <w:r w:rsidR="008B0729" w:rsidRPr="1323D982">
        <w:rPr>
          <w:rFonts w:ascii="Times New Roman" w:hAnsi="Times New Roman" w:cs="Times New Roman"/>
          <w:color w:val="000000" w:themeColor="text1"/>
          <w:sz w:val="22"/>
          <w:szCs w:val="22"/>
        </w:rPr>
        <w:t xml:space="preserve"> that </w:t>
      </w:r>
      <w:r w:rsidR="00BB36E1">
        <w:rPr>
          <w:rFonts w:ascii="Times New Roman" w:hAnsi="Times New Roman" w:cs="Times New Roman" w:hint="eastAsia"/>
          <w:color w:val="000000" w:themeColor="text1"/>
          <w:sz w:val="22"/>
          <w:szCs w:val="22"/>
        </w:rPr>
        <w:t>reported by</w:t>
      </w:r>
      <w:r w:rsidRPr="1323D982">
        <w:rPr>
          <w:rFonts w:ascii="Times New Roman" w:eastAsia="Times New Roman" w:hAnsi="Times New Roman" w:cs="Times New Roman"/>
          <w:color w:val="000000" w:themeColor="text1"/>
          <w:sz w:val="22"/>
          <w:szCs w:val="22"/>
        </w:rPr>
        <w:t xml:space="preserve"> </w:t>
      </w:r>
      <w:r w:rsidRPr="1323D982">
        <w:rPr>
          <w:rFonts w:ascii="Times New Roman" w:hAnsi="Times New Roman" w:cs="Times New Roman"/>
          <w:color w:val="000000" w:themeColor="text1"/>
          <w:sz w:val="22"/>
          <w:szCs w:val="22"/>
        </w:rPr>
        <w:fldChar w:fldCharType="begin" w:fldLock="1"/>
      </w:r>
      <w:r w:rsidRPr="1323D982">
        <w:rPr>
          <w:rFonts w:ascii="Times New Roman" w:hAnsi="Times New Roman" w:cs="Times New Roman"/>
          <w:color w:val="000000" w:themeColor="text1"/>
          <w:sz w:val="22"/>
          <w:szCs w:val="22"/>
        </w:rPr>
        <w:instrText>ADDIN CSL_CITATION {"citationItems":[{"id":"ITEM-1","itemData":{"DOI":"10.2138/am-2020-7468","ISSN":"0003-004X","abstract":"Constraining the accommodation, distribution, and circulation of hydrogen in the Earth's interior is vital to our broader understanding of the deep Earth due to the significant influence of hydrogen on the material and rheological properties of minerals. Recently, a great deal of attention has been paid to the high-pressure polymorphs of FeOOH (space groups P21nm and Pnnm). These structures potentially form a hydrogen-bearing solid solution with AlOOH and phase H (MgSiO4H2) that may transport water (OH–) deep into the Earth's lower mantle. Additionally, the pyrite-type polymorph (space group Pa3 of FeOOH), and its potential dehydration have been linked to phenomena as diverse as the introduction of hydrogen into the outer core (Nishi et al. 2017), the formation of ultralow-velocity zones (ULVZs) (Liu et al. 2017), and the Great Oxidation Event (Hu et al. 2016). In this study, the high-pressure evolution of FeOOH was re-evaluated up to ~75 GPa using a combination of synchrotron-based X-ray diffraction (XRD), Fourier transform infrared spectroscopy (FTIR), and optical absorption spectroscopy. Based on these measurements, we report three principal findings: (1) pressure-induced changes in hydrogen bonding (proton disordering or hydrogen bond symmetrization) occur at substantially lower pressures in ε-FeOOH than previously reported and are unlikely to be linked to the high-spin to low-spin transition; (2) ε-FeOOH undergoes a 10% volume collapse coincident with an isostructural Pnnm → Pnnm transition at approximately 45 GPa; and (3) a pressure-induced band gap reduction is observed in FeOOH at pressures consistent with the previously reported spin transition (40 to 50 GPa).","author":[{"dropping-particle":"","family":"Thompson","given":"Elizabeth C.","non-dropping-particle":"","parse-names":false,"suffix":""},{"dropping-particle":"","family":"Davis","given":"Anne H.","non-dropping-particle":"","parse-names":false,"suffix":""},{"dropping-particle":"","family":"Brauser","given":"Nigel M.","non-dropping-particle":"","parse-names":false,"suffix":""},{"dropping-particle":"","family":"Liu","given":"Zhenxian","non-dropping-particle":"","parse-names":false,"suffix":""},{"dropping-particle":"","family":"Prakapenka","given":"Vitali B.","non-dropping-particle":"","parse-names":false,"suffix":""},{"dropping-particle":"","family":"Campbell","given":"Andrew J.","non-dropping-particle":"","parse-names":false,"suffix":""}],"container-title":"American Mineralogist","id":"ITEM-1","issue":"12","issued":{"date-parts":[["2020","12","1"]]},"page":"1769-1777","title":"Phase transitions in ε-FeOOH at high pressure and ambient temperature","type":"article-journal","volume":"105"},"uris":["http://www.mendeley.com/documents/?uuid=4b0537b0-1900-4198-bfc6-8a10795c4dd8"]}],"mendeley":{"formattedCitation":"(Thompson et al., 2020)","manualFormatting":"Thompson et al. (2020)","plainTextFormattedCitation":"(Thompson et al., 2020)","previouslyFormattedCitation":"(Thompson et al., 2020)"},"properties":{"noteIndex":0},"schema":"https://github.com/citation-style-language/schema/raw/master/csl-citation.json"}</w:instrText>
      </w:r>
      <w:r w:rsidRPr="1323D982">
        <w:rPr>
          <w:rFonts w:ascii="Times New Roman" w:hAnsi="Times New Roman" w:cs="Times New Roman"/>
          <w:color w:val="000000" w:themeColor="text1"/>
          <w:sz w:val="22"/>
          <w:szCs w:val="22"/>
        </w:rPr>
        <w:fldChar w:fldCharType="separate"/>
      </w:r>
      <w:r w:rsidRPr="1323D982">
        <w:rPr>
          <w:rFonts w:ascii="Times New Roman" w:hAnsi="Times New Roman" w:cs="Times New Roman"/>
          <w:noProof/>
          <w:color w:val="000000" w:themeColor="text1"/>
          <w:sz w:val="22"/>
          <w:szCs w:val="22"/>
        </w:rPr>
        <w:t>Thompson et al. (2020)</w:t>
      </w:r>
      <w:r w:rsidRPr="1323D982">
        <w:rPr>
          <w:rFonts w:ascii="Times New Roman" w:hAnsi="Times New Roman" w:cs="Times New Roman"/>
          <w:color w:val="000000" w:themeColor="text1"/>
          <w:sz w:val="22"/>
          <w:szCs w:val="22"/>
        </w:rPr>
        <w:fldChar w:fldCharType="end"/>
      </w:r>
      <w:r w:rsidRPr="1323D982">
        <w:rPr>
          <w:rFonts w:ascii="Times New Roman" w:eastAsia="Times New Roman" w:hAnsi="Times New Roman" w:cs="Times New Roman"/>
          <w:color w:val="000000" w:themeColor="text1"/>
          <w:sz w:val="22"/>
          <w:szCs w:val="22"/>
        </w:rPr>
        <w:t xml:space="preserve">. The differences in volume may </w:t>
      </w:r>
      <w:r w:rsidR="008A0BA8" w:rsidRPr="1323D982">
        <w:rPr>
          <w:rFonts w:ascii="Times New Roman" w:hAnsi="Times New Roman" w:cs="Times New Roman"/>
          <w:color w:val="000000" w:themeColor="text1"/>
          <w:sz w:val="22"/>
          <w:szCs w:val="22"/>
        </w:rPr>
        <w:t>arise</w:t>
      </w:r>
      <w:r w:rsidRPr="1323D982">
        <w:rPr>
          <w:rFonts w:ascii="Times New Roman" w:eastAsia="Times New Roman" w:hAnsi="Times New Roman" w:cs="Times New Roman"/>
          <w:color w:val="000000" w:themeColor="text1"/>
          <w:sz w:val="22"/>
          <w:szCs w:val="22"/>
        </w:rPr>
        <w:t xml:space="preserve"> from the presence or absence of a pressure medium</w:t>
      </w:r>
      <w:r w:rsidR="008A0BA8" w:rsidRPr="1323D982">
        <w:rPr>
          <w:rFonts w:ascii="Times New Roman" w:hAnsi="Times New Roman" w:cs="Times New Roman"/>
          <w:color w:val="000000" w:themeColor="text1"/>
          <w:sz w:val="22"/>
          <w:szCs w:val="22"/>
        </w:rPr>
        <w:t>, as well as</w:t>
      </w:r>
      <w:r w:rsidRPr="1323D982">
        <w:rPr>
          <w:rFonts w:ascii="Times New Roman" w:eastAsia="Times New Roman" w:hAnsi="Times New Roman" w:cs="Times New Roman"/>
          <w:color w:val="000000" w:themeColor="text1"/>
          <w:sz w:val="22"/>
          <w:szCs w:val="22"/>
        </w:rPr>
        <w:t xml:space="preserve"> differences </w:t>
      </w:r>
      <w:r w:rsidR="00B63500" w:rsidRPr="1323D982">
        <w:rPr>
          <w:rFonts w:ascii="Times New Roman" w:hAnsi="Times New Roman" w:cs="Times New Roman"/>
          <w:color w:val="000000" w:themeColor="text1"/>
          <w:sz w:val="22"/>
          <w:szCs w:val="22"/>
        </w:rPr>
        <w:t>in the</w:t>
      </w:r>
      <w:r w:rsidRPr="1323D982">
        <w:rPr>
          <w:rFonts w:ascii="Times New Roman" w:eastAsia="Times New Roman" w:hAnsi="Times New Roman" w:cs="Times New Roman"/>
          <w:color w:val="000000" w:themeColor="text1"/>
          <w:sz w:val="22"/>
          <w:szCs w:val="22"/>
        </w:rPr>
        <w:t xml:space="preserve"> pressure medium and pressure scale. </w:t>
      </w:r>
      <w:r w:rsidR="003A3F7B" w:rsidRPr="1323D982">
        <w:rPr>
          <w:rFonts w:ascii="Times New Roman" w:hAnsi="Times New Roman" w:cs="Times New Roman"/>
          <w:color w:val="000000" w:themeColor="text1"/>
          <w:sz w:val="22"/>
          <w:szCs w:val="22"/>
        </w:rPr>
        <w:t xml:space="preserve">Because </w:t>
      </w:r>
      <w:r w:rsidR="00EE31BB" w:rsidRPr="1323D982">
        <w:rPr>
          <w:rFonts w:ascii="Times New Roman" w:hAnsi="Times New Roman" w:cs="Times New Roman"/>
          <w:color w:val="000000" w:themeColor="text1"/>
          <w:sz w:val="22"/>
          <w:szCs w:val="22"/>
        </w:rPr>
        <w:t>our dataset</w:t>
      </w:r>
      <w:r w:rsidR="003A3F7B" w:rsidRPr="1323D982">
        <w:rPr>
          <w:rFonts w:ascii="Times New Roman" w:hAnsi="Times New Roman" w:cs="Times New Roman"/>
          <w:color w:val="000000" w:themeColor="text1"/>
          <w:sz w:val="22"/>
          <w:szCs w:val="22"/>
        </w:rPr>
        <w:t xml:space="preserve"> </w:t>
      </w:r>
      <w:proofErr w:type="gramStart"/>
      <w:r w:rsidR="003A3F7B" w:rsidRPr="1323D982">
        <w:rPr>
          <w:rFonts w:ascii="Times New Roman" w:hAnsi="Times New Roman" w:cs="Times New Roman"/>
          <w:color w:val="000000" w:themeColor="text1"/>
          <w:sz w:val="22"/>
          <w:szCs w:val="22"/>
        </w:rPr>
        <w:t xml:space="preserve">is </w:t>
      </w:r>
      <w:r w:rsidR="00EE31BB" w:rsidRPr="1323D982">
        <w:rPr>
          <w:rFonts w:ascii="Times New Roman" w:hAnsi="Times New Roman" w:cs="Times New Roman"/>
          <w:color w:val="000000" w:themeColor="text1"/>
          <w:sz w:val="22"/>
          <w:szCs w:val="22"/>
        </w:rPr>
        <w:t>limited</w:t>
      </w:r>
      <w:proofErr w:type="gramEnd"/>
      <w:r w:rsidR="00EE31BB" w:rsidRPr="1323D982">
        <w:rPr>
          <w:rFonts w:ascii="Times New Roman" w:hAnsi="Times New Roman" w:cs="Times New Roman"/>
          <w:color w:val="000000" w:themeColor="text1"/>
          <w:sz w:val="22"/>
          <w:szCs w:val="22"/>
        </w:rPr>
        <w:t>, we did not attempt to derive a new equation of state. Importantly, n</w:t>
      </w:r>
      <w:r w:rsidRPr="1323D982">
        <w:rPr>
          <w:rFonts w:ascii="Times New Roman" w:hAnsi="Times New Roman" w:cs="Times New Roman"/>
          <w:color w:val="000000" w:themeColor="text1"/>
          <w:sz w:val="22"/>
          <w:szCs w:val="22"/>
        </w:rPr>
        <w:t xml:space="preserve">o obvious </w:t>
      </w:r>
      <w:r w:rsidR="00233B73" w:rsidRPr="1323D982">
        <w:rPr>
          <w:rFonts w:ascii="Times New Roman" w:hAnsi="Times New Roman" w:cs="Times New Roman"/>
          <w:color w:val="000000" w:themeColor="text1"/>
          <w:sz w:val="22"/>
          <w:szCs w:val="22"/>
        </w:rPr>
        <w:t>volume anomaly</w:t>
      </w:r>
      <w:r w:rsidRPr="1323D982">
        <w:rPr>
          <w:rFonts w:ascii="Times New Roman" w:hAnsi="Times New Roman" w:cs="Times New Roman"/>
          <w:color w:val="000000" w:themeColor="text1"/>
          <w:sz w:val="22"/>
          <w:szCs w:val="22"/>
        </w:rPr>
        <w:t xml:space="preserve"> </w:t>
      </w:r>
      <w:r w:rsidR="00233B73" w:rsidRPr="1323D982">
        <w:rPr>
          <w:rFonts w:ascii="Times New Roman" w:hAnsi="Times New Roman" w:cs="Times New Roman"/>
          <w:color w:val="000000" w:themeColor="text1"/>
          <w:sz w:val="22"/>
          <w:szCs w:val="22"/>
        </w:rPr>
        <w:t>is</w:t>
      </w:r>
      <w:r w:rsidRPr="1323D982">
        <w:rPr>
          <w:rFonts w:ascii="Times New Roman" w:hAnsi="Times New Roman" w:cs="Times New Roman"/>
          <w:color w:val="000000" w:themeColor="text1"/>
          <w:sz w:val="22"/>
          <w:szCs w:val="22"/>
        </w:rPr>
        <w:t xml:space="preserve"> observed across </w:t>
      </w:r>
      <w:r w:rsidR="001B1BA4" w:rsidRPr="1323D982">
        <w:rPr>
          <w:rFonts w:ascii="Times New Roman" w:hAnsi="Times New Roman" w:cs="Times New Roman"/>
          <w:color w:val="000000" w:themeColor="text1"/>
          <w:sz w:val="22"/>
          <w:szCs w:val="22"/>
        </w:rPr>
        <w:t>18</w:t>
      </w:r>
      <w:r w:rsidRPr="1323D982">
        <w:rPr>
          <w:rFonts w:ascii="Times New Roman" w:hAnsi="Times New Roman" w:cs="Times New Roman"/>
          <w:color w:val="000000" w:themeColor="text1"/>
          <w:sz w:val="22"/>
          <w:szCs w:val="22"/>
        </w:rPr>
        <w:t xml:space="preserve"> GPa</w:t>
      </w:r>
      <w:r w:rsidR="00B514D6" w:rsidRPr="1323D982">
        <w:rPr>
          <w:rFonts w:ascii="Times New Roman" w:hAnsi="Times New Roman" w:cs="Times New Roman"/>
          <w:color w:val="000000" w:themeColor="text1"/>
          <w:sz w:val="22"/>
          <w:szCs w:val="22"/>
        </w:rPr>
        <w:t>, which</w:t>
      </w:r>
      <w:r w:rsidRPr="1323D982">
        <w:rPr>
          <w:rFonts w:ascii="Times New Roman" w:hAnsi="Times New Roman" w:cs="Times New Roman"/>
          <w:color w:val="000000" w:themeColor="text1"/>
          <w:sz w:val="22"/>
          <w:szCs w:val="22"/>
        </w:rPr>
        <w:t xml:space="preserve"> also supports that hydrogen bond symmetrization has only a subtle effect on the unit cell volume</w:t>
      </w:r>
      <w:r w:rsidR="008460B8" w:rsidRPr="1323D982">
        <w:rPr>
          <w:rFonts w:ascii="Times New Roman" w:hAnsi="Times New Roman" w:cs="Times New Roman"/>
          <w:color w:val="000000" w:themeColor="text1"/>
          <w:sz w:val="22"/>
          <w:szCs w:val="22"/>
        </w:rPr>
        <w:t>,</w:t>
      </w:r>
      <w:r w:rsidR="00F523A4" w:rsidRPr="1323D982">
        <w:rPr>
          <w:rFonts w:ascii="Times New Roman" w:hAnsi="Times New Roman" w:cs="Times New Roman"/>
          <w:color w:val="000000" w:themeColor="text1"/>
          <w:sz w:val="22"/>
          <w:szCs w:val="22"/>
        </w:rPr>
        <w:t xml:space="preserve"> consistent with the previous studies</w:t>
      </w:r>
      <w:r w:rsidRPr="1323D982">
        <w:rPr>
          <w:rFonts w:ascii="Times New Roman" w:hAnsi="Times New Roman" w:cs="Times New Roman"/>
          <w:color w:val="000000" w:themeColor="text1"/>
          <w:sz w:val="22"/>
          <w:szCs w:val="22"/>
        </w:rPr>
        <w:t xml:space="preserve"> </w:t>
      </w:r>
      <w:r w:rsidRPr="1323D982">
        <w:rPr>
          <w:rFonts w:ascii="Times New Roman" w:hAnsi="Times New Roman" w:cs="Times New Roman"/>
          <w:color w:val="000000" w:themeColor="text1"/>
          <w:sz w:val="22"/>
          <w:szCs w:val="22"/>
        </w:rPr>
        <w:fldChar w:fldCharType="begin" w:fldLock="1"/>
      </w:r>
      <w:r w:rsidRPr="1323D982">
        <w:rPr>
          <w:rFonts w:ascii="Times New Roman" w:hAnsi="Times New Roman" w:cs="Times New Roman"/>
          <w:color w:val="000000" w:themeColor="text1"/>
          <w:sz w:val="22"/>
          <w:szCs w:val="22"/>
        </w:rPr>
        <w:instrText>ADDIN CSL_CITATION {"citationItems":[{"id":"ITEM-1","itemData":{"DOI":"10.1016/j.epsl.2013.08.012","ISSN":"0012821X","author":[{"dropping-particle":"","family":"Gleason","given":"A.E.","non-dropping-particle":"","parse-names":false,"suffix":""},{"dropping-particle":"","family":"Quiroga","given":"C.E.","non-dropping-particle":"","parse-names":false,"suffix":""},{"dropping-particle":"","family":"Suzuki","given":"A.","non-dropping-particle":"","parse-names":false,"suffix":""},{"dropping-particle":"","family":"Pentcheva","given":"R.","non-dropping-particle":"","parse-names":false,"suffix":""},{"dropping-particle":"","family":"Mao","given":"W.L.","non-dropping-particle":"","parse-names":false,"suffix":""}],"container-title":"Earth and Planetary Science Letters","id":"ITEM-1","issued":{"date-parts":[["2013","10"]]},"page":"49-55","title":"Symmetrization driven spin transition in ε-FeOOH at high pressure","type":"article-journal","volume":"379"},"uris":["http://www.mendeley.com/documents/?uuid=8227d837-d687-499b-9f5f-9fe3c2adeb66"]}],"mendeley":{"formattedCitation":"(Gleason et al., 2013)","manualFormatting":"(Gleason et al., 2013","plainTextFormattedCitation":"(Gleason et al., 2013)","previouslyFormattedCitation":"(Gleason et al., 2013)"},"properties":{"noteIndex":0},"schema":"https://github.com/citation-style-language/schema/raw/master/csl-citation.json"}</w:instrText>
      </w:r>
      <w:r w:rsidRPr="1323D982">
        <w:rPr>
          <w:rFonts w:ascii="Times New Roman" w:hAnsi="Times New Roman" w:cs="Times New Roman"/>
          <w:color w:val="000000" w:themeColor="text1"/>
          <w:sz w:val="22"/>
          <w:szCs w:val="22"/>
        </w:rPr>
        <w:fldChar w:fldCharType="separate"/>
      </w:r>
      <w:r w:rsidRPr="1323D982">
        <w:rPr>
          <w:rFonts w:ascii="Times New Roman" w:hAnsi="Times New Roman" w:cs="Times New Roman"/>
          <w:noProof/>
          <w:color w:val="000000" w:themeColor="text1"/>
          <w:sz w:val="22"/>
          <w:szCs w:val="22"/>
        </w:rPr>
        <w:t>(Gleason et al., 2013</w:t>
      </w:r>
      <w:r w:rsidRPr="1323D982">
        <w:rPr>
          <w:rFonts w:ascii="Times New Roman" w:hAnsi="Times New Roman" w:cs="Times New Roman"/>
          <w:color w:val="000000" w:themeColor="text1"/>
          <w:sz w:val="22"/>
          <w:szCs w:val="22"/>
        </w:rPr>
        <w:fldChar w:fldCharType="end"/>
      </w:r>
      <w:r w:rsidRPr="1323D982">
        <w:rPr>
          <w:rFonts w:ascii="Times New Roman" w:hAnsi="Times New Roman" w:cs="Times New Roman"/>
          <w:color w:val="000000" w:themeColor="text1"/>
          <w:sz w:val="22"/>
          <w:szCs w:val="22"/>
        </w:rPr>
        <w:t xml:space="preserve">; </w:t>
      </w:r>
      <w:r w:rsidRPr="1323D982">
        <w:rPr>
          <w:rFonts w:ascii="Times New Roman" w:hAnsi="Times New Roman" w:cs="Times New Roman"/>
          <w:color w:val="000000" w:themeColor="text1"/>
          <w:sz w:val="22"/>
          <w:szCs w:val="22"/>
        </w:rPr>
        <w:fldChar w:fldCharType="begin" w:fldLock="1"/>
      </w:r>
      <w:r w:rsidRPr="1323D982">
        <w:rPr>
          <w:rFonts w:ascii="Times New Roman" w:hAnsi="Times New Roman" w:cs="Times New Roman"/>
          <w:color w:val="000000" w:themeColor="text1"/>
          <w:sz w:val="22"/>
          <w:szCs w:val="22"/>
        </w:rPr>
        <w:instrText>ADDIN CSL_CITATION {"citationItems":[{"id":"ITEM-1","itemData":{"DOI":"10.2138/am-2020-7468","ISSN":"0003-004X","abstract":"Constraining the accommodation, distribution, and circulation of hydrogen in the Earth's interior is vital to our broader understanding of the deep Earth due to the significant influence of hydrogen on the material and rheological properties of minerals. Recently, a great deal of attention has been paid to the high-pressure polymorphs of FeOOH (space groups P21nm and Pnnm). These structures potentially form a hydrogen-bearing solid solution with AlOOH and phase H (MgSiO4H2) that may transport water (OH–) deep into the Earth's lower mantle. Additionally, the pyrite-type polymorph (space group Pa3 of FeOOH), and its potential dehydration have been linked to phenomena as diverse as the introduction of hydrogen into the outer core (Nishi et al. 2017), the formation of ultralow-velocity zones (ULVZs) (Liu et al. 2017), and the Great Oxidation Event (Hu et al. 2016). In this study, the high-pressure evolution of FeOOH was re-evaluated up to ~75 GPa using a combination of synchrotron-based X-ray diffraction (XRD), Fourier transform infrared spectroscopy (FTIR), and optical absorption spectroscopy. Based on these measurements, we report three principal findings: (1) pressure-induced changes in hydrogen bonding (proton disordering or hydrogen bond symmetrization) occur at substantially lower pressures in ε-FeOOH than previously reported and are unlikely to be linked to the high-spin to low-spin transition; (2) ε-FeOOH undergoes a 10% volume collapse coincident with an isostructural Pnnm → Pnnm transition at approximately 45 GPa; and (3) a pressure-induced band gap reduction is observed in FeOOH at pressures consistent with the previously reported spin transition (40 to 50 GPa).","author":[{"dropping-particle":"","family":"Thompson","given":"Elizabeth C.","non-dropping-particle":"","parse-names":false,"suffix":""},{"dropping-particle":"","family":"Davis","given":"Anne H.","non-dropping-particle":"","parse-names":false,"suffix":""},{"dropping-particle":"","family":"Brauser","given":"Nigel M.","non-dropping-particle":"","parse-names":false,"suffix":""},{"dropping-particle":"","family":"Liu","given":"Zhenxian","non-dropping-particle":"","parse-names":false,"suffix":""},{"dropping-particle":"","family":"Prakapenka","given":"Vitali B.","non-dropping-particle":"","parse-names":false,"suffix":""},{"dropping-particle":"","family":"Campbell","given":"Andrew J.","non-dropping-particle":"","parse-names":false,"suffix":""}],"container-title":"American Mineralogist","id":"ITEM-1","issue":"12","issued":{"date-parts":[["2020","12","1"]]},"page":"1769-1777","title":"Phase transitions in ε-FeOOH at high pressure and ambient temperature","type":"article-journal","volume":"105"},"uris":["http://www.mendeley.com/documents/?uuid=4b0537b0-1900-4198-bfc6-8a10795c4dd8"]}],"mendeley":{"formattedCitation":"(Thompson et al., 2020)","manualFormatting":"Thompson et al., 2020","plainTextFormattedCitation":"(Thompson et al., 2020)","previouslyFormattedCitation":"(Thompson et al., 2020)"},"properties":{"noteIndex":0},"schema":"https://github.com/citation-style-language/schema/raw/master/csl-citation.json"}</w:instrText>
      </w:r>
      <w:r w:rsidRPr="1323D982">
        <w:rPr>
          <w:rFonts w:ascii="Times New Roman" w:hAnsi="Times New Roman" w:cs="Times New Roman"/>
          <w:color w:val="000000" w:themeColor="text1"/>
          <w:sz w:val="22"/>
          <w:szCs w:val="22"/>
        </w:rPr>
        <w:fldChar w:fldCharType="separate"/>
      </w:r>
      <w:r w:rsidRPr="1323D982">
        <w:rPr>
          <w:rFonts w:ascii="Times New Roman" w:hAnsi="Times New Roman" w:cs="Times New Roman"/>
          <w:noProof/>
          <w:color w:val="000000" w:themeColor="text1"/>
          <w:sz w:val="22"/>
          <w:szCs w:val="22"/>
        </w:rPr>
        <w:t>Thompson et al., 2020</w:t>
      </w:r>
      <w:r w:rsidRPr="1323D982">
        <w:rPr>
          <w:rFonts w:ascii="Times New Roman" w:hAnsi="Times New Roman" w:cs="Times New Roman"/>
          <w:color w:val="000000" w:themeColor="text1"/>
          <w:sz w:val="22"/>
          <w:szCs w:val="22"/>
        </w:rPr>
        <w:fldChar w:fldCharType="end"/>
      </w:r>
      <w:r w:rsidRPr="1323D982">
        <w:rPr>
          <w:rFonts w:ascii="Times New Roman" w:eastAsia="Times New Roman" w:hAnsi="Times New Roman" w:cs="Times New Roman"/>
          <w:sz w:val="22"/>
          <w:szCs w:val="22"/>
        </w:rPr>
        <w:t xml:space="preserve">; </w:t>
      </w:r>
      <w:r w:rsidRPr="1323D982">
        <w:rPr>
          <w:rFonts w:ascii="Times New Roman" w:hAnsi="Times New Roman" w:cs="Times New Roman"/>
          <w:sz w:val="22"/>
          <w:szCs w:val="22"/>
        </w:rPr>
        <w:fldChar w:fldCharType="begin" w:fldLock="1"/>
      </w:r>
      <w:r w:rsidRPr="1323D982">
        <w:rPr>
          <w:rFonts w:ascii="Times New Roman" w:hAnsi="Times New Roman" w:cs="Times New Roman"/>
          <w:sz w:val="22"/>
          <w:szCs w:val="22"/>
        </w:rPr>
        <w:instrText>ADDIN CSL_CITATION {"citationItems":[{"id":"ITEM-1","itemData":{"DOI":"10.2138/am-2022-8839","ISSN":"0003-004X","abstract":"We focus on the ferric end-member of phase H: ε-FeOOH using density functional theory at the PBEsol+U level. At 300 K, we find that ε-FeOOH undergoes a hydrogen bond symmetrization at 37 GPa and a sharp high-spin to low-spin transition at 45 GPa. We find excellent agreement with experimental measurements of the equation of state, lattice parameters, atomic positions, vibrational frequencies, and optical properties as related to the band gap, which we find to be finite and small, decreasing with pressure. The hydrogen bond symmetrization transition is neither first-nor second-order, with no discontinuity in volume or any of the elastic moduli. Computed IR and Raman frequencies and intensities show that vibrational spectroscopy may provide the best opportunity for locating the hydrogen bond symmetrization transition experimentally. We find that ε-FeOOH is highly anisotropic in both longitudinal- and shear-wave velocities at all pressures, with the shear wave velocity varying with propagation and polarization direction by as much as 24% at zero pressure and 43% at 46 GPa. The shear and bulk elastic moduli increase by 18% across the high-spin to low-spin transition.","author":[{"dropping-particle":"","family":"Insixiengmay","given":"Leslie","non-dropping-particle":"","parse-names":false,"suffix":""},{"dropping-particle":"","family":"Stixrude","given":"Lars","non-dropping-particle":"","parse-names":false,"suffix":""}],"container-title":"American Mineralogist","id":"ITEM-1","issue":"12","issued":{"date-parts":[["2023","12","1"]]},"page":"2209-2218","title":"Hydrogen bond symmetrization and high-spin to low-spin transition of ε-FeOOH at the pressure of Earth’s lower mantle","type":"article-journal","volume":"108"},"uris":["http://www.mendeley.com/documents/?uuid=a8e5a439-5d96-4917-b6c2-99c25f9c0ff5"]}],"mendeley":{"formattedCitation":"(Insixiengmay &amp; Stixrude, 2023)","manualFormatting":"Insixiengmay and Stixrude, 2023)","plainTextFormattedCitation":"(Insixiengmay &amp; Stixrude, 2023)","previouslyFormattedCitation":"(Insixiengmay &amp; Stixrude, 2023)"},"properties":{"noteIndex":0},"schema":"https://github.com/citation-style-language/schema/raw/master/csl-citation.json"}</w:instrText>
      </w:r>
      <w:r w:rsidRPr="1323D982">
        <w:rPr>
          <w:rFonts w:ascii="Times New Roman" w:hAnsi="Times New Roman" w:cs="Times New Roman"/>
          <w:sz w:val="22"/>
          <w:szCs w:val="22"/>
        </w:rPr>
        <w:fldChar w:fldCharType="separate"/>
      </w:r>
      <w:r w:rsidRPr="1323D982">
        <w:rPr>
          <w:rFonts w:ascii="Times New Roman" w:hAnsi="Times New Roman" w:cs="Times New Roman"/>
          <w:noProof/>
          <w:sz w:val="22"/>
          <w:szCs w:val="22"/>
        </w:rPr>
        <w:t>Insixiengmay and Stixrude, 2023)</w:t>
      </w:r>
      <w:r w:rsidRPr="1323D982">
        <w:rPr>
          <w:rFonts w:ascii="Times New Roman" w:hAnsi="Times New Roman" w:cs="Times New Roman"/>
          <w:sz w:val="22"/>
          <w:szCs w:val="22"/>
        </w:rPr>
        <w:fldChar w:fldCharType="end"/>
      </w:r>
      <w:r w:rsidRPr="1323D982">
        <w:rPr>
          <w:rFonts w:ascii="Times New Roman" w:hAnsi="Times New Roman" w:cs="Times New Roman"/>
          <w:color w:val="000000" w:themeColor="text1"/>
          <w:sz w:val="22"/>
          <w:szCs w:val="22"/>
        </w:rPr>
        <w:t xml:space="preserve">. In addition to the IR measurements, our XRD data </w:t>
      </w:r>
      <w:r w:rsidR="007B5F08" w:rsidRPr="007B5F08">
        <w:rPr>
          <w:rFonts w:ascii="Times New Roman" w:hAnsi="Times New Roman" w:cs="Times New Roman"/>
          <w:color w:val="000000" w:themeColor="text1"/>
          <w:sz w:val="22"/>
          <w:szCs w:val="22"/>
        </w:rPr>
        <w:t>collected during decompression</w:t>
      </w:r>
      <w:r w:rsidRPr="1323D982">
        <w:rPr>
          <w:rFonts w:ascii="Times New Roman" w:hAnsi="Times New Roman" w:cs="Times New Roman"/>
          <w:color w:val="000000" w:themeColor="text1"/>
          <w:sz w:val="22"/>
          <w:szCs w:val="22"/>
        </w:rPr>
        <w:t xml:space="preserve"> did not support any density decrease, indicating that there is no dehydrogenation in ε-FeOOH as </w:t>
      </w:r>
      <w:r w:rsidR="00557388">
        <w:rPr>
          <w:rFonts w:ascii="Times New Roman" w:hAnsi="Times New Roman" w:cs="Times New Roman" w:hint="eastAsia"/>
          <w:color w:val="000000" w:themeColor="text1"/>
          <w:sz w:val="22"/>
          <w:szCs w:val="22"/>
        </w:rPr>
        <w:t>reported in previous</w:t>
      </w:r>
      <w:r w:rsidRPr="1323D982">
        <w:rPr>
          <w:rFonts w:ascii="Times New Roman" w:hAnsi="Times New Roman" w:cs="Times New Roman"/>
          <w:color w:val="000000" w:themeColor="text1"/>
          <w:sz w:val="22"/>
          <w:szCs w:val="22"/>
        </w:rPr>
        <w:t xml:space="preserve"> studies </w:t>
      </w:r>
      <w:r w:rsidRPr="1323D982">
        <w:rPr>
          <w:rFonts w:ascii="Times New Roman" w:hAnsi="Times New Roman" w:cs="Times New Roman"/>
          <w:color w:val="000000" w:themeColor="text1"/>
          <w:sz w:val="22"/>
          <w:szCs w:val="22"/>
        </w:rPr>
        <w:fldChar w:fldCharType="begin" w:fldLock="1"/>
      </w:r>
      <w:r w:rsidRPr="1323D982">
        <w:rPr>
          <w:rFonts w:ascii="Times New Roman" w:hAnsi="Times New Roman" w:cs="Times New Roman"/>
          <w:color w:val="000000" w:themeColor="text1"/>
          <w:sz w:val="22"/>
          <w:szCs w:val="22"/>
        </w:rPr>
        <w:instrText>ADDIN CSL_CITATION {"citationItems":[{"id":"ITEM-1","itemData":{"DOI":"10.1029/2010GL045860","ISBN":"0094-8276","ISSN":"00948276","abstract":"Brillouin scattering from polycrystalline MgO (periclase) non-hydrostatically compressed to, and decompressed from, 60 GPa at room temperature documents shearand compressional-wave velocities similar to 20% lower than values measured under hydrostatic compression. Calculations reveal that wave velocities can be lowered due to the elastic effects of non-hydrostatic stresses, but by only a few percent. Neither these elastic effects nor preferred orientation can account for the reduction in the sound velocity. Citation: Gleason, A. E., H. Marquardt, B. Chen, S. Speziale, J. Wu, and R. Jeanloz (2011), Anomalous sound velocities in polycrystalline MgO under non-hydrostatic compression, Geophys. Res. Lett., 38, L03304, doi: 10.1029/2010GL045860.","author":[{"dropping-particle":"","family":"Gleason","given":"A. E.","non-dropping-particle":"","parse-names":false,"suffix":""},{"dropping-particle":"","family":"Marquardt","given":"H.","non-dropping-particle":"","parse-names":false,"suffix":""},{"dropping-particle":"","family":"Chen","given":"B.","non-dropping-particle":"","parse-names":false,"suffix":""},{"dropping-particle":"","family":"Speziale","given":"S.","non-dropping-particle":"","parse-names":false,"suffix":""},{"dropping-particle":"","family":"Wu","given":"J.","non-dropping-particle":"","parse-names":false,"suffix":""},{"dropping-particle":"","family":"Jeanloz","given":"R.","non-dropping-particle":"","parse-names":false,"suffix":""}],"container-title":"Geophysical Research Letters","id":"ITEM-1","issue":"3","issued":{"date-parts":[["2011"]]},"page":"2-5","title":"Anomalous sound velocities in polycrystalline MgO under non-hydrostatic compression","type":"article-journal","volume":"38"},"uris":["http://www.mendeley.com/documents/?uuid=e1105512-510e-4d4e-b89d-2c56807f231a"]}],"mendeley":{"formattedCitation":"(Gleason et al., 2011)","manualFormatting":"(Gleason et al., 2011","plainTextFormattedCitation":"(Gleason et al., 2011)","previouslyFormattedCitation":"(Gleason et al., 2011)"},"properties":{"noteIndex":0},"schema":"https://github.com/citation-style-language/schema/raw/master/csl-citation.json"}</w:instrText>
      </w:r>
      <w:r w:rsidRPr="1323D982">
        <w:rPr>
          <w:rFonts w:ascii="Times New Roman" w:hAnsi="Times New Roman" w:cs="Times New Roman"/>
          <w:color w:val="000000" w:themeColor="text1"/>
          <w:sz w:val="22"/>
          <w:szCs w:val="22"/>
        </w:rPr>
        <w:fldChar w:fldCharType="separate"/>
      </w:r>
      <w:r w:rsidRPr="1323D982">
        <w:rPr>
          <w:rFonts w:ascii="Times New Roman" w:hAnsi="Times New Roman" w:cs="Times New Roman"/>
          <w:noProof/>
          <w:color w:val="000000" w:themeColor="text1"/>
          <w:sz w:val="22"/>
          <w:szCs w:val="22"/>
        </w:rPr>
        <w:t>(Gleason et al., 2011</w:t>
      </w:r>
      <w:r w:rsidRPr="1323D982">
        <w:rPr>
          <w:rFonts w:ascii="Times New Roman" w:hAnsi="Times New Roman" w:cs="Times New Roman"/>
          <w:color w:val="000000" w:themeColor="text1"/>
          <w:sz w:val="22"/>
          <w:szCs w:val="22"/>
        </w:rPr>
        <w:fldChar w:fldCharType="end"/>
      </w:r>
      <w:r w:rsidRPr="1323D982">
        <w:rPr>
          <w:rFonts w:ascii="Times New Roman" w:hAnsi="Times New Roman" w:cs="Times New Roman"/>
          <w:color w:val="000000" w:themeColor="text1"/>
          <w:sz w:val="22"/>
          <w:szCs w:val="22"/>
        </w:rPr>
        <w:t xml:space="preserve">; </w:t>
      </w:r>
      <w:r w:rsidRPr="1323D982">
        <w:rPr>
          <w:rFonts w:ascii="Times New Roman" w:hAnsi="Times New Roman" w:cs="Times New Roman"/>
          <w:color w:val="000000" w:themeColor="text1"/>
          <w:sz w:val="22"/>
          <w:szCs w:val="22"/>
        </w:rPr>
        <w:fldChar w:fldCharType="begin" w:fldLock="1"/>
      </w:r>
      <w:r w:rsidRPr="1323D982">
        <w:rPr>
          <w:rFonts w:ascii="Times New Roman" w:hAnsi="Times New Roman" w:cs="Times New Roman"/>
          <w:color w:val="000000" w:themeColor="text1"/>
          <w:sz w:val="22"/>
          <w:szCs w:val="22"/>
        </w:rPr>
        <w:instrText>ADDIN CSL_CITATION {"citationItems":[{"id":"ITEM-1","itemData":{"DOI":"10.1016/j.epsl.2013.08.012","ISSN":"0012821X","author":[{"dropping-particle":"","family":"Gleason","given":"A.E.","non-dropping-particle":"","parse-names":false,"suffix":""},{"dropping-particle":"","family":"Quiroga","given":"C.E.","non-dropping-particle":"","parse-names":false,"suffix":""},{"dropping-particle":"","family":"Suzuki","given":"A.","non-dropping-particle":"","parse-names":false,"suffix":""},{"dropping-particle":"","family":"Pentcheva","given":"R.","non-dropping-particle":"","parse-names":false,"suffix":""},{"dropping-particle":"","family":"Mao","given":"W.L.","non-dropping-particle":"","parse-names":false,"suffix":""}],"container-title":"Earth and Planetary Science Letters","id":"ITEM-1","issued":{"date-parts":[["2013","10"]]},"page":"49-55","title":"Symmetrization driven spin transition in ε-FeOOH at high pressure","type":"article-journal","volume":"379"},"uris":["http://www.mendeley.com/documents/?uuid=8227d837-d687-499b-9f5f-9fe3c2adeb66"]}],"mendeley":{"formattedCitation":"(Gleason et al., 2013)","manualFormatting":"Gleason et al., 2013","plainTextFormattedCitation":"(Gleason et al., 2013)","previouslyFormattedCitation":"(Gleason et al., 2013)"},"properties":{"noteIndex":0},"schema":"https://github.com/citation-style-language/schema/raw/master/csl-citation.json"}</w:instrText>
      </w:r>
      <w:r w:rsidRPr="1323D982">
        <w:rPr>
          <w:rFonts w:ascii="Times New Roman" w:hAnsi="Times New Roman" w:cs="Times New Roman"/>
          <w:color w:val="000000" w:themeColor="text1"/>
          <w:sz w:val="22"/>
          <w:szCs w:val="22"/>
        </w:rPr>
        <w:fldChar w:fldCharType="separate"/>
      </w:r>
      <w:r w:rsidRPr="1323D982">
        <w:rPr>
          <w:rFonts w:ascii="Times New Roman" w:hAnsi="Times New Roman" w:cs="Times New Roman"/>
          <w:noProof/>
          <w:color w:val="000000" w:themeColor="text1"/>
          <w:sz w:val="22"/>
          <w:szCs w:val="22"/>
        </w:rPr>
        <w:t>Gleason et al., 2013</w:t>
      </w:r>
      <w:r w:rsidRPr="1323D982">
        <w:rPr>
          <w:rFonts w:ascii="Times New Roman" w:hAnsi="Times New Roman" w:cs="Times New Roman"/>
          <w:color w:val="000000" w:themeColor="text1"/>
          <w:sz w:val="22"/>
          <w:szCs w:val="22"/>
        </w:rPr>
        <w:fldChar w:fldCharType="end"/>
      </w:r>
      <w:r w:rsidRPr="1323D982">
        <w:rPr>
          <w:rFonts w:ascii="Times New Roman" w:hAnsi="Times New Roman" w:cs="Times New Roman"/>
          <w:sz w:val="22"/>
          <w:szCs w:val="22"/>
        </w:rPr>
        <w:t xml:space="preserve">; </w:t>
      </w:r>
      <w:r w:rsidRPr="1323D982">
        <w:rPr>
          <w:rFonts w:ascii="Times New Roman" w:hAnsi="Times New Roman" w:cs="Times New Roman"/>
          <w:sz w:val="22"/>
          <w:szCs w:val="22"/>
        </w:rPr>
        <w:fldChar w:fldCharType="begin" w:fldLock="1"/>
      </w:r>
      <w:r w:rsidRPr="1323D982">
        <w:rPr>
          <w:rFonts w:ascii="Times New Roman" w:hAnsi="Times New Roman" w:cs="Times New Roman"/>
          <w:sz w:val="22"/>
          <w:szCs w:val="22"/>
        </w:rPr>
        <w:instrText>ADDIN CSL_CITATION {"citationItems":[{"id":"ITEM-1","itemData":{"DOI":"10.1007/s00269-009-0319-x","ISSN":"0342-1791","author":[{"dropping-particle":"","family":"Suzuki","given":"Akio","non-dropping-particle":"","parse-names":false,"suffix":""}],"container-title":"Physics and Chemistry of Minerals","id":"ITEM-1","issue":"3","issued":{"date-parts":[["2010","3","26"]]},"page":"153-157","title":"High-pressure X-ray diffraction study of ε-FeOOH","type":"article-journal","volume":"37"},"uris":["http://www.mendeley.com/documents/?uuid=61f8e715-566b-4453-9991-c1824ccc03c5"]}],"mendeley":{"formattedCitation":"(Akio Suzuki, 2010)","manualFormatting":"Suzuki, 2010","plainTextFormattedCitation":"(Akio Suzuki, 2010)","previouslyFormattedCitation":"(Akio Suzuki, 2010)"},"properties":{"noteIndex":0},"schema":"https://github.com/citation-style-language/schema/raw/master/csl-citation.json"}</w:instrText>
      </w:r>
      <w:r w:rsidRPr="1323D982">
        <w:rPr>
          <w:rFonts w:ascii="Times New Roman" w:hAnsi="Times New Roman" w:cs="Times New Roman"/>
          <w:sz w:val="22"/>
          <w:szCs w:val="22"/>
        </w:rPr>
        <w:fldChar w:fldCharType="separate"/>
      </w:r>
      <w:r w:rsidRPr="1323D982">
        <w:rPr>
          <w:rFonts w:ascii="Times New Roman" w:hAnsi="Times New Roman" w:cs="Times New Roman"/>
          <w:noProof/>
          <w:sz w:val="22"/>
          <w:szCs w:val="22"/>
        </w:rPr>
        <w:t>Suzuki, 2010</w:t>
      </w:r>
      <w:r w:rsidRPr="1323D982">
        <w:rPr>
          <w:rFonts w:ascii="Times New Roman" w:hAnsi="Times New Roman" w:cs="Times New Roman"/>
          <w:sz w:val="22"/>
          <w:szCs w:val="22"/>
        </w:rPr>
        <w:fldChar w:fldCharType="end"/>
      </w:r>
      <w:r w:rsidRPr="1323D982">
        <w:rPr>
          <w:rFonts w:ascii="Times New Roman" w:hAnsi="Times New Roman" w:cs="Times New Roman"/>
          <w:sz w:val="22"/>
          <w:szCs w:val="22"/>
        </w:rPr>
        <w:t xml:space="preserve">; </w:t>
      </w:r>
      <w:r w:rsidRPr="1323D982">
        <w:rPr>
          <w:rFonts w:ascii="Times New Roman" w:hAnsi="Times New Roman" w:cs="Times New Roman"/>
          <w:sz w:val="22"/>
          <w:szCs w:val="22"/>
        </w:rPr>
        <w:fldChar w:fldCharType="begin" w:fldLock="1"/>
      </w:r>
      <w:r w:rsidRPr="1323D982">
        <w:rPr>
          <w:rFonts w:ascii="Times New Roman" w:hAnsi="Times New Roman" w:cs="Times New Roman"/>
          <w:sz w:val="22"/>
          <w:szCs w:val="22"/>
        </w:rPr>
        <w:instrText>ADDIN CSL_CITATION {"citationItems":[{"id":"ITEM-1","itemData":{"DOI":"10.2465/jmps.160719c","ISSN":"1345-6296","author":[{"dropping-particle":"","family":"Suzuki","given":"Akio","non-dropping-particle":"","parse-names":false,"suffix":""}],"container-title":"Journal of Mineralogical and Petrological Sciences","id":"ITEM-1","issue":"6","issued":{"date-parts":[["2016"]]},"page":"420-424","title":"Pressure–volume–temperature equation of state of ε–FeOOH to 11 GPa and 700 K","type":"article-journal","volume":"111"},"uris":["http://www.mendeley.com/documents/?uuid=21e0735e-7f1e-4395-837d-b3784e3054e7"]}],"mendeley":{"formattedCitation":"(Akio Suzuki, 2016)","manualFormatting":"2016","plainTextFormattedCitation":"(Akio Suzuki, 2016)","previouslyFormattedCitation":"(Akio Suzuki, 2016)"},"properties":{"noteIndex":0},"schema":"https://github.com/citation-style-language/schema/raw/master/csl-citation.json"}</w:instrText>
      </w:r>
      <w:r w:rsidRPr="1323D982">
        <w:rPr>
          <w:rFonts w:ascii="Times New Roman" w:hAnsi="Times New Roman" w:cs="Times New Roman"/>
          <w:sz w:val="22"/>
          <w:szCs w:val="22"/>
        </w:rPr>
        <w:fldChar w:fldCharType="separate"/>
      </w:r>
      <w:r w:rsidRPr="1323D982">
        <w:rPr>
          <w:rFonts w:ascii="Times New Roman" w:hAnsi="Times New Roman" w:cs="Times New Roman"/>
          <w:noProof/>
          <w:sz w:val="22"/>
          <w:szCs w:val="22"/>
        </w:rPr>
        <w:t>2016</w:t>
      </w:r>
      <w:r w:rsidRPr="1323D982">
        <w:rPr>
          <w:rFonts w:ascii="Times New Roman" w:hAnsi="Times New Roman" w:cs="Times New Roman"/>
          <w:sz w:val="22"/>
          <w:szCs w:val="22"/>
        </w:rPr>
        <w:fldChar w:fldCharType="end"/>
      </w:r>
      <w:r w:rsidRPr="1323D982">
        <w:rPr>
          <w:rFonts w:ascii="Times New Roman" w:hAnsi="Times New Roman" w:cs="Times New Roman"/>
          <w:sz w:val="22"/>
          <w:szCs w:val="22"/>
        </w:rPr>
        <w:t xml:space="preserve">; </w:t>
      </w:r>
      <w:r w:rsidRPr="1323D982">
        <w:rPr>
          <w:rFonts w:ascii="Times New Roman" w:hAnsi="Times New Roman" w:cs="Times New Roman"/>
          <w:sz w:val="22"/>
          <w:szCs w:val="22"/>
        </w:rPr>
        <w:fldChar w:fldCharType="begin" w:fldLock="1"/>
      </w:r>
      <w:r w:rsidRPr="1323D982">
        <w:rPr>
          <w:rFonts w:ascii="Times New Roman" w:hAnsi="Times New Roman" w:cs="Times New Roman"/>
          <w:sz w:val="22"/>
          <w:szCs w:val="22"/>
        </w:rPr>
        <w:instrText>ADDIN CSL_CITATION {"citationItems":[{"id":"ITEM-1","itemData":{"DOI":"10.2465/jmps.181115b","ISSN":"1345-6296","author":[{"dropping-particle":"","family":"Ikeda","given":"Osamu","non-dropping-particle":"","parse-names":false,"suffix":""},{"dropping-particle":"","family":"Sakamaki","given":"Tatsuya","non-dropping-particle":"","parse-names":false,"suffix":""},{"dropping-particle":"","family":"Ohashi","given":"Tomonori","non-dropping-particle":"","parse-names":false,"suffix":""},{"dropping-particle":"","family":"Goto","given":"Masahisa","non-dropping-particle":"","parse-names":false,"suffix":""},{"dropping-particle":"","family":"Higo","given":"Yuji","non-dropping-particle":"","parse-names":false,"suffix":""},{"dropping-particle":"","family":"SuzukiI","given":"Akio","non-dropping-particle":"","parse-names":false,"suffix":""}],"container-title":"Journal of Mineralogical and Petrological Sciences","id":"ITEM-1","issue":"3","issued":{"date-parts":[["2019"]]},"page":"155-160","title":"Sound velocity measurements of ε–FeOOH up to 24 GPa","type":"article-journal","volume":"114"},"uris":["http://www.mendeley.com/documents/?uuid=e494a559-2cfe-46d4-a4bc-976d0bf48e5e"]}],"mendeley":{"formattedCitation":"(Ikeda et al., 2019)","manualFormatting":"Ikeda et al., 2019","plainTextFormattedCitation":"(Ikeda et al., 2019)","previouslyFormattedCitation":"(Ikeda et al., 2019)"},"properties":{"noteIndex":0},"schema":"https://github.com/citation-style-language/schema/raw/master/csl-citation.json"}</w:instrText>
      </w:r>
      <w:r w:rsidRPr="1323D982">
        <w:rPr>
          <w:rFonts w:ascii="Times New Roman" w:hAnsi="Times New Roman" w:cs="Times New Roman"/>
          <w:sz w:val="22"/>
          <w:szCs w:val="22"/>
        </w:rPr>
        <w:fldChar w:fldCharType="separate"/>
      </w:r>
      <w:r w:rsidRPr="1323D982">
        <w:rPr>
          <w:rFonts w:ascii="Times New Roman" w:hAnsi="Times New Roman" w:cs="Times New Roman"/>
          <w:noProof/>
          <w:sz w:val="22"/>
          <w:szCs w:val="22"/>
        </w:rPr>
        <w:t xml:space="preserve">Ikeda et al., </w:t>
      </w:r>
      <w:r w:rsidRPr="1323D982">
        <w:rPr>
          <w:rFonts w:ascii="Times New Roman" w:hAnsi="Times New Roman" w:cs="Times New Roman"/>
          <w:noProof/>
          <w:sz w:val="22"/>
          <w:szCs w:val="22"/>
        </w:rPr>
        <w:lastRenderedPageBreak/>
        <w:t>2019</w:t>
      </w:r>
      <w:r w:rsidRPr="1323D982">
        <w:rPr>
          <w:rFonts w:ascii="Times New Roman" w:hAnsi="Times New Roman" w:cs="Times New Roman"/>
          <w:sz w:val="22"/>
          <w:szCs w:val="22"/>
        </w:rPr>
        <w:fldChar w:fldCharType="end"/>
      </w:r>
      <w:r w:rsidRPr="1323D982">
        <w:rPr>
          <w:rFonts w:ascii="Times New Roman" w:hAnsi="Times New Roman" w:cs="Times New Roman"/>
          <w:sz w:val="22"/>
          <w:szCs w:val="22"/>
        </w:rPr>
        <w:t>;</w:t>
      </w:r>
      <w:r w:rsidRPr="1323D982">
        <w:rPr>
          <w:rFonts w:ascii="Times New Roman" w:hAnsi="Times New Roman" w:cs="Times New Roman"/>
          <w:color w:val="000000" w:themeColor="text1"/>
          <w:sz w:val="22"/>
          <w:szCs w:val="22"/>
        </w:rPr>
        <w:t xml:space="preserve"> </w:t>
      </w:r>
      <w:r w:rsidRPr="1323D982">
        <w:rPr>
          <w:rFonts w:ascii="Times New Roman" w:hAnsi="Times New Roman" w:cs="Times New Roman"/>
          <w:color w:val="000000" w:themeColor="text1"/>
          <w:sz w:val="22"/>
          <w:szCs w:val="22"/>
        </w:rPr>
        <w:fldChar w:fldCharType="begin" w:fldLock="1"/>
      </w:r>
      <w:r w:rsidRPr="1323D982">
        <w:rPr>
          <w:rFonts w:ascii="Times New Roman" w:hAnsi="Times New Roman" w:cs="Times New Roman"/>
          <w:color w:val="000000" w:themeColor="text1"/>
          <w:sz w:val="22"/>
          <w:szCs w:val="22"/>
        </w:rPr>
        <w:instrText>ADDIN CSL_CITATION {"citationItems":[{"id":"ITEM-1","itemData":{"DOI":"10.2138/am-2020-7468","ISSN":"0003-004X","abstract":"Constraining the accommodation, distribution, and circulation of hydrogen in the Earth's interior is vital to our broader understanding of the deep Earth due to the significant influence of hydrogen on the material and rheological properties of minerals. Recently, a great deal of attention has been paid to the high-pressure polymorphs of FeOOH (space groups P21nm and Pnnm). These structures potentially form a hydrogen-bearing solid solution with AlOOH and phase H (MgSiO4H2) that may transport water (OH–) deep into the Earth's lower mantle. Additionally, the pyrite-type polymorph (space group Pa3 of FeOOH), and its potential dehydration have been linked to phenomena as diverse as the introduction of hydrogen into the outer core (Nishi et al. 2017), the formation of ultralow-velocity zones (ULVZs) (Liu et al. 2017), and the Great Oxidation Event (Hu et al. 2016). In this study, the high-pressure evolution of FeOOH was re-evaluated up to ~75 GPa using a combination of synchrotron-based X-ray diffraction (XRD), Fourier transform infrared spectroscopy (FTIR), and optical absorption spectroscopy. Based on these measurements, we report three principal findings: (1) pressure-induced changes in hydrogen bonding (proton disordering or hydrogen bond symmetrization) occur at substantially lower pressures in ε-FeOOH than previously reported and are unlikely to be linked to the high-spin to low-spin transition; (2) ε-FeOOH undergoes a 10% volume collapse coincident with an isostructural Pnnm → Pnnm transition at approximately 45 GPa; and (3) a pressure-induced band gap reduction is observed in FeOOH at pressures consistent with the previously reported spin transition (40 to 50 GPa).","author":[{"dropping-particle":"","family":"Thompson","given":"Elizabeth C.","non-dropping-particle":"","parse-names":false,"suffix":""},{"dropping-particle":"","family":"Davis","given":"Anne H.","non-dropping-particle":"","parse-names":false,"suffix":""},{"dropping-particle":"","family":"Brauser","given":"Nigel M.","non-dropping-particle":"","parse-names":false,"suffix":""},{"dropping-particle":"","family":"Liu","given":"Zhenxian","non-dropping-particle":"","parse-names":false,"suffix":""},{"dropping-particle":"","family":"Prakapenka","given":"Vitali B.","non-dropping-particle":"","parse-names":false,"suffix":""},{"dropping-particle":"","family":"Campbell","given":"Andrew J.","non-dropping-particle":"","parse-names":false,"suffix":""}],"container-title":"American Mineralogist","id":"ITEM-1","issue":"12","issued":{"date-parts":[["2020","12","1"]]},"page":"1769-1777","title":"Phase transitions in ε-FeOOH at high pressure and ambient temperature","type":"article-journal","volume":"105"},"uris":["http://www.mendeley.com/documents/?uuid=4b0537b0-1900-4198-bfc6-8a10795c4dd8"]}],"mendeley":{"formattedCitation":"(Thompson et al., 2020)","manualFormatting":"Thompson et al., 2020)","plainTextFormattedCitation":"(Thompson et al., 2020)","previouslyFormattedCitation":"(Thompson et al., 2020)"},"properties":{"noteIndex":0},"schema":"https://github.com/citation-style-language/schema/raw/master/csl-citation.json"}</w:instrText>
      </w:r>
      <w:r w:rsidRPr="1323D982">
        <w:rPr>
          <w:rFonts w:ascii="Times New Roman" w:hAnsi="Times New Roman" w:cs="Times New Roman"/>
          <w:color w:val="000000" w:themeColor="text1"/>
          <w:sz w:val="22"/>
          <w:szCs w:val="22"/>
        </w:rPr>
        <w:fldChar w:fldCharType="separate"/>
      </w:r>
      <w:r w:rsidRPr="1323D982">
        <w:rPr>
          <w:rFonts w:ascii="Times New Roman" w:hAnsi="Times New Roman" w:cs="Times New Roman"/>
          <w:noProof/>
          <w:color w:val="000000" w:themeColor="text1"/>
          <w:sz w:val="22"/>
          <w:szCs w:val="22"/>
        </w:rPr>
        <w:t>Thompson et al., 2020)</w:t>
      </w:r>
      <w:r w:rsidRPr="1323D982">
        <w:rPr>
          <w:rFonts w:ascii="Times New Roman" w:hAnsi="Times New Roman" w:cs="Times New Roman"/>
          <w:color w:val="000000" w:themeColor="text1"/>
          <w:sz w:val="22"/>
          <w:szCs w:val="22"/>
        </w:rPr>
        <w:fldChar w:fldCharType="end"/>
      </w:r>
      <w:r w:rsidRPr="1323D982">
        <w:rPr>
          <w:rFonts w:ascii="Times New Roman" w:hAnsi="Times New Roman" w:cs="Times New Roman"/>
          <w:color w:val="000000" w:themeColor="text1"/>
          <w:sz w:val="22"/>
          <w:szCs w:val="22"/>
        </w:rPr>
        <w:t>.</w:t>
      </w:r>
    </w:p>
    <w:p w14:paraId="23771905" w14:textId="2C00B04E" w:rsidR="008809C8" w:rsidRPr="009601E6" w:rsidRDefault="20C014F7" w:rsidP="003341BB">
      <w:pPr>
        <w:pStyle w:val="Abstract"/>
        <w:spacing w:line="259" w:lineRule="auto"/>
        <w:rPr>
          <w:rFonts w:ascii="Times New Roman" w:hAnsi="Times New Roman" w:cs="Times New Roman"/>
          <w:sz w:val="22"/>
          <w:szCs w:val="22"/>
        </w:rPr>
      </w:pPr>
      <w:r w:rsidRPr="1323D982">
        <w:rPr>
          <w:rFonts w:ascii="Times New Roman" w:hAnsi="Times New Roman" w:cs="Times New Roman"/>
          <w:sz w:val="22"/>
          <w:szCs w:val="22"/>
        </w:rPr>
        <w:t xml:space="preserve">The LS state </w:t>
      </w:r>
      <w:proofErr w:type="gramStart"/>
      <w:r w:rsidRPr="1323D982">
        <w:rPr>
          <w:rFonts w:ascii="Times New Roman" w:hAnsi="Times New Roman" w:cs="Times New Roman"/>
          <w:sz w:val="22"/>
          <w:szCs w:val="22"/>
        </w:rPr>
        <w:t>is supported</w:t>
      </w:r>
      <w:proofErr w:type="gramEnd"/>
      <w:r w:rsidRPr="1323D982">
        <w:rPr>
          <w:rFonts w:ascii="Times New Roman" w:hAnsi="Times New Roman" w:cs="Times New Roman"/>
          <w:sz w:val="22"/>
          <w:szCs w:val="22"/>
        </w:rPr>
        <w:t xml:space="preserve"> by the </w:t>
      </w:r>
      <w:r w:rsidRPr="1323D982">
        <w:rPr>
          <w:rFonts w:ascii="Times New Roman" w:eastAsia="Times New Roman" w:hAnsi="Times New Roman" w:cs="Times New Roman"/>
          <w:sz w:val="22"/>
          <w:szCs w:val="22"/>
        </w:rPr>
        <w:t>Mössbauer measurement</w:t>
      </w:r>
      <w:r w:rsidRPr="1323D982">
        <w:rPr>
          <w:rFonts w:ascii="Times New Roman" w:hAnsi="Times New Roman" w:cs="Times New Roman"/>
          <w:sz w:val="22"/>
          <w:szCs w:val="22"/>
        </w:rPr>
        <w:t xml:space="preserve">. </w:t>
      </w:r>
      <w:r w:rsidR="474084D7" w:rsidRPr="1323D982">
        <w:rPr>
          <w:rFonts w:ascii="Times New Roman" w:eastAsia="Times New Roman" w:hAnsi="Times New Roman" w:cs="Times New Roman"/>
          <w:sz w:val="22"/>
          <w:szCs w:val="22"/>
        </w:rPr>
        <w:t xml:space="preserve">To confirm the LS state, we also conducted high-pressure energy-domain synchrotron </w:t>
      </w:r>
      <w:r w:rsidR="474084D7" w:rsidRPr="1323D982">
        <w:rPr>
          <w:rFonts w:ascii="Times New Roman" w:eastAsia="Times New Roman" w:hAnsi="Times New Roman" w:cs="Times New Roman"/>
          <w:sz w:val="22"/>
          <w:szCs w:val="22"/>
          <w:vertAlign w:val="superscript"/>
        </w:rPr>
        <w:t>57</w:t>
      </w:r>
      <w:r w:rsidR="474084D7" w:rsidRPr="1323D982">
        <w:rPr>
          <w:rFonts w:ascii="Times New Roman" w:eastAsia="Times New Roman" w:hAnsi="Times New Roman" w:cs="Times New Roman"/>
          <w:sz w:val="22"/>
          <w:szCs w:val="22"/>
        </w:rPr>
        <w:t xml:space="preserve">Fe Mössbauer source (SMS) spectroscopic measurement at BL11XU of SPring-8 (Mitsui et al. 2009). SMS is based on a pure </w:t>
      </w:r>
      <w:r w:rsidR="474084D7" w:rsidRPr="1323D982">
        <w:rPr>
          <w:rFonts w:ascii="Times New Roman" w:eastAsia="Times New Roman" w:hAnsi="Times New Roman" w:cs="Times New Roman"/>
          <w:sz w:val="22"/>
          <w:szCs w:val="22"/>
          <w:vertAlign w:val="superscript"/>
        </w:rPr>
        <w:t>57</w:t>
      </w:r>
      <w:r w:rsidR="474084D7" w:rsidRPr="1323D982">
        <w:rPr>
          <w:rFonts w:ascii="Times New Roman" w:eastAsia="Times New Roman" w:hAnsi="Times New Roman" w:cs="Times New Roman"/>
          <w:sz w:val="22"/>
          <w:szCs w:val="22"/>
        </w:rPr>
        <w:t>FeBO</w:t>
      </w:r>
      <w:r w:rsidR="474084D7" w:rsidRPr="1323D982">
        <w:rPr>
          <w:rFonts w:ascii="Times New Roman" w:eastAsia="Times New Roman" w:hAnsi="Times New Roman" w:cs="Times New Roman"/>
          <w:sz w:val="22"/>
          <w:szCs w:val="22"/>
          <w:vertAlign w:val="subscript"/>
        </w:rPr>
        <w:t>3</w:t>
      </w:r>
      <w:r w:rsidR="474084D7" w:rsidRPr="1323D982">
        <w:rPr>
          <w:rFonts w:ascii="Times New Roman" w:eastAsia="Times New Roman" w:hAnsi="Times New Roman" w:cs="Times New Roman"/>
          <w:sz w:val="22"/>
          <w:szCs w:val="22"/>
        </w:rPr>
        <w:t xml:space="preserve"> (111) monochromator, which via nuclear Bragg reflections provides neV energy resolution allowing the study of the Mössbauer effect on small specimen in a DAC. The Doppler velocity scales </w:t>
      </w:r>
      <w:proofErr w:type="gramStart"/>
      <w:r w:rsidR="474084D7" w:rsidRPr="1323D982">
        <w:rPr>
          <w:rFonts w:ascii="Times New Roman" w:eastAsia="Times New Roman" w:hAnsi="Times New Roman" w:cs="Times New Roman"/>
          <w:sz w:val="22"/>
          <w:szCs w:val="22"/>
        </w:rPr>
        <w:t>were calibrated</w:t>
      </w:r>
      <w:proofErr w:type="gramEnd"/>
      <w:r w:rsidR="474084D7" w:rsidRPr="1323D982">
        <w:rPr>
          <w:rFonts w:ascii="Times New Roman" w:eastAsia="Times New Roman" w:hAnsi="Times New Roman" w:cs="Times New Roman"/>
          <w:sz w:val="22"/>
          <w:szCs w:val="22"/>
        </w:rPr>
        <w:t xml:space="preserve"> using a </w:t>
      </w:r>
      <w:proofErr w:type="gramStart"/>
      <w:r w:rsidR="474084D7" w:rsidRPr="1323D982">
        <w:rPr>
          <w:rFonts w:ascii="Times New Roman" w:eastAsia="Times New Roman" w:hAnsi="Times New Roman" w:cs="Times New Roman"/>
          <w:sz w:val="22"/>
          <w:szCs w:val="22"/>
        </w:rPr>
        <w:t>2</w:t>
      </w:r>
      <w:proofErr w:type="gramEnd"/>
      <w:r w:rsidR="474084D7" w:rsidRPr="1323D982">
        <w:rPr>
          <w:rFonts w:ascii="Times New Roman" w:eastAsia="Times New Roman" w:hAnsi="Times New Roman" w:cs="Times New Roman"/>
          <w:sz w:val="22"/>
          <w:szCs w:val="22"/>
        </w:rPr>
        <w:t xml:space="preserve"> μm thick piece of α-</w:t>
      </w:r>
      <w:r w:rsidR="474084D7" w:rsidRPr="1323D982">
        <w:rPr>
          <w:rFonts w:ascii="Times New Roman" w:eastAsia="Times New Roman" w:hAnsi="Times New Roman" w:cs="Times New Roman"/>
          <w:sz w:val="22"/>
          <w:szCs w:val="22"/>
          <w:vertAlign w:val="superscript"/>
        </w:rPr>
        <w:t>57</w:t>
      </w:r>
      <w:r w:rsidR="474084D7" w:rsidRPr="1323D982">
        <w:rPr>
          <w:rFonts w:ascii="Times New Roman" w:eastAsia="Times New Roman" w:hAnsi="Times New Roman" w:cs="Times New Roman"/>
          <w:sz w:val="22"/>
          <w:szCs w:val="22"/>
        </w:rPr>
        <w:t xml:space="preserve">Fe foil under ambient conditions. </w:t>
      </w:r>
      <w:r w:rsidR="00F33989" w:rsidRPr="00F33989">
        <w:rPr>
          <w:rFonts w:ascii="Times New Roman" w:eastAsia="Times New Roman" w:hAnsi="Times New Roman" w:cs="Times New Roman"/>
          <w:sz w:val="22"/>
          <w:szCs w:val="22"/>
        </w:rPr>
        <w:t>The Mössbauer</w:t>
      </w:r>
      <w:r w:rsidR="474084D7" w:rsidRPr="1323D982">
        <w:rPr>
          <w:rFonts w:ascii="Times New Roman" w:eastAsia="Times New Roman" w:hAnsi="Times New Roman" w:cs="Times New Roman"/>
          <w:sz w:val="22"/>
          <w:szCs w:val="22"/>
        </w:rPr>
        <w:t xml:space="preserve"> spectrum at 5</w:t>
      </w:r>
      <w:r w:rsidR="0075480B">
        <w:rPr>
          <w:rFonts w:ascii="Times New Roman" w:hAnsi="Times New Roman" w:cs="Times New Roman" w:hint="eastAsia"/>
          <w:sz w:val="22"/>
          <w:szCs w:val="22"/>
        </w:rPr>
        <w:t>3</w:t>
      </w:r>
      <w:r w:rsidR="474084D7" w:rsidRPr="1323D982">
        <w:rPr>
          <w:rFonts w:ascii="Times New Roman" w:eastAsia="Times New Roman" w:hAnsi="Times New Roman" w:cs="Times New Roman"/>
          <w:color w:val="FF0000"/>
          <w:sz w:val="22"/>
          <w:szCs w:val="22"/>
        </w:rPr>
        <w:t xml:space="preserve"> </w:t>
      </w:r>
      <w:r w:rsidR="474084D7" w:rsidRPr="1323D982">
        <w:rPr>
          <w:rFonts w:ascii="Times New Roman" w:eastAsia="Times New Roman" w:hAnsi="Times New Roman" w:cs="Times New Roman"/>
          <w:sz w:val="22"/>
          <w:szCs w:val="22"/>
        </w:rPr>
        <w:t xml:space="preserve">GPa </w:t>
      </w:r>
      <w:proofErr w:type="gramStart"/>
      <w:r w:rsidR="00F33989" w:rsidRPr="00F33989">
        <w:rPr>
          <w:rFonts w:ascii="Times New Roman" w:eastAsia="Times New Roman" w:hAnsi="Times New Roman" w:cs="Times New Roman"/>
          <w:sz w:val="22"/>
          <w:szCs w:val="22"/>
        </w:rPr>
        <w:t>was collected</w:t>
      </w:r>
      <w:proofErr w:type="gramEnd"/>
      <w:r w:rsidR="00F33989" w:rsidRPr="00F33989">
        <w:rPr>
          <w:rFonts w:ascii="Times New Roman" w:eastAsia="Times New Roman" w:hAnsi="Times New Roman" w:cs="Times New Roman"/>
          <w:sz w:val="22"/>
          <w:szCs w:val="22"/>
        </w:rPr>
        <w:t xml:space="preserve"> from the same sample in the diamond anvil cell as used for</w:t>
      </w:r>
      <w:r w:rsidR="474084D7" w:rsidRPr="1323D982">
        <w:rPr>
          <w:rFonts w:ascii="Times New Roman" w:eastAsia="Times New Roman" w:hAnsi="Times New Roman" w:cs="Times New Roman"/>
          <w:sz w:val="22"/>
          <w:szCs w:val="22"/>
        </w:rPr>
        <w:t xml:space="preserve"> the Raman and XRD measurements. The obtained spectrum</w:t>
      </w:r>
      <w:r w:rsidR="00557388">
        <w:rPr>
          <w:rFonts w:ascii="Times New Roman" w:hAnsi="Times New Roman" w:cs="Times New Roman" w:hint="eastAsia"/>
          <w:sz w:val="22"/>
          <w:szCs w:val="22"/>
        </w:rPr>
        <w:t xml:space="preserve"> </w:t>
      </w:r>
      <w:proofErr w:type="gramStart"/>
      <w:r w:rsidR="00557388">
        <w:rPr>
          <w:rFonts w:ascii="Times New Roman" w:hAnsi="Times New Roman" w:cs="Times New Roman" w:hint="eastAsia"/>
          <w:sz w:val="22"/>
          <w:szCs w:val="22"/>
        </w:rPr>
        <w:t>was</w:t>
      </w:r>
      <w:r w:rsidR="474084D7" w:rsidRPr="1323D982">
        <w:rPr>
          <w:rFonts w:ascii="Times New Roman" w:eastAsia="Times New Roman" w:hAnsi="Times New Roman" w:cs="Times New Roman"/>
          <w:sz w:val="22"/>
          <w:szCs w:val="22"/>
        </w:rPr>
        <w:t xml:space="preserve"> fitted</w:t>
      </w:r>
      <w:proofErr w:type="gramEnd"/>
      <w:r w:rsidR="474084D7" w:rsidRPr="1323D982">
        <w:rPr>
          <w:rFonts w:ascii="Times New Roman" w:eastAsia="Times New Roman" w:hAnsi="Times New Roman" w:cs="Times New Roman"/>
          <w:sz w:val="22"/>
          <w:szCs w:val="22"/>
        </w:rPr>
        <w:t xml:space="preserve"> using the MossA software package (Prescher et al. 2012).</w:t>
      </w:r>
      <w:r w:rsidR="3F599FEF" w:rsidRPr="1323D982">
        <w:rPr>
          <w:rFonts w:ascii="Times New Roman" w:hAnsi="Times New Roman" w:cs="Times New Roman"/>
          <w:sz w:val="22"/>
          <w:szCs w:val="22"/>
        </w:rPr>
        <w:t xml:space="preserve"> </w:t>
      </w:r>
    </w:p>
    <w:p w14:paraId="42E782DC" w14:textId="73AF3C24" w:rsidR="00321DF0" w:rsidRPr="009601E6" w:rsidRDefault="00321DF0" w:rsidP="003341BB">
      <w:pPr>
        <w:pStyle w:val="Abstract"/>
        <w:spacing w:line="259" w:lineRule="auto"/>
        <w:rPr>
          <w:rFonts w:ascii="Times New Roman" w:hAnsi="Times New Roman" w:cs="Times New Roman"/>
          <w:sz w:val="22"/>
          <w:szCs w:val="22"/>
        </w:rPr>
      </w:pPr>
      <w:r w:rsidRPr="009601E6">
        <w:rPr>
          <w:rFonts w:ascii="Times New Roman" w:hAnsi="Times New Roman" w:cs="Times New Roman"/>
          <w:sz w:val="22"/>
          <w:szCs w:val="22"/>
        </w:rPr>
        <w:t>The</w:t>
      </w:r>
      <w:r w:rsidRPr="009601E6">
        <w:rPr>
          <w:rFonts w:ascii="Times New Roman" w:eastAsia="Times New Roman" w:hAnsi="Times New Roman" w:cs="Times New Roman"/>
          <w:sz w:val="22"/>
          <w:szCs w:val="22"/>
        </w:rPr>
        <w:t xml:space="preserve"> HS and LS states of </w:t>
      </w:r>
      <w:r w:rsidRPr="009601E6">
        <w:rPr>
          <w:rFonts w:ascii="Times New Roman" w:hAnsi="Times New Roman" w:cs="Times New Roman"/>
          <w:sz w:val="22"/>
          <w:szCs w:val="22"/>
        </w:rPr>
        <w:t>ε-FeOOH</w:t>
      </w:r>
      <w:r w:rsidRPr="009601E6">
        <w:rPr>
          <w:rFonts w:ascii="Times New Roman" w:eastAsia="Times New Roman" w:hAnsi="Times New Roman" w:cs="Times New Roman"/>
          <w:sz w:val="22"/>
          <w:szCs w:val="22"/>
        </w:rPr>
        <w:t xml:space="preserve"> are characterized by a sextet and doublet </w:t>
      </w:r>
      <w:r w:rsidRPr="009601E6">
        <w:rPr>
          <w:rFonts w:ascii="Times New Roman" w:eastAsia="Times New Roman" w:hAnsi="Times New Roman" w:cs="Times New Roman"/>
          <w:sz w:val="22"/>
          <w:szCs w:val="22"/>
        </w:rPr>
        <w:fldChar w:fldCharType="begin" w:fldLock="1"/>
      </w:r>
      <w:r w:rsidRPr="009601E6">
        <w:rPr>
          <w:rFonts w:ascii="Times New Roman" w:eastAsia="Times New Roman" w:hAnsi="Times New Roman" w:cs="Times New Roman"/>
          <w:sz w:val="22"/>
          <w:szCs w:val="22"/>
        </w:rPr>
        <w:instrText>ADDIN CSL_CITATION {"citationItems":[{"id":"ITEM-1","itemData":{"DOI":"10.1080/08957959.2025.2466147","ISSN":"0895-7959","author":[{"dropping-particle":"","family":"Ikeda","given":"Osamu","non-dropping-particle":"","parse-names":false,"suffix":""},{"dropping-particle":"","family":"Sakamaki","given":"Tatsuya","non-dropping-particle":"","parse-names":false,"suffix":""},{"dropping-particle":"","family":"Mitsui","given":"Takaya","non-dropping-particle":"","parse-names":false,"suffix":""},{"dropping-particle":"","family":"Fujiwara","given":"Kosuke","non-dropping-particle":"","parse-names":false,"suffix":""},{"dropping-particle":"","family":"Uchiyama","given":"Hiroshi","non-dropping-particle":"","parse-names":false,"suffix":""},{"dropping-particle":"","family":"Fukui","given":"Hiroshi","non-dropping-particle":"","parse-names":false,"suffix":""},{"dropping-particle":"","family":"Ishikawa","given":"Daisuke","non-dropping-particle":"","parse-names":false,"suffix":""},{"dropping-particle":"","family":"Baron","given":"Alfred Q.R.","non-dropping-particle":"","parse-names":false,"suffix":""},{"dropping-particle":"","family":"Suzuki","given":"Akio","non-dropping-particle":"","parse-names":false,"suffix":""}],"container-title":"High Pressure Research","id":"ITEM-1","issued":{"date-parts":[["2025","2","18"]]},"page":"1-15","title":"The magnetism and elasticity of ϵ-FeOOH across the pressure-induced electronic spin transition","type":"article-journal"},"uris":["http://www.mendeley.com/documents/?uuid=9b5a9244-6560-4ec2-8e12-8076a5a1a22f"]}],"mendeley":{"formattedCitation":"(Ikeda, Sakamaki, et al., 2025)","manualFormatting":"(Ikeda et al., 2025a)","plainTextFormattedCitation":"(Ikeda, Sakamaki, et al., 2025)","previouslyFormattedCitation":"(Ikeda, Sakamaki, et al., 2025)"},"properties":{"noteIndex":0},"schema":"https://github.com/citation-style-language/schema/raw/master/csl-citation.json"}</w:instrText>
      </w:r>
      <w:r w:rsidRPr="009601E6">
        <w:rPr>
          <w:rFonts w:ascii="Times New Roman" w:eastAsia="Times New Roman" w:hAnsi="Times New Roman" w:cs="Times New Roman"/>
          <w:sz w:val="22"/>
          <w:szCs w:val="22"/>
        </w:rPr>
        <w:fldChar w:fldCharType="separate"/>
      </w:r>
      <w:r w:rsidRPr="009601E6">
        <w:rPr>
          <w:rFonts w:ascii="Times New Roman" w:eastAsia="Times New Roman" w:hAnsi="Times New Roman" w:cs="Times New Roman"/>
          <w:noProof/>
          <w:sz w:val="22"/>
          <w:szCs w:val="22"/>
        </w:rPr>
        <w:t>(Ikeda et al., 2025</w:t>
      </w:r>
      <w:r w:rsidRPr="009601E6">
        <w:rPr>
          <w:rFonts w:ascii="Times New Roman" w:hAnsi="Times New Roman" w:cs="Times New Roman"/>
          <w:noProof/>
          <w:sz w:val="22"/>
          <w:szCs w:val="22"/>
        </w:rPr>
        <w:t>a</w:t>
      </w:r>
      <w:r w:rsidRPr="009601E6">
        <w:rPr>
          <w:rFonts w:ascii="Times New Roman" w:eastAsia="Times New Roman" w:hAnsi="Times New Roman" w:cs="Times New Roman"/>
          <w:noProof/>
          <w:sz w:val="22"/>
          <w:szCs w:val="22"/>
        </w:rPr>
        <w:t>)</w:t>
      </w:r>
      <w:r w:rsidRPr="009601E6">
        <w:rPr>
          <w:rFonts w:ascii="Times New Roman" w:eastAsia="Times New Roman" w:hAnsi="Times New Roman" w:cs="Times New Roman"/>
          <w:sz w:val="22"/>
          <w:szCs w:val="22"/>
        </w:rPr>
        <w:fldChar w:fldCharType="end"/>
      </w:r>
      <w:r w:rsidRPr="009601E6">
        <w:rPr>
          <w:rFonts w:ascii="Times New Roman" w:eastAsia="Times New Roman" w:hAnsi="Times New Roman" w:cs="Times New Roman"/>
          <w:sz w:val="22"/>
          <w:szCs w:val="22"/>
        </w:rPr>
        <w:t xml:space="preserve">. </w:t>
      </w:r>
      <w:r w:rsidRPr="009601E6">
        <w:rPr>
          <w:rFonts w:ascii="Times New Roman" w:hAnsi="Times New Roman" w:cs="Times New Roman"/>
          <w:sz w:val="22"/>
          <w:szCs w:val="22"/>
        </w:rPr>
        <w:t>The</w:t>
      </w:r>
      <w:r w:rsidRPr="009601E6">
        <w:rPr>
          <w:rFonts w:ascii="Times New Roman" w:eastAsia="ＭＳ 明朝" w:hAnsi="Times New Roman" w:cs="Times New Roman"/>
          <w:sz w:val="22"/>
          <w:szCs w:val="22"/>
        </w:rPr>
        <w:t xml:space="preserve"> </w:t>
      </w:r>
      <w:r w:rsidRPr="009601E6">
        <w:rPr>
          <w:rFonts w:ascii="Times New Roman" w:eastAsia="Times New Roman" w:hAnsi="Times New Roman" w:cs="Times New Roman"/>
          <w:sz w:val="22"/>
          <w:szCs w:val="22"/>
        </w:rPr>
        <w:t>Mössbauer</w:t>
      </w:r>
      <w:r w:rsidRPr="009601E6">
        <w:rPr>
          <w:rFonts w:ascii="Times New Roman" w:eastAsia="ＭＳ 明朝" w:hAnsi="Times New Roman" w:cs="Times New Roman"/>
          <w:sz w:val="22"/>
          <w:szCs w:val="22"/>
        </w:rPr>
        <w:t xml:space="preserve"> spectrum at 5</w:t>
      </w:r>
      <w:r w:rsidR="0075480B">
        <w:rPr>
          <w:rFonts w:ascii="Times New Roman" w:eastAsia="ＭＳ 明朝" w:hAnsi="Times New Roman" w:cs="Times New Roman" w:hint="eastAsia"/>
          <w:sz w:val="22"/>
          <w:szCs w:val="22"/>
        </w:rPr>
        <w:t>3</w:t>
      </w:r>
      <w:r w:rsidRPr="009601E6">
        <w:rPr>
          <w:rFonts w:ascii="Times New Roman" w:eastAsia="ＭＳ 明朝" w:hAnsi="Times New Roman" w:cs="Times New Roman"/>
          <w:sz w:val="22"/>
          <w:szCs w:val="22"/>
        </w:rPr>
        <w:t xml:space="preserve"> GPa can </w:t>
      </w:r>
      <w:proofErr w:type="gramStart"/>
      <w:r w:rsidRPr="009601E6">
        <w:rPr>
          <w:rFonts w:ascii="Times New Roman" w:eastAsia="ＭＳ 明朝" w:hAnsi="Times New Roman" w:cs="Times New Roman"/>
          <w:sz w:val="22"/>
          <w:szCs w:val="22"/>
        </w:rPr>
        <w:t>be fitted</w:t>
      </w:r>
      <w:proofErr w:type="gramEnd"/>
      <w:r w:rsidRPr="009601E6">
        <w:rPr>
          <w:rFonts w:ascii="Times New Roman" w:eastAsia="ＭＳ 明朝" w:hAnsi="Times New Roman" w:cs="Times New Roman"/>
          <w:sz w:val="22"/>
          <w:szCs w:val="22"/>
        </w:rPr>
        <w:t xml:space="preserve"> with one doublet (</w:t>
      </w:r>
      <w:r w:rsidRPr="009601E6">
        <w:rPr>
          <w:rFonts w:ascii="Times New Roman" w:eastAsia="Times New Roman" w:hAnsi="Times New Roman" w:cs="Times New Roman"/>
          <w:color w:val="0000FF"/>
          <w:sz w:val="22"/>
          <w:szCs w:val="22"/>
        </w:rPr>
        <w:t xml:space="preserve">Fig. </w:t>
      </w:r>
      <w:r w:rsidR="00114A6B" w:rsidRPr="009601E6">
        <w:rPr>
          <w:rFonts w:ascii="Times New Roman" w:eastAsia="Times New Roman" w:hAnsi="Times New Roman" w:cs="Times New Roman"/>
          <w:color w:val="0000FF"/>
          <w:sz w:val="22"/>
          <w:szCs w:val="22"/>
        </w:rPr>
        <w:t>S</w:t>
      </w:r>
      <w:r w:rsidR="0097577B">
        <w:rPr>
          <w:rFonts w:ascii="Times New Roman" w:hAnsi="Times New Roman" w:cs="Times New Roman" w:hint="eastAsia"/>
          <w:color w:val="0000FF"/>
          <w:sz w:val="22"/>
          <w:szCs w:val="22"/>
        </w:rPr>
        <w:t>9</w:t>
      </w:r>
      <w:r w:rsidRPr="009601E6">
        <w:rPr>
          <w:rFonts w:ascii="Times New Roman" w:eastAsia="Times New Roman" w:hAnsi="Times New Roman" w:cs="Times New Roman"/>
          <w:sz w:val="22"/>
          <w:szCs w:val="22"/>
        </w:rPr>
        <w:t>)</w:t>
      </w:r>
      <w:r w:rsidRPr="009601E6">
        <w:rPr>
          <w:rFonts w:ascii="Times New Roman" w:eastAsia="ＭＳ 明朝" w:hAnsi="Times New Roman" w:cs="Times New Roman"/>
          <w:sz w:val="22"/>
          <w:szCs w:val="22"/>
        </w:rPr>
        <w:t>, indicating the LS state.</w:t>
      </w:r>
    </w:p>
    <w:p w14:paraId="392A9FAA" w14:textId="77777777" w:rsidR="00FA6B92" w:rsidRPr="009601E6" w:rsidRDefault="00FA6B92" w:rsidP="006F60D5">
      <w:pPr>
        <w:pStyle w:val="Abstract"/>
        <w:spacing w:line="259" w:lineRule="auto"/>
        <w:rPr>
          <w:rFonts w:ascii="Times New Roman" w:hAnsi="Times New Roman" w:cs="Times New Roman"/>
          <w:sz w:val="22"/>
          <w:szCs w:val="22"/>
        </w:rPr>
      </w:pPr>
    </w:p>
    <w:p w14:paraId="154016C2" w14:textId="21DA7D99" w:rsidR="00E21944" w:rsidRPr="009601E6" w:rsidRDefault="00FA6B92" w:rsidP="00FA6B92">
      <w:pPr>
        <w:pStyle w:val="Abstract"/>
        <w:spacing w:line="259" w:lineRule="auto"/>
        <w:rPr>
          <w:rFonts w:ascii="Times New Roman" w:eastAsia="ＭＳ 明朝" w:hAnsi="Times New Roman" w:cs="Times New Roman"/>
          <w:sz w:val="22"/>
          <w:szCs w:val="22"/>
        </w:rPr>
      </w:pPr>
      <w:r w:rsidRPr="009601E6">
        <w:rPr>
          <w:rFonts w:ascii="Times New Roman" w:hAnsi="Times New Roman" w:cs="Times New Roman"/>
          <w:b/>
          <w:bCs/>
          <w:noProof/>
          <w:color w:val="000000" w:themeColor="text1"/>
          <w:sz w:val="22"/>
          <w:szCs w:val="22"/>
        </w:rPr>
        <w:drawing>
          <wp:inline distT="0" distB="0" distL="0" distR="0" wp14:anchorId="53D9BCD0" wp14:editId="31BFA8FA">
            <wp:extent cx="5400040" cy="3106411"/>
            <wp:effectExtent l="0" t="0" r="0" b="0"/>
            <wp:docPr id="1550800495" name="図 1" descr="グラフ&#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0800495" name="図 1" descr="グラフ&#10;&#10;AI 生成コンテンツは誤りを含む可能性があります。"/>
                    <pic:cNvPicPr/>
                  </pic:nvPicPr>
                  <pic:blipFill>
                    <a:blip r:embed="rId9"/>
                    <a:stretch>
                      <a:fillRect/>
                    </a:stretch>
                  </pic:blipFill>
                  <pic:spPr>
                    <a:xfrm>
                      <a:off x="0" y="0"/>
                      <a:ext cx="5400040" cy="3106411"/>
                    </a:xfrm>
                    <a:prstGeom prst="rect">
                      <a:avLst/>
                    </a:prstGeom>
                  </pic:spPr>
                </pic:pic>
              </a:graphicData>
            </a:graphic>
          </wp:inline>
        </w:drawing>
      </w:r>
      <w:r w:rsidR="00A2274D" w:rsidRPr="009601E6">
        <w:rPr>
          <w:rFonts w:ascii="Times New Roman" w:hAnsi="Times New Roman" w:cs="Times New Roman"/>
          <w:b/>
          <w:bCs/>
          <w:sz w:val="22"/>
          <w:szCs w:val="22"/>
        </w:rPr>
        <w:t>Fig</w:t>
      </w:r>
      <w:r w:rsidR="00363386" w:rsidRPr="009601E6">
        <w:rPr>
          <w:rFonts w:ascii="Times New Roman" w:hAnsi="Times New Roman" w:cs="Times New Roman"/>
          <w:b/>
          <w:bCs/>
          <w:sz w:val="22"/>
          <w:szCs w:val="22"/>
        </w:rPr>
        <w:t>ure</w:t>
      </w:r>
      <w:r w:rsidR="00A2274D" w:rsidRPr="009601E6">
        <w:rPr>
          <w:rFonts w:ascii="Times New Roman" w:hAnsi="Times New Roman" w:cs="Times New Roman"/>
          <w:b/>
          <w:bCs/>
          <w:sz w:val="22"/>
          <w:szCs w:val="22"/>
        </w:rPr>
        <w:t xml:space="preserve"> S1</w:t>
      </w:r>
      <w:r w:rsidR="00A2274D" w:rsidRPr="009601E6">
        <w:rPr>
          <w:rFonts w:ascii="Times New Roman" w:hAnsi="Times New Roman" w:cs="Times New Roman"/>
          <w:sz w:val="22"/>
          <w:szCs w:val="22"/>
        </w:rPr>
        <w:t xml:space="preserve">. </w:t>
      </w:r>
      <w:r w:rsidR="002F10DC" w:rsidRPr="009601E6">
        <w:rPr>
          <w:rFonts w:ascii="Times New Roman" w:hAnsi="Times New Roman" w:cs="Times New Roman"/>
          <w:sz w:val="22"/>
          <w:szCs w:val="22"/>
        </w:rPr>
        <w:t>Ambient</w:t>
      </w:r>
      <w:r w:rsidR="00A2274D" w:rsidRPr="009601E6">
        <w:rPr>
          <w:rFonts w:ascii="Times New Roman" w:hAnsi="Times New Roman" w:cs="Times New Roman"/>
          <w:sz w:val="22"/>
          <w:szCs w:val="22"/>
        </w:rPr>
        <w:t xml:space="preserve"> </w:t>
      </w:r>
      <w:r w:rsidR="002F10DC" w:rsidRPr="009601E6">
        <w:rPr>
          <w:rFonts w:ascii="Times New Roman" w:hAnsi="Times New Roman" w:cs="Times New Roman"/>
          <w:sz w:val="22"/>
          <w:szCs w:val="22"/>
        </w:rPr>
        <w:t xml:space="preserve">X-ray powder diffraction pattern of </w:t>
      </w:r>
      <w:r w:rsidR="002F10DC" w:rsidRPr="009601E6">
        <w:rPr>
          <w:rFonts w:ascii="Times New Roman" w:eastAsia="ＭＳ 明朝" w:hAnsi="Times New Roman" w:cs="Times New Roman"/>
          <w:sz w:val="22"/>
          <w:szCs w:val="22"/>
        </w:rPr>
        <w:t>ε-FeOOH</w:t>
      </w:r>
      <w:r w:rsidR="00547288" w:rsidRPr="009601E6">
        <w:rPr>
          <w:rFonts w:ascii="Times New Roman" w:eastAsia="ＭＳ 明朝" w:hAnsi="Times New Roman" w:cs="Times New Roman"/>
          <w:sz w:val="22"/>
          <w:szCs w:val="22"/>
        </w:rPr>
        <w:t xml:space="preserve"> </w:t>
      </w:r>
      <w:r w:rsidR="001A76AD">
        <w:rPr>
          <w:rFonts w:ascii="Times New Roman" w:eastAsia="ＭＳ 明朝" w:hAnsi="Times New Roman" w:cs="Times New Roman" w:hint="eastAsia"/>
          <w:sz w:val="22"/>
          <w:szCs w:val="22"/>
        </w:rPr>
        <w:t xml:space="preserve">used </w:t>
      </w:r>
      <w:r w:rsidR="005F4A7D">
        <w:rPr>
          <w:rFonts w:ascii="Times New Roman" w:eastAsia="ＭＳ 明朝" w:hAnsi="Times New Roman" w:cs="Times New Roman" w:hint="eastAsia"/>
          <w:sz w:val="22"/>
          <w:szCs w:val="22"/>
        </w:rPr>
        <w:t>as the starting materials in this study</w:t>
      </w:r>
      <w:r w:rsidR="00A2274D" w:rsidRPr="009601E6">
        <w:rPr>
          <w:rFonts w:ascii="Times New Roman" w:eastAsia="ＭＳ 明朝" w:hAnsi="Times New Roman" w:cs="Times New Roman"/>
          <w:sz w:val="22"/>
          <w:szCs w:val="22"/>
        </w:rPr>
        <w:t>.</w:t>
      </w:r>
    </w:p>
    <w:p w14:paraId="19735DE8" w14:textId="77777777" w:rsidR="00E21944" w:rsidRDefault="00E21944" w:rsidP="7A24559E">
      <w:pPr>
        <w:rPr>
          <w:rFonts w:ascii="Times New Roman" w:hAnsi="Times New Roman" w:cs="Times New Roman"/>
          <w:b/>
          <w:bCs/>
          <w:color w:val="000000" w:themeColor="text1"/>
          <w:sz w:val="22"/>
        </w:rPr>
      </w:pPr>
    </w:p>
    <w:p w14:paraId="51C08FE0" w14:textId="04907BBB" w:rsidR="001126A1" w:rsidRDefault="005256D4" w:rsidP="7A24559E">
      <w:pPr>
        <w:rPr>
          <w:rFonts w:ascii="Times New Roman" w:hAnsi="Times New Roman" w:cs="Times New Roman"/>
          <w:b/>
          <w:bCs/>
          <w:color w:val="000000" w:themeColor="text1"/>
          <w:sz w:val="22"/>
        </w:rPr>
      </w:pPr>
      <w:r>
        <w:rPr>
          <w:noProof/>
        </w:rPr>
        <w:lastRenderedPageBreak/>
        <w:drawing>
          <wp:inline distT="0" distB="0" distL="0" distR="0" wp14:anchorId="35E76BC8" wp14:editId="02C1FE8D">
            <wp:extent cx="4021712" cy="2461260"/>
            <wp:effectExtent l="0" t="0" r="0" b="0"/>
            <wp:docPr id="435402940" name="drawing">
              <a:extLst xmlns:a="http://schemas.openxmlformats.org/drawingml/2006/main">
                <a:ext uri="{FF2B5EF4-FFF2-40B4-BE49-F238E27FC236}">
                  <a16:creationId xmlns:a16="http://schemas.microsoft.com/office/drawing/2014/main" id="{219FF124-6260-4DC6-A4CF-EAC9215BED7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5402940" name="Picture 435402940"/>
                    <pic:cNvPicPr/>
                  </pic:nvPicPr>
                  <pic:blipFill>
                    <a:blip r:embed="rId10">
                      <a:extLst>
                        <a:ext uri="{28A0092B-C50C-407E-A947-70E740481C1C}">
                          <a14:useLocalDpi xmlns:a14="http://schemas.microsoft.com/office/drawing/2010/main"/>
                        </a:ext>
                      </a:extLst>
                    </a:blip>
                    <a:stretch>
                      <a:fillRect/>
                    </a:stretch>
                  </pic:blipFill>
                  <pic:spPr>
                    <a:xfrm>
                      <a:off x="0" y="0"/>
                      <a:ext cx="4035021" cy="2469405"/>
                    </a:xfrm>
                    <a:prstGeom prst="rect">
                      <a:avLst/>
                    </a:prstGeom>
                  </pic:spPr>
                </pic:pic>
              </a:graphicData>
            </a:graphic>
          </wp:inline>
        </w:drawing>
      </w:r>
    </w:p>
    <w:p w14:paraId="2BBC168C" w14:textId="73939B86" w:rsidR="001126A1" w:rsidRPr="009601E6" w:rsidRDefault="001126A1" w:rsidP="001126A1">
      <w:pPr>
        <w:pStyle w:val="Abstract"/>
        <w:spacing w:line="259" w:lineRule="auto"/>
        <w:rPr>
          <w:rFonts w:ascii="Times New Roman" w:eastAsia="ＭＳ 明朝" w:hAnsi="Times New Roman" w:cs="Times New Roman"/>
          <w:sz w:val="22"/>
          <w:szCs w:val="22"/>
        </w:rPr>
      </w:pPr>
      <w:r w:rsidRPr="00931BE9">
        <w:rPr>
          <w:rFonts w:ascii="Times New Roman" w:hAnsi="Times New Roman" w:cs="Times New Roman"/>
          <w:b/>
          <w:bCs/>
          <w:sz w:val="22"/>
          <w:szCs w:val="22"/>
        </w:rPr>
        <w:t>Figure S</w:t>
      </w:r>
      <w:r w:rsidR="002A2AC2" w:rsidRPr="00547D72">
        <w:rPr>
          <w:rFonts w:ascii="Times New Roman" w:hAnsi="Times New Roman" w:cs="Times New Roman"/>
          <w:b/>
          <w:bCs/>
          <w:sz w:val="22"/>
          <w:szCs w:val="22"/>
        </w:rPr>
        <w:t>2</w:t>
      </w:r>
      <w:r w:rsidRPr="00931BE9">
        <w:rPr>
          <w:rFonts w:ascii="Times New Roman" w:hAnsi="Times New Roman" w:cs="Times New Roman"/>
          <w:sz w:val="22"/>
          <w:szCs w:val="22"/>
        </w:rPr>
        <w:t>.</w:t>
      </w:r>
      <w:r w:rsidRPr="009601E6">
        <w:rPr>
          <w:rFonts w:ascii="Times New Roman" w:hAnsi="Times New Roman" w:cs="Times New Roman"/>
          <w:sz w:val="22"/>
          <w:szCs w:val="22"/>
        </w:rPr>
        <w:t xml:space="preserve"> </w:t>
      </w:r>
      <w:r w:rsidR="00757CE7">
        <w:rPr>
          <w:rFonts w:ascii="Times New Roman" w:hAnsi="Times New Roman" w:cs="Times New Roman" w:hint="eastAsia"/>
          <w:sz w:val="22"/>
          <w:szCs w:val="22"/>
        </w:rPr>
        <w:t>Intensity of the</w:t>
      </w:r>
      <w:r w:rsidR="00471303" w:rsidRPr="00471303">
        <w:rPr>
          <w:rFonts w:ascii="Times New Roman" w:hAnsi="Times New Roman" w:cs="Times New Roman"/>
          <w:sz w:val="22"/>
          <w:szCs w:val="22"/>
        </w:rPr>
        <w:t xml:space="preserve"> </w:t>
      </w:r>
      <w:r w:rsidR="009D2C80">
        <w:rPr>
          <w:rFonts w:ascii="Times New Roman" w:hAnsi="Times New Roman" w:cs="Times New Roman" w:hint="eastAsia"/>
          <w:sz w:val="22"/>
          <w:szCs w:val="22"/>
        </w:rPr>
        <w:t xml:space="preserve">IR </w:t>
      </w:r>
      <w:r w:rsidR="00757CE7">
        <w:rPr>
          <w:rFonts w:ascii="Times New Roman" w:hAnsi="Times New Roman" w:cs="Times New Roman" w:hint="eastAsia"/>
          <w:sz w:val="22"/>
          <w:szCs w:val="22"/>
        </w:rPr>
        <w:t xml:space="preserve">light passed through a pair of the </w:t>
      </w:r>
      <w:r w:rsidR="00471303" w:rsidRPr="00471303">
        <w:rPr>
          <w:rFonts w:ascii="Times New Roman" w:hAnsi="Times New Roman" w:cs="Times New Roman"/>
          <w:sz w:val="22"/>
          <w:szCs w:val="22"/>
        </w:rPr>
        <w:t>type IIa diamond anvils used in this study</w:t>
      </w:r>
      <w:r w:rsidRPr="009601E6">
        <w:rPr>
          <w:rFonts w:ascii="Times New Roman" w:eastAsia="ＭＳ 明朝" w:hAnsi="Times New Roman" w:cs="Times New Roman"/>
          <w:sz w:val="22"/>
          <w:szCs w:val="22"/>
        </w:rPr>
        <w:t>.</w:t>
      </w:r>
    </w:p>
    <w:p w14:paraId="2B241BA3" w14:textId="77777777" w:rsidR="001126A1" w:rsidRPr="001126A1" w:rsidRDefault="001126A1" w:rsidP="7A24559E">
      <w:pPr>
        <w:rPr>
          <w:rFonts w:ascii="Times New Roman" w:hAnsi="Times New Roman" w:cs="Times New Roman"/>
          <w:b/>
          <w:bCs/>
          <w:color w:val="000000" w:themeColor="text1"/>
          <w:sz w:val="22"/>
        </w:rPr>
      </w:pPr>
    </w:p>
    <w:p w14:paraId="3EE262E1" w14:textId="2E7691E3" w:rsidR="006E6124" w:rsidRDefault="54120236" w:rsidP="2572461F">
      <w:pPr>
        <w:rPr>
          <w:rFonts w:ascii="Times New Roman" w:hAnsi="Times New Roman" w:cs="Times New Roman"/>
          <w:b/>
          <w:bCs/>
          <w:color w:val="000000" w:themeColor="text1"/>
          <w:sz w:val="22"/>
        </w:rPr>
      </w:pPr>
      <w:r>
        <w:rPr>
          <w:noProof/>
        </w:rPr>
        <w:drawing>
          <wp:inline distT="0" distB="0" distL="0" distR="0" wp14:anchorId="67A1ACBC" wp14:editId="6D012C38">
            <wp:extent cx="5400675" cy="2343150"/>
            <wp:effectExtent l="0" t="0" r="0" b="0"/>
            <wp:docPr id="115577994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5779949" name=""/>
                    <pic:cNvPicPr/>
                  </pic:nvPicPr>
                  <pic:blipFill>
                    <a:blip r:embed="rId11">
                      <a:extLst>
                        <a:ext uri="{28A0092B-C50C-407E-A947-70E740481C1C}">
                          <a14:useLocalDpi xmlns:a14="http://schemas.microsoft.com/office/drawing/2010/main" val="0"/>
                        </a:ext>
                      </a:extLst>
                    </a:blip>
                    <a:stretch>
                      <a:fillRect/>
                    </a:stretch>
                  </pic:blipFill>
                  <pic:spPr>
                    <a:xfrm>
                      <a:off x="0" y="0"/>
                      <a:ext cx="5400675" cy="2343150"/>
                    </a:xfrm>
                    <a:prstGeom prst="rect">
                      <a:avLst/>
                    </a:prstGeom>
                  </pic:spPr>
                </pic:pic>
              </a:graphicData>
            </a:graphic>
          </wp:inline>
        </w:drawing>
      </w:r>
    </w:p>
    <w:p w14:paraId="360B4A0D" w14:textId="68C9BB74" w:rsidR="00611224" w:rsidRPr="009601E6" w:rsidRDefault="00611224" w:rsidP="00611224">
      <w:pPr>
        <w:pStyle w:val="Abstract"/>
        <w:spacing w:line="259" w:lineRule="auto"/>
        <w:rPr>
          <w:rFonts w:ascii="Times New Roman" w:eastAsia="ＭＳ 明朝" w:hAnsi="Times New Roman" w:cs="Times New Roman"/>
          <w:sz w:val="22"/>
          <w:szCs w:val="22"/>
        </w:rPr>
      </w:pPr>
      <w:r w:rsidRPr="009601E6">
        <w:rPr>
          <w:rFonts w:ascii="Times New Roman" w:hAnsi="Times New Roman" w:cs="Times New Roman"/>
          <w:b/>
          <w:bCs/>
          <w:sz w:val="22"/>
          <w:szCs w:val="22"/>
        </w:rPr>
        <w:t xml:space="preserve">Figure </w:t>
      </w:r>
      <w:r w:rsidR="002A2AC2" w:rsidRPr="009601E6">
        <w:rPr>
          <w:rFonts w:ascii="Times New Roman" w:hAnsi="Times New Roman" w:cs="Times New Roman"/>
          <w:b/>
          <w:bCs/>
          <w:sz w:val="22"/>
          <w:szCs w:val="22"/>
        </w:rPr>
        <w:t>S</w:t>
      </w:r>
      <w:r w:rsidR="002A2AC2">
        <w:rPr>
          <w:rFonts w:ascii="Times New Roman" w:hAnsi="Times New Roman" w:cs="Times New Roman" w:hint="eastAsia"/>
          <w:b/>
          <w:bCs/>
          <w:sz w:val="22"/>
          <w:szCs w:val="22"/>
        </w:rPr>
        <w:t>3</w:t>
      </w:r>
      <w:r w:rsidRPr="009601E6">
        <w:rPr>
          <w:rFonts w:ascii="Times New Roman" w:hAnsi="Times New Roman" w:cs="Times New Roman"/>
          <w:sz w:val="22"/>
          <w:szCs w:val="22"/>
        </w:rPr>
        <w:t xml:space="preserve">. Ambient </w:t>
      </w:r>
      <w:r w:rsidR="006E6124">
        <w:rPr>
          <w:rFonts w:ascii="Times New Roman" w:hAnsi="Times New Roman" w:cs="Times New Roman" w:hint="eastAsia"/>
          <w:sz w:val="22"/>
          <w:szCs w:val="22"/>
        </w:rPr>
        <w:t>Raman spectrum</w:t>
      </w:r>
      <w:r w:rsidRPr="009601E6">
        <w:rPr>
          <w:rFonts w:ascii="Times New Roman" w:hAnsi="Times New Roman" w:cs="Times New Roman"/>
          <w:sz w:val="22"/>
          <w:szCs w:val="22"/>
        </w:rPr>
        <w:t xml:space="preserve"> of </w:t>
      </w:r>
      <w:r w:rsidRPr="009601E6">
        <w:rPr>
          <w:rFonts w:ascii="Times New Roman" w:eastAsia="ＭＳ 明朝" w:hAnsi="Times New Roman" w:cs="Times New Roman"/>
          <w:sz w:val="22"/>
          <w:szCs w:val="22"/>
        </w:rPr>
        <w:t>ε-FeOOH.</w:t>
      </w:r>
      <w:r w:rsidR="00485765">
        <w:rPr>
          <w:rFonts w:ascii="Times New Roman" w:eastAsia="ＭＳ 明朝" w:hAnsi="Times New Roman" w:cs="Times New Roman" w:hint="eastAsia"/>
          <w:sz w:val="22"/>
          <w:szCs w:val="22"/>
        </w:rPr>
        <w:t xml:space="preserve"> </w:t>
      </w:r>
      <w:r w:rsidR="00485765" w:rsidRPr="00485765">
        <w:rPr>
          <w:rFonts w:ascii="Times New Roman" w:eastAsia="ＭＳ 明朝" w:hAnsi="Times New Roman" w:cs="Times New Roman"/>
          <w:sz w:val="22"/>
          <w:szCs w:val="22"/>
        </w:rPr>
        <w:t>Vertical tick marks indicate the positions of the observed Raman peaks</w:t>
      </w:r>
      <w:r w:rsidR="003819D6">
        <w:rPr>
          <w:rFonts w:ascii="Times New Roman" w:eastAsia="ＭＳ 明朝" w:hAnsi="Times New Roman" w:cs="Times New Roman" w:hint="eastAsia"/>
          <w:sz w:val="22"/>
          <w:szCs w:val="22"/>
        </w:rPr>
        <w:t>.</w:t>
      </w:r>
    </w:p>
    <w:p w14:paraId="6639F425" w14:textId="77777777" w:rsidR="00E07292" w:rsidRPr="009601E6" w:rsidRDefault="00E07292" w:rsidP="20FAACEA">
      <w:pPr>
        <w:rPr>
          <w:rFonts w:ascii="Times New Roman" w:hAnsi="Times New Roman" w:cs="Times New Roman"/>
          <w:sz w:val="22"/>
        </w:rPr>
      </w:pPr>
    </w:p>
    <w:p w14:paraId="22B92FAE" w14:textId="0CAA5EAC" w:rsidR="20FAACEA" w:rsidRPr="009601E6" w:rsidRDefault="00763A32" w:rsidP="20FAACEA">
      <w:pPr>
        <w:rPr>
          <w:rFonts w:ascii="Times New Roman" w:hAnsi="Times New Roman" w:cs="Times New Roman"/>
          <w:sz w:val="22"/>
        </w:rPr>
      </w:pPr>
      <w:r>
        <w:rPr>
          <w:rFonts w:ascii="Times New Roman" w:hAnsi="Times New Roman" w:cs="Times New Roman"/>
          <w:noProof/>
          <w:sz w:val="22"/>
        </w:rPr>
        <w:lastRenderedPageBreak/>
        <w:drawing>
          <wp:inline distT="0" distB="0" distL="0" distR="0" wp14:anchorId="0B6CFD5F" wp14:editId="6410E3AB">
            <wp:extent cx="4395470" cy="2743200"/>
            <wp:effectExtent l="0" t="0" r="5080" b="0"/>
            <wp:docPr id="1267347709"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395470" cy="2743200"/>
                    </a:xfrm>
                    <a:prstGeom prst="rect">
                      <a:avLst/>
                    </a:prstGeom>
                    <a:noFill/>
                    <a:ln>
                      <a:noFill/>
                    </a:ln>
                  </pic:spPr>
                </pic:pic>
              </a:graphicData>
            </a:graphic>
          </wp:inline>
        </w:drawing>
      </w:r>
    </w:p>
    <w:p w14:paraId="32B19BBD" w14:textId="0EBF69E1" w:rsidR="00E66709" w:rsidRPr="009601E6" w:rsidRDefault="00E66709" w:rsidP="630E46E5">
      <w:pPr>
        <w:rPr>
          <w:rFonts w:ascii="Times New Roman" w:eastAsia="ＭＳ 明朝" w:hAnsi="Times New Roman" w:cs="Times New Roman"/>
          <w:sz w:val="22"/>
        </w:rPr>
      </w:pPr>
      <w:r w:rsidRPr="009601E6">
        <w:rPr>
          <w:rFonts w:ascii="Times New Roman" w:hAnsi="Times New Roman" w:cs="Times New Roman"/>
          <w:b/>
          <w:bCs/>
          <w:sz w:val="22"/>
        </w:rPr>
        <w:t>Fig</w:t>
      </w:r>
      <w:r w:rsidR="00363386" w:rsidRPr="009601E6">
        <w:rPr>
          <w:rFonts w:ascii="Times New Roman" w:hAnsi="Times New Roman" w:cs="Times New Roman"/>
          <w:b/>
          <w:bCs/>
          <w:sz w:val="22"/>
        </w:rPr>
        <w:t>ure</w:t>
      </w:r>
      <w:r w:rsidRPr="009601E6">
        <w:rPr>
          <w:rFonts w:ascii="Times New Roman" w:hAnsi="Times New Roman" w:cs="Times New Roman"/>
          <w:b/>
          <w:bCs/>
          <w:sz w:val="22"/>
        </w:rPr>
        <w:t xml:space="preserve"> </w:t>
      </w:r>
      <w:r w:rsidR="00D01ED6" w:rsidRPr="009601E6">
        <w:rPr>
          <w:rFonts w:ascii="Times New Roman" w:hAnsi="Times New Roman" w:cs="Times New Roman"/>
          <w:b/>
          <w:bCs/>
          <w:sz w:val="22"/>
        </w:rPr>
        <w:t>S</w:t>
      </w:r>
      <w:r w:rsidR="00D01ED6">
        <w:rPr>
          <w:rFonts w:ascii="Times New Roman" w:hAnsi="Times New Roman" w:cs="Times New Roman" w:hint="eastAsia"/>
          <w:b/>
          <w:bCs/>
          <w:sz w:val="22"/>
        </w:rPr>
        <w:t>4</w:t>
      </w:r>
      <w:r w:rsidRPr="009601E6">
        <w:rPr>
          <w:rFonts w:ascii="Times New Roman" w:hAnsi="Times New Roman" w:cs="Times New Roman"/>
          <w:sz w:val="22"/>
        </w:rPr>
        <w:t xml:space="preserve">. </w:t>
      </w:r>
      <w:r w:rsidR="0037276C" w:rsidRPr="009601E6">
        <w:rPr>
          <w:rFonts w:ascii="Times New Roman" w:hAnsi="Times New Roman" w:cs="Times New Roman"/>
          <w:sz w:val="22"/>
        </w:rPr>
        <w:t>Pressure dependence of the i</w:t>
      </w:r>
      <w:r w:rsidRPr="009601E6">
        <w:rPr>
          <w:rFonts w:ascii="Times New Roman" w:hAnsi="Times New Roman" w:cs="Times New Roman"/>
          <w:sz w:val="22"/>
        </w:rPr>
        <w:t>ntensity ratio of</w:t>
      </w:r>
      <w:r w:rsidR="005012C3" w:rsidRPr="009601E6">
        <w:rPr>
          <w:rFonts w:ascii="Times New Roman" w:hAnsi="Times New Roman" w:cs="Times New Roman"/>
          <w:sz w:val="22"/>
        </w:rPr>
        <w:t xml:space="preserve"> the IR band at ~</w:t>
      </w:r>
      <w:r w:rsidR="00CF658A" w:rsidRPr="009601E6">
        <w:rPr>
          <w:rFonts w:ascii="Times New Roman" w:hAnsi="Times New Roman" w:cs="Times New Roman"/>
          <w:sz w:val="22"/>
        </w:rPr>
        <w:t>27</w:t>
      </w:r>
      <w:r w:rsidR="005012C3" w:rsidRPr="009601E6">
        <w:rPr>
          <w:rFonts w:ascii="Times New Roman" w:hAnsi="Times New Roman" w:cs="Times New Roman"/>
          <w:sz w:val="22"/>
        </w:rPr>
        <w:t>00</w:t>
      </w:r>
      <w:r w:rsidR="00EE66B3" w:rsidRPr="009601E6">
        <w:rPr>
          <w:rFonts w:ascii="Times New Roman" w:hAnsi="Times New Roman" w:cs="Times New Roman"/>
          <w:sz w:val="22"/>
        </w:rPr>
        <w:t xml:space="preserve"> cm</w:t>
      </w:r>
      <w:r w:rsidR="00EE66B3" w:rsidRPr="009601E6">
        <w:rPr>
          <w:rFonts w:ascii="Times New Roman" w:hAnsi="Times New Roman" w:cs="Times New Roman"/>
          <w:sz w:val="22"/>
          <w:vertAlign w:val="superscript"/>
        </w:rPr>
        <w:t>-1</w:t>
      </w:r>
      <w:r w:rsidR="00CF658A" w:rsidRPr="009601E6">
        <w:rPr>
          <w:rFonts w:ascii="Times New Roman" w:hAnsi="Times New Roman" w:cs="Times New Roman"/>
          <w:sz w:val="22"/>
        </w:rPr>
        <w:t xml:space="preserve"> </w:t>
      </w:r>
      <w:r w:rsidR="009553FF">
        <w:rPr>
          <w:rFonts w:hint="eastAsia"/>
          <w:sz w:val="24"/>
          <w:szCs w:val="24"/>
        </w:rPr>
        <w:t>(</w:t>
      </w:r>
      <w:r w:rsidR="009553FF" w:rsidRPr="00D1579A">
        <w:rPr>
          <w:sz w:val="24"/>
          <w:szCs w:val="24"/>
        </w:rPr>
        <w:t>ν</w:t>
      </w:r>
      <w:r w:rsidR="009553FF" w:rsidRPr="00D1579A">
        <w:rPr>
          <w:rFonts w:ascii="Cambria Math" w:hAnsi="Cambria Math" w:cs="Cambria Math"/>
          <w:sz w:val="24"/>
          <w:szCs w:val="24"/>
        </w:rPr>
        <w:t>₁₆</w:t>
      </w:r>
      <w:r w:rsidR="009553FF">
        <w:rPr>
          <w:rFonts w:hint="eastAsia"/>
          <w:sz w:val="24"/>
          <w:szCs w:val="24"/>
        </w:rPr>
        <w:t xml:space="preserve">) </w:t>
      </w:r>
      <w:r w:rsidR="00CF658A" w:rsidRPr="009601E6">
        <w:rPr>
          <w:rFonts w:ascii="Times New Roman" w:hAnsi="Times New Roman" w:cs="Times New Roman"/>
          <w:sz w:val="22"/>
        </w:rPr>
        <w:t xml:space="preserve">over </w:t>
      </w:r>
      <w:r w:rsidR="00831DA4" w:rsidRPr="009601E6">
        <w:rPr>
          <w:rFonts w:ascii="Times New Roman" w:hAnsi="Times New Roman" w:cs="Times New Roman"/>
          <w:sz w:val="22"/>
        </w:rPr>
        <w:t>the band at 32</w:t>
      </w:r>
      <w:r w:rsidR="00EE66B3" w:rsidRPr="009601E6">
        <w:rPr>
          <w:rFonts w:ascii="Times New Roman" w:hAnsi="Times New Roman" w:cs="Times New Roman"/>
          <w:sz w:val="22"/>
        </w:rPr>
        <w:t xml:space="preserve">00 </w:t>
      </w:r>
      <w:r w:rsidR="00831DA4" w:rsidRPr="009601E6">
        <w:rPr>
          <w:rFonts w:ascii="Times New Roman" w:hAnsi="Times New Roman" w:cs="Times New Roman"/>
          <w:sz w:val="22"/>
        </w:rPr>
        <w:t>cm</w:t>
      </w:r>
      <w:r w:rsidR="00831DA4" w:rsidRPr="009601E6">
        <w:rPr>
          <w:rFonts w:ascii="Times New Roman" w:hAnsi="Times New Roman" w:cs="Times New Roman"/>
          <w:sz w:val="22"/>
          <w:vertAlign w:val="superscript"/>
        </w:rPr>
        <w:t>-1</w:t>
      </w:r>
      <w:r w:rsidR="00C9575B">
        <w:rPr>
          <w:rFonts w:ascii="Times New Roman" w:hAnsi="Times New Roman" w:cs="Times New Roman" w:hint="eastAsia"/>
          <w:sz w:val="22"/>
          <w:vertAlign w:val="superscript"/>
        </w:rPr>
        <w:t xml:space="preserve"> </w:t>
      </w:r>
      <w:r w:rsidR="00C9575B">
        <w:rPr>
          <w:rFonts w:hint="eastAsia"/>
          <w:sz w:val="24"/>
          <w:szCs w:val="24"/>
        </w:rPr>
        <w:t>(</w:t>
      </w:r>
      <w:r w:rsidR="00C9575B" w:rsidRPr="00D1579A">
        <w:rPr>
          <w:sz w:val="24"/>
          <w:szCs w:val="24"/>
        </w:rPr>
        <w:t>ν</w:t>
      </w:r>
      <w:r w:rsidR="00C9575B" w:rsidRPr="00D1579A">
        <w:rPr>
          <w:rFonts w:ascii="Cambria Math" w:hAnsi="Cambria Math" w:cs="Cambria Math"/>
          <w:sz w:val="24"/>
          <w:szCs w:val="24"/>
        </w:rPr>
        <w:t>₁₇</w:t>
      </w:r>
      <w:r w:rsidR="00C9575B">
        <w:rPr>
          <w:rFonts w:hint="eastAsia"/>
          <w:sz w:val="24"/>
          <w:szCs w:val="24"/>
        </w:rPr>
        <w:t>)</w:t>
      </w:r>
      <w:r w:rsidR="773EA3BA" w:rsidRPr="009601E6">
        <w:rPr>
          <w:rFonts w:ascii="Times New Roman" w:eastAsia="ＭＳ 明朝" w:hAnsi="Times New Roman" w:cs="Times New Roman"/>
          <w:sz w:val="22"/>
        </w:rPr>
        <w:t xml:space="preserve">. Open circles </w:t>
      </w:r>
      <w:r w:rsidR="425B87FB" w:rsidRPr="009601E6">
        <w:rPr>
          <w:rFonts w:ascii="Times New Roman" w:eastAsia="ＭＳ 明朝" w:hAnsi="Times New Roman" w:cs="Times New Roman"/>
          <w:sz w:val="22"/>
        </w:rPr>
        <w:t xml:space="preserve">and solid triangles </w:t>
      </w:r>
      <w:r w:rsidR="04ACC661" w:rsidRPr="009601E6">
        <w:rPr>
          <w:rFonts w:ascii="Times New Roman" w:eastAsia="ＭＳ 明朝" w:hAnsi="Times New Roman" w:cs="Times New Roman"/>
          <w:sz w:val="22"/>
        </w:rPr>
        <w:t>represent</w:t>
      </w:r>
      <w:r w:rsidR="773EA3BA" w:rsidRPr="009601E6">
        <w:rPr>
          <w:rFonts w:ascii="Times New Roman" w:eastAsia="ＭＳ 明朝" w:hAnsi="Times New Roman" w:cs="Times New Roman"/>
          <w:sz w:val="22"/>
        </w:rPr>
        <w:t xml:space="preserve"> the data in the first </w:t>
      </w:r>
      <w:r w:rsidR="10F04E91" w:rsidRPr="009601E6">
        <w:rPr>
          <w:rFonts w:ascii="Times New Roman" w:eastAsia="ＭＳ 明朝" w:hAnsi="Times New Roman" w:cs="Times New Roman"/>
          <w:sz w:val="22"/>
        </w:rPr>
        <w:t xml:space="preserve">and third </w:t>
      </w:r>
      <w:r w:rsidR="773EA3BA" w:rsidRPr="009601E6">
        <w:rPr>
          <w:rFonts w:ascii="Times New Roman" w:eastAsia="ＭＳ 明朝" w:hAnsi="Times New Roman" w:cs="Times New Roman"/>
          <w:sz w:val="22"/>
        </w:rPr>
        <w:t>experimental runs</w:t>
      </w:r>
      <w:r w:rsidR="24835B4A" w:rsidRPr="009601E6">
        <w:rPr>
          <w:rFonts w:ascii="Times New Roman" w:eastAsia="ＭＳ 明朝" w:hAnsi="Times New Roman" w:cs="Times New Roman"/>
          <w:sz w:val="22"/>
        </w:rPr>
        <w:t>, respectively.</w:t>
      </w:r>
    </w:p>
    <w:p w14:paraId="46A439D3" w14:textId="059F114E" w:rsidR="2773F91B" w:rsidRPr="009601E6" w:rsidRDefault="2773F91B" w:rsidP="2773F91B">
      <w:pPr>
        <w:rPr>
          <w:rFonts w:ascii="Times New Roman" w:eastAsia="ＭＳ 明朝" w:hAnsi="Times New Roman" w:cs="Times New Roman"/>
          <w:sz w:val="22"/>
        </w:rPr>
      </w:pPr>
    </w:p>
    <w:p w14:paraId="6EE81126" w14:textId="7C88C8FF" w:rsidR="75A2F163" w:rsidRPr="009601E6" w:rsidRDefault="75A2F163" w:rsidP="2773F91B">
      <w:pPr>
        <w:rPr>
          <w:rFonts w:ascii="Times New Roman" w:eastAsia="ＭＳ 明朝" w:hAnsi="Times New Roman" w:cs="Times New Roman"/>
          <w:sz w:val="22"/>
        </w:rPr>
      </w:pPr>
      <w:r w:rsidRPr="009601E6">
        <w:rPr>
          <w:rFonts w:ascii="Times New Roman" w:hAnsi="Times New Roman" w:cs="Times New Roman"/>
          <w:noProof/>
          <w:sz w:val="22"/>
        </w:rPr>
        <w:drawing>
          <wp:inline distT="0" distB="0" distL="0" distR="0" wp14:anchorId="63634680" wp14:editId="6AFF4893">
            <wp:extent cx="2579298" cy="3354271"/>
            <wp:effectExtent l="0" t="0" r="0" b="0"/>
            <wp:docPr id="560635393" name="図 5606353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583065" cy="3359170"/>
                    </a:xfrm>
                    <a:prstGeom prst="rect">
                      <a:avLst/>
                    </a:prstGeom>
                  </pic:spPr>
                </pic:pic>
              </a:graphicData>
            </a:graphic>
          </wp:inline>
        </w:drawing>
      </w:r>
    </w:p>
    <w:p w14:paraId="3516F7AE" w14:textId="290713BC" w:rsidR="23DC51F4" w:rsidRPr="009601E6" w:rsidRDefault="23DC51F4" w:rsidP="2773F91B">
      <w:pPr>
        <w:rPr>
          <w:rFonts w:ascii="Times New Roman" w:hAnsi="Times New Roman" w:cs="Times New Roman"/>
          <w:sz w:val="22"/>
        </w:rPr>
      </w:pPr>
      <w:r w:rsidRPr="009601E6">
        <w:rPr>
          <w:rFonts w:ascii="Times New Roman" w:hAnsi="Times New Roman" w:cs="Times New Roman"/>
          <w:b/>
          <w:bCs/>
          <w:sz w:val="22"/>
        </w:rPr>
        <w:t>Fig</w:t>
      </w:r>
      <w:r w:rsidR="00363386" w:rsidRPr="009601E6">
        <w:rPr>
          <w:rFonts w:ascii="Times New Roman" w:hAnsi="Times New Roman" w:cs="Times New Roman"/>
          <w:b/>
          <w:bCs/>
          <w:sz w:val="22"/>
        </w:rPr>
        <w:t>ure</w:t>
      </w:r>
      <w:r w:rsidRPr="009601E6">
        <w:rPr>
          <w:rFonts w:ascii="Times New Roman" w:hAnsi="Times New Roman" w:cs="Times New Roman"/>
          <w:b/>
          <w:bCs/>
          <w:sz w:val="22"/>
        </w:rPr>
        <w:t xml:space="preserve"> </w:t>
      </w:r>
      <w:r w:rsidR="006365C8" w:rsidRPr="009601E6">
        <w:rPr>
          <w:rFonts w:ascii="Times New Roman" w:hAnsi="Times New Roman" w:cs="Times New Roman"/>
          <w:b/>
          <w:bCs/>
          <w:sz w:val="22"/>
        </w:rPr>
        <w:t>S</w:t>
      </w:r>
      <w:r w:rsidR="006365C8">
        <w:rPr>
          <w:rFonts w:ascii="Times New Roman" w:hAnsi="Times New Roman" w:cs="Times New Roman" w:hint="eastAsia"/>
          <w:b/>
          <w:bCs/>
          <w:sz w:val="22"/>
        </w:rPr>
        <w:t>5</w:t>
      </w:r>
      <w:r w:rsidRPr="009601E6">
        <w:rPr>
          <w:rFonts w:ascii="Times New Roman" w:hAnsi="Times New Roman" w:cs="Times New Roman"/>
          <w:sz w:val="22"/>
        </w:rPr>
        <w:t xml:space="preserve">. </w:t>
      </w:r>
      <w:r w:rsidR="5D307F64" w:rsidRPr="009601E6">
        <w:rPr>
          <w:rFonts w:ascii="Times New Roman" w:hAnsi="Times New Roman" w:cs="Times New Roman"/>
          <w:sz w:val="22"/>
        </w:rPr>
        <w:t>Schematic</w:t>
      </w:r>
      <w:r w:rsidRPr="009601E6">
        <w:rPr>
          <w:rFonts w:ascii="Times New Roman" w:hAnsi="Times New Roman" w:cs="Times New Roman"/>
          <w:sz w:val="22"/>
        </w:rPr>
        <w:t xml:space="preserve"> </w:t>
      </w:r>
      <w:r w:rsidR="587CC1A7" w:rsidRPr="009601E6">
        <w:rPr>
          <w:rFonts w:ascii="Times New Roman" w:hAnsi="Times New Roman" w:cs="Times New Roman"/>
          <w:sz w:val="22"/>
        </w:rPr>
        <w:t>illustration</w:t>
      </w:r>
      <w:r w:rsidRPr="009601E6">
        <w:rPr>
          <w:rFonts w:ascii="Times New Roman" w:hAnsi="Times New Roman" w:cs="Times New Roman"/>
          <w:sz w:val="22"/>
        </w:rPr>
        <w:t xml:space="preserve"> of </w:t>
      </w:r>
      <w:r w:rsidR="02AA44D4" w:rsidRPr="009601E6">
        <w:rPr>
          <w:rFonts w:ascii="Times New Roman" w:hAnsi="Times New Roman" w:cs="Times New Roman"/>
          <w:sz w:val="22"/>
        </w:rPr>
        <w:t xml:space="preserve">proton distributions in </w:t>
      </w:r>
      <w:r w:rsidR="4C778B85" w:rsidRPr="009601E6">
        <w:rPr>
          <w:rFonts w:ascii="Times New Roman" w:hAnsi="Times New Roman" w:cs="Times New Roman"/>
          <w:sz w:val="22"/>
        </w:rPr>
        <w:t>hydrogen</w:t>
      </w:r>
      <w:r w:rsidR="6C8DEF6E" w:rsidRPr="009601E6">
        <w:rPr>
          <w:rFonts w:ascii="Times New Roman" w:hAnsi="Times New Roman" w:cs="Times New Roman"/>
          <w:sz w:val="22"/>
        </w:rPr>
        <w:t xml:space="preserve"> </w:t>
      </w:r>
      <w:r w:rsidR="4C778B85" w:rsidRPr="009601E6">
        <w:rPr>
          <w:rFonts w:ascii="Times New Roman" w:hAnsi="Times New Roman" w:cs="Times New Roman"/>
          <w:sz w:val="22"/>
        </w:rPr>
        <w:t>bond</w:t>
      </w:r>
      <w:r w:rsidR="3FE90F2E" w:rsidRPr="009601E6">
        <w:rPr>
          <w:rFonts w:ascii="Times New Roman" w:hAnsi="Times New Roman" w:cs="Times New Roman"/>
          <w:sz w:val="22"/>
        </w:rPr>
        <w:t xml:space="preserve"> </w:t>
      </w:r>
      <w:r w:rsidR="4C778B85" w:rsidRPr="009601E6">
        <w:rPr>
          <w:rFonts w:ascii="Times New Roman" w:hAnsi="Times New Roman" w:cs="Times New Roman"/>
          <w:sz w:val="22"/>
        </w:rPr>
        <w:t>symmetrization</w:t>
      </w:r>
      <w:r w:rsidR="3B2783E1" w:rsidRPr="009601E6">
        <w:rPr>
          <w:rFonts w:ascii="Times New Roman" w:hAnsi="Times New Roman" w:cs="Times New Roman"/>
          <w:sz w:val="22"/>
        </w:rPr>
        <w:t>.</w:t>
      </w:r>
    </w:p>
    <w:p w14:paraId="48924EF5" w14:textId="77777777" w:rsidR="00462D2D" w:rsidRDefault="00462D2D" w:rsidP="2773F91B">
      <w:pPr>
        <w:rPr>
          <w:rFonts w:ascii="Times New Roman" w:hAnsi="Times New Roman" w:cs="Times New Roman"/>
          <w:sz w:val="22"/>
        </w:rPr>
      </w:pPr>
    </w:p>
    <w:p w14:paraId="4FA4CB5C" w14:textId="457D8BC8" w:rsidR="006E5252" w:rsidRDefault="001F4CE1" w:rsidP="2773F91B">
      <w:pPr>
        <w:rPr>
          <w:rFonts w:ascii="Times New Roman" w:hAnsi="Times New Roman" w:cs="Times New Roman"/>
          <w:sz w:val="22"/>
        </w:rPr>
      </w:pPr>
      <w:r>
        <w:rPr>
          <w:rFonts w:ascii="Times New Roman" w:hAnsi="Times New Roman" w:cs="Times New Roman"/>
          <w:noProof/>
          <w:sz w:val="22"/>
        </w:rPr>
        <w:lastRenderedPageBreak/>
        <w:drawing>
          <wp:inline distT="0" distB="0" distL="0" distR="0" wp14:anchorId="7C6863D9" wp14:editId="0B9AACA2">
            <wp:extent cx="5400040" cy="3051810"/>
            <wp:effectExtent l="0" t="0" r="0" b="0"/>
            <wp:docPr id="320805659"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805659" name="図 320805659"/>
                    <pic:cNvPicPr/>
                  </pic:nvPicPr>
                  <pic:blipFill>
                    <a:blip r:embed="rId14">
                      <a:extLst>
                        <a:ext uri="{28A0092B-C50C-407E-A947-70E740481C1C}">
                          <a14:useLocalDpi xmlns:a14="http://schemas.microsoft.com/office/drawing/2010/main" val="0"/>
                        </a:ext>
                      </a:extLst>
                    </a:blip>
                    <a:stretch>
                      <a:fillRect/>
                    </a:stretch>
                  </pic:blipFill>
                  <pic:spPr>
                    <a:xfrm>
                      <a:off x="0" y="0"/>
                      <a:ext cx="5400040" cy="3051810"/>
                    </a:xfrm>
                    <a:prstGeom prst="rect">
                      <a:avLst/>
                    </a:prstGeom>
                  </pic:spPr>
                </pic:pic>
              </a:graphicData>
            </a:graphic>
          </wp:inline>
        </w:drawing>
      </w:r>
    </w:p>
    <w:p w14:paraId="1354241B" w14:textId="60B2FF11" w:rsidR="006E5252" w:rsidRPr="009601E6" w:rsidRDefault="006E5252" w:rsidP="006E5252">
      <w:pPr>
        <w:rPr>
          <w:rFonts w:ascii="Times New Roman" w:hAnsi="Times New Roman" w:cs="Times New Roman"/>
          <w:sz w:val="22"/>
        </w:rPr>
      </w:pPr>
      <w:r w:rsidRPr="009601E6">
        <w:rPr>
          <w:rFonts w:ascii="Times New Roman" w:hAnsi="Times New Roman" w:cs="Times New Roman"/>
          <w:b/>
          <w:bCs/>
          <w:sz w:val="22"/>
        </w:rPr>
        <w:t>Figure S</w:t>
      </w:r>
      <w:r w:rsidR="00B1298D">
        <w:rPr>
          <w:rFonts w:ascii="Times New Roman" w:hAnsi="Times New Roman" w:cs="Times New Roman" w:hint="eastAsia"/>
          <w:b/>
          <w:bCs/>
          <w:sz w:val="22"/>
        </w:rPr>
        <w:t>6</w:t>
      </w:r>
      <w:r w:rsidRPr="009601E6">
        <w:rPr>
          <w:rFonts w:ascii="Times New Roman" w:hAnsi="Times New Roman" w:cs="Times New Roman"/>
          <w:sz w:val="22"/>
        </w:rPr>
        <w:t xml:space="preserve">. </w:t>
      </w:r>
      <w:r w:rsidR="00932594">
        <w:rPr>
          <w:rFonts w:ascii="Times New Roman" w:hAnsi="Times New Roman" w:cs="Times New Roman"/>
          <w:sz w:val="22"/>
        </w:rPr>
        <w:t>Intensities</w:t>
      </w:r>
      <w:r w:rsidR="00932594">
        <w:rPr>
          <w:rFonts w:ascii="Times New Roman" w:hAnsi="Times New Roman" w:cs="Times New Roman" w:hint="eastAsia"/>
          <w:sz w:val="22"/>
        </w:rPr>
        <w:t xml:space="preserve"> of the</w:t>
      </w:r>
      <w:r w:rsidR="00522428" w:rsidRPr="00522428">
        <w:rPr>
          <w:rFonts w:ascii="Times New Roman" w:hAnsi="Times New Roman" w:cs="Times New Roman"/>
          <w:sz w:val="22"/>
        </w:rPr>
        <w:t xml:space="preserve"> IR </w:t>
      </w:r>
      <w:r w:rsidR="00932594">
        <w:rPr>
          <w:rFonts w:ascii="Times New Roman" w:hAnsi="Times New Roman" w:cs="Times New Roman" w:hint="eastAsia"/>
          <w:sz w:val="22"/>
        </w:rPr>
        <w:t>light passing through</w:t>
      </w:r>
      <w:r w:rsidR="00522428" w:rsidRPr="00522428">
        <w:rPr>
          <w:rFonts w:ascii="Times New Roman" w:hAnsi="Times New Roman" w:cs="Times New Roman"/>
          <w:sz w:val="22"/>
        </w:rPr>
        <w:t xml:space="preserve"> </w:t>
      </w:r>
      <w:r w:rsidR="00932594">
        <w:rPr>
          <w:rFonts w:ascii="Times New Roman" w:hAnsi="Times New Roman" w:cs="Times New Roman" w:hint="eastAsia"/>
          <w:sz w:val="22"/>
        </w:rPr>
        <w:t>t</w:t>
      </w:r>
      <w:r w:rsidR="00C85538">
        <w:rPr>
          <w:rFonts w:ascii="Times New Roman" w:hAnsi="Times New Roman" w:cs="Times New Roman" w:hint="eastAsia"/>
          <w:sz w:val="22"/>
        </w:rPr>
        <w:t>he sample</w:t>
      </w:r>
      <w:r w:rsidR="004B790B">
        <w:rPr>
          <w:rFonts w:ascii="Times New Roman" w:hAnsi="Times New Roman" w:cs="Times New Roman" w:hint="eastAsia"/>
          <w:sz w:val="22"/>
        </w:rPr>
        <w:t xml:space="preserve"> </w:t>
      </w:r>
      <w:r w:rsidR="00127D96">
        <w:rPr>
          <w:rFonts w:ascii="Times New Roman" w:hAnsi="Times New Roman" w:cs="Times New Roman"/>
          <w:sz w:val="22"/>
        </w:rPr>
        <w:t>collected</w:t>
      </w:r>
      <w:r w:rsidR="00127D96">
        <w:rPr>
          <w:rFonts w:ascii="Times New Roman" w:hAnsi="Times New Roman" w:cs="Times New Roman" w:hint="eastAsia"/>
          <w:sz w:val="22"/>
        </w:rPr>
        <w:t xml:space="preserve"> </w:t>
      </w:r>
      <w:r w:rsidR="00522428" w:rsidRPr="00522428">
        <w:rPr>
          <w:rFonts w:ascii="Times New Roman" w:hAnsi="Times New Roman" w:cs="Times New Roman"/>
          <w:sz w:val="22"/>
        </w:rPr>
        <w:t xml:space="preserve">at different pressures </w:t>
      </w:r>
      <w:r w:rsidR="006F5E81">
        <w:rPr>
          <w:rFonts w:ascii="Times New Roman" w:hAnsi="Times New Roman" w:cs="Times New Roman" w:hint="eastAsia"/>
          <w:sz w:val="22"/>
        </w:rPr>
        <w:t xml:space="preserve">during </w:t>
      </w:r>
      <w:proofErr w:type="gramStart"/>
      <w:r w:rsidR="0030696A">
        <w:rPr>
          <w:rFonts w:ascii="Times New Roman" w:hAnsi="Times New Roman" w:cs="Times New Roman" w:hint="eastAsia"/>
          <w:sz w:val="22"/>
        </w:rPr>
        <w:t>3rd</w:t>
      </w:r>
      <w:proofErr w:type="gramEnd"/>
      <w:r w:rsidR="006F5E81">
        <w:rPr>
          <w:rFonts w:ascii="Times New Roman" w:hAnsi="Times New Roman" w:cs="Times New Roman" w:hint="eastAsia"/>
          <w:sz w:val="22"/>
        </w:rPr>
        <w:t xml:space="preserve"> experimental run</w:t>
      </w:r>
      <w:r w:rsidR="0030696A">
        <w:rPr>
          <w:rFonts w:ascii="Times New Roman" w:hAnsi="Times New Roman" w:cs="Times New Roman" w:hint="eastAsia"/>
          <w:sz w:val="22"/>
        </w:rPr>
        <w:t xml:space="preserve"> </w:t>
      </w:r>
      <w:r w:rsidR="00522428" w:rsidRPr="00522428">
        <w:rPr>
          <w:rFonts w:ascii="Times New Roman" w:hAnsi="Times New Roman" w:cs="Times New Roman"/>
          <w:sz w:val="22"/>
        </w:rPr>
        <w:t>(</w:t>
      </w:r>
      <w:r w:rsidR="001F4CE1">
        <w:rPr>
          <w:rFonts w:ascii="Times New Roman" w:hAnsi="Times New Roman" w:cs="Times New Roman" w:hint="eastAsia"/>
          <w:sz w:val="22"/>
        </w:rPr>
        <w:t>42</w:t>
      </w:r>
      <w:r w:rsidR="00522428" w:rsidRPr="00522428">
        <w:rPr>
          <w:rFonts w:ascii="Times New Roman" w:hAnsi="Times New Roman" w:cs="Times New Roman"/>
          <w:sz w:val="22"/>
        </w:rPr>
        <w:t>, 4</w:t>
      </w:r>
      <w:r w:rsidR="001F4CE1">
        <w:rPr>
          <w:rFonts w:ascii="Times New Roman" w:hAnsi="Times New Roman" w:cs="Times New Roman" w:hint="eastAsia"/>
          <w:sz w:val="22"/>
        </w:rPr>
        <w:t>6</w:t>
      </w:r>
      <w:r w:rsidR="00522428" w:rsidRPr="00522428">
        <w:rPr>
          <w:rFonts w:ascii="Times New Roman" w:hAnsi="Times New Roman" w:cs="Times New Roman"/>
          <w:sz w:val="22"/>
        </w:rPr>
        <w:t>, and 4</w:t>
      </w:r>
      <w:r w:rsidR="001F4CE1">
        <w:rPr>
          <w:rFonts w:ascii="Times New Roman" w:hAnsi="Times New Roman" w:cs="Times New Roman" w:hint="eastAsia"/>
          <w:sz w:val="22"/>
        </w:rPr>
        <w:t>8</w:t>
      </w:r>
      <w:r w:rsidR="00522428" w:rsidRPr="00522428">
        <w:rPr>
          <w:rFonts w:ascii="Times New Roman" w:hAnsi="Times New Roman" w:cs="Times New Roman"/>
          <w:sz w:val="22"/>
        </w:rPr>
        <w:t xml:space="preserve"> GPa). A progressive decrease in signal intensity with increasing pressure indicates a reduction in optical transparency</w:t>
      </w:r>
      <w:r w:rsidRPr="009601E6">
        <w:rPr>
          <w:rFonts w:ascii="Times New Roman" w:hAnsi="Times New Roman" w:cs="Times New Roman"/>
          <w:sz w:val="22"/>
        </w:rPr>
        <w:t>.</w:t>
      </w:r>
    </w:p>
    <w:p w14:paraId="3AC9947A" w14:textId="77777777" w:rsidR="006E5252" w:rsidRDefault="006E5252" w:rsidP="2773F91B">
      <w:pPr>
        <w:rPr>
          <w:rFonts w:ascii="Times New Roman" w:hAnsi="Times New Roman" w:cs="Times New Roman"/>
          <w:sz w:val="22"/>
        </w:rPr>
      </w:pPr>
    </w:p>
    <w:p w14:paraId="24182CB7" w14:textId="0D7D70AB" w:rsidR="001033B3" w:rsidRDefault="00C71738" w:rsidP="2773F91B">
      <w:pPr>
        <w:rPr>
          <w:rFonts w:ascii="Times New Roman" w:hAnsi="Times New Roman" w:cs="Times New Roman"/>
          <w:sz w:val="22"/>
        </w:rPr>
      </w:pPr>
      <w:r w:rsidRPr="00C71738">
        <w:rPr>
          <w:rFonts w:ascii="Times New Roman" w:hAnsi="Times New Roman" w:cs="Times New Roman"/>
          <w:noProof/>
          <w:sz w:val="22"/>
        </w:rPr>
        <w:drawing>
          <wp:inline distT="0" distB="0" distL="0" distR="0" wp14:anchorId="06A9227C" wp14:editId="17C1D0D6">
            <wp:extent cx="5400040" cy="2770505"/>
            <wp:effectExtent l="0" t="0" r="0" b="0"/>
            <wp:docPr id="680135250"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00040" cy="2770505"/>
                    </a:xfrm>
                    <a:prstGeom prst="rect">
                      <a:avLst/>
                    </a:prstGeom>
                    <a:noFill/>
                    <a:ln>
                      <a:noFill/>
                    </a:ln>
                  </pic:spPr>
                </pic:pic>
              </a:graphicData>
            </a:graphic>
          </wp:inline>
        </w:drawing>
      </w:r>
    </w:p>
    <w:p w14:paraId="43BE4FAF" w14:textId="41695B16" w:rsidR="001033B3" w:rsidRPr="001033B3" w:rsidRDefault="001033B3" w:rsidP="2773F91B">
      <w:pPr>
        <w:rPr>
          <w:rFonts w:ascii="Times New Roman" w:hAnsi="Times New Roman" w:cs="Times New Roman"/>
          <w:sz w:val="22"/>
        </w:rPr>
      </w:pPr>
      <w:r w:rsidRPr="009601E6">
        <w:rPr>
          <w:rFonts w:ascii="Times New Roman" w:hAnsi="Times New Roman" w:cs="Times New Roman"/>
          <w:b/>
          <w:bCs/>
          <w:sz w:val="22"/>
        </w:rPr>
        <w:t>Figure S</w:t>
      </w:r>
      <w:r w:rsidR="00B1298D">
        <w:rPr>
          <w:rFonts w:ascii="Times New Roman" w:hAnsi="Times New Roman" w:cs="Times New Roman" w:hint="eastAsia"/>
          <w:b/>
          <w:bCs/>
          <w:sz w:val="22"/>
        </w:rPr>
        <w:t>7</w:t>
      </w:r>
      <w:r w:rsidRPr="009601E6">
        <w:rPr>
          <w:rFonts w:ascii="Times New Roman" w:hAnsi="Times New Roman" w:cs="Times New Roman"/>
          <w:sz w:val="22"/>
        </w:rPr>
        <w:t xml:space="preserve">. </w:t>
      </w:r>
      <w:r w:rsidR="004A6383" w:rsidRPr="004A6383">
        <w:rPr>
          <w:rFonts w:ascii="Times New Roman" w:hAnsi="Times New Roman" w:cs="Times New Roman"/>
          <w:sz w:val="22"/>
        </w:rPr>
        <w:t xml:space="preserve">Representative high-pressure XRD patterns collected </w:t>
      </w:r>
      <w:r w:rsidR="004A6383" w:rsidRPr="00CE5CE4">
        <w:rPr>
          <w:rFonts w:ascii="Times New Roman" w:hAnsi="Times New Roman" w:cs="Times New Roman"/>
          <w:sz w:val="22"/>
        </w:rPr>
        <w:t>at 2</w:t>
      </w:r>
      <w:r w:rsidR="00F32659" w:rsidRPr="00547D72">
        <w:rPr>
          <w:rFonts w:ascii="Times New Roman" w:hAnsi="Times New Roman" w:cs="Times New Roman"/>
          <w:sz w:val="22"/>
        </w:rPr>
        <w:t>9</w:t>
      </w:r>
      <w:r w:rsidR="004A6383" w:rsidRPr="00CE5CE4">
        <w:rPr>
          <w:rFonts w:ascii="Times New Roman" w:hAnsi="Times New Roman" w:cs="Times New Roman"/>
          <w:sz w:val="22"/>
        </w:rPr>
        <w:t xml:space="preserve"> (HS state) and 6</w:t>
      </w:r>
      <w:r w:rsidR="00F32659" w:rsidRPr="00547D72">
        <w:rPr>
          <w:rFonts w:ascii="Times New Roman" w:hAnsi="Times New Roman" w:cs="Times New Roman"/>
          <w:sz w:val="22"/>
        </w:rPr>
        <w:t>3</w:t>
      </w:r>
      <w:r w:rsidR="004A6383" w:rsidRPr="00CE5CE4">
        <w:rPr>
          <w:rFonts w:ascii="Times New Roman" w:hAnsi="Times New Roman" w:cs="Times New Roman"/>
          <w:sz w:val="22"/>
        </w:rPr>
        <w:t xml:space="preserve"> GPa (LS state)</w:t>
      </w:r>
      <w:r w:rsidR="004A6383" w:rsidRPr="004A6383">
        <w:rPr>
          <w:rFonts w:ascii="Times New Roman" w:hAnsi="Times New Roman" w:cs="Times New Roman"/>
          <w:sz w:val="22"/>
        </w:rPr>
        <w:t xml:space="preserve">. Diffraction peaks from ε-FeOOH and reflections from the KCl pressure medium </w:t>
      </w:r>
      <w:proofErr w:type="gramStart"/>
      <w:r w:rsidR="004A6383" w:rsidRPr="004A6383">
        <w:rPr>
          <w:rFonts w:ascii="Times New Roman" w:hAnsi="Times New Roman" w:cs="Times New Roman"/>
          <w:sz w:val="22"/>
        </w:rPr>
        <w:t>are labeled</w:t>
      </w:r>
      <w:proofErr w:type="gramEnd"/>
      <w:r w:rsidRPr="009601E6">
        <w:rPr>
          <w:rFonts w:ascii="Times New Roman" w:hAnsi="Times New Roman" w:cs="Times New Roman"/>
          <w:sz w:val="22"/>
        </w:rPr>
        <w:t>.</w:t>
      </w:r>
    </w:p>
    <w:p w14:paraId="761CCC91" w14:textId="77777777" w:rsidR="001033B3" w:rsidRPr="006E5252" w:rsidRDefault="001033B3" w:rsidP="2773F91B">
      <w:pPr>
        <w:rPr>
          <w:rFonts w:ascii="Times New Roman" w:hAnsi="Times New Roman" w:cs="Times New Roman"/>
          <w:sz w:val="22"/>
        </w:rPr>
      </w:pPr>
    </w:p>
    <w:p w14:paraId="288BB5ED" w14:textId="77777777" w:rsidR="00462D2D" w:rsidRPr="009601E6" w:rsidRDefault="00462D2D" w:rsidP="00462D2D">
      <w:pPr>
        <w:rPr>
          <w:rFonts w:ascii="Times New Roman" w:hAnsi="Times New Roman" w:cs="Times New Roman"/>
          <w:sz w:val="22"/>
        </w:rPr>
      </w:pPr>
      <w:r w:rsidRPr="009601E6">
        <w:rPr>
          <w:rFonts w:ascii="Times New Roman" w:eastAsia="Times New Roman" w:hAnsi="Times New Roman" w:cs="Times New Roman"/>
          <w:b/>
          <w:bCs/>
          <w:noProof/>
          <w:color w:val="262626"/>
          <w:sz w:val="22"/>
        </w:rPr>
        <w:lastRenderedPageBreak/>
        <w:drawing>
          <wp:inline distT="0" distB="0" distL="0" distR="0" wp14:anchorId="2BF7507C" wp14:editId="49D77BBD">
            <wp:extent cx="4110824" cy="3647039"/>
            <wp:effectExtent l="0" t="0" r="4445" b="0"/>
            <wp:docPr id="1414605987"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113691" cy="3649583"/>
                    </a:xfrm>
                    <a:prstGeom prst="rect">
                      <a:avLst/>
                    </a:prstGeom>
                    <a:noFill/>
                    <a:ln>
                      <a:noFill/>
                    </a:ln>
                  </pic:spPr>
                </pic:pic>
              </a:graphicData>
            </a:graphic>
          </wp:inline>
        </w:drawing>
      </w:r>
    </w:p>
    <w:p w14:paraId="12CF0B75" w14:textId="771C2D26" w:rsidR="00462D2D" w:rsidRPr="009601E6" w:rsidRDefault="00462D2D" w:rsidP="1323D982">
      <w:pPr>
        <w:rPr>
          <w:rFonts w:ascii="Times New Roman" w:eastAsia="ＭＳ 明朝" w:hAnsi="Times New Roman" w:cs="Times New Roman"/>
          <w:sz w:val="22"/>
        </w:rPr>
      </w:pPr>
      <w:r w:rsidRPr="1323D982">
        <w:rPr>
          <w:rFonts w:ascii="Times New Roman" w:hAnsi="Times New Roman" w:cs="Times New Roman"/>
          <w:b/>
          <w:bCs/>
          <w:sz w:val="22"/>
        </w:rPr>
        <w:t>Fig</w:t>
      </w:r>
      <w:r w:rsidR="00477CAD" w:rsidRPr="1323D982">
        <w:rPr>
          <w:rFonts w:ascii="Times New Roman" w:hAnsi="Times New Roman" w:cs="Times New Roman"/>
          <w:b/>
          <w:bCs/>
          <w:sz w:val="22"/>
        </w:rPr>
        <w:t>ure</w:t>
      </w:r>
      <w:r w:rsidRPr="1323D982">
        <w:rPr>
          <w:rFonts w:ascii="Times New Roman" w:hAnsi="Times New Roman" w:cs="Times New Roman"/>
          <w:b/>
          <w:bCs/>
          <w:sz w:val="22"/>
        </w:rPr>
        <w:t xml:space="preserve"> </w:t>
      </w:r>
      <w:r w:rsidR="00D409CC" w:rsidRPr="1323D982">
        <w:rPr>
          <w:rFonts w:ascii="Times New Roman" w:hAnsi="Times New Roman" w:cs="Times New Roman"/>
          <w:b/>
          <w:bCs/>
          <w:sz w:val="22"/>
        </w:rPr>
        <w:t>S</w:t>
      </w:r>
      <w:r w:rsidR="00D409CC">
        <w:rPr>
          <w:rFonts w:ascii="Times New Roman" w:hAnsi="Times New Roman" w:cs="Times New Roman" w:hint="eastAsia"/>
          <w:b/>
          <w:bCs/>
          <w:sz w:val="22"/>
        </w:rPr>
        <w:t>8</w:t>
      </w:r>
      <w:r w:rsidRPr="1323D982">
        <w:rPr>
          <w:rFonts w:ascii="Times New Roman" w:hAnsi="Times New Roman" w:cs="Times New Roman"/>
          <w:sz w:val="22"/>
        </w:rPr>
        <w:t xml:space="preserve">. </w:t>
      </w:r>
      <w:r w:rsidR="00256C36" w:rsidRPr="00256C36">
        <w:rPr>
          <w:rFonts w:ascii="Times New Roman" w:hAnsi="Times New Roman" w:cs="Times New Roman"/>
          <w:sz w:val="22"/>
        </w:rPr>
        <w:t xml:space="preserve">Unit-cell volume of ε‑FeOOH at room temperature as a function of pressure. The data illustrate the high-spin (HS) to low-spin (LS) transition, with the HS and LS regimes indicated by blue and orange symbols, respectively. All XRD data </w:t>
      </w:r>
      <w:proofErr w:type="gramStart"/>
      <w:r w:rsidR="00256C36" w:rsidRPr="00256C36">
        <w:rPr>
          <w:rFonts w:ascii="Times New Roman" w:hAnsi="Times New Roman" w:cs="Times New Roman"/>
          <w:sz w:val="22"/>
        </w:rPr>
        <w:t>were collected</w:t>
      </w:r>
      <w:proofErr w:type="gramEnd"/>
      <w:r w:rsidR="00256C36" w:rsidRPr="00256C36">
        <w:rPr>
          <w:rFonts w:ascii="Times New Roman" w:hAnsi="Times New Roman" w:cs="Times New Roman"/>
          <w:sz w:val="22"/>
        </w:rPr>
        <w:t xml:space="preserve"> during decompression. Previous results </w:t>
      </w:r>
      <w:proofErr w:type="gramStart"/>
      <w:r w:rsidR="00256C36" w:rsidRPr="00256C36">
        <w:rPr>
          <w:rFonts w:ascii="Times New Roman" w:hAnsi="Times New Roman" w:cs="Times New Roman"/>
          <w:sz w:val="22"/>
        </w:rPr>
        <w:t>are also shown</w:t>
      </w:r>
      <w:proofErr w:type="gramEnd"/>
      <w:r w:rsidR="00256C36" w:rsidRPr="00256C36">
        <w:rPr>
          <w:rFonts w:ascii="Times New Roman" w:hAnsi="Times New Roman" w:cs="Times New Roman"/>
          <w:sz w:val="22"/>
        </w:rPr>
        <w:t xml:space="preserve"> for comparison (Gleason et al., 2013; Thompson et al., 2020).</w:t>
      </w:r>
    </w:p>
    <w:p w14:paraId="3A308356" w14:textId="77777777" w:rsidR="00EA18AC" w:rsidRPr="009601E6" w:rsidRDefault="00EA18AC" w:rsidP="2773F91B">
      <w:pPr>
        <w:rPr>
          <w:rFonts w:ascii="Times New Roman" w:hAnsi="Times New Roman" w:cs="Times New Roman"/>
          <w:sz w:val="22"/>
        </w:rPr>
      </w:pPr>
    </w:p>
    <w:p w14:paraId="5BC0A8DC" w14:textId="77777777" w:rsidR="00EA18AC" w:rsidRPr="009601E6" w:rsidRDefault="00EA18AC" w:rsidP="00EA18AC">
      <w:pPr>
        <w:rPr>
          <w:rFonts w:ascii="Times New Roman" w:hAnsi="Times New Roman" w:cs="Times New Roman"/>
          <w:sz w:val="22"/>
        </w:rPr>
      </w:pPr>
      <w:r w:rsidRPr="009601E6">
        <w:rPr>
          <w:rFonts w:ascii="Times New Roman" w:hAnsi="Times New Roman" w:cs="Times New Roman"/>
          <w:noProof/>
          <w:sz w:val="22"/>
        </w:rPr>
        <w:drawing>
          <wp:inline distT="0" distB="0" distL="0" distR="0" wp14:anchorId="67A20E2E" wp14:editId="490BBB2C">
            <wp:extent cx="4305300" cy="2628900"/>
            <wp:effectExtent l="0" t="0" r="0" b="0"/>
            <wp:docPr id="473244918" name="図 1" descr="グラフ&#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3244918" name="図 1" descr="グラフ&#10;&#10;AI 生成コンテンツは誤りを含む可能性があります。"/>
                    <pic:cNvPicPr>
                      <a:picLocks noChangeAspect="1" noChangeArrowheads="1"/>
                    </pic:cNvPicPr>
                  </pic:nvPicPr>
                  <pic:blipFill rotWithShape="1">
                    <a:blip r:embed="rId17">
                      <a:extLst>
                        <a:ext uri="{28A0092B-C50C-407E-A947-70E740481C1C}">
                          <a14:useLocalDpi xmlns:a14="http://schemas.microsoft.com/office/drawing/2010/main" val="0"/>
                        </a:ext>
                      </a:extLst>
                    </a:blip>
                    <a:srcRect l="2701" t="3111" r="3392" b="1497"/>
                    <a:stretch/>
                  </pic:blipFill>
                  <pic:spPr bwMode="auto">
                    <a:xfrm>
                      <a:off x="0" y="0"/>
                      <a:ext cx="4305300" cy="2628900"/>
                    </a:xfrm>
                    <a:prstGeom prst="rect">
                      <a:avLst/>
                    </a:prstGeom>
                    <a:noFill/>
                    <a:ln>
                      <a:noFill/>
                    </a:ln>
                    <a:extLst>
                      <a:ext uri="{53640926-AAD7-44D8-BBD7-CCE9431645EC}">
                        <a14:shadowObscured xmlns:a14="http://schemas.microsoft.com/office/drawing/2010/main"/>
                      </a:ext>
                    </a:extLst>
                  </pic:spPr>
                </pic:pic>
              </a:graphicData>
            </a:graphic>
          </wp:inline>
        </w:drawing>
      </w:r>
    </w:p>
    <w:p w14:paraId="75D732B1" w14:textId="4A424288" w:rsidR="00EA18AC" w:rsidRPr="009601E6" w:rsidRDefault="00EA18AC" w:rsidP="2773F91B">
      <w:pPr>
        <w:rPr>
          <w:rFonts w:ascii="Times New Roman" w:eastAsia="ＭＳ 明朝" w:hAnsi="Times New Roman" w:cs="Times New Roman"/>
          <w:sz w:val="22"/>
        </w:rPr>
      </w:pPr>
      <w:r w:rsidRPr="009601E6">
        <w:rPr>
          <w:rFonts w:ascii="Times New Roman" w:hAnsi="Times New Roman" w:cs="Times New Roman"/>
          <w:b/>
          <w:bCs/>
          <w:sz w:val="22"/>
        </w:rPr>
        <w:t>Fig</w:t>
      </w:r>
      <w:r w:rsidR="00477CAD" w:rsidRPr="009601E6">
        <w:rPr>
          <w:rFonts w:ascii="Times New Roman" w:hAnsi="Times New Roman" w:cs="Times New Roman"/>
          <w:b/>
          <w:bCs/>
          <w:sz w:val="22"/>
        </w:rPr>
        <w:t>ure</w:t>
      </w:r>
      <w:r w:rsidRPr="009601E6">
        <w:rPr>
          <w:rFonts w:ascii="Times New Roman" w:hAnsi="Times New Roman" w:cs="Times New Roman"/>
          <w:b/>
          <w:bCs/>
          <w:sz w:val="22"/>
        </w:rPr>
        <w:t xml:space="preserve"> </w:t>
      </w:r>
      <w:r w:rsidR="00FB7101" w:rsidRPr="009601E6">
        <w:rPr>
          <w:rFonts w:ascii="Times New Roman" w:hAnsi="Times New Roman" w:cs="Times New Roman"/>
          <w:b/>
          <w:bCs/>
          <w:sz w:val="22"/>
        </w:rPr>
        <w:t>S</w:t>
      </w:r>
      <w:r w:rsidR="00FB7101">
        <w:rPr>
          <w:rFonts w:ascii="Times New Roman" w:hAnsi="Times New Roman" w:cs="Times New Roman" w:hint="eastAsia"/>
          <w:b/>
          <w:bCs/>
          <w:sz w:val="22"/>
        </w:rPr>
        <w:t>9</w:t>
      </w:r>
      <w:r w:rsidRPr="009601E6">
        <w:rPr>
          <w:rFonts w:ascii="Times New Roman" w:hAnsi="Times New Roman" w:cs="Times New Roman"/>
          <w:sz w:val="22"/>
        </w:rPr>
        <w:t xml:space="preserve">. </w:t>
      </w:r>
      <w:r w:rsidRPr="009601E6">
        <w:rPr>
          <w:rFonts w:ascii="Times New Roman" w:eastAsia="ＭＳ 明朝" w:hAnsi="Times New Roman" w:cs="Times New Roman"/>
          <w:sz w:val="22"/>
        </w:rPr>
        <w:t>Mössbauer spectrum of ε-FeOOH at 5</w:t>
      </w:r>
      <w:r w:rsidR="0075480B">
        <w:rPr>
          <w:rFonts w:ascii="Times New Roman" w:eastAsia="ＭＳ 明朝" w:hAnsi="Times New Roman" w:cs="Times New Roman" w:hint="eastAsia"/>
          <w:sz w:val="22"/>
        </w:rPr>
        <w:t>3</w:t>
      </w:r>
      <w:r w:rsidRPr="009601E6">
        <w:rPr>
          <w:rFonts w:ascii="Times New Roman" w:eastAsia="ＭＳ 明朝" w:hAnsi="Times New Roman" w:cs="Times New Roman"/>
          <w:sz w:val="22"/>
        </w:rPr>
        <w:t xml:space="preserve"> GPa.</w:t>
      </w:r>
    </w:p>
    <w:sectPr w:rsidR="00EA18AC" w:rsidRPr="009601E6">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4C2593" w14:textId="77777777" w:rsidR="000960EA" w:rsidRDefault="000960EA" w:rsidP="00E66709">
      <w:r>
        <w:separator/>
      </w:r>
    </w:p>
  </w:endnote>
  <w:endnote w:type="continuationSeparator" w:id="0">
    <w:p w14:paraId="6F0DFD03" w14:textId="77777777" w:rsidR="000960EA" w:rsidRDefault="000960EA" w:rsidP="00E667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8EA978" w14:textId="77777777" w:rsidR="000960EA" w:rsidRDefault="000960EA" w:rsidP="00E66709">
      <w:r>
        <w:separator/>
      </w:r>
    </w:p>
  </w:footnote>
  <w:footnote w:type="continuationSeparator" w:id="0">
    <w:p w14:paraId="7E5D12FB" w14:textId="77777777" w:rsidR="000960EA" w:rsidRDefault="000960EA" w:rsidP="00E6670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trackRevisions/>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44ED"/>
    <w:rsid w:val="00002BA6"/>
    <w:rsid w:val="000061CC"/>
    <w:rsid w:val="0002336B"/>
    <w:rsid w:val="000960EA"/>
    <w:rsid w:val="000C545C"/>
    <w:rsid w:val="000D2D98"/>
    <w:rsid w:val="000F10C3"/>
    <w:rsid w:val="000F1E0E"/>
    <w:rsid w:val="001033B3"/>
    <w:rsid w:val="001126A1"/>
    <w:rsid w:val="00114A6B"/>
    <w:rsid w:val="001244ED"/>
    <w:rsid w:val="00127D96"/>
    <w:rsid w:val="001303D5"/>
    <w:rsid w:val="00136F19"/>
    <w:rsid w:val="001461BF"/>
    <w:rsid w:val="00156357"/>
    <w:rsid w:val="00161F10"/>
    <w:rsid w:val="001741A4"/>
    <w:rsid w:val="001935D5"/>
    <w:rsid w:val="00197A7E"/>
    <w:rsid w:val="001A01E0"/>
    <w:rsid w:val="001A5264"/>
    <w:rsid w:val="001A76AD"/>
    <w:rsid w:val="001B1BA4"/>
    <w:rsid w:val="001C72BC"/>
    <w:rsid w:val="001D0CDE"/>
    <w:rsid w:val="001D0EDB"/>
    <w:rsid w:val="001E12F9"/>
    <w:rsid w:val="001E5536"/>
    <w:rsid w:val="001F4523"/>
    <w:rsid w:val="001F4CE1"/>
    <w:rsid w:val="0022053A"/>
    <w:rsid w:val="00232E17"/>
    <w:rsid w:val="00233B73"/>
    <w:rsid w:val="00237BC7"/>
    <w:rsid w:val="00256C36"/>
    <w:rsid w:val="002571B5"/>
    <w:rsid w:val="0026361A"/>
    <w:rsid w:val="0027109C"/>
    <w:rsid w:val="002767D3"/>
    <w:rsid w:val="002835A4"/>
    <w:rsid w:val="00283607"/>
    <w:rsid w:val="00293FA2"/>
    <w:rsid w:val="002A2AC2"/>
    <w:rsid w:val="002A4AFE"/>
    <w:rsid w:val="002F10DC"/>
    <w:rsid w:val="002F4AB1"/>
    <w:rsid w:val="0030696A"/>
    <w:rsid w:val="0031609F"/>
    <w:rsid w:val="00321DF0"/>
    <w:rsid w:val="003249BF"/>
    <w:rsid w:val="003341BB"/>
    <w:rsid w:val="00343D04"/>
    <w:rsid w:val="00356137"/>
    <w:rsid w:val="00363038"/>
    <w:rsid w:val="00363386"/>
    <w:rsid w:val="0037276C"/>
    <w:rsid w:val="003819D6"/>
    <w:rsid w:val="003A3F7B"/>
    <w:rsid w:val="003A5BBE"/>
    <w:rsid w:val="00432F35"/>
    <w:rsid w:val="00462D2D"/>
    <w:rsid w:val="00464DB5"/>
    <w:rsid w:val="00471303"/>
    <w:rsid w:val="00477CAD"/>
    <w:rsid w:val="004848C0"/>
    <w:rsid w:val="00485765"/>
    <w:rsid w:val="004925C7"/>
    <w:rsid w:val="004A6383"/>
    <w:rsid w:val="004B37D7"/>
    <w:rsid w:val="004B5ACD"/>
    <w:rsid w:val="004B774F"/>
    <w:rsid w:val="004B790B"/>
    <w:rsid w:val="004C4E33"/>
    <w:rsid w:val="004D3FA4"/>
    <w:rsid w:val="004D6208"/>
    <w:rsid w:val="004E300C"/>
    <w:rsid w:val="004F55D0"/>
    <w:rsid w:val="005012C3"/>
    <w:rsid w:val="00522428"/>
    <w:rsid w:val="005256D4"/>
    <w:rsid w:val="00545372"/>
    <w:rsid w:val="00547288"/>
    <w:rsid w:val="00547D72"/>
    <w:rsid w:val="00557388"/>
    <w:rsid w:val="00564626"/>
    <w:rsid w:val="005B7565"/>
    <w:rsid w:val="005C11C2"/>
    <w:rsid w:val="005D3DDE"/>
    <w:rsid w:val="005E58D5"/>
    <w:rsid w:val="005F4A7D"/>
    <w:rsid w:val="00611224"/>
    <w:rsid w:val="0061313C"/>
    <w:rsid w:val="006243EE"/>
    <w:rsid w:val="00631257"/>
    <w:rsid w:val="006365C8"/>
    <w:rsid w:val="006610CB"/>
    <w:rsid w:val="006873C7"/>
    <w:rsid w:val="00690964"/>
    <w:rsid w:val="006910C7"/>
    <w:rsid w:val="00693FBA"/>
    <w:rsid w:val="00695376"/>
    <w:rsid w:val="006A1E21"/>
    <w:rsid w:val="006A33F8"/>
    <w:rsid w:val="006E5252"/>
    <w:rsid w:val="006E6124"/>
    <w:rsid w:val="006F0CD3"/>
    <w:rsid w:val="006F1294"/>
    <w:rsid w:val="006F5E81"/>
    <w:rsid w:val="006F60D5"/>
    <w:rsid w:val="006F75BE"/>
    <w:rsid w:val="006F7EC4"/>
    <w:rsid w:val="007049C4"/>
    <w:rsid w:val="00713668"/>
    <w:rsid w:val="0075480B"/>
    <w:rsid w:val="00757CE7"/>
    <w:rsid w:val="007600A4"/>
    <w:rsid w:val="00763A32"/>
    <w:rsid w:val="007818B3"/>
    <w:rsid w:val="007926A3"/>
    <w:rsid w:val="007961F3"/>
    <w:rsid w:val="007A5FF3"/>
    <w:rsid w:val="007B5F08"/>
    <w:rsid w:val="007C412E"/>
    <w:rsid w:val="007C5E0A"/>
    <w:rsid w:val="008018FA"/>
    <w:rsid w:val="00802B42"/>
    <w:rsid w:val="008166C5"/>
    <w:rsid w:val="00821CF0"/>
    <w:rsid w:val="00831DA4"/>
    <w:rsid w:val="008460B8"/>
    <w:rsid w:val="00853AE5"/>
    <w:rsid w:val="00861F50"/>
    <w:rsid w:val="008809C8"/>
    <w:rsid w:val="00883044"/>
    <w:rsid w:val="00886807"/>
    <w:rsid w:val="00892315"/>
    <w:rsid w:val="008946D6"/>
    <w:rsid w:val="0089627E"/>
    <w:rsid w:val="008A0BA8"/>
    <w:rsid w:val="008B0729"/>
    <w:rsid w:val="008B5BF3"/>
    <w:rsid w:val="00902B28"/>
    <w:rsid w:val="009066E4"/>
    <w:rsid w:val="00923540"/>
    <w:rsid w:val="00931BE9"/>
    <w:rsid w:val="00932594"/>
    <w:rsid w:val="00954ED3"/>
    <w:rsid w:val="009553FF"/>
    <w:rsid w:val="009601E6"/>
    <w:rsid w:val="009669F0"/>
    <w:rsid w:val="00974708"/>
    <w:rsid w:val="0097577B"/>
    <w:rsid w:val="009B1474"/>
    <w:rsid w:val="009B7576"/>
    <w:rsid w:val="009D2C80"/>
    <w:rsid w:val="009F2B20"/>
    <w:rsid w:val="00A13F2A"/>
    <w:rsid w:val="00A22385"/>
    <w:rsid w:val="00A2274D"/>
    <w:rsid w:val="00A27909"/>
    <w:rsid w:val="00A43FDB"/>
    <w:rsid w:val="00A62C2E"/>
    <w:rsid w:val="00A82BC5"/>
    <w:rsid w:val="00A8678E"/>
    <w:rsid w:val="00A94B70"/>
    <w:rsid w:val="00AB57CA"/>
    <w:rsid w:val="00AC052D"/>
    <w:rsid w:val="00AD3BEA"/>
    <w:rsid w:val="00AE488F"/>
    <w:rsid w:val="00AF4B88"/>
    <w:rsid w:val="00B029F3"/>
    <w:rsid w:val="00B10604"/>
    <w:rsid w:val="00B1298D"/>
    <w:rsid w:val="00B21981"/>
    <w:rsid w:val="00B2203B"/>
    <w:rsid w:val="00B30BBA"/>
    <w:rsid w:val="00B3654C"/>
    <w:rsid w:val="00B514D6"/>
    <w:rsid w:val="00B63500"/>
    <w:rsid w:val="00B91A99"/>
    <w:rsid w:val="00B93A54"/>
    <w:rsid w:val="00BB0900"/>
    <w:rsid w:val="00BB36E1"/>
    <w:rsid w:val="00BD5A35"/>
    <w:rsid w:val="00BE6B89"/>
    <w:rsid w:val="00BF48B5"/>
    <w:rsid w:val="00BF4C4C"/>
    <w:rsid w:val="00C228CB"/>
    <w:rsid w:val="00C441E1"/>
    <w:rsid w:val="00C66556"/>
    <w:rsid w:val="00C66DA5"/>
    <w:rsid w:val="00C71738"/>
    <w:rsid w:val="00C729C7"/>
    <w:rsid w:val="00C829C5"/>
    <w:rsid w:val="00C85538"/>
    <w:rsid w:val="00C9575B"/>
    <w:rsid w:val="00CA1A41"/>
    <w:rsid w:val="00CA2B4A"/>
    <w:rsid w:val="00CA524C"/>
    <w:rsid w:val="00CB21C0"/>
    <w:rsid w:val="00CB7716"/>
    <w:rsid w:val="00CD790A"/>
    <w:rsid w:val="00CE001C"/>
    <w:rsid w:val="00CE5CE4"/>
    <w:rsid w:val="00CE7AA9"/>
    <w:rsid w:val="00CF658A"/>
    <w:rsid w:val="00D01ED6"/>
    <w:rsid w:val="00D03A37"/>
    <w:rsid w:val="00D0785D"/>
    <w:rsid w:val="00D20F54"/>
    <w:rsid w:val="00D409CC"/>
    <w:rsid w:val="00D52200"/>
    <w:rsid w:val="00D709A0"/>
    <w:rsid w:val="00D91C33"/>
    <w:rsid w:val="00DA777B"/>
    <w:rsid w:val="00DA7A3E"/>
    <w:rsid w:val="00DB0FED"/>
    <w:rsid w:val="00DC4883"/>
    <w:rsid w:val="00DD7877"/>
    <w:rsid w:val="00E03BF0"/>
    <w:rsid w:val="00E07292"/>
    <w:rsid w:val="00E12143"/>
    <w:rsid w:val="00E21944"/>
    <w:rsid w:val="00E25458"/>
    <w:rsid w:val="00E4596C"/>
    <w:rsid w:val="00E5736F"/>
    <w:rsid w:val="00E66709"/>
    <w:rsid w:val="00EA0DFA"/>
    <w:rsid w:val="00EA18AC"/>
    <w:rsid w:val="00EA7FC6"/>
    <w:rsid w:val="00EB1CBC"/>
    <w:rsid w:val="00EC26D0"/>
    <w:rsid w:val="00EC52F8"/>
    <w:rsid w:val="00EE31BB"/>
    <w:rsid w:val="00EE66B3"/>
    <w:rsid w:val="00F159B5"/>
    <w:rsid w:val="00F2331B"/>
    <w:rsid w:val="00F32659"/>
    <w:rsid w:val="00F33989"/>
    <w:rsid w:val="00F51B0A"/>
    <w:rsid w:val="00F523A4"/>
    <w:rsid w:val="00F82FE6"/>
    <w:rsid w:val="00F9536E"/>
    <w:rsid w:val="00FA309C"/>
    <w:rsid w:val="00FA6B92"/>
    <w:rsid w:val="00FA716B"/>
    <w:rsid w:val="00FB7101"/>
    <w:rsid w:val="00FC1508"/>
    <w:rsid w:val="024BC1B6"/>
    <w:rsid w:val="02AA44D4"/>
    <w:rsid w:val="04ACC661"/>
    <w:rsid w:val="0D513338"/>
    <w:rsid w:val="0DEAC3F0"/>
    <w:rsid w:val="104B0B5C"/>
    <w:rsid w:val="10F04E91"/>
    <w:rsid w:val="1251B793"/>
    <w:rsid w:val="12DFA8DF"/>
    <w:rsid w:val="1323D982"/>
    <w:rsid w:val="148293B3"/>
    <w:rsid w:val="14D28AA0"/>
    <w:rsid w:val="15978E87"/>
    <w:rsid w:val="19C0A37D"/>
    <w:rsid w:val="1C307568"/>
    <w:rsid w:val="1F3D60FE"/>
    <w:rsid w:val="207B9F91"/>
    <w:rsid w:val="20C014F7"/>
    <w:rsid w:val="20FAACEA"/>
    <w:rsid w:val="21F23B4D"/>
    <w:rsid w:val="224D2E84"/>
    <w:rsid w:val="227DF547"/>
    <w:rsid w:val="23DC51F4"/>
    <w:rsid w:val="24835B4A"/>
    <w:rsid w:val="249E3D5D"/>
    <w:rsid w:val="2572461F"/>
    <w:rsid w:val="25C53ECE"/>
    <w:rsid w:val="2773F91B"/>
    <w:rsid w:val="2B677E1F"/>
    <w:rsid w:val="2D021C62"/>
    <w:rsid w:val="2D1EA62C"/>
    <w:rsid w:val="2EA845A4"/>
    <w:rsid w:val="2F9D23CD"/>
    <w:rsid w:val="337ED56F"/>
    <w:rsid w:val="3B2783E1"/>
    <w:rsid w:val="3C5C8C80"/>
    <w:rsid w:val="3CB85E9A"/>
    <w:rsid w:val="3F599FEF"/>
    <w:rsid w:val="3FE90F2E"/>
    <w:rsid w:val="421A3063"/>
    <w:rsid w:val="425B87FB"/>
    <w:rsid w:val="468BEA66"/>
    <w:rsid w:val="474084D7"/>
    <w:rsid w:val="495D3A7A"/>
    <w:rsid w:val="4C778B85"/>
    <w:rsid w:val="503E009C"/>
    <w:rsid w:val="510A7F45"/>
    <w:rsid w:val="54120236"/>
    <w:rsid w:val="54A3C080"/>
    <w:rsid w:val="553FA3BF"/>
    <w:rsid w:val="57CE49A0"/>
    <w:rsid w:val="587CC1A7"/>
    <w:rsid w:val="5905800B"/>
    <w:rsid w:val="5C08218D"/>
    <w:rsid w:val="5D307F64"/>
    <w:rsid w:val="5D3D2816"/>
    <w:rsid w:val="5ECC8D65"/>
    <w:rsid w:val="5F06BC2C"/>
    <w:rsid w:val="5F71A8E0"/>
    <w:rsid w:val="630E46E5"/>
    <w:rsid w:val="6355E2AF"/>
    <w:rsid w:val="639D102B"/>
    <w:rsid w:val="642409AE"/>
    <w:rsid w:val="64789F78"/>
    <w:rsid w:val="689B99B7"/>
    <w:rsid w:val="6AF46E6D"/>
    <w:rsid w:val="6C0E5191"/>
    <w:rsid w:val="6C8DEF6E"/>
    <w:rsid w:val="6F7E7228"/>
    <w:rsid w:val="75A2F163"/>
    <w:rsid w:val="75B25C93"/>
    <w:rsid w:val="773EA3BA"/>
    <w:rsid w:val="7A24559E"/>
    <w:rsid w:val="7B433159"/>
    <w:rsid w:val="7EE97C41"/>
    <w:rsid w:val="7FCADDC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0A535DB"/>
  <w15:chartTrackingRefBased/>
  <w15:docId w15:val="{7BD74842-0DD3-4A60-8760-7D0DC571A5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E6B89"/>
    <w:pPr>
      <w:widowControl w:val="0"/>
      <w:jc w:val="both"/>
    </w:pPr>
  </w:style>
  <w:style w:type="paragraph" w:styleId="1">
    <w:name w:val="heading 1"/>
    <w:basedOn w:val="a"/>
    <w:next w:val="a"/>
    <w:link w:val="10"/>
    <w:uiPriority w:val="9"/>
    <w:qFormat/>
    <w:rsid w:val="001244ED"/>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1244ED"/>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1244ED"/>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1244ED"/>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1244ED"/>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1244ED"/>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1244ED"/>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1244ED"/>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1244ED"/>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1244ED"/>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1244ED"/>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1244ED"/>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1244ED"/>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1244ED"/>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1244ED"/>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1244ED"/>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1244ED"/>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1244ED"/>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1244ED"/>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1244E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244ED"/>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1244ED"/>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1244ED"/>
    <w:pPr>
      <w:spacing w:before="160" w:after="160"/>
      <w:jc w:val="center"/>
    </w:pPr>
    <w:rPr>
      <w:i/>
      <w:iCs/>
      <w:color w:val="404040" w:themeColor="text1" w:themeTint="BF"/>
    </w:rPr>
  </w:style>
  <w:style w:type="character" w:customStyle="1" w:styleId="a8">
    <w:name w:val="引用文 (文字)"/>
    <w:basedOn w:val="a0"/>
    <w:link w:val="a7"/>
    <w:uiPriority w:val="29"/>
    <w:rsid w:val="001244ED"/>
    <w:rPr>
      <w:i/>
      <w:iCs/>
      <w:color w:val="404040" w:themeColor="text1" w:themeTint="BF"/>
    </w:rPr>
  </w:style>
  <w:style w:type="paragraph" w:styleId="a9">
    <w:name w:val="List Paragraph"/>
    <w:basedOn w:val="a"/>
    <w:uiPriority w:val="34"/>
    <w:qFormat/>
    <w:rsid w:val="001244ED"/>
    <w:pPr>
      <w:ind w:left="720"/>
      <w:contextualSpacing/>
    </w:pPr>
  </w:style>
  <w:style w:type="character" w:styleId="21">
    <w:name w:val="Intense Emphasis"/>
    <w:basedOn w:val="a0"/>
    <w:uiPriority w:val="21"/>
    <w:qFormat/>
    <w:rsid w:val="001244ED"/>
    <w:rPr>
      <w:i/>
      <w:iCs/>
      <w:color w:val="2E74B5" w:themeColor="accent1" w:themeShade="BF"/>
    </w:rPr>
  </w:style>
  <w:style w:type="paragraph" w:styleId="22">
    <w:name w:val="Intense Quote"/>
    <w:basedOn w:val="a"/>
    <w:next w:val="a"/>
    <w:link w:val="23"/>
    <w:uiPriority w:val="30"/>
    <w:qFormat/>
    <w:rsid w:val="001244ED"/>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23">
    <w:name w:val="引用文 2 (文字)"/>
    <w:basedOn w:val="a0"/>
    <w:link w:val="22"/>
    <w:uiPriority w:val="30"/>
    <w:rsid w:val="001244ED"/>
    <w:rPr>
      <w:i/>
      <w:iCs/>
      <w:color w:val="2E74B5" w:themeColor="accent1" w:themeShade="BF"/>
    </w:rPr>
  </w:style>
  <w:style w:type="character" w:styleId="24">
    <w:name w:val="Intense Reference"/>
    <w:basedOn w:val="a0"/>
    <w:uiPriority w:val="32"/>
    <w:qFormat/>
    <w:rsid w:val="001244ED"/>
    <w:rPr>
      <w:b/>
      <w:bCs/>
      <w:smallCaps/>
      <w:color w:val="2E74B5" w:themeColor="accent1" w:themeShade="BF"/>
      <w:spacing w:val="5"/>
    </w:rPr>
  </w:style>
  <w:style w:type="paragraph" w:customStyle="1" w:styleId="Abstract">
    <w:name w:val="Abstract"/>
    <w:basedOn w:val="a"/>
    <w:uiPriority w:val="1"/>
    <w:qFormat/>
    <w:rsid w:val="7A24559E"/>
    <w:pPr>
      <w:spacing w:before="120"/>
    </w:pPr>
    <w:rPr>
      <w:sz w:val="24"/>
      <w:szCs w:val="24"/>
    </w:rPr>
  </w:style>
  <w:style w:type="paragraph" w:customStyle="1" w:styleId="Heading-Secondary">
    <w:name w:val="Heading-Secondary"/>
    <w:basedOn w:val="a"/>
    <w:uiPriority w:val="1"/>
    <w:qFormat/>
    <w:rsid w:val="7A24559E"/>
    <w:pPr>
      <w:keepNext/>
      <w:spacing w:before="240" w:after="120"/>
      <w:ind w:left="720"/>
      <w:outlineLvl w:val="0"/>
    </w:pPr>
    <w:rPr>
      <w:sz w:val="24"/>
      <w:szCs w:val="24"/>
    </w:rPr>
  </w:style>
  <w:style w:type="paragraph" w:styleId="aa">
    <w:name w:val="header"/>
    <w:basedOn w:val="a"/>
    <w:link w:val="ab"/>
    <w:uiPriority w:val="99"/>
    <w:unhideWhenUsed/>
    <w:rsid w:val="00E66709"/>
    <w:pPr>
      <w:tabs>
        <w:tab w:val="center" w:pos="4252"/>
        <w:tab w:val="right" w:pos="8504"/>
      </w:tabs>
      <w:snapToGrid w:val="0"/>
    </w:pPr>
  </w:style>
  <w:style w:type="character" w:customStyle="1" w:styleId="ab">
    <w:name w:val="ヘッダー (文字)"/>
    <w:basedOn w:val="a0"/>
    <w:link w:val="aa"/>
    <w:uiPriority w:val="99"/>
    <w:rsid w:val="00E66709"/>
  </w:style>
  <w:style w:type="paragraph" w:styleId="ac">
    <w:name w:val="footer"/>
    <w:basedOn w:val="a"/>
    <w:link w:val="ad"/>
    <w:uiPriority w:val="99"/>
    <w:unhideWhenUsed/>
    <w:rsid w:val="00E66709"/>
    <w:pPr>
      <w:tabs>
        <w:tab w:val="center" w:pos="4252"/>
        <w:tab w:val="right" w:pos="8504"/>
      </w:tabs>
      <w:snapToGrid w:val="0"/>
    </w:pPr>
  </w:style>
  <w:style w:type="character" w:customStyle="1" w:styleId="ad">
    <w:name w:val="フッター (文字)"/>
    <w:basedOn w:val="a0"/>
    <w:link w:val="ac"/>
    <w:uiPriority w:val="99"/>
    <w:rsid w:val="00E66709"/>
  </w:style>
  <w:style w:type="character" w:styleId="ae">
    <w:name w:val="Hyperlink"/>
    <w:rsid w:val="00D20F54"/>
    <w:rPr>
      <w:color w:val="0000FF"/>
      <w:u w:val="single"/>
    </w:rPr>
  </w:style>
  <w:style w:type="paragraph" w:styleId="af">
    <w:name w:val="Revision"/>
    <w:hidden/>
    <w:uiPriority w:val="99"/>
    <w:semiHidden/>
    <w:rsid w:val="009066E4"/>
  </w:style>
  <w:style w:type="paragraph" w:styleId="af0">
    <w:name w:val="annotation text"/>
    <w:basedOn w:val="a"/>
    <w:link w:val="af1"/>
    <w:uiPriority w:val="99"/>
    <w:unhideWhenUsed/>
    <w:pPr>
      <w:jc w:val="left"/>
    </w:pPr>
  </w:style>
  <w:style w:type="character" w:customStyle="1" w:styleId="af1">
    <w:name w:val="コメント文字列 (文字)"/>
    <w:basedOn w:val="a0"/>
    <w:link w:val="af0"/>
    <w:uiPriority w:val="99"/>
  </w:style>
  <w:style w:type="character" w:styleId="af2">
    <w:name w:val="annotation reference"/>
    <w:basedOn w:val="a0"/>
    <w:uiPriority w:val="99"/>
    <w:semiHidden/>
    <w:unhideWhenUsed/>
    <w:rPr>
      <w:sz w:val="18"/>
      <w:szCs w:val="18"/>
    </w:rPr>
  </w:style>
  <w:style w:type="paragraph" w:styleId="af3">
    <w:name w:val="annotation subject"/>
    <w:basedOn w:val="af0"/>
    <w:next w:val="af0"/>
    <w:link w:val="af4"/>
    <w:uiPriority w:val="99"/>
    <w:semiHidden/>
    <w:unhideWhenUsed/>
    <w:rsid w:val="006A1E21"/>
    <w:rPr>
      <w:b/>
      <w:bCs/>
    </w:rPr>
  </w:style>
  <w:style w:type="character" w:customStyle="1" w:styleId="af4">
    <w:name w:val="コメント内容 (文字)"/>
    <w:basedOn w:val="af1"/>
    <w:link w:val="af3"/>
    <w:uiPriority w:val="99"/>
    <w:semiHidden/>
    <w:rsid w:val="006A1E2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yseto.net/soft/pdi" TargetMode="External"/><Relationship Id="rId13" Type="http://schemas.openxmlformats.org/officeDocument/2006/relationships/image" Target="media/image5.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yseto.net/soft/ipanalyzer" TargetMode="Externa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styles" Target="styles.xml"/><Relationship Id="rId16" Type="http://schemas.openxmlformats.org/officeDocument/2006/relationships/image" Target="media/image8.emf"/><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image" Target="media/image7.emf"/><Relationship Id="rId10" Type="http://schemas.openxmlformats.org/officeDocument/2006/relationships/image" Target="media/image2.jp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C6FE42-6D5F-4838-A0FB-C5B9248695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TotalTime>
  <Pages>6</Pages>
  <Words>5349</Words>
  <Characters>30493</Characters>
  <Application>Microsoft Office Word</Application>
  <DocSecurity>0</DocSecurity>
  <Lines>254</Lines>
  <Paragraphs>71</Paragraphs>
  <ScaleCrop>false</ScaleCrop>
  <Company/>
  <LinksUpToDate>false</LinksUpToDate>
  <CharactersWithSpaces>35771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増野いづみ</dc:creator>
  <cp:keywords/>
  <dc:description/>
  <cp:lastModifiedBy>増野 いづみ</cp:lastModifiedBy>
  <cp:revision>226</cp:revision>
  <dcterms:created xsi:type="dcterms:W3CDTF">2025-04-05T19:11:00Z</dcterms:created>
  <dcterms:modified xsi:type="dcterms:W3CDTF">2026-04-27T00:58:00Z</dcterms:modified>
</cp:coreProperties>
</file>