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89F" w:rsidRDefault="00A1589F" w:rsidP="00A1589F">
      <w:pPr>
        <w:pStyle w:val="Heading1"/>
      </w:pPr>
      <w:r>
        <w:t xml:space="preserve">Supplementary </w:t>
      </w:r>
      <w:r w:rsidRPr="003B5ED0">
        <w:t>Tables</w:t>
      </w:r>
    </w:p>
    <w:p w:rsidR="00A1589F" w:rsidRPr="005565ED" w:rsidRDefault="00A1589F" w:rsidP="00A1589F">
      <w:pPr>
        <w:pStyle w:val="Heading2"/>
        <w:rPr>
          <w:b/>
          <w:bCs/>
          <w:i w:val="0"/>
          <w:iCs/>
          <w:color w:val="FFFFFF" w:themeColor="background1"/>
          <w:lang w:val="en-US"/>
        </w:rPr>
      </w:pPr>
      <w:r w:rsidRPr="005565ED">
        <w:rPr>
          <w:b/>
          <w:bCs/>
          <w:i w:val="0"/>
          <w:iCs/>
          <w:lang w:val="en-US"/>
        </w:rPr>
        <w:t xml:space="preserve">Table </w:t>
      </w:r>
      <w:r>
        <w:rPr>
          <w:b/>
          <w:bCs/>
          <w:i w:val="0"/>
          <w:iCs/>
          <w:lang w:val="en-US"/>
        </w:rPr>
        <w:t>S1</w:t>
      </w:r>
      <w:r w:rsidRPr="005565ED">
        <w:rPr>
          <w:b/>
          <w:bCs/>
          <w:i w:val="0"/>
          <w:iCs/>
          <w:lang w:val="en-US"/>
        </w:rPr>
        <w:t xml:space="preserve">: </w:t>
      </w:r>
      <w:r w:rsidRPr="005565ED">
        <w:rPr>
          <w:rFonts w:eastAsiaTheme="minorHAnsi" w:cs="Times New Roman"/>
          <w:b/>
          <w:bCs/>
          <w:i w:val="0"/>
          <w:iCs/>
          <w:szCs w:val="20"/>
        </w:rPr>
        <w:t xml:space="preserve">Concurrent medical conditions of </w:t>
      </w:r>
      <w:r w:rsidRPr="005565ED">
        <w:rPr>
          <w:rFonts w:cs="Times New Roman"/>
          <w:b/>
          <w:bCs/>
          <w:i w:val="0"/>
          <w:iCs/>
          <w:szCs w:val="20"/>
        </w:rPr>
        <w:t>h</w:t>
      </w:r>
      <w:r>
        <w:rPr>
          <w:rFonts w:cs="Times New Roman"/>
          <w:b/>
          <w:bCs/>
          <w:i w:val="0"/>
          <w:iCs/>
          <w:szCs w:val="20"/>
        </w:rPr>
        <w:t>a</w:t>
      </w:r>
      <w:r w:rsidRPr="005565ED">
        <w:rPr>
          <w:rFonts w:cs="Times New Roman"/>
          <w:b/>
          <w:bCs/>
          <w:i w:val="0"/>
          <w:iCs/>
          <w:szCs w:val="20"/>
        </w:rPr>
        <w:t>emodialysis</w:t>
      </w:r>
      <w:r w:rsidRPr="005565ED">
        <w:rPr>
          <w:rFonts w:eastAsiaTheme="minorHAnsi" w:cs="Times New Roman"/>
          <w:b/>
          <w:bCs/>
          <w:i w:val="0"/>
          <w:iCs/>
          <w:szCs w:val="20"/>
        </w:rPr>
        <w:t xml:space="preserve"> </w:t>
      </w:r>
      <w:r>
        <w:rPr>
          <w:rFonts w:eastAsiaTheme="minorHAnsi" w:cs="Times New Roman"/>
          <w:b/>
          <w:bCs/>
          <w:i w:val="0"/>
          <w:iCs/>
          <w:szCs w:val="20"/>
        </w:rPr>
        <w:t>patient</w:t>
      </w:r>
      <w:r w:rsidRPr="005565ED">
        <w:rPr>
          <w:rFonts w:eastAsiaTheme="minorHAnsi" w:cs="Times New Roman"/>
          <w:b/>
          <w:bCs/>
          <w:i w:val="0"/>
          <w:iCs/>
          <w:szCs w:val="20"/>
        </w:rPr>
        <w:t>s with access circuit stenosis.</w:t>
      </w:r>
    </w:p>
    <w:tbl>
      <w:tblPr>
        <w:tblStyle w:val="TableGrid"/>
        <w:tblW w:w="5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1260"/>
      </w:tblGrid>
      <w:tr w:rsidR="00A1589F" w:rsidRPr="003C64E9" w:rsidTr="008D3463">
        <w:tc>
          <w:tcPr>
            <w:tcW w:w="423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 xml:space="preserve">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patients</w:t>
            </w:r>
          </w:p>
        </w:tc>
      </w:tr>
      <w:tr w:rsidR="00A1589F" w:rsidRPr="003C64E9" w:rsidTr="008D3463">
        <w:tc>
          <w:tcPr>
            <w:tcW w:w="4230" w:type="dxa"/>
          </w:tcPr>
          <w:p w:rsidR="00A1589F" w:rsidRPr="003C64E9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1589F" w:rsidRPr="003C64E9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= 46</w:t>
            </w:r>
          </w:p>
        </w:tc>
      </w:tr>
      <w:tr w:rsidR="00A1589F" w:rsidRPr="003C64E9" w:rsidTr="008D3463">
        <w:tc>
          <w:tcPr>
            <w:tcW w:w="423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Anaemia</w:t>
            </w:r>
          </w:p>
        </w:tc>
        <w:tc>
          <w:tcPr>
            <w:tcW w:w="126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18 (39%)</w:t>
            </w:r>
          </w:p>
        </w:tc>
      </w:tr>
      <w:tr w:rsidR="00A1589F" w:rsidRPr="003C64E9" w:rsidTr="008D3463">
        <w:tc>
          <w:tcPr>
            <w:tcW w:w="423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Cardiac disorders</w:t>
            </w:r>
          </w:p>
        </w:tc>
        <w:tc>
          <w:tcPr>
            <w:tcW w:w="126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12 (26%)</w:t>
            </w:r>
          </w:p>
        </w:tc>
      </w:tr>
      <w:tr w:rsidR="00A1589F" w:rsidRPr="003C64E9" w:rsidTr="008D3463">
        <w:tc>
          <w:tcPr>
            <w:tcW w:w="423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Congenital cystic kidney disease</w:t>
            </w:r>
          </w:p>
        </w:tc>
        <w:tc>
          <w:tcPr>
            <w:tcW w:w="126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1 (2%)</w:t>
            </w:r>
          </w:p>
        </w:tc>
      </w:tr>
      <w:tr w:rsidR="00A1589F" w:rsidRPr="003C64E9" w:rsidTr="008D3463">
        <w:tc>
          <w:tcPr>
            <w:tcW w:w="423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Ear and labyrinth disorders</w:t>
            </w:r>
          </w:p>
        </w:tc>
        <w:tc>
          <w:tcPr>
            <w:tcW w:w="126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2 (4%)</w:t>
            </w:r>
          </w:p>
        </w:tc>
      </w:tr>
      <w:tr w:rsidR="00A1589F" w:rsidRPr="003C64E9" w:rsidTr="008D3463">
        <w:tc>
          <w:tcPr>
            <w:tcW w:w="423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Endocrine disorders</w:t>
            </w:r>
          </w:p>
        </w:tc>
        <w:tc>
          <w:tcPr>
            <w:tcW w:w="126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14 (30%)</w:t>
            </w:r>
          </w:p>
        </w:tc>
      </w:tr>
      <w:tr w:rsidR="00A1589F" w:rsidRPr="003C64E9" w:rsidTr="008D3463">
        <w:tc>
          <w:tcPr>
            <w:tcW w:w="423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 xml:space="preserve">Glaucoma </w:t>
            </w:r>
          </w:p>
        </w:tc>
        <w:tc>
          <w:tcPr>
            <w:tcW w:w="126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1 (2%)</w:t>
            </w:r>
          </w:p>
        </w:tc>
      </w:tr>
      <w:tr w:rsidR="00A1589F" w:rsidRPr="003C64E9" w:rsidTr="008D3463">
        <w:tc>
          <w:tcPr>
            <w:tcW w:w="423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Gastrointestinal disorders</w:t>
            </w:r>
          </w:p>
        </w:tc>
        <w:tc>
          <w:tcPr>
            <w:tcW w:w="126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2 (4%)</w:t>
            </w:r>
          </w:p>
        </w:tc>
      </w:tr>
      <w:tr w:rsidR="00A1589F" w:rsidRPr="003C64E9" w:rsidTr="008D3463">
        <w:tc>
          <w:tcPr>
            <w:tcW w:w="423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Hepatic failure</w:t>
            </w:r>
          </w:p>
        </w:tc>
        <w:tc>
          <w:tcPr>
            <w:tcW w:w="126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1 (2%)</w:t>
            </w:r>
          </w:p>
        </w:tc>
      </w:tr>
      <w:tr w:rsidR="00A1589F" w:rsidRPr="003C64E9" w:rsidTr="008D3463">
        <w:tc>
          <w:tcPr>
            <w:tcW w:w="423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Hypertryglyceridemia</w:t>
            </w:r>
          </w:p>
        </w:tc>
        <w:tc>
          <w:tcPr>
            <w:tcW w:w="126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1 (2%)</w:t>
            </w:r>
          </w:p>
        </w:tc>
      </w:tr>
      <w:tr w:rsidR="00A1589F" w:rsidRPr="003C64E9" w:rsidTr="008D3463">
        <w:tc>
          <w:tcPr>
            <w:tcW w:w="423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Hyperuricemia</w:t>
            </w:r>
          </w:p>
        </w:tc>
        <w:tc>
          <w:tcPr>
            <w:tcW w:w="126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2 (4%)</w:t>
            </w:r>
          </w:p>
        </w:tc>
      </w:tr>
      <w:tr w:rsidR="00A1589F" w:rsidRPr="003C64E9" w:rsidTr="008D3463">
        <w:tc>
          <w:tcPr>
            <w:tcW w:w="423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 xml:space="preserve">Infections and infestations </w:t>
            </w:r>
          </w:p>
        </w:tc>
        <w:tc>
          <w:tcPr>
            <w:tcW w:w="126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2 (4%)</w:t>
            </w:r>
          </w:p>
        </w:tc>
      </w:tr>
      <w:tr w:rsidR="00A1589F" w:rsidRPr="003C64E9" w:rsidTr="008D3463">
        <w:tc>
          <w:tcPr>
            <w:tcW w:w="423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Metabolism and nutrition disorders</w:t>
            </w:r>
          </w:p>
        </w:tc>
        <w:tc>
          <w:tcPr>
            <w:tcW w:w="126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28 (61%)</w:t>
            </w:r>
          </w:p>
        </w:tc>
      </w:tr>
      <w:tr w:rsidR="00A1589F" w:rsidRPr="003C64E9" w:rsidTr="008D3463">
        <w:tc>
          <w:tcPr>
            <w:tcW w:w="423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Musculoskeletal and connective tissue disorders</w:t>
            </w:r>
          </w:p>
        </w:tc>
        <w:tc>
          <w:tcPr>
            <w:tcW w:w="126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3 (7%)</w:t>
            </w:r>
          </w:p>
        </w:tc>
      </w:tr>
      <w:tr w:rsidR="00A1589F" w:rsidRPr="003C64E9" w:rsidTr="008D3463">
        <w:tc>
          <w:tcPr>
            <w:tcW w:w="423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 xml:space="preserve">Uterine leiomyoma </w:t>
            </w:r>
          </w:p>
        </w:tc>
        <w:tc>
          <w:tcPr>
            <w:tcW w:w="126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1 (2%)</w:t>
            </w:r>
          </w:p>
        </w:tc>
      </w:tr>
      <w:tr w:rsidR="00A1589F" w:rsidRPr="003C64E9" w:rsidTr="008D3463">
        <w:tc>
          <w:tcPr>
            <w:tcW w:w="423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 xml:space="preserve">Nervous system disorders </w:t>
            </w:r>
          </w:p>
        </w:tc>
        <w:tc>
          <w:tcPr>
            <w:tcW w:w="126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5 (11%)</w:t>
            </w:r>
          </w:p>
        </w:tc>
      </w:tr>
      <w:tr w:rsidR="00A1589F" w:rsidRPr="003C64E9" w:rsidTr="008D3463">
        <w:tc>
          <w:tcPr>
            <w:tcW w:w="423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Psychiatric disorders</w:t>
            </w:r>
          </w:p>
        </w:tc>
        <w:tc>
          <w:tcPr>
            <w:tcW w:w="126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8 (17%)</w:t>
            </w:r>
          </w:p>
        </w:tc>
      </w:tr>
      <w:tr w:rsidR="00A1589F" w:rsidRPr="003C64E9" w:rsidTr="008D3463">
        <w:tc>
          <w:tcPr>
            <w:tcW w:w="423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 xml:space="preserve">Renal and urinary disorders </w:t>
            </w:r>
          </w:p>
        </w:tc>
        <w:tc>
          <w:tcPr>
            <w:tcW w:w="126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41 (89%)</w:t>
            </w:r>
          </w:p>
        </w:tc>
      </w:tr>
      <w:tr w:rsidR="00A1589F" w:rsidRPr="003C64E9" w:rsidTr="008D3463">
        <w:tc>
          <w:tcPr>
            <w:tcW w:w="423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Reproductive and breast disorders</w:t>
            </w:r>
          </w:p>
        </w:tc>
        <w:tc>
          <w:tcPr>
            <w:tcW w:w="126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2 (4%)</w:t>
            </w:r>
          </w:p>
        </w:tc>
      </w:tr>
      <w:tr w:rsidR="00A1589F" w:rsidRPr="003C64E9" w:rsidTr="008D3463">
        <w:tc>
          <w:tcPr>
            <w:tcW w:w="423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 xml:space="preserve">Respiratory, thoracic and mediastinal disorders </w:t>
            </w:r>
          </w:p>
        </w:tc>
        <w:tc>
          <w:tcPr>
            <w:tcW w:w="126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4 (9%)</w:t>
            </w:r>
          </w:p>
        </w:tc>
      </w:tr>
      <w:tr w:rsidR="00A1589F" w:rsidRPr="003C64E9" w:rsidTr="008D3463">
        <w:tc>
          <w:tcPr>
            <w:tcW w:w="423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Skin and subcutaneous tissue disorders</w:t>
            </w:r>
          </w:p>
        </w:tc>
        <w:tc>
          <w:tcPr>
            <w:tcW w:w="126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1 (2%)</w:t>
            </w:r>
          </w:p>
        </w:tc>
      </w:tr>
      <w:tr w:rsidR="00A1589F" w:rsidRPr="003C64E9" w:rsidTr="008D3463">
        <w:tc>
          <w:tcPr>
            <w:tcW w:w="423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Surgical and medical procedures</w:t>
            </w:r>
          </w:p>
        </w:tc>
        <w:tc>
          <w:tcPr>
            <w:tcW w:w="126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4 (9%)</w:t>
            </w:r>
          </w:p>
        </w:tc>
      </w:tr>
      <w:tr w:rsidR="00A1589F" w:rsidRPr="003C64E9" w:rsidTr="008D3463">
        <w:tc>
          <w:tcPr>
            <w:tcW w:w="423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Vascular disorders</w:t>
            </w:r>
          </w:p>
        </w:tc>
        <w:tc>
          <w:tcPr>
            <w:tcW w:w="1260" w:type="dxa"/>
          </w:tcPr>
          <w:p w:rsidR="00A1589F" w:rsidRPr="005565ED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5ED">
              <w:rPr>
                <w:rFonts w:ascii="Times New Roman" w:hAnsi="Times New Roman" w:cs="Times New Roman"/>
                <w:sz w:val="20"/>
                <w:szCs w:val="20"/>
              </w:rPr>
              <w:t>22 (48%)</w:t>
            </w:r>
          </w:p>
        </w:tc>
      </w:tr>
    </w:tbl>
    <w:p w:rsidR="00A1589F" w:rsidRDefault="00A1589F" w:rsidP="00A1589F">
      <w:pPr>
        <w:rPr>
          <w:lang w:val="en-US"/>
        </w:rPr>
      </w:pPr>
    </w:p>
    <w:p w:rsidR="00A1589F" w:rsidRDefault="00A1589F" w:rsidP="00A1589F">
      <w:pPr>
        <w:rPr>
          <w:lang w:val="en-US"/>
        </w:rPr>
      </w:pPr>
    </w:p>
    <w:p w:rsidR="00A1589F" w:rsidRPr="00F46870" w:rsidRDefault="00A1589F" w:rsidP="00A1589F">
      <w:pPr>
        <w:pStyle w:val="Heading2"/>
        <w:rPr>
          <w:bCs/>
        </w:rPr>
      </w:pPr>
      <w:r w:rsidRPr="008A3625">
        <w:rPr>
          <w:b/>
          <w:bCs/>
          <w:i w:val="0"/>
          <w:iCs/>
          <w:lang w:val="en-US"/>
        </w:rPr>
        <w:t>Table S</w:t>
      </w:r>
      <w:r>
        <w:rPr>
          <w:b/>
          <w:bCs/>
          <w:i w:val="0"/>
          <w:iCs/>
          <w:lang w:val="en-US"/>
        </w:rPr>
        <w:t>2</w:t>
      </w:r>
      <w:r w:rsidRPr="008A3625">
        <w:rPr>
          <w:b/>
          <w:bCs/>
          <w:i w:val="0"/>
          <w:iCs/>
          <w:lang w:val="en-US"/>
        </w:rPr>
        <w:t xml:space="preserve">: </w:t>
      </w:r>
      <w:r w:rsidRPr="008A3625">
        <w:rPr>
          <w:rFonts w:eastAsiaTheme="minorHAnsi" w:cs="Times New Roman"/>
          <w:b/>
          <w:bCs/>
          <w:i w:val="0"/>
          <w:iCs/>
          <w:szCs w:val="20"/>
        </w:rPr>
        <w:t xml:space="preserve">Concurrent antiplatelet and anticoagulant taken by </w:t>
      </w:r>
      <w:r w:rsidRPr="008A3625">
        <w:rPr>
          <w:rFonts w:cs="Times New Roman"/>
          <w:b/>
          <w:bCs/>
          <w:i w:val="0"/>
          <w:iCs/>
          <w:szCs w:val="20"/>
        </w:rPr>
        <w:t>h</w:t>
      </w:r>
      <w:r>
        <w:rPr>
          <w:rFonts w:cs="Times New Roman"/>
          <w:b/>
          <w:bCs/>
          <w:i w:val="0"/>
          <w:iCs/>
          <w:szCs w:val="20"/>
        </w:rPr>
        <w:t>a</w:t>
      </w:r>
      <w:r w:rsidRPr="008A3625">
        <w:rPr>
          <w:rFonts w:cs="Times New Roman"/>
          <w:b/>
          <w:bCs/>
          <w:i w:val="0"/>
          <w:iCs/>
          <w:szCs w:val="20"/>
        </w:rPr>
        <w:t>emodialysis</w:t>
      </w:r>
      <w:r w:rsidRPr="008A3625">
        <w:rPr>
          <w:rFonts w:eastAsiaTheme="minorHAnsi" w:cs="Times New Roman"/>
          <w:b/>
          <w:bCs/>
          <w:i w:val="0"/>
          <w:iCs/>
          <w:szCs w:val="20"/>
        </w:rPr>
        <w:t xml:space="preserve"> </w:t>
      </w:r>
      <w:r>
        <w:rPr>
          <w:rFonts w:eastAsiaTheme="minorHAnsi" w:cs="Times New Roman"/>
          <w:b/>
          <w:bCs/>
          <w:i w:val="0"/>
          <w:iCs/>
          <w:szCs w:val="20"/>
        </w:rPr>
        <w:t>patient</w:t>
      </w:r>
      <w:r w:rsidRPr="008A3625">
        <w:rPr>
          <w:rFonts w:eastAsiaTheme="minorHAnsi" w:cs="Times New Roman"/>
          <w:b/>
          <w:bCs/>
          <w:i w:val="0"/>
          <w:iCs/>
          <w:szCs w:val="20"/>
        </w:rPr>
        <w:t>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1260"/>
      </w:tblGrid>
      <w:tr w:rsidR="00A1589F" w:rsidRPr="00905C50" w:rsidTr="008D3463">
        <w:tc>
          <w:tcPr>
            <w:tcW w:w="279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 xml:space="preserve">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Patients</w:t>
            </w:r>
          </w:p>
        </w:tc>
      </w:tr>
      <w:tr w:rsidR="00A1589F" w:rsidRPr="00905C50" w:rsidTr="008D3463">
        <w:tc>
          <w:tcPr>
            <w:tcW w:w="2790" w:type="dxa"/>
          </w:tcPr>
          <w:p w:rsidR="00A1589F" w:rsidRPr="00905C50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1589F" w:rsidRPr="00905C50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= 46</w:t>
            </w:r>
          </w:p>
        </w:tc>
      </w:tr>
      <w:tr w:rsidR="00A1589F" w:rsidRPr="00905C50" w:rsidTr="008D3463">
        <w:tc>
          <w:tcPr>
            <w:tcW w:w="279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Platelet aggregation inhibitor</w:t>
            </w:r>
          </w:p>
        </w:tc>
        <w:tc>
          <w:tcPr>
            <w:tcW w:w="126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89F" w:rsidRPr="00905C50" w:rsidTr="008D3463">
        <w:tc>
          <w:tcPr>
            <w:tcW w:w="2790" w:type="dxa"/>
          </w:tcPr>
          <w:p w:rsidR="00A1589F" w:rsidRPr="008A3625" w:rsidRDefault="00A1589F" w:rsidP="00A1589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Salospir</w:t>
            </w:r>
          </w:p>
        </w:tc>
        <w:tc>
          <w:tcPr>
            <w:tcW w:w="126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1589F" w:rsidRPr="00905C50" w:rsidTr="008D3463">
        <w:tc>
          <w:tcPr>
            <w:tcW w:w="2790" w:type="dxa"/>
          </w:tcPr>
          <w:p w:rsidR="00A1589F" w:rsidRPr="008A3625" w:rsidRDefault="00A1589F" w:rsidP="00A1589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Aspirin</w:t>
            </w:r>
          </w:p>
        </w:tc>
        <w:tc>
          <w:tcPr>
            <w:tcW w:w="126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1589F" w:rsidRPr="00905C50" w:rsidTr="008D3463">
        <w:tc>
          <w:tcPr>
            <w:tcW w:w="2790" w:type="dxa"/>
          </w:tcPr>
          <w:p w:rsidR="00A1589F" w:rsidRPr="008A3625" w:rsidRDefault="00A1589F" w:rsidP="00A1589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Plavix</w:t>
            </w:r>
          </w:p>
        </w:tc>
        <w:tc>
          <w:tcPr>
            <w:tcW w:w="126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1589F" w:rsidRPr="00905C50" w:rsidTr="008D3463">
        <w:tc>
          <w:tcPr>
            <w:tcW w:w="2790" w:type="dxa"/>
          </w:tcPr>
          <w:p w:rsidR="00A1589F" w:rsidRPr="008A3625" w:rsidRDefault="00A1589F" w:rsidP="00A1589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Clopidogrel</w:t>
            </w:r>
          </w:p>
        </w:tc>
        <w:tc>
          <w:tcPr>
            <w:tcW w:w="126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1589F" w:rsidRPr="00905C50" w:rsidTr="008D3463">
        <w:tc>
          <w:tcPr>
            <w:tcW w:w="2790" w:type="dxa"/>
          </w:tcPr>
          <w:p w:rsidR="00A1589F" w:rsidRPr="008A3625" w:rsidRDefault="00A1589F" w:rsidP="00A1589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Clovelen</w:t>
            </w:r>
          </w:p>
        </w:tc>
        <w:tc>
          <w:tcPr>
            <w:tcW w:w="126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1589F" w:rsidRPr="00905C50" w:rsidTr="008D3463">
        <w:tc>
          <w:tcPr>
            <w:tcW w:w="2790" w:type="dxa"/>
          </w:tcPr>
          <w:p w:rsidR="00A1589F" w:rsidRPr="008A3625" w:rsidRDefault="00A1589F" w:rsidP="00A1589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Globel</w:t>
            </w:r>
          </w:p>
        </w:tc>
        <w:tc>
          <w:tcPr>
            <w:tcW w:w="126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1589F" w:rsidRPr="00905C50" w:rsidTr="008D3463">
        <w:tc>
          <w:tcPr>
            <w:tcW w:w="279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Heparin group</w:t>
            </w:r>
          </w:p>
        </w:tc>
        <w:tc>
          <w:tcPr>
            <w:tcW w:w="126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89F" w:rsidRPr="00905C50" w:rsidTr="008D3463">
        <w:tc>
          <w:tcPr>
            <w:tcW w:w="2790" w:type="dxa"/>
          </w:tcPr>
          <w:p w:rsidR="00A1589F" w:rsidRPr="008A3625" w:rsidRDefault="00A1589F" w:rsidP="00A1589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Tinzaparin</w:t>
            </w:r>
          </w:p>
        </w:tc>
        <w:tc>
          <w:tcPr>
            <w:tcW w:w="126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A1589F" w:rsidRPr="00905C50" w:rsidTr="008D3463">
        <w:tc>
          <w:tcPr>
            <w:tcW w:w="2790" w:type="dxa"/>
          </w:tcPr>
          <w:p w:rsidR="00A1589F" w:rsidRPr="008A3625" w:rsidRDefault="00A1589F" w:rsidP="00A1589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Dalteparin</w:t>
            </w:r>
          </w:p>
        </w:tc>
        <w:tc>
          <w:tcPr>
            <w:tcW w:w="126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1589F" w:rsidRPr="00905C50" w:rsidTr="008D3463">
        <w:tc>
          <w:tcPr>
            <w:tcW w:w="2790" w:type="dxa"/>
          </w:tcPr>
          <w:p w:rsidR="00A1589F" w:rsidRPr="008A3625" w:rsidRDefault="00A1589F" w:rsidP="00A1589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Enoxaparin</w:t>
            </w:r>
          </w:p>
        </w:tc>
        <w:tc>
          <w:tcPr>
            <w:tcW w:w="126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1589F" w:rsidRPr="00905C50" w:rsidTr="008D3463">
        <w:tc>
          <w:tcPr>
            <w:tcW w:w="2790" w:type="dxa"/>
          </w:tcPr>
          <w:p w:rsidR="00A1589F" w:rsidRPr="008A3625" w:rsidRDefault="00A1589F" w:rsidP="00A1589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Heparin</w:t>
            </w:r>
          </w:p>
        </w:tc>
        <w:tc>
          <w:tcPr>
            <w:tcW w:w="126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1589F" w:rsidRPr="00905C50" w:rsidTr="008D3463">
        <w:tc>
          <w:tcPr>
            <w:tcW w:w="279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 xml:space="preserve">Vitamin </w:t>
            </w:r>
            <w:r w:rsidRPr="00A84848">
              <w:rPr>
                <w:rFonts w:ascii="Times New Roman" w:hAnsi="Times New Roman" w:cs="Times New Roman"/>
                <w:sz w:val="20"/>
                <w:szCs w:val="20"/>
              </w:rPr>
              <w:t xml:space="preserve">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A84848">
              <w:rPr>
                <w:rFonts w:ascii="Times New Roman" w:hAnsi="Times New Roman" w:cs="Times New Roman"/>
                <w:sz w:val="20"/>
                <w:szCs w:val="20"/>
              </w:rPr>
              <w:t>ntagonist</w:t>
            </w:r>
          </w:p>
        </w:tc>
        <w:tc>
          <w:tcPr>
            <w:tcW w:w="126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89F" w:rsidRPr="00905C50" w:rsidTr="008D3463">
        <w:tc>
          <w:tcPr>
            <w:tcW w:w="2790" w:type="dxa"/>
          </w:tcPr>
          <w:p w:rsidR="00A1589F" w:rsidRPr="008A3625" w:rsidRDefault="00A1589F" w:rsidP="00A1589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Warfarin</w:t>
            </w:r>
          </w:p>
        </w:tc>
        <w:tc>
          <w:tcPr>
            <w:tcW w:w="126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1589F" w:rsidRPr="00905C50" w:rsidTr="008D3463">
        <w:tc>
          <w:tcPr>
            <w:tcW w:w="2790" w:type="dxa"/>
          </w:tcPr>
          <w:p w:rsidR="00A1589F" w:rsidRPr="008A3625" w:rsidRDefault="00A1589F" w:rsidP="00A1589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Sintrom</w:t>
            </w:r>
          </w:p>
        </w:tc>
        <w:tc>
          <w:tcPr>
            <w:tcW w:w="126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1589F" w:rsidRPr="00905C50" w:rsidTr="008D3463">
        <w:tc>
          <w:tcPr>
            <w:tcW w:w="279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Direct Factor Xa inhibitor</w:t>
            </w:r>
          </w:p>
        </w:tc>
        <w:tc>
          <w:tcPr>
            <w:tcW w:w="126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89F" w:rsidRPr="00905C50" w:rsidTr="008D3463">
        <w:tc>
          <w:tcPr>
            <w:tcW w:w="2790" w:type="dxa"/>
          </w:tcPr>
          <w:p w:rsidR="00A1589F" w:rsidRPr="008A3625" w:rsidRDefault="00A1589F" w:rsidP="00A1589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Eliquis</w:t>
            </w:r>
          </w:p>
        </w:tc>
        <w:tc>
          <w:tcPr>
            <w:tcW w:w="126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1589F" w:rsidRPr="00905C50" w:rsidTr="008D3463">
        <w:tc>
          <w:tcPr>
            <w:tcW w:w="279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Patients on multi-drug regimen</w:t>
            </w:r>
          </w:p>
        </w:tc>
        <w:tc>
          <w:tcPr>
            <w:tcW w:w="1260" w:type="dxa"/>
          </w:tcPr>
          <w:p w:rsidR="00A1589F" w:rsidRPr="00905C50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</w:tbl>
    <w:p w:rsidR="00A1589F" w:rsidRDefault="00A1589F" w:rsidP="00A1589F">
      <w:pPr>
        <w:rPr>
          <w:lang w:val="en-US"/>
        </w:rPr>
      </w:pPr>
    </w:p>
    <w:p w:rsidR="00A1589F" w:rsidRDefault="00A1589F" w:rsidP="00A1589F">
      <w:pPr>
        <w:spacing w:line="240" w:lineRule="auto"/>
        <w:rPr>
          <w:rFonts w:ascii="Times New Roman" w:eastAsiaTheme="majorEastAsia" w:hAnsi="Times New Roman" w:cstheme="majorBidi"/>
          <w:b/>
          <w:bCs/>
          <w:iCs/>
          <w:sz w:val="20"/>
          <w:szCs w:val="26"/>
          <w:lang w:val="en-US"/>
        </w:rPr>
      </w:pPr>
      <w:r>
        <w:rPr>
          <w:b/>
          <w:bCs/>
          <w:i/>
          <w:iCs/>
          <w:lang w:val="en-US"/>
        </w:rPr>
        <w:br w:type="page"/>
      </w:r>
    </w:p>
    <w:p w:rsidR="00A1589F" w:rsidRPr="0002359B" w:rsidRDefault="00A1589F" w:rsidP="00A1589F">
      <w:pPr>
        <w:pStyle w:val="Heading2"/>
        <w:rPr>
          <w:bCs/>
        </w:rPr>
      </w:pPr>
      <w:r w:rsidRPr="008A3625">
        <w:rPr>
          <w:b/>
          <w:bCs/>
          <w:i w:val="0"/>
          <w:iCs/>
          <w:lang w:val="en-US"/>
        </w:rPr>
        <w:lastRenderedPageBreak/>
        <w:t>Table S</w:t>
      </w:r>
      <w:r>
        <w:rPr>
          <w:b/>
          <w:bCs/>
          <w:i w:val="0"/>
          <w:iCs/>
          <w:lang w:val="en-US"/>
        </w:rPr>
        <w:t>3</w:t>
      </w:r>
      <w:r w:rsidRPr="008A3625">
        <w:rPr>
          <w:b/>
          <w:bCs/>
          <w:i w:val="0"/>
          <w:iCs/>
          <w:lang w:val="en-US"/>
        </w:rPr>
        <w:t xml:space="preserve">: </w:t>
      </w:r>
      <w:r w:rsidRPr="008A3625">
        <w:rPr>
          <w:rFonts w:eastAsiaTheme="minorHAnsi" w:cs="Times New Roman"/>
          <w:b/>
          <w:bCs/>
          <w:i w:val="0"/>
          <w:iCs/>
          <w:szCs w:val="20"/>
        </w:rPr>
        <w:t>Dispensation of stent grafts used to treat access circuit stenosis.</w:t>
      </w:r>
    </w:p>
    <w:tbl>
      <w:tblPr>
        <w:tblStyle w:val="TableGrid"/>
        <w:tblW w:w="523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4"/>
        <w:gridCol w:w="1624"/>
        <w:gridCol w:w="1624"/>
        <w:gridCol w:w="1624"/>
        <w:gridCol w:w="1624"/>
        <w:gridCol w:w="1626"/>
      </w:tblGrid>
      <w:tr w:rsidR="00A1589F" w:rsidRPr="00905C50" w:rsidTr="008D3463">
        <w:trPr>
          <w:trHeight w:val="298"/>
        </w:trPr>
        <w:tc>
          <w:tcPr>
            <w:tcW w:w="858" w:type="pct"/>
            <w:vAlign w:val="center"/>
          </w:tcPr>
          <w:p w:rsidR="00A1589F" w:rsidRPr="008A3625" w:rsidRDefault="00A1589F" w:rsidP="008D346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A1589F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AVF</w:t>
            </w:r>
          </w:p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Peripheral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AVG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Anastomosis</w:t>
            </w:r>
          </w:p>
        </w:tc>
        <w:tc>
          <w:tcPr>
            <w:tcW w:w="828" w:type="pct"/>
            <w:vAlign w:val="center"/>
          </w:tcPr>
          <w:p w:rsidR="00A1589F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AVG</w:t>
            </w:r>
          </w:p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Peripheral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AVF/AVG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Central</w:t>
            </w:r>
          </w:p>
        </w:tc>
        <w:tc>
          <w:tcPr>
            <w:tcW w:w="829" w:type="pct"/>
            <w:vAlign w:val="center"/>
          </w:tcPr>
          <w:p w:rsidR="00A1589F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A1589F" w:rsidRPr="00905C50" w:rsidTr="008D3463">
        <w:trPr>
          <w:trHeight w:val="288"/>
        </w:trPr>
        <w:tc>
          <w:tcPr>
            <w:tcW w:w="858" w:type="pct"/>
            <w:vAlign w:val="center"/>
          </w:tcPr>
          <w:p w:rsidR="00A1589F" w:rsidRPr="008A3625" w:rsidRDefault="00A1589F" w:rsidP="008D346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N=22 devices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N=13 devices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N=10 devices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N=17 devices</w:t>
            </w:r>
          </w:p>
        </w:tc>
        <w:tc>
          <w:tcPr>
            <w:tcW w:w="829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N=62 devices</w:t>
            </w:r>
          </w:p>
        </w:tc>
      </w:tr>
      <w:tr w:rsidR="00A1589F" w:rsidRPr="00905C50" w:rsidTr="008D3463">
        <w:trPr>
          <w:trHeight w:val="288"/>
        </w:trPr>
        <w:tc>
          <w:tcPr>
            <w:tcW w:w="858" w:type="pct"/>
            <w:vAlign w:val="center"/>
          </w:tcPr>
          <w:p w:rsidR="00A1589F" w:rsidRPr="008A3625" w:rsidRDefault="00A1589F" w:rsidP="008D346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6 mm x 50 mm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9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1589F" w:rsidRPr="00905C50" w:rsidTr="008D3463">
        <w:trPr>
          <w:trHeight w:val="298"/>
        </w:trPr>
        <w:tc>
          <w:tcPr>
            <w:tcW w:w="858" w:type="pct"/>
            <w:vAlign w:val="center"/>
          </w:tcPr>
          <w:p w:rsidR="00A1589F" w:rsidRPr="008A3625" w:rsidRDefault="00A1589F" w:rsidP="008D346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6 mm x 75 mm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9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1589F" w:rsidRPr="00905C50" w:rsidTr="008D3463">
        <w:trPr>
          <w:trHeight w:val="288"/>
        </w:trPr>
        <w:tc>
          <w:tcPr>
            <w:tcW w:w="858" w:type="pct"/>
            <w:vAlign w:val="center"/>
          </w:tcPr>
          <w:p w:rsidR="00A1589F" w:rsidRPr="008A3625" w:rsidRDefault="00A1589F" w:rsidP="008D346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7 mm x 50 mm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9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A1589F" w:rsidRPr="00905C50" w:rsidTr="008D3463">
        <w:trPr>
          <w:trHeight w:val="298"/>
        </w:trPr>
        <w:tc>
          <w:tcPr>
            <w:tcW w:w="858" w:type="pct"/>
            <w:vAlign w:val="center"/>
          </w:tcPr>
          <w:p w:rsidR="00A1589F" w:rsidRPr="008A3625" w:rsidRDefault="00A1589F" w:rsidP="008D346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7 mm x 75 mm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9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1589F" w:rsidRPr="00905C50" w:rsidTr="008D3463">
        <w:trPr>
          <w:trHeight w:val="288"/>
        </w:trPr>
        <w:tc>
          <w:tcPr>
            <w:tcW w:w="858" w:type="pct"/>
            <w:vAlign w:val="center"/>
          </w:tcPr>
          <w:p w:rsidR="00A1589F" w:rsidRPr="008A3625" w:rsidRDefault="00A1589F" w:rsidP="008D346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7 mm x 100 mm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9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1589F" w:rsidRPr="00905C50" w:rsidTr="008D3463">
        <w:trPr>
          <w:trHeight w:val="298"/>
        </w:trPr>
        <w:tc>
          <w:tcPr>
            <w:tcW w:w="858" w:type="pct"/>
            <w:vAlign w:val="center"/>
          </w:tcPr>
          <w:p w:rsidR="00A1589F" w:rsidRPr="008A3625" w:rsidRDefault="00A1589F" w:rsidP="008D346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8 mm x 50 mm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9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1589F" w:rsidRPr="00905C50" w:rsidTr="008D3463">
        <w:trPr>
          <w:trHeight w:val="288"/>
        </w:trPr>
        <w:tc>
          <w:tcPr>
            <w:tcW w:w="858" w:type="pct"/>
            <w:vAlign w:val="center"/>
          </w:tcPr>
          <w:p w:rsidR="00A1589F" w:rsidRPr="008A3625" w:rsidRDefault="00A1589F" w:rsidP="008D346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8 mm x 75 mm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9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1589F" w:rsidRPr="00905C50" w:rsidTr="008D3463">
        <w:trPr>
          <w:trHeight w:val="298"/>
        </w:trPr>
        <w:tc>
          <w:tcPr>
            <w:tcW w:w="858" w:type="pct"/>
            <w:vAlign w:val="center"/>
          </w:tcPr>
          <w:p w:rsidR="00A1589F" w:rsidRPr="008A3625" w:rsidRDefault="00A1589F" w:rsidP="008D346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8 mm x 100 mm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9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1589F" w:rsidRPr="00905C50" w:rsidTr="008D3463">
        <w:trPr>
          <w:trHeight w:val="288"/>
        </w:trPr>
        <w:tc>
          <w:tcPr>
            <w:tcW w:w="858" w:type="pct"/>
            <w:vAlign w:val="center"/>
          </w:tcPr>
          <w:p w:rsidR="00A1589F" w:rsidRPr="008A3625" w:rsidRDefault="00A1589F" w:rsidP="008D346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9 mm x 50 mm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9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1589F" w:rsidRPr="00905C50" w:rsidTr="008D3463">
        <w:trPr>
          <w:trHeight w:val="298"/>
        </w:trPr>
        <w:tc>
          <w:tcPr>
            <w:tcW w:w="858" w:type="pct"/>
            <w:vAlign w:val="center"/>
          </w:tcPr>
          <w:p w:rsidR="00A1589F" w:rsidRPr="008A3625" w:rsidRDefault="00A1589F" w:rsidP="008D346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9 mm x 75 mm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9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1589F" w:rsidRPr="00905C50" w:rsidTr="008D3463">
        <w:trPr>
          <w:trHeight w:val="288"/>
        </w:trPr>
        <w:tc>
          <w:tcPr>
            <w:tcW w:w="858" w:type="pct"/>
            <w:vAlign w:val="center"/>
          </w:tcPr>
          <w:p w:rsidR="00A1589F" w:rsidRPr="008A3625" w:rsidRDefault="00A1589F" w:rsidP="008D346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10 mm x 50 mm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9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1589F" w:rsidRPr="00905C50" w:rsidTr="008D3463">
        <w:trPr>
          <w:trHeight w:val="298"/>
        </w:trPr>
        <w:tc>
          <w:tcPr>
            <w:tcW w:w="858" w:type="pct"/>
            <w:vAlign w:val="center"/>
          </w:tcPr>
          <w:p w:rsidR="00A1589F" w:rsidRPr="008A3625" w:rsidRDefault="00A1589F" w:rsidP="008D346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10 mm x 75 mm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9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1589F" w:rsidRPr="00905C50" w:rsidTr="008D3463">
        <w:trPr>
          <w:trHeight w:val="288"/>
        </w:trPr>
        <w:tc>
          <w:tcPr>
            <w:tcW w:w="858" w:type="pct"/>
            <w:vAlign w:val="center"/>
          </w:tcPr>
          <w:p w:rsidR="00A1589F" w:rsidRPr="008A3625" w:rsidRDefault="00A1589F" w:rsidP="008D346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12 mm x 40 mm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9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1589F" w:rsidRPr="00905C50" w:rsidTr="008D3463">
        <w:trPr>
          <w:trHeight w:val="298"/>
        </w:trPr>
        <w:tc>
          <w:tcPr>
            <w:tcW w:w="858" w:type="pct"/>
            <w:vAlign w:val="center"/>
          </w:tcPr>
          <w:p w:rsidR="00A1589F" w:rsidRPr="008A3625" w:rsidRDefault="00A1589F" w:rsidP="008D346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14 mm x 30 mm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9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1589F" w:rsidRPr="00905C50" w:rsidTr="008D3463">
        <w:trPr>
          <w:trHeight w:val="298"/>
        </w:trPr>
        <w:tc>
          <w:tcPr>
            <w:tcW w:w="858" w:type="pct"/>
            <w:vAlign w:val="center"/>
          </w:tcPr>
          <w:p w:rsidR="00A1589F" w:rsidRPr="008A3625" w:rsidRDefault="00A1589F" w:rsidP="008D346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14 mm x 40 mm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9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1589F" w:rsidRPr="00905C50" w:rsidTr="008D3463">
        <w:trPr>
          <w:trHeight w:val="288"/>
        </w:trPr>
        <w:tc>
          <w:tcPr>
            <w:tcW w:w="858" w:type="pct"/>
            <w:vAlign w:val="center"/>
          </w:tcPr>
          <w:p w:rsidR="00A1589F" w:rsidRPr="008A3625" w:rsidRDefault="00A1589F" w:rsidP="008D346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16 mm x 40 mm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9" w:type="pct"/>
            <w:vAlign w:val="center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1589F" w:rsidRPr="00905C50" w:rsidTr="008D3463">
        <w:trPr>
          <w:trHeight w:val="298"/>
        </w:trPr>
        <w:tc>
          <w:tcPr>
            <w:tcW w:w="858" w:type="pct"/>
            <w:vAlign w:val="center"/>
          </w:tcPr>
          <w:p w:rsidR="00A1589F" w:rsidRPr="008A3625" w:rsidRDefault="00A1589F" w:rsidP="008D346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s with Multiple Devices</w:t>
            </w:r>
          </w:p>
          <w:p w:rsidR="00A1589F" w:rsidRPr="008A3625" w:rsidRDefault="00A1589F" w:rsidP="008D346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 xml:space="preserve">% (n/N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s)</w:t>
            </w:r>
          </w:p>
        </w:tc>
        <w:tc>
          <w:tcPr>
            <w:tcW w:w="828" w:type="pct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31% (5/16)</w:t>
            </w:r>
          </w:p>
        </w:tc>
        <w:tc>
          <w:tcPr>
            <w:tcW w:w="828" w:type="pct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44% (4/9)</w:t>
            </w:r>
          </w:p>
        </w:tc>
        <w:tc>
          <w:tcPr>
            <w:tcW w:w="828" w:type="pct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0% (0/10)</w:t>
            </w:r>
          </w:p>
        </w:tc>
        <w:tc>
          <w:tcPr>
            <w:tcW w:w="828" w:type="pct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36% (4/11)</w:t>
            </w:r>
          </w:p>
        </w:tc>
        <w:tc>
          <w:tcPr>
            <w:tcW w:w="829" w:type="pct"/>
          </w:tcPr>
          <w:p w:rsidR="00A1589F" w:rsidRPr="008A3625" w:rsidRDefault="00A1589F" w:rsidP="008D346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28% (13/46)</w:t>
            </w:r>
          </w:p>
        </w:tc>
      </w:tr>
    </w:tbl>
    <w:p w:rsidR="00A1589F" w:rsidRDefault="00A1589F" w:rsidP="00A1589F">
      <w:pPr>
        <w:rPr>
          <w:lang w:val="en-US"/>
        </w:rPr>
      </w:pPr>
    </w:p>
    <w:p w:rsidR="00A1589F" w:rsidRDefault="00A1589F" w:rsidP="00A1589F">
      <w:pPr>
        <w:spacing w:line="240" w:lineRule="auto"/>
        <w:rPr>
          <w:rFonts w:ascii="Times New Roman" w:eastAsiaTheme="majorEastAsia" w:hAnsi="Times New Roman" w:cstheme="majorBidi"/>
          <w:b/>
          <w:bCs/>
          <w:iCs/>
          <w:sz w:val="20"/>
          <w:szCs w:val="26"/>
          <w:lang w:val="en-US"/>
        </w:rPr>
      </w:pPr>
      <w:r>
        <w:rPr>
          <w:b/>
          <w:bCs/>
          <w:i/>
          <w:iCs/>
          <w:lang w:val="en-US"/>
        </w:rPr>
        <w:br w:type="page"/>
      </w:r>
    </w:p>
    <w:p w:rsidR="00A1589F" w:rsidRDefault="00A1589F" w:rsidP="00A1589F">
      <w:pPr>
        <w:pStyle w:val="Heading2"/>
        <w:rPr>
          <w:rFonts w:eastAsiaTheme="minorHAnsi" w:cs="Times New Roman"/>
          <w:b/>
          <w:bCs/>
          <w:i w:val="0"/>
          <w:iCs/>
          <w:szCs w:val="20"/>
        </w:rPr>
      </w:pPr>
      <w:r w:rsidRPr="00BE15ED">
        <w:rPr>
          <w:b/>
          <w:bCs/>
          <w:i w:val="0"/>
          <w:iCs/>
          <w:lang w:val="en-US"/>
        </w:rPr>
        <w:lastRenderedPageBreak/>
        <w:t>Table S</w:t>
      </w:r>
      <w:r>
        <w:rPr>
          <w:b/>
          <w:bCs/>
          <w:i w:val="0"/>
          <w:iCs/>
          <w:lang w:val="en-US"/>
        </w:rPr>
        <w:t>4</w:t>
      </w:r>
      <w:r w:rsidRPr="00BE15ED">
        <w:rPr>
          <w:b/>
          <w:bCs/>
          <w:i w:val="0"/>
          <w:iCs/>
          <w:lang w:val="en-US"/>
        </w:rPr>
        <w:t xml:space="preserve">: </w:t>
      </w:r>
      <w:r>
        <w:rPr>
          <w:rFonts w:eastAsiaTheme="minorHAnsi" w:cs="Times New Roman"/>
          <w:b/>
          <w:bCs/>
          <w:i w:val="0"/>
          <w:iCs/>
          <w:szCs w:val="20"/>
        </w:rPr>
        <w:t>Outcome measure definitions.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6570"/>
      </w:tblGrid>
      <w:tr w:rsidR="00A1589F" w:rsidRPr="001604E9" w:rsidTr="008D3463">
        <w:tc>
          <w:tcPr>
            <w:tcW w:w="2790" w:type="dxa"/>
          </w:tcPr>
          <w:p w:rsidR="00A1589F" w:rsidRPr="001604E9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Outcome Measure</w:t>
            </w:r>
          </w:p>
        </w:tc>
        <w:tc>
          <w:tcPr>
            <w:tcW w:w="6570" w:type="dxa"/>
          </w:tcPr>
          <w:p w:rsidR="00A1589F" w:rsidRPr="001604E9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Definition</w:t>
            </w:r>
          </w:p>
        </w:tc>
      </w:tr>
      <w:tr w:rsidR="00A1589F" w:rsidRPr="001604E9" w:rsidTr="008D3463">
        <w:tc>
          <w:tcPr>
            <w:tcW w:w="279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Clinical success</w:t>
            </w:r>
          </w:p>
        </w:tc>
        <w:tc>
          <w:tcPr>
            <w:tcW w:w="657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Resumption of successful dialysis through existing access for at least one session following initial study procedure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1589F" w:rsidRPr="001604E9" w:rsidTr="008D3463">
        <w:tc>
          <w:tcPr>
            <w:tcW w:w="279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Anatomic success</w:t>
            </w:r>
          </w:p>
        </w:tc>
        <w:tc>
          <w:tcPr>
            <w:tcW w:w="657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Less than 30% residual stenosis immediately following study procedure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2B3B">
              <w:rPr>
                <w:rFonts w:ascii="Times New Roman" w:hAnsi="Times New Roman" w:cs="Times New Roman"/>
                <w:sz w:val="20"/>
                <w:szCs w:val="20"/>
              </w:rPr>
              <w:t>based on physician’s assessment of the completion fistulogram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1589F" w:rsidRPr="001604E9" w:rsidTr="008D3463">
        <w:tc>
          <w:tcPr>
            <w:tcW w:w="279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Procedural success</w:t>
            </w:r>
          </w:p>
        </w:tc>
        <w:tc>
          <w:tcPr>
            <w:tcW w:w="6570" w:type="dxa"/>
          </w:tcPr>
          <w:p w:rsidR="00A1589F" w:rsidRPr="008A3625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625">
              <w:rPr>
                <w:rFonts w:ascii="Times New Roman" w:hAnsi="Times New Roman" w:cs="Times New Roman"/>
                <w:sz w:val="20"/>
                <w:szCs w:val="20"/>
              </w:rPr>
              <w:t>The achievement of both clinical and anatomic success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1589F" w:rsidRPr="001604E9" w:rsidTr="008D3463">
        <w:tc>
          <w:tcPr>
            <w:tcW w:w="2790" w:type="dxa"/>
          </w:tcPr>
          <w:p w:rsidR="00A1589F" w:rsidRPr="001604E9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Safety</w:t>
            </w:r>
          </w:p>
        </w:tc>
        <w:tc>
          <w:tcPr>
            <w:tcW w:w="6570" w:type="dxa"/>
          </w:tcPr>
          <w:p w:rsidR="00A1589F" w:rsidRPr="001604E9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4E9">
              <w:rPr>
                <w:rFonts w:ascii="Times New Roman" w:hAnsi="Times New Roman" w:cs="Times New Roman"/>
                <w:sz w:val="20"/>
                <w:szCs w:val="20"/>
              </w:rPr>
              <w:t xml:space="preserve">Proportion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  <w:r w:rsidRPr="001604E9">
              <w:rPr>
                <w:rFonts w:ascii="Times New Roman" w:hAnsi="Times New Roman" w:cs="Times New Roman"/>
                <w:sz w:val="20"/>
                <w:szCs w:val="20"/>
              </w:rPr>
              <w:t>s without any localized or systemic safety events through 30 days that affect the access or venous outflow circuit and resulted in surgery, hospitalization, or death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604E9">
              <w:rPr>
                <w:rFonts w:ascii="Times New Roman" w:hAnsi="Times New Roman" w:cs="Times New Roman"/>
                <w:sz w:val="20"/>
                <w:szCs w:val="20"/>
              </w:rPr>
              <w:t xml:space="preserve">Safety events in this calculation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did</w:t>
            </w:r>
            <w:r w:rsidRPr="001604E9">
              <w:rPr>
                <w:rFonts w:ascii="Times New Roman" w:hAnsi="Times New Roman" w:cs="Times New Roman"/>
                <w:sz w:val="20"/>
                <w:szCs w:val="20"/>
              </w:rPr>
              <w:t xml:space="preserve"> not include venous outflow obstructions, which are captured in the calculation of Assisted target lesion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</w:t>
            </w:r>
            <w:r w:rsidRPr="001604E9">
              <w:rPr>
                <w:rFonts w:ascii="Times New Roman" w:hAnsi="Times New Roman" w:cs="Times New Roman"/>
                <w:sz w:val="20"/>
                <w:szCs w:val="20"/>
              </w:rPr>
              <w:t xml:space="preserve">rimary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1604E9">
              <w:rPr>
                <w:rFonts w:ascii="Times New Roman" w:hAnsi="Times New Roman" w:cs="Times New Roman"/>
                <w:sz w:val="20"/>
                <w:szCs w:val="20"/>
              </w:rPr>
              <w:t xml:space="preserve">atency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1604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r w:rsidRPr="001604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1604E9">
              <w:rPr>
                <w:rFonts w:ascii="Times New Roman" w:hAnsi="Times New Roman" w:cs="Times New Roman"/>
                <w:sz w:val="20"/>
                <w:szCs w:val="20"/>
              </w:rPr>
              <w:t>atency of the venous outflow circuit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1589F" w:rsidRPr="001604E9" w:rsidTr="008D3463">
        <w:tc>
          <w:tcPr>
            <w:tcW w:w="2790" w:type="dxa"/>
          </w:tcPr>
          <w:p w:rsidR="00A1589F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1604E9">
              <w:rPr>
                <w:rFonts w:ascii="Times New Roman" w:hAnsi="Times New Roman" w:cs="Times New Roman"/>
                <w:sz w:val="20"/>
                <w:szCs w:val="20"/>
              </w:rPr>
              <w:t>arget Lesion Primary Patency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(TLPP)</w:t>
            </w:r>
          </w:p>
        </w:tc>
        <w:tc>
          <w:tcPr>
            <w:tcW w:w="6570" w:type="dxa"/>
          </w:tcPr>
          <w:p w:rsidR="00A1589F" w:rsidRPr="001604E9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1604E9">
              <w:rPr>
                <w:rFonts w:ascii="Times New Roman" w:hAnsi="Times New Roman" w:cs="Times New Roman"/>
                <w:sz w:val="20"/>
                <w:szCs w:val="20"/>
              </w:rPr>
              <w:t>nterval of uninterrupted patency from initial study procedure to the next intervention performed on the target lesion or uncorrectable target lesion occlusion, whichever occurs first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1589F" w:rsidRPr="001604E9" w:rsidTr="008D3463">
        <w:tc>
          <w:tcPr>
            <w:tcW w:w="2790" w:type="dxa"/>
          </w:tcPr>
          <w:p w:rsidR="00A1589F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4E9">
              <w:rPr>
                <w:rFonts w:ascii="Times New Roman" w:hAnsi="Times New Roman" w:cs="Times New Roman"/>
                <w:sz w:val="20"/>
                <w:szCs w:val="20"/>
              </w:rPr>
              <w:t xml:space="preserve">Assisted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TLPP</w:t>
            </w:r>
          </w:p>
        </w:tc>
        <w:tc>
          <w:tcPr>
            <w:tcW w:w="6570" w:type="dxa"/>
          </w:tcPr>
          <w:p w:rsidR="00A1589F" w:rsidRPr="001604E9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EE39B6">
              <w:rPr>
                <w:rFonts w:ascii="Times New Roman" w:hAnsi="Times New Roman" w:cs="Times New Roman"/>
                <w:sz w:val="20"/>
                <w:szCs w:val="20"/>
              </w:rPr>
              <w:t>ime following study procedure until uncorrectable target lesion occlusion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1589F" w:rsidRPr="001604E9" w:rsidTr="008D3463">
        <w:tc>
          <w:tcPr>
            <w:tcW w:w="2790" w:type="dxa"/>
          </w:tcPr>
          <w:p w:rsidR="00A1589F" w:rsidRPr="001604E9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Access Circuit Primary Patency (ACPP)</w:t>
            </w:r>
          </w:p>
        </w:tc>
        <w:tc>
          <w:tcPr>
            <w:tcW w:w="6570" w:type="dxa"/>
          </w:tcPr>
          <w:p w:rsidR="00A1589F" w:rsidRPr="001604E9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1604E9">
              <w:rPr>
                <w:rFonts w:ascii="Times New Roman" w:hAnsi="Times New Roman" w:cs="Times New Roman"/>
                <w:sz w:val="20"/>
                <w:szCs w:val="20"/>
              </w:rPr>
              <w:t>ime following initial study procedure until the next venous outflow circuit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(including interventions to the target lesion) or </w:t>
            </w:r>
            <w:r w:rsidRPr="001604E9">
              <w:rPr>
                <w:rFonts w:ascii="Times New Roman" w:hAnsi="Times New Roman" w:cs="Times New Roman"/>
                <w:sz w:val="20"/>
                <w:szCs w:val="20"/>
              </w:rPr>
              <w:t>complete access abandonment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whichever occurs first.</w:t>
            </w:r>
          </w:p>
        </w:tc>
      </w:tr>
      <w:tr w:rsidR="00A1589F" w:rsidRPr="001604E9" w:rsidTr="008D3463">
        <w:tc>
          <w:tcPr>
            <w:tcW w:w="2790" w:type="dxa"/>
          </w:tcPr>
          <w:p w:rsidR="00A1589F" w:rsidRPr="001604E9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Access Circuit Secondary Patency</w:t>
            </w:r>
          </w:p>
        </w:tc>
        <w:tc>
          <w:tcPr>
            <w:tcW w:w="6570" w:type="dxa"/>
          </w:tcPr>
          <w:p w:rsidR="00A1589F" w:rsidRPr="001604E9" w:rsidRDefault="00A1589F" w:rsidP="008D3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1604E9">
              <w:rPr>
                <w:rFonts w:ascii="Times New Roman" w:hAnsi="Times New Roman" w:cs="Times New Roman"/>
                <w:sz w:val="20"/>
                <w:szCs w:val="20"/>
              </w:rPr>
              <w:t>ime following initial study procedure until complete access abandonment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A1589F" w:rsidRPr="008A3625" w:rsidRDefault="00A1589F" w:rsidP="00A1589F">
      <w:pPr>
        <w:rPr>
          <w:i/>
        </w:rPr>
      </w:pPr>
    </w:p>
    <w:p w:rsidR="00A1589F" w:rsidRDefault="00A1589F" w:rsidP="00A1589F">
      <w:pPr>
        <w:rPr>
          <w:lang w:val="en-US"/>
        </w:rPr>
      </w:pPr>
    </w:p>
    <w:p w:rsidR="00A1589F" w:rsidRPr="00F46870" w:rsidRDefault="00A1589F" w:rsidP="00A1589F"/>
    <w:p w:rsidR="00B90A4F" w:rsidRDefault="00B90A4F">
      <w:bookmarkStart w:id="0" w:name="_GoBack"/>
      <w:bookmarkEnd w:id="0"/>
    </w:p>
    <w:sectPr w:rsidR="00B90A4F" w:rsidSect="00275919">
      <w:footerReference w:type="default" r:id="rId5"/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5961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B18F5" w:rsidRPr="002D02A9" w:rsidRDefault="00A1589F">
        <w:pPr>
          <w:pStyle w:val="Footer"/>
          <w:jc w:val="right"/>
        </w:pPr>
        <w:r w:rsidRPr="002D02A9">
          <w:rPr>
            <w:shd w:val="clear" w:color="auto" w:fill="E6E6E6"/>
          </w:rPr>
          <w:fldChar w:fldCharType="begin"/>
        </w:r>
        <w:r w:rsidRPr="002D02A9">
          <w:instrText xml:space="preserve"> PAGE   \* MERGEFORMAT </w:instrText>
        </w:r>
        <w:r w:rsidRPr="002D02A9">
          <w:rPr>
            <w:shd w:val="clear" w:color="auto" w:fill="E6E6E6"/>
          </w:rPr>
          <w:fldChar w:fldCharType="separate"/>
        </w:r>
        <w:r>
          <w:rPr>
            <w:noProof/>
          </w:rPr>
          <w:t>4</w:t>
        </w:r>
        <w:r w:rsidRPr="002D02A9">
          <w:rPr>
            <w:shd w:val="clear" w:color="auto" w:fill="E6E6E6"/>
          </w:rPr>
          <w:fldChar w:fldCharType="end"/>
        </w:r>
      </w:p>
    </w:sdtContent>
  </w:sdt>
  <w:p w:rsidR="007B18F5" w:rsidRDefault="00A1589F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1C6F02"/>
    <w:multiLevelType w:val="hybridMultilevel"/>
    <w:tmpl w:val="6FE66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89F"/>
    <w:rsid w:val="0000139B"/>
    <w:rsid w:val="00021093"/>
    <w:rsid w:val="00022F06"/>
    <w:rsid w:val="00046DDB"/>
    <w:rsid w:val="00074258"/>
    <w:rsid w:val="000757A8"/>
    <w:rsid w:val="00082C69"/>
    <w:rsid w:val="000921EE"/>
    <w:rsid w:val="000A27A0"/>
    <w:rsid w:val="000A5066"/>
    <w:rsid w:val="000A52DD"/>
    <w:rsid w:val="000B53F1"/>
    <w:rsid w:val="000F4932"/>
    <w:rsid w:val="000F5403"/>
    <w:rsid w:val="001075C1"/>
    <w:rsid w:val="00116BFB"/>
    <w:rsid w:val="00121522"/>
    <w:rsid w:val="0013124E"/>
    <w:rsid w:val="00154373"/>
    <w:rsid w:val="00155D55"/>
    <w:rsid w:val="00165713"/>
    <w:rsid w:val="00167E43"/>
    <w:rsid w:val="0018738F"/>
    <w:rsid w:val="001925B2"/>
    <w:rsid w:val="00195493"/>
    <w:rsid w:val="001B5977"/>
    <w:rsid w:val="001C2A7B"/>
    <w:rsid w:val="001D1036"/>
    <w:rsid w:val="001E187F"/>
    <w:rsid w:val="001E5F0D"/>
    <w:rsid w:val="001F5BC6"/>
    <w:rsid w:val="00201115"/>
    <w:rsid w:val="00230A58"/>
    <w:rsid w:val="00234C5C"/>
    <w:rsid w:val="00260D2B"/>
    <w:rsid w:val="00262471"/>
    <w:rsid w:val="002670EB"/>
    <w:rsid w:val="002712B1"/>
    <w:rsid w:val="00274DB4"/>
    <w:rsid w:val="00275F94"/>
    <w:rsid w:val="00286F3E"/>
    <w:rsid w:val="002D589E"/>
    <w:rsid w:val="002E06EF"/>
    <w:rsid w:val="002E303D"/>
    <w:rsid w:val="002E39C3"/>
    <w:rsid w:val="002E6B11"/>
    <w:rsid w:val="002E709C"/>
    <w:rsid w:val="003022E6"/>
    <w:rsid w:val="0032454E"/>
    <w:rsid w:val="003249E0"/>
    <w:rsid w:val="00331D5C"/>
    <w:rsid w:val="00334EFE"/>
    <w:rsid w:val="003371CC"/>
    <w:rsid w:val="003406CB"/>
    <w:rsid w:val="0035152A"/>
    <w:rsid w:val="00365803"/>
    <w:rsid w:val="00371757"/>
    <w:rsid w:val="0037657C"/>
    <w:rsid w:val="003768C3"/>
    <w:rsid w:val="003801D9"/>
    <w:rsid w:val="0039421D"/>
    <w:rsid w:val="00395D90"/>
    <w:rsid w:val="003972CA"/>
    <w:rsid w:val="003B05B7"/>
    <w:rsid w:val="003B0B5E"/>
    <w:rsid w:val="003B7570"/>
    <w:rsid w:val="003D0801"/>
    <w:rsid w:val="003F42AB"/>
    <w:rsid w:val="003F6BC8"/>
    <w:rsid w:val="004127CB"/>
    <w:rsid w:val="00413A1F"/>
    <w:rsid w:val="00413AA2"/>
    <w:rsid w:val="004404E4"/>
    <w:rsid w:val="004906D0"/>
    <w:rsid w:val="004A200C"/>
    <w:rsid w:val="004A2C7A"/>
    <w:rsid w:val="004A4F40"/>
    <w:rsid w:val="004C4FEA"/>
    <w:rsid w:val="004D5B5A"/>
    <w:rsid w:val="004E1DB9"/>
    <w:rsid w:val="004F7888"/>
    <w:rsid w:val="0050055E"/>
    <w:rsid w:val="00501619"/>
    <w:rsid w:val="00504365"/>
    <w:rsid w:val="00506711"/>
    <w:rsid w:val="00507C7B"/>
    <w:rsid w:val="00511498"/>
    <w:rsid w:val="005436EC"/>
    <w:rsid w:val="00544A72"/>
    <w:rsid w:val="00560F38"/>
    <w:rsid w:val="00561A42"/>
    <w:rsid w:val="00566E41"/>
    <w:rsid w:val="005933EF"/>
    <w:rsid w:val="005A58D4"/>
    <w:rsid w:val="005C4447"/>
    <w:rsid w:val="005D78E4"/>
    <w:rsid w:val="005D7A4E"/>
    <w:rsid w:val="005F110C"/>
    <w:rsid w:val="006266DE"/>
    <w:rsid w:val="00650FC6"/>
    <w:rsid w:val="006531B1"/>
    <w:rsid w:val="00663B61"/>
    <w:rsid w:val="00681358"/>
    <w:rsid w:val="006B4228"/>
    <w:rsid w:val="006F246C"/>
    <w:rsid w:val="007001E7"/>
    <w:rsid w:val="0070257E"/>
    <w:rsid w:val="00702F95"/>
    <w:rsid w:val="00707AF5"/>
    <w:rsid w:val="00711E36"/>
    <w:rsid w:val="00715606"/>
    <w:rsid w:val="007164F6"/>
    <w:rsid w:val="00722487"/>
    <w:rsid w:val="00723987"/>
    <w:rsid w:val="00755DDA"/>
    <w:rsid w:val="00772592"/>
    <w:rsid w:val="00772F81"/>
    <w:rsid w:val="007A398C"/>
    <w:rsid w:val="007A584B"/>
    <w:rsid w:val="007C12A7"/>
    <w:rsid w:val="007C4936"/>
    <w:rsid w:val="007E0E55"/>
    <w:rsid w:val="007E6A5A"/>
    <w:rsid w:val="007E73C8"/>
    <w:rsid w:val="007F2629"/>
    <w:rsid w:val="00816E64"/>
    <w:rsid w:val="00826E41"/>
    <w:rsid w:val="00837840"/>
    <w:rsid w:val="0084169C"/>
    <w:rsid w:val="0085173D"/>
    <w:rsid w:val="008574D5"/>
    <w:rsid w:val="00881579"/>
    <w:rsid w:val="00891A1A"/>
    <w:rsid w:val="008938F7"/>
    <w:rsid w:val="008A59A5"/>
    <w:rsid w:val="008C08A9"/>
    <w:rsid w:val="008C1A4C"/>
    <w:rsid w:val="008E1920"/>
    <w:rsid w:val="00922DEA"/>
    <w:rsid w:val="009232AE"/>
    <w:rsid w:val="00930A43"/>
    <w:rsid w:val="00936051"/>
    <w:rsid w:val="00957D81"/>
    <w:rsid w:val="00962627"/>
    <w:rsid w:val="00962C5F"/>
    <w:rsid w:val="009645D8"/>
    <w:rsid w:val="009722F9"/>
    <w:rsid w:val="0097370D"/>
    <w:rsid w:val="00981E45"/>
    <w:rsid w:val="0099053A"/>
    <w:rsid w:val="00994C8F"/>
    <w:rsid w:val="009A7FDB"/>
    <w:rsid w:val="009C3F66"/>
    <w:rsid w:val="009C6192"/>
    <w:rsid w:val="009D6C66"/>
    <w:rsid w:val="009F14CD"/>
    <w:rsid w:val="009F2CB4"/>
    <w:rsid w:val="009F6E95"/>
    <w:rsid w:val="00A01B66"/>
    <w:rsid w:val="00A023C1"/>
    <w:rsid w:val="00A079EB"/>
    <w:rsid w:val="00A12846"/>
    <w:rsid w:val="00A1589F"/>
    <w:rsid w:val="00A161F3"/>
    <w:rsid w:val="00A21AF8"/>
    <w:rsid w:val="00A21E37"/>
    <w:rsid w:val="00A25729"/>
    <w:rsid w:val="00A43501"/>
    <w:rsid w:val="00A56B41"/>
    <w:rsid w:val="00A730AF"/>
    <w:rsid w:val="00A800C8"/>
    <w:rsid w:val="00A82195"/>
    <w:rsid w:val="00AA08F3"/>
    <w:rsid w:val="00AA44B2"/>
    <w:rsid w:val="00AA5A5B"/>
    <w:rsid w:val="00AA6DA0"/>
    <w:rsid w:val="00AB2D34"/>
    <w:rsid w:val="00AB58D6"/>
    <w:rsid w:val="00AB647B"/>
    <w:rsid w:val="00AD3197"/>
    <w:rsid w:val="00B01154"/>
    <w:rsid w:val="00B2126A"/>
    <w:rsid w:val="00B218E8"/>
    <w:rsid w:val="00B34CF5"/>
    <w:rsid w:val="00B47B13"/>
    <w:rsid w:val="00B5340F"/>
    <w:rsid w:val="00B61CCE"/>
    <w:rsid w:val="00B6735C"/>
    <w:rsid w:val="00B90A4F"/>
    <w:rsid w:val="00B94FEE"/>
    <w:rsid w:val="00B964F9"/>
    <w:rsid w:val="00BA48C3"/>
    <w:rsid w:val="00BB253C"/>
    <w:rsid w:val="00BC05A1"/>
    <w:rsid w:val="00BE09B7"/>
    <w:rsid w:val="00C12D2A"/>
    <w:rsid w:val="00C13401"/>
    <w:rsid w:val="00C21956"/>
    <w:rsid w:val="00C3171D"/>
    <w:rsid w:val="00C63D04"/>
    <w:rsid w:val="00C74691"/>
    <w:rsid w:val="00C767BD"/>
    <w:rsid w:val="00C80CF2"/>
    <w:rsid w:val="00C81CF9"/>
    <w:rsid w:val="00CC21DF"/>
    <w:rsid w:val="00CC7570"/>
    <w:rsid w:val="00CF741D"/>
    <w:rsid w:val="00D2573A"/>
    <w:rsid w:val="00D26441"/>
    <w:rsid w:val="00D26E5D"/>
    <w:rsid w:val="00D40EF3"/>
    <w:rsid w:val="00D52C9C"/>
    <w:rsid w:val="00D72DEE"/>
    <w:rsid w:val="00D76820"/>
    <w:rsid w:val="00DA3AE4"/>
    <w:rsid w:val="00DC56C2"/>
    <w:rsid w:val="00DD5FF7"/>
    <w:rsid w:val="00DE4D8D"/>
    <w:rsid w:val="00E003B6"/>
    <w:rsid w:val="00E016A7"/>
    <w:rsid w:val="00E061DD"/>
    <w:rsid w:val="00E54245"/>
    <w:rsid w:val="00E717D8"/>
    <w:rsid w:val="00E75BA9"/>
    <w:rsid w:val="00E903E3"/>
    <w:rsid w:val="00E9173B"/>
    <w:rsid w:val="00E970EA"/>
    <w:rsid w:val="00EA2BF2"/>
    <w:rsid w:val="00EB0BC7"/>
    <w:rsid w:val="00EB2848"/>
    <w:rsid w:val="00EB5B19"/>
    <w:rsid w:val="00EC6725"/>
    <w:rsid w:val="00EE509C"/>
    <w:rsid w:val="00EE633F"/>
    <w:rsid w:val="00F054E9"/>
    <w:rsid w:val="00F13E79"/>
    <w:rsid w:val="00F230B3"/>
    <w:rsid w:val="00F35877"/>
    <w:rsid w:val="00F373FD"/>
    <w:rsid w:val="00F4613E"/>
    <w:rsid w:val="00F61357"/>
    <w:rsid w:val="00F7592C"/>
    <w:rsid w:val="00F91024"/>
    <w:rsid w:val="00FA07AD"/>
    <w:rsid w:val="00FB66F2"/>
    <w:rsid w:val="00FB7AF3"/>
    <w:rsid w:val="00FC438D"/>
    <w:rsid w:val="00FE5413"/>
    <w:rsid w:val="00FF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7E0C4F-6EC6-42A0-B92F-3F259F2B1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1589F"/>
    <w:pPr>
      <w:keepNext/>
      <w:keepLines/>
      <w:spacing w:after="0" w:line="480" w:lineRule="auto"/>
      <w:outlineLvl w:val="0"/>
    </w:pPr>
    <w:rPr>
      <w:rFonts w:ascii="Times New Roman" w:eastAsiaTheme="majorEastAsia" w:hAnsi="Times New Roman" w:cstheme="majorBidi"/>
      <w:b/>
      <w:iCs/>
      <w:sz w:val="2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589F"/>
    <w:pPr>
      <w:keepNext/>
      <w:keepLines/>
      <w:spacing w:after="0" w:line="480" w:lineRule="auto"/>
      <w:outlineLvl w:val="1"/>
    </w:pPr>
    <w:rPr>
      <w:rFonts w:ascii="Times New Roman" w:eastAsiaTheme="majorEastAsia" w:hAnsi="Times New Roman" w:cstheme="majorBidi"/>
      <w:i/>
      <w:sz w:val="20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589F"/>
    <w:rPr>
      <w:rFonts w:ascii="Times New Roman" w:eastAsiaTheme="majorEastAsia" w:hAnsi="Times New Roman" w:cstheme="majorBidi"/>
      <w:b/>
      <w:iCs/>
      <w:sz w:val="20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1589F"/>
    <w:rPr>
      <w:rFonts w:ascii="Times New Roman" w:eastAsiaTheme="majorEastAsia" w:hAnsi="Times New Roman" w:cstheme="majorBidi"/>
      <w:i/>
      <w:sz w:val="20"/>
      <w:szCs w:val="26"/>
      <w:lang w:val="en-GB"/>
    </w:rPr>
  </w:style>
  <w:style w:type="table" w:styleId="TableGrid">
    <w:name w:val="Table Grid"/>
    <w:basedOn w:val="TableNormal"/>
    <w:uiPriority w:val="39"/>
    <w:rsid w:val="00A1589F"/>
    <w:pPr>
      <w:spacing w:after="0" w:line="240" w:lineRule="auto"/>
    </w:pPr>
    <w:rPr>
      <w:sz w:val="24"/>
      <w:szCs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1589F"/>
    <w:pPr>
      <w:spacing w:after="0" w:line="480" w:lineRule="auto"/>
      <w:ind w:left="720"/>
      <w:contextualSpacing/>
    </w:pPr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1589F"/>
    <w:pPr>
      <w:tabs>
        <w:tab w:val="center" w:pos="4680"/>
        <w:tab w:val="right" w:pos="9360"/>
      </w:tabs>
      <w:spacing w:after="0" w:line="480" w:lineRule="auto"/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1589F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Abinaya B.</dc:creator>
  <cp:keywords/>
  <dc:description/>
  <cp:lastModifiedBy>Abinaya B.</cp:lastModifiedBy>
  <cp:revision>1</cp:revision>
  <dcterms:created xsi:type="dcterms:W3CDTF">2021-08-24T01:11:00Z</dcterms:created>
  <dcterms:modified xsi:type="dcterms:W3CDTF">2021-08-24T01:11:00Z</dcterms:modified>
</cp:coreProperties>
</file>