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0C5C3" w14:textId="6C516355" w:rsidR="000E029D" w:rsidRPr="00D85EEA" w:rsidRDefault="000E029D" w:rsidP="000E029D">
      <w:pPr>
        <w:spacing w:line="360" w:lineRule="auto"/>
        <w:ind w:right="-6"/>
        <w:jc w:val="both"/>
        <w:rPr>
          <w:rFonts w:ascii="Arial" w:hAnsi="Arial" w:cs="Arial"/>
          <w:i/>
          <w:color w:val="000000" w:themeColor="text1"/>
          <w:sz w:val="28"/>
          <w:szCs w:val="28"/>
        </w:rPr>
      </w:pPr>
      <w:r w:rsidRPr="00D85EEA">
        <w:rPr>
          <w:rFonts w:ascii="Arial" w:hAnsi="Arial" w:cs="Arial"/>
          <w:i/>
          <w:color w:val="000000" w:themeColor="text1"/>
        </w:rPr>
        <w:t xml:space="preserve">Penile duplex sonography </w:t>
      </w:r>
    </w:p>
    <w:p w14:paraId="659F9C2F" w14:textId="52F43B23" w:rsidR="000E029D" w:rsidRPr="00D85EEA" w:rsidRDefault="000E029D" w:rsidP="000E029D">
      <w:pPr>
        <w:spacing w:line="360" w:lineRule="auto"/>
        <w:ind w:right="-6"/>
        <w:jc w:val="both"/>
        <w:rPr>
          <w:rFonts w:ascii="Arial" w:hAnsi="Arial" w:cs="Arial"/>
          <w:color w:val="000000" w:themeColor="text1"/>
        </w:rPr>
      </w:pPr>
      <w:r w:rsidRPr="00D85EEA">
        <w:rPr>
          <w:rFonts w:ascii="Arial" w:hAnsi="Arial" w:cs="Arial"/>
          <w:color w:val="000000" w:themeColor="text1"/>
        </w:rPr>
        <w:t xml:space="preserve">Duplex ultrasonography of the right and left </w:t>
      </w:r>
      <w:proofErr w:type="spellStart"/>
      <w:r w:rsidRPr="00D85EEA">
        <w:rPr>
          <w:rFonts w:ascii="Arial" w:hAnsi="Arial" w:cs="Arial"/>
          <w:color w:val="000000" w:themeColor="text1"/>
        </w:rPr>
        <w:t>cavernosal</w:t>
      </w:r>
      <w:proofErr w:type="spellEnd"/>
      <w:r w:rsidRPr="00D85EEA">
        <w:rPr>
          <w:rFonts w:ascii="Arial" w:hAnsi="Arial" w:cs="Arial"/>
          <w:color w:val="000000" w:themeColor="text1"/>
        </w:rPr>
        <w:t xml:space="preserve"> artery was performed using an </w:t>
      </w:r>
      <w:proofErr w:type="spellStart"/>
      <w:r w:rsidRPr="00D85EEA">
        <w:rPr>
          <w:rFonts w:ascii="Arial" w:hAnsi="Arial" w:cs="Arial"/>
          <w:color w:val="000000" w:themeColor="text1"/>
        </w:rPr>
        <w:t>Aplio</w:t>
      </w:r>
      <w:proofErr w:type="spellEnd"/>
      <w:r w:rsidRPr="00D85EEA">
        <w:rPr>
          <w:rFonts w:ascii="Arial" w:hAnsi="Arial" w:cs="Arial"/>
          <w:color w:val="000000" w:themeColor="text1"/>
        </w:rPr>
        <w:t xml:space="preserve"> 500 ultrasound device (Toshiba, Japan) 10 minutes after </w:t>
      </w:r>
      <w:proofErr w:type="spellStart"/>
      <w:r w:rsidRPr="00D85EEA">
        <w:rPr>
          <w:rFonts w:ascii="Arial" w:hAnsi="Arial" w:cs="Arial"/>
          <w:color w:val="000000" w:themeColor="text1"/>
        </w:rPr>
        <w:t>intracavernosal</w:t>
      </w:r>
      <w:proofErr w:type="spellEnd"/>
      <w:r w:rsidRPr="00D85EEA">
        <w:rPr>
          <w:rFonts w:ascii="Arial" w:hAnsi="Arial" w:cs="Arial"/>
          <w:color w:val="000000" w:themeColor="text1"/>
        </w:rPr>
        <w:t xml:space="preserve"> injection of 10 </w:t>
      </w:r>
      <w:proofErr w:type="spellStart"/>
      <w:r w:rsidRPr="00D85EEA">
        <w:rPr>
          <w:rFonts w:ascii="Arial" w:hAnsi="Arial" w:cs="Arial"/>
          <w:color w:val="000000" w:themeColor="text1"/>
        </w:rPr>
        <w:t>μg</w:t>
      </w:r>
      <w:proofErr w:type="spellEnd"/>
      <w:r w:rsidRPr="00D85EEA">
        <w:rPr>
          <w:rFonts w:ascii="Arial" w:hAnsi="Arial" w:cs="Arial"/>
          <w:color w:val="000000" w:themeColor="text1"/>
        </w:rPr>
        <w:t xml:space="preserve"> </w:t>
      </w:r>
      <w:proofErr w:type="spellStart"/>
      <w:r w:rsidRPr="00D85EEA">
        <w:rPr>
          <w:rFonts w:ascii="Arial" w:hAnsi="Arial" w:cs="Arial"/>
          <w:color w:val="000000" w:themeColor="text1"/>
        </w:rPr>
        <w:t>intracavernosal</w:t>
      </w:r>
      <w:proofErr w:type="spellEnd"/>
      <w:r w:rsidRPr="00D85EEA">
        <w:rPr>
          <w:rFonts w:ascii="Arial" w:hAnsi="Arial" w:cs="Arial"/>
          <w:color w:val="000000" w:themeColor="text1"/>
        </w:rPr>
        <w:t xml:space="preserve"> alprostadil (</w:t>
      </w:r>
      <w:proofErr w:type="spellStart"/>
      <w:r w:rsidRPr="00D85EEA">
        <w:rPr>
          <w:rFonts w:ascii="Arial" w:hAnsi="Arial" w:cs="Arial"/>
          <w:color w:val="000000" w:themeColor="text1"/>
        </w:rPr>
        <w:t>Caverject</w:t>
      </w:r>
      <w:proofErr w:type="spellEnd"/>
      <w:r w:rsidRPr="00D85EEA">
        <w:rPr>
          <w:rFonts w:ascii="Arial" w:hAnsi="Arial" w:cs="Arial"/>
          <w:color w:val="000000" w:themeColor="text1"/>
        </w:rPr>
        <w:t xml:space="preserve">, Pfizer, Switzerland). </w:t>
      </w:r>
      <w:r w:rsidRPr="00D85EEA">
        <w:rPr>
          <w:rFonts w:ascii="Arial" w:hAnsi="Arial" w:cs="Arial"/>
          <w:color w:val="000000" w:themeColor="text1"/>
          <w:shd w:val="clear" w:color="auto" w:fill="FFFFFF"/>
        </w:rPr>
        <w:t xml:space="preserve">The erectile response was graded visually from E0 to E5 as suggested by Broderick et al. </w:t>
      </w:r>
      <w:r w:rsidRPr="00D85EEA">
        <w:rPr>
          <w:rFonts w:ascii="Arial" w:hAnsi="Arial" w:cs="Arial"/>
          <w:color w:val="000000" w:themeColor="text1"/>
          <w:shd w:val="clear" w:color="auto" w:fill="FFFFFF"/>
        </w:rPr>
        <w:fldChar w:fldCharType="begin"/>
      </w:r>
      <w:r w:rsidR="00324A88">
        <w:rPr>
          <w:rFonts w:ascii="Arial" w:hAnsi="Arial" w:cs="Arial"/>
          <w:color w:val="000000" w:themeColor="text1"/>
          <w:shd w:val="clear" w:color="auto" w:fill="FFFFFF"/>
        </w:rPr>
        <w:instrText xml:space="preserve"> ADDIN EN.CITE &lt;EndNote&gt;&lt;Cite&gt;&lt;Author&gt;Broderick&lt;/Author&gt;&lt;Year&gt;1993&lt;/Year&gt;&lt;RecNum&gt;3193&lt;/RecNum&gt;&lt;DisplayText&gt;(1)&lt;/DisplayText&gt;&lt;record&gt;&lt;rec-number&gt;3193&lt;/rec-number&gt;&lt;foreign-keys&gt;&lt;key app="EN" db-id="9fsx2fd59xf9sme2axpvxeejxdse9apavap2" timestamp="1666967674" guid="330cb4c1-9db8-403d-8bbd-b75e38886ce6"&gt;3193&lt;/key&gt;&lt;/foreign-keys&gt;&lt;ref-type name="Journal Article"&gt;17&lt;/ref-type&gt;&lt;contributors&gt;&lt;authors&gt;&lt;author&gt;Broderick, G. A.&lt;/author&gt;&lt;author&gt;Arger, P.&lt;/author&gt;&lt;/authors&gt;&lt;/contributors&gt;&lt;auth-address&gt;Division of Urology, University of Pennsylvania Medical Center, Philadelphia.&lt;/auth-address&gt;&lt;titles&gt;&lt;title&gt;Duplex Doppler ultrasonography: noninvasive assessment of penile anatomy and function&lt;/title&gt;&lt;secondary-title&gt;Semin Roentgenol&lt;/secondary-title&gt;&lt;/titles&gt;&lt;periodical&gt;&lt;full-title&gt;Semin Roentgenol&lt;/full-title&gt;&lt;/periodical&gt;&lt;pages&gt;43-56&lt;/pages&gt;&lt;volume&gt;28&lt;/volume&gt;&lt;number&gt;1&lt;/number&gt;&lt;edition&gt;1993/01/01&lt;/edition&gt;&lt;keywords&gt;&lt;keyword&gt;Erectile Dysfunction/*diagnostic imaging/physiopathology&lt;/keyword&gt;&lt;keyword&gt;Humans&lt;/keyword&gt;&lt;keyword&gt;Male&lt;/keyword&gt;&lt;keyword&gt;Penile Erection/*physiology&lt;/keyword&gt;&lt;keyword&gt;Penis/*diagnostic imaging/physiology/physiopathology&lt;/keyword&gt;&lt;keyword&gt;Ultrasonography&lt;/keyword&gt;&lt;/keywords&gt;&lt;dates&gt;&lt;year&gt;1993&lt;/year&gt;&lt;pub-dates&gt;&lt;date&gt;Jan&lt;/date&gt;&lt;/pub-dates&gt;&lt;/dates&gt;&lt;isbn&gt;0037-198X (Print)&amp;#xD;0037-198X (Linking)&lt;/isbn&gt;&lt;accession-num&gt;8465207&lt;/accession-num&gt;&lt;urls&gt;&lt;related-urls&gt;&lt;url&gt;https://www.ncbi.nlm.nih.gov/pubmed/8465207&lt;/url&gt;&lt;/related-urls&gt;&lt;/urls&gt;&lt;electronic-resource-num&gt;10.1016/s0037-198x(05)80112-9&lt;/electronic-resource-num&gt;&lt;/record&gt;&lt;/Cite&gt;&lt;/EndNote&gt;</w:instrText>
      </w:r>
      <w:r w:rsidRPr="00D85EEA">
        <w:rPr>
          <w:rFonts w:ascii="Arial" w:hAnsi="Arial" w:cs="Arial"/>
          <w:color w:val="000000" w:themeColor="text1"/>
          <w:shd w:val="clear" w:color="auto" w:fill="FFFFFF"/>
        </w:rPr>
        <w:fldChar w:fldCharType="separate"/>
      </w:r>
      <w:r w:rsidR="00324A88">
        <w:rPr>
          <w:rFonts w:ascii="Arial" w:hAnsi="Arial" w:cs="Arial"/>
          <w:noProof/>
          <w:color w:val="000000" w:themeColor="text1"/>
          <w:shd w:val="clear" w:color="auto" w:fill="FFFFFF"/>
        </w:rPr>
        <w:t>(1)</w:t>
      </w:r>
      <w:r w:rsidRPr="00D85EEA">
        <w:rPr>
          <w:rFonts w:ascii="Arial" w:hAnsi="Arial" w:cs="Arial"/>
          <w:color w:val="000000" w:themeColor="text1"/>
          <w:shd w:val="clear" w:color="auto" w:fill="FFFFFF"/>
        </w:rPr>
        <w:fldChar w:fldCharType="end"/>
      </w:r>
      <w:r w:rsidRPr="00D85EEA">
        <w:rPr>
          <w:rFonts w:ascii="Arial" w:hAnsi="Arial" w:cs="Arial"/>
          <w:color w:val="000000" w:themeColor="text1"/>
          <w:shd w:val="clear" w:color="auto" w:fill="FFFFFF"/>
        </w:rPr>
        <w:t>. Grades E4 (</w:t>
      </w:r>
      <w:r w:rsidRPr="00D85EEA">
        <w:rPr>
          <w:rFonts w:ascii="Arial" w:hAnsi="Arial" w:cs="Arial"/>
          <w:color w:val="000000"/>
        </w:rPr>
        <w:t>full tumescence, medium rigidity</w:t>
      </w:r>
      <w:r w:rsidRPr="00D85EEA">
        <w:rPr>
          <w:rFonts w:ascii="Arial" w:hAnsi="Arial" w:cs="Arial"/>
          <w:color w:val="000000" w:themeColor="text1"/>
          <w:shd w:val="clear" w:color="auto" w:fill="FFFFFF"/>
        </w:rPr>
        <w:t>) and E5 (</w:t>
      </w:r>
      <w:r w:rsidRPr="00D85EEA">
        <w:rPr>
          <w:rFonts w:ascii="Arial" w:hAnsi="Arial" w:cs="Arial"/>
          <w:color w:val="000000"/>
        </w:rPr>
        <w:t>full tumescence, full rigidity</w:t>
      </w:r>
      <w:r w:rsidRPr="00D85EEA">
        <w:rPr>
          <w:rFonts w:ascii="Arial" w:hAnsi="Arial" w:cs="Arial"/>
          <w:color w:val="000000" w:themeColor="text1"/>
          <w:shd w:val="clear" w:color="auto" w:fill="FFFFFF"/>
        </w:rPr>
        <w:t>) are considered sufficient for penetration, whereas grades E0 to E3 are considered insufficient for penetration.</w:t>
      </w:r>
      <w:r w:rsidRPr="00D85EEA">
        <w:rPr>
          <w:rFonts w:ascii="Arial" w:hAnsi="Arial" w:cs="Arial"/>
          <w:color w:val="000000" w:themeColor="text1"/>
        </w:rPr>
        <w:t xml:space="preserve"> At maximum erection, peak systolic velocity (PSV) and end diastolic velocity (EDV) were assessed. PSV of &lt;30 cm/sec of right and left </w:t>
      </w:r>
      <w:proofErr w:type="spellStart"/>
      <w:r w:rsidRPr="00D85EEA">
        <w:rPr>
          <w:rFonts w:ascii="Arial" w:hAnsi="Arial" w:cs="Arial"/>
          <w:color w:val="000000" w:themeColor="text1"/>
        </w:rPr>
        <w:t>cavernosal</w:t>
      </w:r>
      <w:proofErr w:type="spellEnd"/>
      <w:r w:rsidRPr="00D85EEA">
        <w:rPr>
          <w:rFonts w:ascii="Arial" w:hAnsi="Arial" w:cs="Arial"/>
          <w:color w:val="000000" w:themeColor="text1"/>
        </w:rPr>
        <w:t xml:space="preserve"> arteries was considered as reduced arterial flow and justified the causal connection of ED to atherosclerosis-related arterial inflow obstruction </w:t>
      </w:r>
      <w:r w:rsidRPr="00D85EEA">
        <w:rPr>
          <w:rFonts w:ascii="Arial" w:hAnsi="Arial" w:cs="Arial"/>
          <w:color w:val="000000" w:themeColor="text1"/>
          <w:vertAlign w:val="superscript"/>
        </w:rPr>
        <w:fldChar w:fldCharType="begin"/>
      </w:r>
      <w:r w:rsidR="00324A88">
        <w:rPr>
          <w:rFonts w:ascii="Arial" w:hAnsi="Arial" w:cs="Arial"/>
          <w:color w:val="000000" w:themeColor="text1"/>
          <w:vertAlign w:val="superscript"/>
        </w:rPr>
        <w:instrText xml:space="preserve"> ADDIN EN.CITE &lt;EndNote&gt;&lt;Cite&gt;&lt;Author&gt;Lee&lt;/Author&gt;&lt;Year&gt;1993&lt;/Year&gt;&lt;RecNum&gt;3175&lt;/RecNum&gt;&lt;DisplayText&gt;(2)&lt;/DisplayText&gt;&lt;record&gt;&lt;rec-number&gt;3175&lt;/rec-number&gt;&lt;foreign-keys&gt;&lt;key app="EN" db-id="9fsx2fd59xf9sme2axpvxeejxdse9apavap2" timestamp="1656399641" guid="f5ee4e90-dc75-4dd0-80f5-a93de8e4f3e1"&gt;3175&lt;/key&gt;&lt;/foreign-keys&gt;&lt;ref-type name="Journal Article"&gt;17&lt;/ref-type&gt;&lt;contributors&gt;&lt;authors&gt;&lt;author&gt;Lee, B.&lt;/author&gt;&lt;author&gt;Sikka, S. C.&lt;/author&gt;&lt;author&gt;Randrup, E. R.&lt;/author&gt;&lt;author&gt;Villemarette, P.&lt;/author&gt;&lt;author&gt;Baum, N.&lt;/author&gt;&lt;author&gt;Hower, J. F.&lt;/author&gt;&lt;author&gt;Hellstrom, W. J.&lt;/author&gt;&lt;/authors&gt;&lt;/contributors&gt;&lt;auth-address&gt;Department of Urology, Tulane University Medical Center, New Orleans, Louisiana.&lt;/auth-address&gt;&lt;titles&gt;&lt;title&gt;Standardization of penile blood flow parameters in normal men using intracavernous prostaglandin E1 and visual sexual stimulation&lt;/title&gt;&lt;secondary-title&gt;J Urol&lt;/secondary-title&gt;&lt;/titles&gt;&lt;periodical&gt;&lt;full-title&gt;J Urol&lt;/full-title&gt;&lt;/periodical&gt;&lt;pages&gt;49-52&lt;/pages&gt;&lt;volume&gt;149&lt;/volume&gt;&lt;number&gt;1&lt;/number&gt;&lt;edition&gt;1993/01/01&lt;/edition&gt;&lt;keywords&gt;&lt;keyword&gt;Alprostadil/administration &amp;amp; dosage&lt;/keyword&gt;&lt;keyword&gt;Arteries&lt;/keyword&gt;&lt;keyword&gt;Humans&lt;/keyword&gt;&lt;keyword&gt;Male&lt;/keyword&gt;&lt;keyword&gt;Middle Aged&lt;/keyword&gt;&lt;keyword&gt;Penile Erection/*physiology&lt;/keyword&gt;&lt;keyword&gt;Penis/*blood supply/diagnostic imaging/*physiology&lt;/keyword&gt;&lt;keyword&gt;Physical Stimulation&lt;/keyword&gt;&lt;keyword&gt;Reference Values&lt;/keyword&gt;&lt;keyword&gt;Regional Blood Flow&lt;/keyword&gt;&lt;keyword&gt;Ultrasonography&lt;/keyword&gt;&lt;/keywords&gt;&lt;dates&gt;&lt;year&gt;1993&lt;/year&gt;&lt;pub-dates&gt;&lt;date&gt;Jan&lt;/date&gt;&lt;/pub-dates&gt;&lt;/dates&gt;&lt;isbn&gt;0022-5347 (Print)&amp;#xD;0022-5347 (Linking)&lt;/isbn&gt;&lt;accession-num&gt;8417216&lt;/accession-num&gt;&lt;urls&gt;&lt;related-urls&gt;&lt;url&gt;https://www.ncbi.nlm.nih.gov/pubmed/8417216&lt;/url&gt;&lt;/related-urls&gt;&lt;/urls&gt;&lt;electronic-resource-num&gt;10.1016/s0022-5347(17)35996-7&lt;/electronic-resource-num&gt;&lt;/record&gt;&lt;/Cite&gt;&lt;/EndNote&gt;</w:instrText>
      </w:r>
      <w:r w:rsidRPr="00D85EEA">
        <w:rPr>
          <w:rFonts w:ascii="Arial" w:hAnsi="Arial" w:cs="Arial"/>
          <w:color w:val="000000" w:themeColor="text1"/>
          <w:vertAlign w:val="superscript"/>
        </w:rPr>
        <w:fldChar w:fldCharType="separate"/>
      </w:r>
      <w:r w:rsidR="00324A88" w:rsidRPr="000111C6">
        <w:rPr>
          <w:rFonts w:ascii="Arial" w:hAnsi="Arial" w:cs="Arial"/>
          <w:noProof/>
          <w:color w:val="000000" w:themeColor="text1"/>
        </w:rPr>
        <w:t>(2)</w:t>
      </w:r>
      <w:r w:rsidRPr="00D85EEA">
        <w:rPr>
          <w:rFonts w:ascii="Arial" w:hAnsi="Arial" w:cs="Arial"/>
          <w:color w:val="000000" w:themeColor="text1"/>
          <w:vertAlign w:val="superscript"/>
        </w:rPr>
        <w:fldChar w:fldCharType="end"/>
      </w:r>
      <w:r w:rsidRPr="00D85EEA">
        <w:rPr>
          <w:rFonts w:ascii="Arial" w:hAnsi="Arial" w:cs="Arial"/>
          <w:color w:val="000000" w:themeColor="text1"/>
        </w:rPr>
        <w:t xml:space="preserve">. EDV of &gt;5 cm/sec of right and left </w:t>
      </w:r>
      <w:proofErr w:type="spellStart"/>
      <w:r w:rsidRPr="00D85EEA">
        <w:rPr>
          <w:rFonts w:ascii="Arial" w:hAnsi="Arial" w:cs="Arial"/>
          <w:color w:val="000000" w:themeColor="text1"/>
        </w:rPr>
        <w:t>cavernosal</w:t>
      </w:r>
      <w:proofErr w:type="spellEnd"/>
      <w:r w:rsidRPr="00D85EEA">
        <w:rPr>
          <w:rFonts w:ascii="Arial" w:hAnsi="Arial" w:cs="Arial"/>
          <w:color w:val="000000" w:themeColor="text1"/>
        </w:rPr>
        <w:t xml:space="preserve"> arteries indicated venous leak </w:t>
      </w:r>
      <w:r w:rsidRPr="00D85EEA">
        <w:rPr>
          <w:rFonts w:ascii="Arial" w:hAnsi="Arial" w:cs="Arial"/>
          <w:color w:val="000000" w:themeColor="text1"/>
        </w:rPr>
        <w:fldChar w:fldCharType="begin"/>
      </w:r>
      <w:r w:rsidR="00324A88">
        <w:rPr>
          <w:rFonts w:ascii="Arial" w:hAnsi="Arial" w:cs="Arial"/>
          <w:color w:val="000000" w:themeColor="text1"/>
        </w:rPr>
        <w:instrText xml:space="preserve"> ADDIN EN.CITE &lt;EndNote&gt;&lt;Cite&gt;&lt;Author&gt;Jung&lt;/Author&gt;&lt;Year&gt;2018&lt;/Year&gt;&lt;RecNum&gt;3056&lt;/RecNum&gt;&lt;IDText&gt;Penile Doppler ultrasonography revisited&lt;/IDText&gt;&lt;DisplayText&gt;(3)&lt;/DisplayText&gt;&lt;record&gt;&lt;rec-number&gt;3056&lt;/rec-number&gt;&lt;foreign-keys&gt;&lt;key app="EN" db-id="9fsx2fd59xf9sme2axpvxeejxdse9apavap2" timestamp="1656333102" guid="acfd5ddf-a4db-495d-9257-7b96367d0bfd"&gt;3056&lt;/key&gt;&lt;/foreign-keys&gt;&lt;ref-type name="Journal Article"&gt;17&lt;/ref-type&gt;&lt;contributors&gt;&lt;authors&gt;&lt;author&gt;Jung, D. C.&lt;/author&gt;&lt;author&gt;Park, S. Y.&lt;/author&gt;&lt;author&gt;Lee, J. Y.&lt;/author&gt;&lt;/authors&gt;&lt;/contributors&gt;&lt;auth-address&gt;Department of Radiology and Research Institute of Radiological Science, Severance Hospital, Yonsei University College of Medicine, Seoul, Korea.&amp;#xD;Department of Urology and Urological Science Institute, Severance Hospital, Yonsei University College of Medicine, Seoul, Korea.&lt;/auth-address&gt;&lt;titles&gt;&lt;title&gt;Penile Doppler ultrasonography revisited&lt;/title&gt;&lt;secondary-title&gt;Ultrasonography&lt;/secondary-title&gt;&lt;/titles&gt;&lt;periodical&gt;&lt;full-title&gt;Ultrasonography&lt;/full-title&gt;&lt;/periodical&gt;&lt;pages&gt;16-24&lt;/pages&gt;&lt;volume&gt;37&lt;/volume&gt;&lt;number&gt;1&lt;/number&gt;&lt;edition&gt;2017/07/25&lt;/edition&gt;&lt;keywords&gt;&lt;keyword&gt;Penis&lt;/keyword&gt;&lt;keyword&gt;Ultrasonography, Doppler&lt;/keyword&gt;&lt;/keywords&gt;&lt;dates&gt;&lt;year&gt;2018&lt;/year&gt;&lt;pub-dates&gt;&lt;date&gt;Jan&lt;/date&gt;&lt;/pub-dates&gt;&lt;/dates&gt;&lt;isbn&gt;2288-5919 (Print)&amp;#xD;2288-5919 (Linking)&lt;/isbn&gt;&lt;accession-num&gt;28736428&lt;/accession-num&gt;&lt;urls&gt;&lt;related-urls&gt;&lt;url&gt;https://www.ncbi.nlm.nih.gov/pubmed/28736428&lt;/url&gt;&lt;/related-urls&gt;&lt;/urls&gt;&lt;custom2&gt;PMC5769945&lt;/custom2&gt;&lt;electronic-resource-num&gt;10.14366/usg.17022&lt;/electronic-resource-num&gt;&lt;/record&gt;&lt;/Cite&gt;&lt;/EndNote&gt;</w:instrText>
      </w:r>
      <w:r w:rsidRPr="00D85EEA">
        <w:rPr>
          <w:rFonts w:ascii="Arial" w:hAnsi="Arial" w:cs="Arial"/>
          <w:color w:val="000000" w:themeColor="text1"/>
        </w:rPr>
        <w:fldChar w:fldCharType="separate"/>
      </w:r>
      <w:r w:rsidR="00324A88">
        <w:rPr>
          <w:rFonts w:ascii="Arial" w:hAnsi="Arial" w:cs="Arial"/>
          <w:noProof/>
          <w:color w:val="000000" w:themeColor="text1"/>
        </w:rPr>
        <w:t>(3)</w:t>
      </w:r>
      <w:r w:rsidRPr="00D85EEA">
        <w:rPr>
          <w:rFonts w:ascii="Arial" w:hAnsi="Arial" w:cs="Arial"/>
          <w:color w:val="000000" w:themeColor="text1"/>
        </w:rPr>
        <w:fldChar w:fldCharType="end"/>
      </w:r>
      <w:r w:rsidRPr="00D85EEA">
        <w:rPr>
          <w:rFonts w:ascii="Arial" w:hAnsi="Arial" w:cs="Arial"/>
          <w:color w:val="000000" w:themeColor="text1"/>
        </w:rPr>
        <w:t xml:space="preserve">. </w:t>
      </w:r>
    </w:p>
    <w:p w14:paraId="3737A8D1" w14:textId="77777777" w:rsidR="000E029D" w:rsidRPr="00D85EEA" w:rsidRDefault="000E029D" w:rsidP="000E029D">
      <w:pPr>
        <w:spacing w:line="360" w:lineRule="auto"/>
        <w:ind w:right="-6"/>
        <w:jc w:val="both"/>
        <w:rPr>
          <w:rFonts w:ascii="Arial" w:hAnsi="Arial" w:cs="Arial"/>
          <w:color w:val="000000" w:themeColor="text1"/>
        </w:rPr>
      </w:pPr>
    </w:p>
    <w:p w14:paraId="6D54296C" w14:textId="1F0BEBD5" w:rsidR="000E029D" w:rsidRDefault="000E029D" w:rsidP="000E029D">
      <w:pPr>
        <w:spacing w:line="360" w:lineRule="auto"/>
        <w:ind w:right="-6"/>
        <w:jc w:val="both"/>
        <w:rPr>
          <w:rFonts w:ascii="Arial" w:hAnsi="Arial" w:cs="Arial"/>
          <w:i/>
          <w:color w:val="000000" w:themeColor="text1"/>
          <w:sz w:val="28"/>
          <w:szCs w:val="28"/>
        </w:rPr>
      </w:pPr>
      <w:r w:rsidRPr="00D85EEA">
        <w:rPr>
          <w:rFonts w:ascii="Arial" w:hAnsi="Arial" w:cs="Arial"/>
          <w:i/>
          <w:color w:val="000000" w:themeColor="text1"/>
        </w:rPr>
        <w:t xml:space="preserve">Computed tomography cavernosography </w:t>
      </w:r>
    </w:p>
    <w:p w14:paraId="144057EF" w14:textId="558B871C" w:rsidR="00FD086D" w:rsidRDefault="000E029D" w:rsidP="00FD086D">
      <w:pPr>
        <w:spacing w:line="360" w:lineRule="auto"/>
        <w:ind w:right="-6"/>
        <w:jc w:val="both"/>
        <w:rPr>
          <w:rFonts w:ascii="Arial" w:hAnsi="Arial" w:cs="Arial"/>
          <w:iCs/>
          <w:color w:val="000000" w:themeColor="text1"/>
        </w:rPr>
      </w:pPr>
      <w:r w:rsidRPr="00D85EEA">
        <w:rPr>
          <w:rFonts w:ascii="Arial" w:hAnsi="Arial" w:cs="Arial"/>
          <w:iCs/>
          <w:color w:val="000000" w:themeColor="text1"/>
        </w:rPr>
        <w:t>For confirmation of venous leak diagnosis computed tomography cavernosography was performed post intra-</w:t>
      </w:r>
      <w:proofErr w:type="spellStart"/>
      <w:r w:rsidRPr="00D85EEA">
        <w:rPr>
          <w:rFonts w:ascii="Arial" w:hAnsi="Arial" w:cs="Arial"/>
          <w:iCs/>
          <w:color w:val="000000" w:themeColor="text1"/>
        </w:rPr>
        <w:t>cavernosal</w:t>
      </w:r>
      <w:proofErr w:type="spellEnd"/>
      <w:r w:rsidRPr="00D85EEA">
        <w:rPr>
          <w:rFonts w:ascii="Arial" w:hAnsi="Arial" w:cs="Arial"/>
          <w:iCs/>
          <w:color w:val="000000" w:themeColor="text1"/>
        </w:rPr>
        <w:t xml:space="preserve"> injection of 10 or 20 </w:t>
      </w:r>
      <w:proofErr w:type="spellStart"/>
      <w:r w:rsidRPr="00D85EEA">
        <w:rPr>
          <w:rFonts w:ascii="Arial" w:hAnsi="Arial" w:cs="Arial"/>
          <w:iCs/>
          <w:color w:val="000000" w:themeColor="text1"/>
        </w:rPr>
        <w:t>μg</w:t>
      </w:r>
      <w:proofErr w:type="spellEnd"/>
      <w:r w:rsidRPr="00D85EEA">
        <w:rPr>
          <w:rFonts w:ascii="Arial" w:hAnsi="Arial" w:cs="Arial"/>
          <w:iCs/>
          <w:color w:val="000000" w:themeColor="text1"/>
        </w:rPr>
        <w:t xml:space="preserve"> alprostadil. Ten minutes post injection a 23-G needle was inserted at the </w:t>
      </w:r>
      <w:proofErr w:type="spellStart"/>
      <w:r w:rsidRPr="00D85EEA">
        <w:rPr>
          <w:rFonts w:ascii="Arial" w:hAnsi="Arial" w:cs="Arial"/>
          <w:iCs/>
          <w:color w:val="000000" w:themeColor="text1"/>
        </w:rPr>
        <w:t>dorso</w:t>
      </w:r>
      <w:proofErr w:type="spellEnd"/>
      <w:r w:rsidRPr="00D85EEA">
        <w:rPr>
          <w:rFonts w:ascii="Arial" w:hAnsi="Arial" w:cs="Arial"/>
          <w:iCs/>
          <w:color w:val="000000" w:themeColor="text1"/>
        </w:rPr>
        <w:t xml:space="preserve">-lateral side of the corpora cavernosum. Graduated injection of 10 to 20 cc of normal saline into corpora cavernosum at increasing flow rates starting at 0.1 ml/s was performed to determine the infusion velocity until penile tumescence of at least grade E4 was reached. Subsequently injection of 20-40 cc of 50% saline-diluted non-ionic iodinated contrast medium (350 mg ml− 1) with the above determined infusion velocity was performed. </w:t>
      </w:r>
      <w:r w:rsidRPr="00D85EEA">
        <w:rPr>
          <w:rFonts w:ascii="Arial" w:hAnsi="Arial" w:cs="Arial"/>
        </w:rPr>
        <w:t xml:space="preserve">All injections were performed using a power injector. </w:t>
      </w:r>
      <w:r w:rsidRPr="00D85EEA">
        <w:rPr>
          <w:rFonts w:ascii="Arial" w:hAnsi="Arial" w:cs="Arial"/>
          <w:iCs/>
          <w:color w:val="000000" w:themeColor="text1"/>
        </w:rPr>
        <w:t xml:space="preserve">Computed tomography images were acquired using an </w:t>
      </w:r>
      <w:proofErr w:type="spellStart"/>
      <w:r w:rsidRPr="00D85EEA">
        <w:rPr>
          <w:rFonts w:ascii="Arial" w:hAnsi="Arial" w:cs="Arial"/>
        </w:rPr>
        <w:t>Aquilion</w:t>
      </w:r>
      <w:proofErr w:type="spellEnd"/>
      <w:r w:rsidRPr="00D85EEA">
        <w:rPr>
          <w:rFonts w:ascii="Arial" w:hAnsi="Arial" w:cs="Arial"/>
        </w:rPr>
        <w:t xml:space="preserve"> Prime scanner (Toshiba, Japan)</w:t>
      </w:r>
      <w:r w:rsidRPr="00D85EEA">
        <w:rPr>
          <w:rFonts w:ascii="Arial" w:hAnsi="Arial" w:cs="Arial"/>
          <w:iCs/>
          <w:color w:val="000000" w:themeColor="text1"/>
        </w:rPr>
        <w:t xml:space="preserve"> with 80 × 0.5 mm collimation and 0.35 s gantry rotation time. Continuous scanning was performed under real time monitoring of venous contrast distribution extending from the upper brim of the true pelvis to the most distant level of the penis. Data constructive section thickness was 1 mm with a reconstruction increment of 1 mm for post-processing. For post-processing, multiplanar reformation using maximum intensity projection and volume rendering was applied</w:t>
      </w:r>
      <w:r w:rsidR="00FD086D">
        <w:rPr>
          <w:rFonts w:ascii="Arial" w:hAnsi="Arial" w:cs="Arial"/>
          <w:iCs/>
          <w:color w:val="000000" w:themeColor="text1"/>
        </w:rPr>
        <w:t>.</w:t>
      </w:r>
    </w:p>
    <w:p w14:paraId="64CB2638" w14:textId="60862582" w:rsidR="00FD086D" w:rsidRDefault="00FD086D" w:rsidP="00FD086D">
      <w:pPr>
        <w:spacing w:line="360" w:lineRule="auto"/>
        <w:ind w:right="-6"/>
        <w:jc w:val="both"/>
        <w:rPr>
          <w:rFonts w:ascii="Arial" w:hAnsi="Arial" w:cs="Arial"/>
          <w:iCs/>
          <w:color w:val="000000" w:themeColor="text1"/>
        </w:rPr>
      </w:pPr>
    </w:p>
    <w:p w14:paraId="1559CD09" w14:textId="257CB439" w:rsidR="00FD086D" w:rsidRPr="00FC3465" w:rsidRDefault="00FD086D" w:rsidP="00FD086D">
      <w:pPr>
        <w:spacing w:line="360" w:lineRule="auto"/>
        <w:ind w:right="-6"/>
        <w:jc w:val="both"/>
        <w:rPr>
          <w:rFonts w:ascii="Arial" w:hAnsi="Arial" w:cs="Arial"/>
          <w:b/>
          <w:bCs/>
          <w:iCs/>
          <w:color w:val="000000" w:themeColor="text1"/>
        </w:rPr>
      </w:pPr>
      <w:r w:rsidRPr="00FC3465">
        <w:rPr>
          <w:rFonts w:ascii="Arial" w:hAnsi="Arial" w:cs="Arial"/>
          <w:b/>
          <w:bCs/>
          <w:iCs/>
          <w:color w:val="000000" w:themeColor="text1"/>
        </w:rPr>
        <w:t>References</w:t>
      </w:r>
    </w:p>
    <w:p w14:paraId="1995A1BB" w14:textId="77777777" w:rsidR="00324A88" w:rsidRDefault="00324A88" w:rsidP="00FD086D">
      <w:pPr>
        <w:spacing w:line="360" w:lineRule="auto"/>
        <w:ind w:right="-6"/>
        <w:jc w:val="both"/>
        <w:rPr>
          <w:rFonts w:ascii="Arial" w:hAnsi="Arial" w:cs="Arial"/>
          <w:i/>
          <w:color w:val="000000" w:themeColor="text1"/>
          <w:sz w:val="28"/>
          <w:szCs w:val="28"/>
        </w:rPr>
      </w:pPr>
    </w:p>
    <w:p w14:paraId="337C5762" w14:textId="77777777" w:rsidR="00324A88" w:rsidRDefault="00324A88" w:rsidP="00FD086D">
      <w:pPr>
        <w:spacing w:line="360" w:lineRule="auto"/>
        <w:ind w:right="-6"/>
        <w:jc w:val="both"/>
        <w:rPr>
          <w:rFonts w:ascii="Arial" w:hAnsi="Arial" w:cs="Arial"/>
          <w:i/>
          <w:color w:val="000000" w:themeColor="text1"/>
          <w:sz w:val="28"/>
          <w:szCs w:val="28"/>
        </w:rPr>
      </w:pPr>
    </w:p>
    <w:p w14:paraId="61614D74" w14:textId="77777777" w:rsidR="00324A88" w:rsidRPr="00FC3465" w:rsidRDefault="00324A88" w:rsidP="00FC3465">
      <w:pPr>
        <w:pStyle w:val="EndNoteBibliography"/>
        <w:ind w:left="426" w:hanging="426"/>
        <w:rPr>
          <w:rFonts w:ascii="Arial" w:hAnsi="Arial" w:cs="Arial"/>
        </w:rPr>
      </w:pPr>
      <w:r w:rsidRPr="00FC3465">
        <w:rPr>
          <w:rFonts w:ascii="Arial" w:hAnsi="Arial" w:cs="Arial"/>
          <w:i/>
          <w:color w:val="000000" w:themeColor="text1"/>
          <w:sz w:val="28"/>
          <w:szCs w:val="28"/>
        </w:rPr>
        <w:lastRenderedPageBreak/>
        <w:fldChar w:fldCharType="begin"/>
      </w:r>
      <w:r w:rsidRPr="00FC3465">
        <w:rPr>
          <w:rFonts w:ascii="Arial" w:hAnsi="Arial" w:cs="Arial"/>
          <w:i/>
          <w:color w:val="000000" w:themeColor="text1"/>
          <w:sz w:val="28"/>
          <w:szCs w:val="28"/>
        </w:rPr>
        <w:instrText xml:space="preserve"> ADDIN EN.REFLIST </w:instrText>
      </w:r>
      <w:r w:rsidRPr="00FC3465">
        <w:rPr>
          <w:rFonts w:ascii="Arial" w:hAnsi="Arial" w:cs="Arial"/>
          <w:i/>
          <w:color w:val="000000" w:themeColor="text1"/>
          <w:sz w:val="28"/>
          <w:szCs w:val="28"/>
        </w:rPr>
        <w:fldChar w:fldCharType="separate"/>
      </w:r>
      <w:r w:rsidRPr="00FC3465">
        <w:rPr>
          <w:rFonts w:ascii="Arial" w:hAnsi="Arial" w:cs="Arial"/>
        </w:rPr>
        <w:t>1.</w:t>
      </w:r>
      <w:r w:rsidRPr="00FC3465">
        <w:rPr>
          <w:rFonts w:ascii="Arial" w:hAnsi="Arial" w:cs="Arial"/>
        </w:rPr>
        <w:tab/>
        <w:t>Broderick GA, Arger P. Duplex Doppler ultrasonography: noninvasive assessment of penile anatomy and function. Semin Roentgenol. 1993;28(1):43-56.</w:t>
      </w:r>
    </w:p>
    <w:p w14:paraId="6A35A4B3" w14:textId="77777777" w:rsidR="00324A88" w:rsidRPr="00FC3465" w:rsidRDefault="00324A88" w:rsidP="00FC3465">
      <w:pPr>
        <w:pStyle w:val="EndNoteBibliography"/>
        <w:ind w:left="426" w:hanging="426"/>
        <w:rPr>
          <w:rFonts w:ascii="Arial" w:hAnsi="Arial" w:cs="Arial"/>
        </w:rPr>
      </w:pPr>
      <w:r w:rsidRPr="00FC3465">
        <w:rPr>
          <w:rFonts w:ascii="Arial" w:hAnsi="Arial" w:cs="Arial"/>
        </w:rPr>
        <w:t>2.</w:t>
      </w:r>
      <w:r w:rsidRPr="00FC3465">
        <w:rPr>
          <w:rFonts w:ascii="Arial" w:hAnsi="Arial" w:cs="Arial"/>
        </w:rPr>
        <w:tab/>
        <w:t>Lee B, Sikka SC, Randrup ER, Villemarette P, Baum N, Hower JF, et al. Standardization of penile blood flow parameters in normal men using intracavernous prostaglandin E1 and visual sexual stimulation. J Urol. 1993;149(1):49-52.</w:t>
      </w:r>
    </w:p>
    <w:p w14:paraId="373A2BD9" w14:textId="77777777" w:rsidR="00324A88" w:rsidRPr="00FC3465" w:rsidRDefault="00324A88" w:rsidP="00FC3465">
      <w:pPr>
        <w:pStyle w:val="EndNoteBibliography"/>
        <w:ind w:left="426" w:hanging="426"/>
        <w:rPr>
          <w:rFonts w:ascii="Arial" w:hAnsi="Arial" w:cs="Arial"/>
        </w:rPr>
      </w:pPr>
      <w:r w:rsidRPr="00FC3465">
        <w:rPr>
          <w:rFonts w:ascii="Arial" w:hAnsi="Arial" w:cs="Arial"/>
        </w:rPr>
        <w:t>3.</w:t>
      </w:r>
      <w:r w:rsidRPr="00FC3465">
        <w:rPr>
          <w:rFonts w:ascii="Arial" w:hAnsi="Arial" w:cs="Arial"/>
        </w:rPr>
        <w:tab/>
        <w:t>Jung DC, Park SY, Lee JY. Penile Doppler ultrasonography revisited. Ultrasonography. 2018;37(1):16-24.</w:t>
      </w:r>
    </w:p>
    <w:p w14:paraId="3C1AAF85" w14:textId="26FC46F0" w:rsidR="00FD086D" w:rsidRPr="00FD086D" w:rsidRDefault="00324A88" w:rsidP="00FC3465">
      <w:pPr>
        <w:spacing w:line="360" w:lineRule="auto"/>
        <w:ind w:left="426" w:right="-6" w:hanging="426"/>
        <w:jc w:val="both"/>
        <w:rPr>
          <w:rFonts w:ascii="Arial" w:hAnsi="Arial" w:cs="Arial"/>
          <w:i/>
          <w:color w:val="000000" w:themeColor="text1"/>
          <w:sz w:val="28"/>
          <w:szCs w:val="28"/>
        </w:rPr>
      </w:pPr>
      <w:r w:rsidRPr="00FC3465">
        <w:rPr>
          <w:rFonts w:ascii="Arial" w:hAnsi="Arial" w:cs="Arial"/>
          <w:i/>
          <w:color w:val="000000" w:themeColor="text1"/>
          <w:sz w:val="28"/>
          <w:szCs w:val="28"/>
        </w:rPr>
        <w:fldChar w:fldCharType="end"/>
      </w:r>
    </w:p>
    <w:sectPr w:rsidR="00FD086D" w:rsidRPr="00FD08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E029D"/>
    <w:rsid w:val="000111C6"/>
    <w:rsid w:val="000E029D"/>
    <w:rsid w:val="00324A88"/>
    <w:rsid w:val="008F2BD5"/>
    <w:rsid w:val="00FC3465"/>
    <w:rsid w:val="00FD086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8833"/>
  <w15:chartTrackingRefBased/>
  <w15:docId w15:val="{13D40CC9-A58B-45AF-B4BA-8D191C23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029D"/>
    <w:pPr>
      <w:spacing w:after="0" w:line="240" w:lineRule="auto"/>
    </w:pPr>
    <w:rPr>
      <w:sz w:val="24"/>
      <w:szCs w:val="24"/>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324A88"/>
    <w:pPr>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324A88"/>
    <w:rPr>
      <w:rFonts w:ascii="Calibri" w:hAnsi="Calibri" w:cs="Calibri"/>
      <w:noProof/>
      <w:sz w:val="24"/>
      <w:szCs w:val="24"/>
      <w:lang w:val="en-US"/>
    </w:rPr>
  </w:style>
  <w:style w:type="paragraph" w:customStyle="1" w:styleId="EndNoteBibliography">
    <w:name w:val="EndNote Bibliography"/>
    <w:basedOn w:val="Standard"/>
    <w:link w:val="EndNoteBibliographyZchn"/>
    <w:rsid w:val="00324A88"/>
    <w:pPr>
      <w:jc w:val="both"/>
    </w:pPr>
    <w:rPr>
      <w:rFonts w:ascii="Calibri" w:hAnsi="Calibri" w:cs="Calibri"/>
      <w:noProof/>
    </w:rPr>
  </w:style>
  <w:style w:type="character" w:customStyle="1" w:styleId="EndNoteBibliographyZchn">
    <w:name w:val="EndNote Bibliography Zchn"/>
    <w:basedOn w:val="Absatz-Standardschriftart"/>
    <w:link w:val="EndNoteBibliography"/>
    <w:rsid w:val="00324A88"/>
    <w:rPr>
      <w:rFonts w:ascii="Calibri"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1072</Words>
  <Characters>6755</Characters>
  <Application>Microsoft Office Word</Application>
  <DocSecurity>0</DocSecurity>
  <Lines>56</Lines>
  <Paragraphs>15</Paragraphs>
  <ScaleCrop>false</ScaleCrop>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Hanno Hoppe</dc:creator>
  <cp:keywords/>
  <dc:description/>
  <cp:lastModifiedBy>Hanno Hoppe</cp:lastModifiedBy>
  <cp:revision>5</cp:revision>
  <dcterms:created xsi:type="dcterms:W3CDTF">2023-02-19T21:36:00Z</dcterms:created>
  <dcterms:modified xsi:type="dcterms:W3CDTF">2023-02-19T21:44:00Z</dcterms:modified>
</cp:coreProperties>
</file>