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7315A" w14:textId="5BA1B960" w:rsidR="007A395B" w:rsidRPr="007A395B" w:rsidRDefault="007A395B">
      <w:pPr>
        <w:rPr>
          <w:rFonts w:cstheme="minorHAnsi"/>
          <w:b/>
          <w:bCs/>
          <w:sz w:val="28"/>
          <w:szCs w:val="28"/>
        </w:rPr>
      </w:pPr>
      <w:r w:rsidRPr="007A395B">
        <w:rPr>
          <w:rFonts w:cstheme="minorHAnsi"/>
          <w:b/>
          <w:bCs/>
          <w:sz w:val="28"/>
          <w:szCs w:val="28"/>
        </w:rPr>
        <w:t xml:space="preserve">Genicular Artery </w:t>
      </w:r>
      <w:proofErr w:type="spellStart"/>
      <w:r w:rsidRPr="007A395B">
        <w:rPr>
          <w:rFonts w:cstheme="minorHAnsi"/>
          <w:b/>
          <w:bCs/>
          <w:sz w:val="28"/>
          <w:szCs w:val="28"/>
        </w:rPr>
        <w:t>Embolisation</w:t>
      </w:r>
      <w:proofErr w:type="spellEnd"/>
      <w:r w:rsidRPr="007A395B">
        <w:rPr>
          <w:rFonts w:cstheme="minorHAnsi"/>
          <w:b/>
          <w:bCs/>
          <w:sz w:val="28"/>
          <w:szCs w:val="28"/>
        </w:rPr>
        <w:t xml:space="preserve"> Procedural Details </w:t>
      </w:r>
    </w:p>
    <w:p w14:paraId="6D0C5E6E" w14:textId="77777777" w:rsidR="007A395B" w:rsidRDefault="007A395B">
      <w:pPr>
        <w:rPr>
          <w:rFonts w:cstheme="minorHAnsi"/>
          <w:sz w:val="28"/>
          <w:szCs w:val="28"/>
        </w:rPr>
      </w:pPr>
    </w:p>
    <w:p w14:paraId="1EF288D6" w14:textId="56ED6A1A" w:rsidR="00F61160" w:rsidRDefault="007A395B">
      <w:pPr>
        <w:rPr>
          <w:rFonts w:cstheme="minorHAnsi"/>
          <w:sz w:val="28"/>
          <w:szCs w:val="28"/>
        </w:rPr>
      </w:pPr>
      <w:r w:rsidRPr="00785E6C">
        <w:rPr>
          <w:rFonts w:cstheme="minorHAnsi"/>
          <w:sz w:val="28"/>
          <w:szCs w:val="28"/>
        </w:rPr>
        <w:t>Anterograde access of the common femoral artery was secured via the insertion of a 4-french vascular sheath (Cordis Medical, USA) under ultrasound guidance.  Access to the distal superficial femoral artery was achieved using a hydrophilic guidewire (Terumo, Japan) and 4F glide Cobra Performa catheter (Merit Medical, USA). From this position digital subtraction angiography (DSA) was performed using 300mg/ml iodinated contrast (</w:t>
      </w:r>
      <w:proofErr w:type="spellStart"/>
      <w:r w:rsidRPr="00785E6C">
        <w:rPr>
          <w:rFonts w:cstheme="minorHAnsi"/>
          <w:sz w:val="28"/>
          <w:szCs w:val="28"/>
        </w:rPr>
        <w:t>Iomeron</w:t>
      </w:r>
      <w:proofErr w:type="spellEnd"/>
      <w:r w:rsidRPr="00785E6C">
        <w:rPr>
          <w:rFonts w:cstheme="minorHAnsi"/>
          <w:sz w:val="28"/>
          <w:szCs w:val="28"/>
        </w:rPr>
        <w:t>, Bracco, Italy). Genicular arterial catheterisation targets were chosen based on patients’ pain distribution on prior clinical examination, and areas of synovitis on pre-procedural contrast-enhanced MRI. Genicular arteries were selected using a Fathom 14 guidewire (Boston Scientific, USA), following which a straight-tip microcatheter (2.0-2.9- French Pursue, Merit Medical, USA) was introduced through the parent catheter into the designated genicular artery.</w:t>
      </w:r>
    </w:p>
    <w:p w14:paraId="4A21C90D" w14:textId="77777777" w:rsidR="007A395B" w:rsidRDefault="007A395B">
      <w:pPr>
        <w:rPr>
          <w:rFonts w:cstheme="minorHAnsi"/>
          <w:sz w:val="28"/>
          <w:szCs w:val="28"/>
        </w:rPr>
      </w:pPr>
    </w:p>
    <w:p w14:paraId="341C9BBC" w14:textId="24F27B31" w:rsidR="007A395B" w:rsidRPr="007A395B" w:rsidRDefault="007A395B">
      <w:pPr>
        <w:rPr>
          <w:rFonts w:cstheme="minorHAnsi"/>
          <w:b/>
          <w:bCs/>
          <w:sz w:val="28"/>
          <w:szCs w:val="28"/>
        </w:rPr>
      </w:pPr>
      <w:r w:rsidRPr="007A395B">
        <w:rPr>
          <w:rFonts w:cstheme="minorHAnsi"/>
          <w:b/>
          <w:bCs/>
          <w:sz w:val="28"/>
          <w:szCs w:val="28"/>
        </w:rPr>
        <w:t xml:space="preserve">MRI knee Protocols </w:t>
      </w:r>
    </w:p>
    <w:p w14:paraId="3846FB0D" w14:textId="77777777" w:rsidR="007A395B" w:rsidRDefault="007A395B">
      <w:pPr>
        <w:rPr>
          <w:rFonts w:cstheme="minorHAnsi"/>
          <w:sz w:val="28"/>
          <w:szCs w:val="28"/>
        </w:rPr>
      </w:pPr>
    </w:p>
    <w:p w14:paraId="3DADDEE2" w14:textId="056CC179" w:rsidR="007A395B" w:rsidRDefault="007A395B">
      <w:pPr>
        <w:rPr>
          <w:rFonts w:cstheme="minorHAnsi"/>
          <w:sz w:val="28"/>
          <w:szCs w:val="28"/>
        </w:rPr>
      </w:pPr>
      <w:r w:rsidRPr="00785E6C">
        <w:rPr>
          <w:rFonts w:cstheme="minorHAnsi"/>
          <w:sz w:val="28"/>
          <w:szCs w:val="28"/>
        </w:rPr>
        <w:t xml:space="preserve">Proton density fat-saturation (PDFS), sagittal (Slice-thickness (ST) 2.5, TR 4177 </w:t>
      </w:r>
      <w:proofErr w:type="spellStart"/>
      <w:r w:rsidRPr="00785E6C">
        <w:rPr>
          <w:rFonts w:cstheme="minorHAnsi"/>
          <w:sz w:val="28"/>
          <w:szCs w:val="28"/>
        </w:rPr>
        <w:t>ms</w:t>
      </w:r>
      <w:proofErr w:type="spellEnd"/>
      <w:r w:rsidRPr="00785E6C">
        <w:rPr>
          <w:rFonts w:cstheme="minorHAnsi"/>
          <w:sz w:val="28"/>
          <w:szCs w:val="28"/>
        </w:rPr>
        <w:t xml:space="preserve">, TE 30 </w:t>
      </w:r>
      <w:proofErr w:type="spellStart"/>
      <w:r w:rsidRPr="00785E6C">
        <w:rPr>
          <w:rFonts w:cstheme="minorHAnsi"/>
          <w:sz w:val="28"/>
          <w:szCs w:val="28"/>
        </w:rPr>
        <w:t>ms</w:t>
      </w:r>
      <w:proofErr w:type="spellEnd"/>
      <w:r w:rsidRPr="00785E6C">
        <w:rPr>
          <w:rFonts w:cstheme="minorHAnsi"/>
          <w:sz w:val="28"/>
          <w:szCs w:val="28"/>
        </w:rPr>
        <w:t xml:space="preserve">, field of view (FOV) 144, matrix 360 × 286), axial (ST 3, TR 4589, TE 30, FOV 144, matrix 360 × 275), and coronal sequences (ST 2.5, TR 4848, TE 30, FOV 160, matrix 516 × 366) were acquired using a Philips </w:t>
      </w:r>
      <w:proofErr w:type="spellStart"/>
      <w:r w:rsidRPr="00785E6C">
        <w:rPr>
          <w:rFonts w:cstheme="minorHAnsi"/>
          <w:sz w:val="28"/>
          <w:szCs w:val="28"/>
        </w:rPr>
        <w:t>Ingenia</w:t>
      </w:r>
      <w:proofErr w:type="spellEnd"/>
      <w:r w:rsidRPr="00785E6C">
        <w:rPr>
          <w:rFonts w:cstheme="minorHAnsi"/>
          <w:sz w:val="28"/>
          <w:szCs w:val="28"/>
        </w:rPr>
        <w:t xml:space="preserve"> 3T MRI scanner. Contrast-enhanced axial T1-FS (ST 3, TR 578, TE 20, FOV 144, matrix 344 × 276), and sagittal T1-FS (ST 2.5, TR 697, TE 20, FOV 144, matrix 344 × 276) sequences were also acquired.</w:t>
      </w:r>
    </w:p>
    <w:p w14:paraId="584BB9D8" w14:textId="77777777" w:rsidR="007A395B" w:rsidRDefault="007A395B">
      <w:pPr>
        <w:rPr>
          <w:rFonts w:cstheme="minorHAnsi"/>
          <w:sz w:val="28"/>
          <w:szCs w:val="28"/>
        </w:rPr>
      </w:pPr>
    </w:p>
    <w:p w14:paraId="7BF76A73" w14:textId="2E63CA35" w:rsidR="007A395B" w:rsidRPr="007A395B" w:rsidRDefault="007A395B">
      <w:pPr>
        <w:rPr>
          <w:rFonts w:cstheme="minorHAnsi"/>
          <w:b/>
          <w:bCs/>
          <w:sz w:val="28"/>
          <w:szCs w:val="28"/>
        </w:rPr>
      </w:pPr>
      <w:r w:rsidRPr="007A395B">
        <w:rPr>
          <w:rFonts w:cstheme="minorHAnsi"/>
          <w:b/>
          <w:bCs/>
          <w:sz w:val="28"/>
          <w:szCs w:val="28"/>
        </w:rPr>
        <w:t>Neuro-psychology MRI Brain Protocols</w:t>
      </w:r>
    </w:p>
    <w:p w14:paraId="537B8313" w14:textId="77777777" w:rsidR="007A395B" w:rsidRDefault="007A395B">
      <w:pPr>
        <w:rPr>
          <w:rFonts w:cstheme="minorHAnsi"/>
          <w:sz w:val="28"/>
          <w:szCs w:val="28"/>
        </w:rPr>
      </w:pPr>
    </w:p>
    <w:p w14:paraId="750A0869" w14:textId="595D3171" w:rsidR="007A395B" w:rsidRDefault="007A395B">
      <w:r w:rsidRPr="00785E6C">
        <w:rPr>
          <w:rFonts w:cstheme="minorHAnsi"/>
          <w:sz w:val="28"/>
          <w:szCs w:val="28"/>
        </w:rPr>
        <w:t>Functional data were acquired using a blood-oxygen level-dependent (BOLD) protocol with a T2*-weighted gradient echo planar imaging sequence (TR= 1000ms, TE= 30s, slice thickness= 2mm, FA= 90°, 256x256 matrix, voxel size= 2x2x2, FOV=256mm). To reduce the impact of field inhomogeneity, an initial 5 volumes were discarded, and subsequently 600 volumes were acquired, equally a total scan time of 10 minutes and 28 seconds. Following the resting-state, two field maps were collected, followed by a 5-minute T1-weighted inversion recovery fast gradient echo high-resolution anatomical scan (TR= 2300ms, TE= 2.29ms, slice thickness= 0.94mm, FA=8°, 256x256 matrix, voxel size= 0.9x0.9x0.9, FOV=240mm).</w:t>
      </w:r>
    </w:p>
    <w:sectPr w:rsidR="007A39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95B"/>
    <w:rsid w:val="00196C9A"/>
    <w:rsid w:val="00343927"/>
    <w:rsid w:val="007A395B"/>
    <w:rsid w:val="00E16F9C"/>
    <w:rsid w:val="00F6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0CE240"/>
  <w15:chartTrackingRefBased/>
  <w15:docId w15:val="{EA049272-1176-5F4A-9555-95224F6D1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39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39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39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39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39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395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395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39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39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39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39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39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39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39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39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39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39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39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39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39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395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39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395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39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39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39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39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39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39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Little</dc:creator>
  <cp:keywords/>
  <dc:description/>
  <cp:lastModifiedBy>Mark Little</cp:lastModifiedBy>
  <cp:revision>1</cp:revision>
  <dcterms:created xsi:type="dcterms:W3CDTF">2024-04-26T13:56:00Z</dcterms:created>
  <dcterms:modified xsi:type="dcterms:W3CDTF">2024-04-26T14:01:00Z</dcterms:modified>
</cp:coreProperties>
</file>