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42CA8" w14:textId="77777777" w:rsidR="00422966" w:rsidRPr="003A443C" w:rsidRDefault="00422966" w:rsidP="00422966">
      <w:pPr>
        <w:spacing w:line="480" w:lineRule="auto"/>
        <w:jc w:val="both"/>
        <w:rPr>
          <w:rFonts w:ascii="Arial" w:hAnsi="Arial" w:cs="Arial"/>
          <w:b/>
          <w:bCs/>
        </w:rPr>
      </w:pPr>
      <w:r w:rsidRPr="003A443C">
        <w:rPr>
          <w:rFonts w:ascii="Arial" w:hAnsi="Arial" w:cs="Arial"/>
          <w:b/>
          <w:bCs/>
        </w:rPr>
        <w:t>Procedural details</w:t>
      </w:r>
    </w:p>
    <w:p w14:paraId="50C92221" w14:textId="3F797EA4" w:rsidR="00422966" w:rsidRPr="003A443C" w:rsidRDefault="00422966" w:rsidP="00422966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</w:t>
      </w:r>
      <w:r w:rsidRPr="003A443C">
        <w:rPr>
          <w:rFonts w:ascii="Arial" w:hAnsi="Arial" w:cs="Arial"/>
        </w:rPr>
        <w:t>eatment was performed under general anaesthesia</w:t>
      </w:r>
      <w:r>
        <w:rPr>
          <w:rFonts w:ascii="Arial" w:hAnsi="Arial" w:cs="Arial"/>
        </w:rPr>
        <w:t xml:space="preserve">, </w:t>
      </w:r>
      <w:r w:rsidRPr="003A443C">
        <w:rPr>
          <w:rFonts w:ascii="Arial" w:hAnsi="Arial" w:cs="Arial"/>
        </w:rPr>
        <w:t>TOF 0 relaxation</w:t>
      </w:r>
      <w:r>
        <w:rPr>
          <w:rFonts w:ascii="Arial" w:hAnsi="Arial" w:cs="Arial"/>
        </w:rPr>
        <w:t xml:space="preserve">, and </w:t>
      </w:r>
      <w:r w:rsidRPr="003A443C">
        <w:rPr>
          <w:rFonts w:ascii="Arial" w:hAnsi="Arial" w:cs="Arial"/>
        </w:rPr>
        <w:t>FiO</w:t>
      </w:r>
      <w:r w:rsidRPr="003A443C">
        <w:rPr>
          <w:rFonts w:ascii="Arial" w:hAnsi="Arial" w:cs="Arial"/>
          <w:vertAlign w:val="subscript"/>
        </w:rPr>
        <w:t>2</w:t>
      </w:r>
      <w:r w:rsidRPr="003A44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&lt;30</w:t>
      </w:r>
      <w:r w:rsidRPr="003A443C">
        <w:rPr>
          <w:rFonts w:ascii="Arial" w:hAnsi="Arial" w:cs="Arial"/>
        </w:rPr>
        <w:t xml:space="preserve">%. </w:t>
      </w:r>
      <w:r>
        <w:rPr>
          <w:rFonts w:ascii="Arial" w:hAnsi="Arial" w:cs="Arial"/>
        </w:rPr>
        <w:t>For macrocystic</w:t>
      </w:r>
      <w:r w:rsidRPr="003A44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LMs,</w:t>
      </w:r>
      <w:r w:rsidRPr="003A44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lesion </w:t>
      </w:r>
      <w:r w:rsidRPr="003A443C">
        <w:rPr>
          <w:rFonts w:ascii="Arial" w:hAnsi="Arial" w:cs="Arial"/>
        </w:rPr>
        <w:t xml:space="preserve">was punctured under US-guidance </w:t>
      </w:r>
      <w:r>
        <w:rPr>
          <w:rFonts w:ascii="Arial" w:hAnsi="Arial" w:cs="Arial"/>
        </w:rPr>
        <w:t xml:space="preserve">followed by </w:t>
      </w:r>
      <w:r w:rsidRPr="003A443C">
        <w:rPr>
          <w:rFonts w:ascii="Arial" w:hAnsi="Arial" w:cs="Arial"/>
        </w:rPr>
        <w:t xml:space="preserve">contrast </w:t>
      </w:r>
      <w:r>
        <w:rPr>
          <w:rFonts w:ascii="Arial" w:hAnsi="Arial" w:cs="Arial"/>
        </w:rPr>
        <w:t>injection</w:t>
      </w:r>
      <w:r w:rsidRPr="003A443C">
        <w:rPr>
          <w:rFonts w:ascii="Arial" w:hAnsi="Arial" w:cs="Arial"/>
        </w:rPr>
        <w:t xml:space="preserve"> under fluoroscopy-guidance</w:t>
      </w:r>
      <w:r>
        <w:rPr>
          <w:rFonts w:ascii="Arial" w:hAnsi="Arial" w:cs="Arial"/>
        </w:rPr>
        <w:t>, cyst evacuation to reduce drug dilution, and subsequent intralesional Bleomycin injection</w:t>
      </w:r>
      <w:r w:rsidRPr="003A443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For microcystic LMs, Bleomycin was injected interstitially along the lesion under US-guidance.</w:t>
      </w:r>
      <w:r w:rsidR="00BD58AB">
        <w:rPr>
          <w:rFonts w:ascii="Arial" w:hAnsi="Arial" w:cs="Arial"/>
        </w:rPr>
        <w:t xml:space="preserve"> </w:t>
      </w:r>
      <w:r w:rsidR="00BD58AB" w:rsidRPr="00BD58AB">
        <w:rPr>
          <w:rFonts w:ascii="Arial" w:hAnsi="Arial" w:cs="Arial"/>
        </w:rPr>
        <w:t>To ensure homogeneous drug distribution</w:t>
      </w:r>
      <w:r w:rsidR="00BD58AB">
        <w:rPr>
          <w:rFonts w:ascii="Arial" w:hAnsi="Arial" w:cs="Arial"/>
        </w:rPr>
        <w:t xml:space="preserve"> in microcystic lesions</w:t>
      </w:r>
      <w:r w:rsidR="00BD58AB" w:rsidRPr="00BD58AB">
        <w:rPr>
          <w:rFonts w:ascii="Arial" w:hAnsi="Arial" w:cs="Arial"/>
        </w:rPr>
        <w:t xml:space="preserve">, administration is performed during gradual needle retraction, complemented by </w:t>
      </w:r>
      <w:r w:rsidR="00BB290F">
        <w:rPr>
          <w:rFonts w:ascii="Arial" w:hAnsi="Arial" w:cs="Arial"/>
        </w:rPr>
        <w:t>several</w:t>
      </w:r>
      <w:r w:rsidR="00BD58AB" w:rsidRPr="00BD58AB">
        <w:rPr>
          <w:rFonts w:ascii="Arial" w:hAnsi="Arial" w:cs="Arial"/>
        </w:rPr>
        <w:t xml:space="preserve"> punctures as needed based on lesion dimensions</w:t>
      </w:r>
      <w:r w:rsidR="00BD58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Bleomycin was routinely used </w:t>
      </w:r>
      <w:r w:rsidR="00F337BF">
        <w:rPr>
          <w:rFonts w:ascii="Arial" w:hAnsi="Arial" w:cs="Arial"/>
        </w:rPr>
        <w:t>in its standard liquid form, diluted to a concentration</w:t>
      </w:r>
      <w:r>
        <w:rPr>
          <w:rFonts w:ascii="Arial" w:hAnsi="Arial" w:cs="Arial"/>
        </w:rPr>
        <w:t xml:space="preserve"> of 1mg/ml </w:t>
      </w:r>
      <w:r w:rsidR="00F337BF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saline</w:t>
      </w:r>
      <w:r w:rsidR="006E3734">
        <w:rPr>
          <w:rFonts w:ascii="Arial" w:hAnsi="Arial" w:cs="Arial"/>
        </w:rPr>
        <w:t xml:space="preserve">. </w:t>
      </w:r>
      <w:r w:rsidR="006E3734" w:rsidRPr="006E3734">
        <w:rPr>
          <w:rFonts w:ascii="Arial" w:hAnsi="Arial" w:cs="Arial"/>
        </w:rPr>
        <w:t>The administered dose was primarily determined by lesion size: for lesions with a longest diameter of less than 1 cm, up to 0.5 mg was used; for diameters of 1–3 cm, 0.5–1 mg; for 3–5 cm, 1–2 mg; and for lesions larger than 5 cm, more than 2 mg.</w:t>
      </w:r>
      <w:r w:rsidR="00CE7EBB">
        <w:rPr>
          <w:rFonts w:ascii="Arial" w:hAnsi="Arial" w:cs="Arial"/>
        </w:rPr>
        <w:t xml:space="preserve"> </w:t>
      </w:r>
      <w:r w:rsidR="00CE7EBB" w:rsidRPr="003A443C">
        <w:rPr>
          <w:rFonts w:ascii="Arial" w:hAnsi="Arial" w:cs="Arial"/>
        </w:rPr>
        <w:t xml:space="preserve">The maximum bleomycin dose </w:t>
      </w:r>
      <w:r w:rsidR="00CE7EBB">
        <w:rPr>
          <w:rFonts w:ascii="Arial" w:hAnsi="Arial" w:cs="Arial"/>
        </w:rPr>
        <w:t xml:space="preserve">per treatment </w:t>
      </w:r>
      <w:r w:rsidR="00CE7EBB" w:rsidRPr="003A443C">
        <w:rPr>
          <w:rFonts w:ascii="Arial" w:hAnsi="Arial" w:cs="Arial"/>
        </w:rPr>
        <w:t>accepted was 0.2 mg per kg bodyweight</w:t>
      </w:r>
      <w:r w:rsidR="00CE7EBB">
        <w:rPr>
          <w:rFonts w:ascii="Arial" w:hAnsi="Arial" w:cs="Arial"/>
        </w:rPr>
        <w:t>, with a cumulative dose &lt;</w:t>
      </w:r>
      <w:r w:rsidR="00CE7EBB" w:rsidRPr="003A443C">
        <w:rPr>
          <w:rFonts w:ascii="Arial" w:hAnsi="Arial" w:cs="Arial"/>
        </w:rPr>
        <w:t>1 mg/kg bodyweight</w:t>
      </w:r>
      <w:r w:rsidR="00CE7EBB">
        <w:rPr>
          <w:rFonts w:ascii="Arial" w:hAnsi="Arial" w:cs="Arial"/>
        </w:rPr>
        <w:t>.</w:t>
      </w:r>
      <w:r w:rsidR="00F56535">
        <w:rPr>
          <w:rFonts w:ascii="Arial" w:hAnsi="Arial" w:cs="Arial"/>
        </w:rPr>
        <w:t xml:space="preserve"> Subsequently, </w:t>
      </w:r>
      <w:r w:rsidR="00F56535" w:rsidRPr="00F56535">
        <w:rPr>
          <w:rFonts w:ascii="Arial" w:hAnsi="Arial" w:cs="Arial"/>
        </w:rPr>
        <w:t xml:space="preserve">the electrodes were positioned, and reversible electroporation was </w:t>
      </w:r>
      <w:r w:rsidR="00173B39">
        <w:rPr>
          <w:rFonts w:ascii="Arial" w:hAnsi="Arial" w:cs="Arial"/>
        </w:rPr>
        <w:t>started</w:t>
      </w:r>
      <w:r w:rsidR="00F56535" w:rsidRPr="00F56535">
        <w:rPr>
          <w:rFonts w:ascii="Arial" w:hAnsi="Arial" w:cs="Arial"/>
        </w:rPr>
        <w:t xml:space="preserve"> one minute after the bleomycin injection</w:t>
      </w:r>
      <w:r w:rsidRPr="003A443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</w:t>
      </w:r>
      <w:r w:rsidRPr="003A443C">
        <w:rPr>
          <w:rFonts w:ascii="Arial" w:hAnsi="Arial" w:cs="Arial"/>
        </w:rPr>
        <w:t>lectrodes (</w:t>
      </w:r>
      <w:r>
        <w:rPr>
          <w:rFonts w:ascii="Arial" w:hAnsi="Arial" w:cs="Arial"/>
        </w:rPr>
        <w:t xml:space="preserve">finger electrodes and </w:t>
      </w:r>
      <w:r w:rsidRPr="003A443C">
        <w:rPr>
          <w:rFonts w:ascii="Arial" w:hAnsi="Arial" w:cs="Arial"/>
        </w:rPr>
        <w:t>hexagonal electrodes) were selected based on configuration, localization</w:t>
      </w:r>
      <w:r>
        <w:rPr>
          <w:rFonts w:ascii="Arial" w:hAnsi="Arial" w:cs="Arial"/>
        </w:rPr>
        <w:t>,</w:t>
      </w:r>
      <w:r w:rsidRPr="003A443C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depth </w:t>
      </w:r>
      <w:r w:rsidRPr="003A443C">
        <w:rPr>
          <w:rFonts w:ascii="Arial" w:hAnsi="Arial" w:cs="Arial"/>
        </w:rPr>
        <w:t xml:space="preserve">of the lesion </w:t>
      </w:r>
      <w:r>
        <w:rPr>
          <w:rFonts w:ascii="Arial" w:hAnsi="Arial" w:cs="Arial"/>
        </w:rPr>
        <w:t>while</w:t>
      </w:r>
      <w:r w:rsidRPr="003A443C">
        <w:rPr>
          <w:rFonts w:ascii="Arial" w:hAnsi="Arial" w:cs="Arial"/>
        </w:rPr>
        <w:t xml:space="preserve"> the same procedure was repeated at different locations after percutaneous access</w:t>
      </w:r>
      <w:r>
        <w:rPr>
          <w:rFonts w:ascii="Arial" w:hAnsi="Arial" w:cs="Arial"/>
        </w:rPr>
        <w:t>,</w:t>
      </w:r>
      <w:r w:rsidRPr="003A443C">
        <w:rPr>
          <w:rFonts w:ascii="Arial" w:hAnsi="Arial" w:cs="Arial"/>
        </w:rPr>
        <w:t xml:space="preserve"> always using a fraction of the bleomycin solution if needed. Overlapping electrode placement was avoided to prevent </w:t>
      </w:r>
      <w:r>
        <w:rPr>
          <w:rFonts w:ascii="Arial" w:hAnsi="Arial" w:cs="Arial"/>
        </w:rPr>
        <w:t>irreversible electroporation and subsequent tissue necrosis</w:t>
      </w:r>
      <w:r w:rsidRPr="003A443C">
        <w:rPr>
          <w:rFonts w:ascii="Arial" w:hAnsi="Arial" w:cs="Arial"/>
        </w:rPr>
        <w:t>. If possible, the whole lesion volume was covered</w:t>
      </w:r>
      <w:r>
        <w:rPr>
          <w:rFonts w:ascii="Arial" w:hAnsi="Arial" w:cs="Arial"/>
        </w:rPr>
        <w:t xml:space="preserve"> in one session</w:t>
      </w:r>
      <w:r w:rsidRPr="003A443C">
        <w:rPr>
          <w:rFonts w:ascii="Arial" w:hAnsi="Arial" w:cs="Arial"/>
        </w:rPr>
        <w:t xml:space="preserve">. The maximum bleomycin dose </w:t>
      </w:r>
      <w:r>
        <w:rPr>
          <w:rFonts w:ascii="Arial" w:hAnsi="Arial" w:cs="Arial"/>
        </w:rPr>
        <w:t xml:space="preserve">per treatment </w:t>
      </w:r>
      <w:r w:rsidRPr="003A443C">
        <w:rPr>
          <w:rFonts w:ascii="Arial" w:hAnsi="Arial" w:cs="Arial"/>
        </w:rPr>
        <w:t>accepted was 0.2 mg per kg bodyweight</w:t>
      </w:r>
      <w:r>
        <w:rPr>
          <w:rFonts w:ascii="Arial" w:hAnsi="Arial" w:cs="Arial"/>
        </w:rPr>
        <w:t>, with a cumulative dose &lt;</w:t>
      </w:r>
      <w:r w:rsidRPr="003A443C">
        <w:rPr>
          <w:rFonts w:ascii="Arial" w:hAnsi="Arial" w:cs="Arial"/>
        </w:rPr>
        <w:t xml:space="preserve">1 mg/kg bodyweight. To apply the reversible electroporation the electroporation system (Cliniporator™ VITAE, IGEA S.p.A., Carpi, Italy) was used, which provides several independently controlled and isolated outputs, </w:t>
      </w:r>
      <w:r w:rsidRPr="003A443C">
        <w:rPr>
          <w:rFonts w:ascii="Arial" w:hAnsi="Arial" w:cs="Arial"/>
        </w:rPr>
        <w:lastRenderedPageBreak/>
        <w:t xml:space="preserve">each reaching up to </w:t>
      </w:r>
      <w:r>
        <w:rPr>
          <w:rFonts w:ascii="Arial" w:hAnsi="Arial" w:cs="Arial"/>
        </w:rPr>
        <w:t>1</w:t>
      </w:r>
      <w:r w:rsidRPr="003A443C">
        <w:rPr>
          <w:rFonts w:ascii="Arial" w:hAnsi="Arial" w:cs="Arial"/>
        </w:rPr>
        <w:t>000 V</w:t>
      </w:r>
      <w:r>
        <w:rPr>
          <w:rFonts w:ascii="Arial" w:hAnsi="Arial" w:cs="Arial"/>
        </w:rPr>
        <w:t>/cm</w:t>
      </w:r>
      <w:r w:rsidRPr="003A443C">
        <w:rPr>
          <w:rFonts w:ascii="Arial" w:hAnsi="Arial" w:cs="Arial"/>
        </w:rPr>
        <w:t xml:space="preserve"> (maximum current: 50 A) and generates electrical impulses with a duration of 100 </w:t>
      </w:r>
      <w:proofErr w:type="spellStart"/>
      <w:r w:rsidRPr="003A443C">
        <w:rPr>
          <w:rFonts w:ascii="Arial" w:hAnsi="Arial" w:cs="Arial"/>
        </w:rPr>
        <w:t>μs</w:t>
      </w:r>
      <w:proofErr w:type="spellEnd"/>
      <w:r w:rsidRPr="003A443C">
        <w:rPr>
          <w:rFonts w:ascii="Arial" w:hAnsi="Arial" w:cs="Arial"/>
        </w:rPr>
        <w:t xml:space="preserve"> between the electrodes.</w:t>
      </w:r>
    </w:p>
    <w:p w14:paraId="3D322A45" w14:textId="77777777" w:rsidR="00F61114" w:rsidRDefault="00F61114">
      <w:bookmarkStart w:id="0" w:name="_GoBack"/>
      <w:bookmarkEnd w:id="0"/>
    </w:p>
    <w:sectPr w:rsidR="00F611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4D"/>
    <w:rsid w:val="0001397C"/>
    <w:rsid w:val="000162BD"/>
    <w:rsid w:val="00050DAE"/>
    <w:rsid w:val="00056CFF"/>
    <w:rsid w:val="00061EA8"/>
    <w:rsid w:val="000630CA"/>
    <w:rsid w:val="00081829"/>
    <w:rsid w:val="00087542"/>
    <w:rsid w:val="00096F57"/>
    <w:rsid w:val="000B3C48"/>
    <w:rsid w:val="000C42A2"/>
    <w:rsid w:val="000C7EC8"/>
    <w:rsid w:val="000D45E7"/>
    <w:rsid w:val="000E29CD"/>
    <w:rsid w:val="000F2EEF"/>
    <w:rsid w:val="000F719B"/>
    <w:rsid w:val="00143BB5"/>
    <w:rsid w:val="00154A01"/>
    <w:rsid w:val="00173B39"/>
    <w:rsid w:val="00174E7F"/>
    <w:rsid w:val="00180719"/>
    <w:rsid w:val="00180CA1"/>
    <w:rsid w:val="00184E9F"/>
    <w:rsid w:val="00187588"/>
    <w:rsid w:val="0019038A"/>
    <w:rsid w:val="001918C0"/>
    <w:rsid w:val="00192C10"/>
    <w:rsid w:val="001937E5"/>
    <w:rsid w:val="001A3B17"/>
    <w:rsid w:val="001B0113"/>
    <w:rsid w:val="001B5D9C"/>
    <w:rsid w:val="001D5DA8"/>
    <w:rsid w:val="001E5A34"/>
    <w:rsid w:val="002047AE"/>
    <w:rsid w:val="00216FFD"/>
    <w:rsid w:val="00220F06"/>
    <w:rsid w:val="0022573B"/>
    <w:rsid w:val="00240C80"/>
    <w:rsid w:val="002672A2"/>
    <w:rsid w:val="002739EB"/>
    <w:rsid w:val="00277FA8"/>
    <w:rsid w:val="002862B8"/>
    <w:rsid w:val="0028654E"/>
    <w:rsid w:val="002875E7"/>
    <w:rsid w:val="002A3317"/>
    <w:rsid w:val="002B11D5"/>
    <w:rsid w:val="002B19EE"/>
    <w:rsid w:val="002B4B02"/>
    <w:rsid w:val="002C503D"/>
    <w:rsid w:val="002C7C97"/>
    <w:rsid w:val="002E6AAB"/>
    <w:rsid w:val="002F100A"/>
    <w:rsid w:val="003026F0"/>
    <w:rsid w:val="00305FD8"/>
    <w:rsid w:val="00306791"/>
    <w:rsid w:val="003243BA"/>
    <w:rsid w:val="0032632E"/>
    <w:rsid w:val="00345DD2"/>
    <w:rsid w:val="00346152"/>
    <w:rsid w:val="003474D0"/>
    <w:rsid w:val="003512F7"/>
    <w:rsid w:val="00351F94"/>
    <w:rsid w:val="0035711F"/>
    <w:rsid w:val="003A1E6B"/>
    <w:rsid w:val="003B11D2"/>
    <w:rsid w:val="003B2ADD"/>
    <w:rsid w:val="003B65F3"/>
    <w:rsid w:val="003D0E0E"/>
    <w:rsid w:val="003E2550"/>
    <w:rsid w:val="003F0BF6"/>
    <w:rsid w:val="003F1902"/>
    <w:rsid w:val="003F42F5"/>
    <w:rsid w:val="003F45B6"/>
    <w:rsid w:val="003F7C8A"/>
    <w:rsid w:val="004228CD"/>
    <w:rsid w:val="00422966"/>
    <w:rsid w:val="0043208D"/>
    <w:rsid w:val="0043276F"/>
    <w:rsid w:val="00443A5E"/>
    <w:rsid w:val="00466078"/>
    <w:rsid w:val="0046691C"/>
    <w:rsid w:val="00472CD5"/>
    <w:rsid w:val="0048308D"/>
    <w:rsid w:val="00487046"/>
    <w:rsid w:val="00493CCC"/>
    <w:rsid w:val="00495136"/>
    <w:rsid w:val="004A4B4B"/>
    <w:rsid w:val="004B4095"/>
    <w:rsid w:val="004B6740"/>
    <w:rsid w:val="004C7143"/>
    <w:rsid w:val="004E06F2"/>
    <w:rsid w:val="004E7CBD"/>
    <w:rsid w:val="004F0205"/>
    <w:rsid w:val="00500EE2"/>
    <w:rsid w:val="00500FE8"/>
    <w:rsid w:val="00501BDD"/>
    <w:rsid w:val="005046F5"/>
    <w:rsid w:val="00505BFD"/>
    <w:rsid w:val="0051038C"/>
    <w:rsid w:val="0051117F"/>
    <w:rsid w:val="005119C9"/>
    <w:rsid w:val="005129E0"/>
    <w:rsid w:val="00514CB2"/>
    <w:rsid w:val="00523284"/>
    <w:rsid w:val="005311EB"/>
    <w:rsid w:val="00551CFE"/>
    <w:rsid w:val="00554EA4"/>
    <w:rsid w:val="00562955"/>
    <w:rsid w:val="005700E2"/>
    <w:rsid w:val="00577D40"/>
    <w:rsid w:val="00580369"/>
    <w:rsid w:val="00585A2A"/>
    <w:rsid w:val="005A4F50"/>
    <w:rsid w:val="005B0586"/>
    <w:rsid w:val="005C26A4"/>
    <w:rsid w:val="005C6967"/>
    <w:rsid w:val="005D2727"/>
    <w:rsid w:val="005D2CA5"/>
    <w:rsid w:val="005D3C09"/>
    <w:rsid w:val="005E68F6"/>
    <w:rsid w:val="005F46D6"/>
    <w:rsid w:val="00605509"/>
    <w:rsid w:val="00605BD2"/>
    <w:rsid w:val="006116AE"/>
    <w:rsid w:val="006124A4"/>
    <w:rsid w:val="006267FC"/>
    <w:rsid w:val="006268C1"/>
    <w:rsid w:val="006311FF"/>
    <w:rsid w:val="00631BA5"/>
    <w:rsid w:val="006321E7"/>
    <w:rsid w:val="006545C5"/>
    <w:rsid w:val="006725FB"/>
    <w:rsid w:val="00675681"/>
    <w:rsid w:val="00681559"/>
    <w:rsid w:val="00684109"/>
    <w:rsid w:val="00687D79"/>
    <w:rsid w:val="006A5C5E"/>
    <w:rsid w:val="006E3734"/>
    <w:rsid w:val="006E425B"/>
    <w:rsid w:val="006E67F0"/>
    <w:rsid w:val="006F1F66"/>
    <w:rsid w:val="006F3018"/>
    <w:rsid w:val="006F6705"/>
    <w:rsid w:val="00703EBB"/>
    <w:rsid w:val="0070412A"/>
    <w:rsid w:val="0070744B"/>
    <w:rsid w:val="00717081"/>
    <w:rsid w:val="00727A35"/>
    <w:rsid w:val="00731C9F"/>
    <w:rsid w:val="007368DF"/>
    <w:rsid w:val="00744155"/>
    <w:rsid w:val="00750D0F"/>
    <w:rsid w:val="00762331"/>
    <w:rsid w:val="007727E8"/>
    <w:rsid w:val="00774F81"/>
    <w:rsid w:val="0078102B"/>
    <w:rsid w:val="007B3E54"/>
    <w:rsid w:val="007C422A"/>
    <w:rsid w:val="007F20D9"/>
    <w:rsid w:val="007F2C70"/>
    <w:rsid w:val="007F3AD3"/>
    <w:rsid w:val="00845BA3"/>
    <w:rsid w:val="008628A0"/>
    <w:rsid w:val="0086444D"/>
    <w:rsid w:val="00865467"/>
    <w:rsid w:val="008669F5"/>
    <w:rsid w:val="008938D8"/>
    <w:rsid w:val="00895FF0"/>
    <w:rsid w:val="008C52DF"/>
    <w:rsid w:val="008E1404"/>
    <w:rsid w:val="008E2697"/>
    <w:rsid w:val="0091318F"/>
    <w:rsid w:val="009174A3"/>
    <w:rsid w:val="009422D5"/>
    <w:rsid w:val="00950D00"/>
    <w:rsid w:val="00963B95"/>
    <w:rsid w:val="00980DDE"/>
    <w:rsid w:val="00980ECF"/>
    <w:rsid w:val="009905F7"/>
    <w:rsid w:val="0099470D"/>
    <w:rsid w:val="00994E1C"/>
    <w:rsid w:val="009962DE"/>
    <w:rsid w:val="009D354B"/>
    <w:rsid w:val="009E2B38"/>
    <w:rsid w:val="009F226B"/>
    <w:rsid w:val="009F4224"/>
    <w:rsid w:val="00A17A38"/>
    <w:rsid w:val="00A22F12"/>
    <w:rsid w:val="00A32CDC"/>
    <w:rsid w:val="00A36F96"/>
    <w:rsid w:val="00A51BDC"/>
    <w:rsid w:val="00A771B8"/>
    <w:rsid w:val="00A80129"/>
    <w:rsid w:val="00A85749"/>
    <w:rsid w:val="00A90383"/>
    <w:rsid w:val="00AA397A"/>
    <w:rsid w:val="00AC6BCE"/>
    <w:rsid w:val="00B01882"/>
    <w:rsid w:val="00B06498"/>
    <w:rsid w:val="00B301C4"/>
    <w:rsid w:val="00B441DE"/>
    <w:rsid w:val="00B60050"/>
    <w:rsid w:val="00B61574"/>
    <w:rsid w:val="00B63FE0"/>
    <w:rsid w:val="00B6521C"/>
    <w:rsid w:val="00B90E6B"/>
    <w:rsid w:val="00B972C5"/>
    <w:rsid w:val="00BA5E8B"/>
    <w:rsid w:val="00BB0767"/>
    <w:rsid w:val="00BB290F"/>
    <w:rsid w:val="00BB3A91"/>
    <w:rsid w:val="00BC27DD"/>
    <w:rsid w:val="00BC5159"/>
    <w:rsid w:val="00BD1264"/>
    <w:rsid w:val="00BD58AB"/>
    <w:rsid w:val="00BE44BA"/>
    <w:rsid w:val="00BE5925"/>
    <w:rsid w:val="00BF3AE7"/>
    <w:rsid w:val="00BF5A96"/>
    <w:rsid w:val="00C2016E"/>
    <w:rsid w:val="00C224B1"/>
    <w:rsid w:val="00C23F05"/>
    <w:rsid w:val="00C23F67"/>
    <w:rsid w:val="00C264AB"/>
    <w:rsid w:val="00C30C5F"/>
    <w:rsid w:val="00C35D54"/>
    <w:rsid w:val="00C45AB6"/>
    <w:rsid w:val="00C63B7D"/>
    <w:rsid w:val="00C73F83"/>
    <w:rsid w:val="00C7572A"/>
    <w:rsid w:val="00C81C8A"/>
    <w:rsid w:val="00C92006"/>
    <w:rsid w:val="00CA368C"/>
    <w:rsid w:val="00CA5039"/>
    <w:rsid w:val="00CB4F99"/>
    <w:rsid w:val="00CB7E0F"/>
    <w:rsid w:val="00CC1B0F"/>
    <w:rsid w:val="00CC348F"/>
    <w:rsid w:val="00CC5274"/>
    <w:rsid w:val="00CD4725"/>
    <w:rsid w:val="00CE59A6"/>
    <w:rsid w:val="00CE7CBA"/>
    <w:rsid w:val="00CE7EBB"/>
    <w:rsid w:val="00CF5530"/>
    <w:rsid w:val="00CF67F4"/>
    <w:rsid w:val="00D01D25"/>
    <w:rsid w:val="00D15842"/>
    <w:rsid w:val="00D20110"/>
    <w:rsid w:val="00D202DD"/>
    <w:rsid w:val="00D3388D"/>
    <w:rsid w:val="00D34134"/>
    <w:rsid w:val="00D35455"/>
    <w:rsid w:val="00D4072B"/>
    <w:rsid w:val="00D50FD2"/>
    <w:rsid w:val="00D90EA9"/>
    <w:rsid w:val="00D911F6"/>
    <w:rsid w:val="00D96848"/>
    <w:rsid w:val="00DA25D8"/>
    <w:rsid w:val="00DA7EB5"/>
    <w:rsid w:val="00DB13C4"/>
    <w:rsid w:val="00DB1696"/>
    <w:rsid w:val="00DB5194"/>
    <w:rsid w:val="00DE5ACE"/>
    <w:rsid w:val="00E044A6"/>
    <w:rsid w:val="00E11D6B"/>
    <w:rsid w:val="00E20099"/>
    <w:rsid w:val="00E22794"/>
    <w:rsid w:val="00E23E1D"/>
    <w:rsid w:val="00E3170B"/>
    <w:rsid w:val="00E31F31"/>
    <w:rsid w:val="00E4143B"/>
    <w:rsid w:val="00E504E8"/>
    <w:rsid w:val="00E553E0"/>
    <w:rsid w:val="00E62F2C"/>
    <w:rsid w:val="00E665EA"/>
    <w:rsid w:val="00E7657E"/>
    <w:rsid w:val="00E80BE9"/>
    <w:rsid w:val="00EA045E"/>
    <w:rsid w:val="00EA3137"/>
    <w:rsid w:val="00EB271A"/>
    <w:rsid w:val="00EC18CD"/>
    <w:rsid w:val="00EC2826"/>
    <w:rsid w:val="00EC2951"/>
    <w:rsid w:val="00ED2387"/>
    <w:rsid w:val="00EE2476"/>
    <w:rsid w:val="00F158F0"/>
    <w:rsid w:val="00F337BF"/>
    <w:rsid w:val="00F40D8C"/>
    <w:rsid w:val="00F45D4B"/>
    <w:rsid w:val="00F47E03"/>
    <w:rsid w:val="00F540C7"/>
    <w:rsid w:val="00F55AB6"/>
    <w:rsid w:val="00F56535"/>
    <w:rsid w:val="00F61114"/>
    <w:rsid w:val="00F74A45"/>
    <w:rsid w:val="00F7675E"/>
    <w:rsid w:val="00F80436"/>
    <w:rsid w:val="00F9675F"/>
    <w:rsid w:val="00F96E4D"/>
    <w:rsid w:val="00FA5ADD"/>
    <w:rsid w:val="00FC0009"/>
    <w:rsid w:val="00FC1242"/>
    <w:rsid w:val="00FC163D"/>
    <w:rsid w:val="00FD39EA"/>
    <w:rsid w:val="00FD7928"/>
    <w:rsid w:val="00FE0A9A"/>
    <w:rsid w:val="00FE1794"/>
    <w:rsid w:val="00FE3653"/>
    <w:rsid w:val="00FE4D89"/>
    <w:rsid w:val="00FE6F73"/>
    <w:rsid w:val="00FF42FF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9AFE8"/>
  <w15:chartTrackingRefBased/>
  <w15:docId w15:val="{E1DE0E57-3F1A-6C43-8C96-DC619BAB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966"/>
    <w:pPr>
      <w:spacing w:line="36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E4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E4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E4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E4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E4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E4D"/>
    <w:pPr>
      <w:keepNext/>
      <w:keepLines/>
      <w:spacing w:before="4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E4D"/>
    <w:pPr>
      <w:keepNext/>
      <w:keepLines/>
      <w:spacing w:before="4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E4D"/>
    <w:pPr>
      <w:keepNext/>
      <w:keepLines/>
      <w:spacing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E4D"/>
    <w:pPr>
      <w:keepNext/>
      <w:keepLines/>
      <w:spacing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E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E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E4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E4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E4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E4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E4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E4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E4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6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E4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E4D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E4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96E4D"/>
    <w:pPr>
      <w:spacing w:before="160" w:after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E4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96E4D"/>
    <w:pPr>
      <w:spacing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E4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96E4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96F5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Sujithaa R</cp:lastModifiedBy>
  <cp:revision>11</cp:revision>
  <dcterms:created xsi:type="dcterms:W3CDTF">2025-07-04T12:13:00Z</dcterms:created>
  <dcterms:modified xsi:type="dcterms:W3CDTF">2025-08-25T05:42:00Z</dcterms:modified>
</cp:coreProperties>
</file>