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75CBCC" w14:textId="534EAA9C" w:rsidR="002D1635" w:rsidRPr="009F4C86" w:rsidRDefault="00BB7041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9F4C86">
        <w:rPr>
          <w:rFonts w:ascii="Times New Roman" w:hAnsi="Times New Roman" w:cs="Times New Roman"/>
          <w:b/>
          <w:bCs/>
          <w:sz w:val="32"/>
          <w:szCs w:val="32"/>
        </w:rPr>
        <w:t>Supp</w:t>
      </w:r>
      <w:r w:rsidR="0081173D" w:rsidRPr="009F4C86">
        <w:rPr>
          <w:rFonts w:ascii="Times New Roman" w:hAnsi="Times New Roman" w:cs="Times New Roman"/>
          <w:b/>
          <w:bCs/>
          <w:sz w:val="32"/>
          <w:szCs w:val="32"/>
        </w:rPr>
        <w:t>lementary Material</w:t>
      </w:r>
    </w:p>
    <w:p w14:paraId="2A64A8F6" w14:textId="77777777" w:rsidR="002D1635" w:rsidRPr="009F4C86" w:rsidRDefault="002D1635">
      <w:pPr>
        <w:rPr>
          <w:rFonts w:ascii="Times New Roman" w:hAnsi="Times New Roman" w:cs="Times New Roman"/>
          <w:b/>
          <w:bCs/>
        </w:rPr>
      </w:pPr>
      <w:r w:rsidRPr="009F4C86">
        <w:rPr>
          <w:rFonts w:ascii="Times New Roman" w:hAnsi="Times New Roman" w:cs="Times New Roman"/>
          <w:b/>
          <w:bCs/>
        </w:rPr>
        <w:t xml:space="preserve">Compression and superficial varicosities outperform gonadal vein diameter in differentiating </w:t>
      </w:r>
      <w:bookmarkStart w:id="0" w:name="_GoBack"/>
      <w:bookmarkEnd w:id="0"/>
      <w:r w:rsidRPr="009F4C86">
        <w:rPr>
          <w:rFonts w:ascii="Times New Roman" w:hAnsi="Times New Roman" w:cs="Times New Roman"/>
          <w:b/>
          <w:bCs/>
        </w:rPr>
        <w:t>symptomatic from asymptomatic pelvic venous disorders: a case–control study</w:t>
      </w:r>
    </w:p>
    <w:p w14:paraId="0408A18B" w14:textId="525448A1" w:rsidR="002D1635" w:rsidRPr="009F4C86" w:rsidRDefault="002D1635">
      <w:pPr>
        <w:rPr>
          <w:rFonts w:ascii="Times New Roman" w:hAnsi="Times New Roman" w:cs="Times New Roman"/>
          <w:i/>
          <w:iCs/>
        </w:rPr>
      </w:pPr>
      <w:r w:rsidRPr="009F4C86">
        <w:rPr>
          <w:rFonts w:ascii="Times New Roman" w:hAnsi="Times New Roman" w:cs="Times New Roman"/>
          <w:b/>
          <w:bCs/>
        </w:rPr>
        <w:t>Journal</w:t>
      </w:r>
      <w:r w:rsidRPr="009F4C86">
        <w:rPr>
          <w:rFonts w:ascii="Times New Roman" w:hAnsi="Times New Roman" w:cs="Times New Roman"/>
        </w:rPr>
        <w:t xml:space="preserve">: </w:t>
      </w:r>
      <w:proofErr w:type="spellStart"/>
      <w:r w:rsidRPr="009F4C86">
        <w:rPr>
          <w:rFonts w:ascii="Times New Roman" w:hAnsi="Times New Roman" w:cs="Times New Roman"/>
          <w:i/>
          <w:iCs/>
        </w:rPr>
        <w:t>CardioVascular</w:t>
      </w:r>
      <w:proofErr w:type="spellEnd"/>
      <w:r w:rsidRPr="009F4C86">
        <w:rPr>
          <w:rFonts w:ascii="Times New Roman" w:hAnsi="Times New Roman" w:cs="Times New Roman"/>
          <w:i/>
          <w:iCs/>
        </w:rPr>
        <w:t xml:space="preserve"> and Interventional Radiology (CVIR)</w:t>
      </w:r>
    </w:p>
    <w:p w14:paraId="16B1725C" w14:textId="585AC243" w:rsidR="002D1635" w:rsidRPr="009F4C86" w:rsidRDefault="002D1635" w:rsidP="002D1635">
      <w:pPr>
        <w:pStyle w:val="FirstParagraph"/>
        <w:rPr>
          <w:rFonts w:ascii="Times New Roman" w:hAnsi="Times New Roman" w:cs="Times New Roman"/>
        </w:rPr>
      </w:pPr>
      <w:r w:rsidRPr="009F4C86">
        <w:rPr>
          <w:rFonts w:ascii="Times New Roman" w:hAnsi="Times New Roman" w:cs="Times New Roman"/>
          <w:b/>
          <w:bCs/>
        </w:rPr>
        <w:t>Authors</w:t>
      </w:r>
      <w:r w:rsidRPr="009F4C86">
        <w:rPr>
          <w:rFonts w:ascii="Times New Roman" w:hAnsi="Times New Roman" w:cs="Times New Roman"/>
        </w:rPr>
        <w:t>:</w:t>
      </w:r>
    </w:p>
    <w:p w14:paraId="307CF1FD" w14:textId="69758D5C" w:rsidR="002D1635" w:rsidRPr="009F4C86" w:rsidRDefault="002D1635" w:rsidP="002D1635">
      <w:pPr>
        <w:pStyle w:val="Compact"/>
        <w:numPr>
          <w:ilvl w:val="0"/>
          <w:numId w:val="1"/>
        </w:numPr>
        <w:rPr>
          <w:rFonts w:ascii="Times New Roman" w:hAnsi="Times New Roman" w:cs="Times New Roman"/>
        </w:rPr>
      </w:pPr>
      <w:r w:rsidRPr="009F4C86">
        <w:rPr>
          <w:rFonts w:ascii="Times New Roman" w:hAnsi="Times New Roman" w:cs="Times New Roman"/>
        </w:rPr>
        <w:t>Estefania Gonzales, MD MPH</w:t>
      </w:r>
      <w:bookmarkStart w:id="1" w:name="OLE_LINK124"/>
      <w:r w:rsidRPr="009F4C86">
        <w:rPr>
          <w:rFonts w:ascii="Times New Roman" w:hAnsi="Times New Roman" w:cs="Times New Roman"/>
        </w:rPr>
        <w:t>¹</w:t>
      </w:r>
      <w:bookmarkEnd w:id="1"/>
      <w:r w:rsidRPr="009F4C86">
        <w:rPr>
          <w:rFonts w:ascii="Times New Roman" w:hAnsi="Times New Roman" w:cs="Times New Roman"/>
          <w:vertAlign w:val="superscript"/>
        </w:rPr>
        <w:t>*</w:t>
      </w:r>
    </w:p>
    <w:p w14:paraId="445C4416" w14:textId="5320C13C" w:rsidR="002D1635" w:rsidRPr="009F4C86" w:rsidRDefault="002D1635" w:rsidP="002D1635">
      <w:pPr>
        <w:pStyle w:val="Compact"/>
        <w:numPr>
          <w:ilvl w:val="0"/>
          <w:numId w:val="1"/>
        </w:numPr>
        <w:rPr>
          <w:rFonts w:ascii="Times New Roman" w:hAnsi="Times New Roman" w:cs="Times New Roman"/>
        </w:rPr>
      </w:pPr>
      <w:r w:rsidRPr="009F4C86">
        <w:rPr>
          <w:rFonts w:ascii="Times New Roman" w:hAnsi="Times New Roman" w:cs="Times New Roman"/>
        </w:rPr>
        <w:t>Victoria Nguyen, MD¹</w:t>
      </w:r>
      <w:r w:rsidRPr="009F4C86">
        <w:rPr>
          <w:rFonts w:ascii="Times New Roman" w:hAnsi="Times New Roman" w:cs="Times New Roman"/>
          <w:vertAlign w:val="superscript"/>
        </w:rPr>
        <w:t>*</w:t>
      </w:r>
    </w:p>
    <w:p w14:paraId="22ACDD48" w14:textId="77777777" w:rsidR="002D1635" w:rsidRPr="009F4C86" w:rsidRDefault="002D1635" w:rsidP="002D1635">
      <w:pPr>
        <w:pStyle w:val="Compact"/>
        <w:numPr>
          <w:ilvl w:val="0"/>
          <w:numId w:val="1"/>
        </w:numPr>
        <w:rPr>
          <w:rFonts w:ascii="Times New Roman" w:hAnsi="Times New Roman" w:cs="Times New Roman"/>
        </w:rPr>
      </w:pPr>
      <w:r w:rsidRPr="009F4C86">
        <w:rPr>
          <w:rFonts w:ascii="Times New Roman" w:hAnsi="Times New Roman" w:cs="Times New Roman"/>
        </w:rPr>
        <w:t xml:space="preserve">Victoria </w:t>
      </w:r>
      <w:proofErr w:type="spellStart"/>
      <w:r w:rsidRPr="009F4C86">
        <w:rPr>
          <w:rFonts w:ascii="Times New Roman" w:hAnsi="Times New Roman" w:cs="Times New Roman"/>
        </w:rPr>
        <w:t>Risner</w:t>
      </w:r>
      <w:proofErr w:type="spellEnd"/>
      <w:r w:rsidRPr="009F4C86">
        <w:rPr>
          <w:rFonts w:ascii="Times New Roman" w:hAnsi="Times New Roman" w:cs="Times New Roman"/>
        </w:rPr>
        <w:t>, MD¹</w:t>
      </w:r>
    </w:p>
    <w:p w14:paraId="5CB1CC1A" w14:textId="77777777" w:rsidR="002D1635" w:rsidRPr="009F4C86" w:rsidRDefault="002D1635" w:rsidP="002D1635">
      <w:pPr>
        <w:pStyle w:val="Compact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9F4C86">
        <w:rPr>
          <w:rFonts w:ascii="Times New Roman" w:hAnsi="Times New Roman" w:cs="Times New Roman"/>
        </w:rPr>
        <w:t>Lourens</w:t>
      </w:r>
      <w:proofErr w:type="spellEnd"/>
      <w:r w:rsidRPr="009F4C86">
        <w:rPr>
          <w:rFonts w:ascii="Times New Roman" w:hAnsi="Times New Roman" w:cs="Times New Roman"/>
        </w:rPr>
        <w:t xml:space="preserve"> du </w:t>
      </w:r>
      <w:proofErr w:type="spellStart"/>
      <w:r w:rsidRPr="009F4C86">
        <w:rPr>
          <w:rFonts w:ascii="Times New Roman" w:hAnsi="Times New Roman" w:cs="Times New Roman"/>
        </w:rPr>
        <w:t>Pisanie</w:t>
      </w:r>
      <w:proofErr w:type="spellEnd"/>
      <w:r w:rsidRPr="009F4C86">
        <w:rPr>
          <w:rFonts w:ascii="Times New Roman" w:hAnsi="Times New Roman" w:cs="Times New Roman"/>
        </w:rPr>
        <w:t>, MD</w:t>
      </w:r>
      <w:bookmarkStart w:id="2" w:name="OLE_LINK125"/>
      <w:r w:rsidRPr="009F4C86">
        <w:rPr>
          <w:rFonts w:ascii="Times New Roman" w:hAnsi="Times New Roman" w:cs="Times New Roman"/>
        </w:rPr>
        <w:t>²</w:t>
      </w:r>
      <w:bookmarkEnd w:id="2"/>
    </w:p>
    <w:p w14:paraId="2BEFDD16" w14:textId="77777777" w:rsidR="002D1635" w:rsidRPr="009F4C86" w:rsidRDefault="002D1635" w:rsidP="002D1635">
      <w:pPr>
        <w:pStyle w:val="Compact"/>
        <w:numPr>
          <w:ilvl w:val="0"/>
          <w:numId w:val="1"/>
        </w:numPr>
        <w:rPr>
          <w:rFonts w:ascii="Times New Roman" w:hAnsi="Times New Roman" w:cs="Times New Roman"/>
        </w:rPr>
      </w:pPr>
      <w:r w:rsidRPr="009F4C86">
        <w:rPr>
          <w:rFonts w:ascii="Times New Roman" w:hAnsi="Times New Roman" w:cs="Times New Roman"/>
        </w:rPr>
        <w:t>Nicole Keefe, MD²</w:t>
      </w:r>
    </w:p>
    <w:p w14:paraId="2C014E17" w14:textId="77777777" w:rsidR="002D1635" w:rsidRPr="009F4C86" w:rsidRDefault="002D1635" w:rsidP="002D1635">
      <w:pPr>
        <w:pStyle w:val="Compact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9F4C86">
        <w:rPr>
          <w:rFonts w:ascii="Times New Roman" w:hAnsi="Times New Roman" w:cs="Times New Roman"/>
        </w:rPr>
        <w:t>Priya</w:t>
      </w:r>
      <w:proofErr w:type="spellEnd"/>
      <w:r w:rsidRPr="009F4C86">
        <w:rPr>
          <w:rFonts w:ascii="Times New Roman" w:hAnsi="Times New Roman" w:cs="Times New Roman"/>
        </w:rPr>
        <w:t xml:space="preserve"> </w:t>
      </w:r>
      <w:proofErr w:type="spellStart"/>
      <w:r w:rsidRPr="009F4C86">
        <w:rPr>
          <w:rFonts w:ascii="Times New Roman" w:hAnsi="Times New Roman" w:cs="Times New Roman"/>
        </w:rPr>
        <w:t>Mody</w:t>
      </w:r>
      <w:proofErr w:type="spellEnd"/>
      <w:r w:rsidRPr="009F4C86">
        <w:rPr>
          <w:rFonts w:ascii="Times New Roman" w:hAnsi="Times New Roman" w:cs="Times New Roman"/>
        </w:rPr>
        <w:t>, MD²</w:t>
      </w:r>
    </w:p>
    <w:p w14:paraId="491D8B91" w14:textId="77777777" w:rsidR="002D1635" w:rsidRPr="009F4C86" w:rsidRDefault="002D1635" w:rsidP="002D1635">
      <w:pPr>
        <w:pStyle w:val="Compact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9F4C86">
        <w:rPr>
          <w:rFonts w:ascii="Times New Roman" w:hAnsi="Times New Roman" w:cs="Times New Roman"/>
        </w:rPr>
        <w:t>Marueen</w:t>
      </w:r>
      <w:proofErr w:type="spellEnd"/>
      <w:r w:rsidRPr="009F4C86">
        <w:rPr>
          <w:rFonts w:ascii="Times New Roman" w:hAnsi="Times New Roman" w:cs="Times New Roman"/>
        </w:rPr>
        <w:t xml:space="preserve"> P </w:t>
      </w:r>
      <w:proofErr w:type="spellStart"/>
      <w:r w:rsidRPr="009F4C86">
        <w:rPr>
          <w:rFonts w:ascii="Times New Roman" w:hAnsi="Times New Roman" w:cs="Times New Roman"/>
        </w:rPr>
        <w:t>Kohi</w:t>
      </w:r>
      <w:proofErr w:type="spellEnd"/>
      <w:r w:rsidRPr="009F4C86">
        <w:rPr>
          <w:rFonts w:ascii="Times New Roman" w:hAnsi="Times New Roman" w:cs="Times New Roman"/>
        </w:rPr>
        <w:t>, MD, FSIR, FCIRSE²</w:t>
      </w:r>
    </w:p>
    <w:p w14:paraId="0D8010E5" w14:textId="77777777" w:rsidR="002D1635" w:rsidRPr="009F4C86" w:rsidRDefault="002D1635" w:rsidP="002D1635">
      <w:pPr>
        <w:pStyle w:val="Compact"/>
        <w:numPr>
          <w:ilvl w:val="0"/>
          <w:numId w:val="1"/>
        </w:numPr>
        <w:rPr>
          <w:rFonts w:ascii="Times New Roman" w:hAnsi="Times New Roman" w:cs="Times New Roman"/>
        </w:rPr>
      </w:pPr>
      <w:r w:rsidRPr="009F4C86">
        <w:rPr>
          <w:rFonts w:ascii="Times New Roman" w:hAnsi="Times New Roman" w:cs="Times New Roman"/>
        </w:rPr>
        <w:t xml:space="preserve">Gloria Salazar, MD, </w:t>
      </w:r>
      <w:bookmarkStart w:id="3" w:name="_Hlk206609898"/>
      <w:r w:rsidRPr="009F4C86">
        <w:rPr>
          <w:rFonts w:ascii="Times New Roman" w:hAnsi="Times New Roman" w:cs="Times New Roman"/>
        </w:rPr>
        <w:t>FSIR, FCIRSE, FAHA</w:t>
      </w:r>
      <w:bookmarkEnd w:id="3"/>
      <w:r w:rsidRPr="009F4C86">
        <w:rPr>
          <w:rFonts w:ascii="Times New Roman" w:hAnsi="Times New Roman" w:cs="Times New Roman"/>
        </w:rPr>
        <w:t>²</w:t>
      </w:r>
    </w:p>
    <w:p w14:paraId="0514E528" w14:textId="77777777" w:rsidR="002D1635" w:rsidRPr="009F4C86" w:rsidRDefault="002D1635" w:rsidP="002D1635">
      <w:pPr>
        <w:pStyle w:val="Compact"/>
        <w:rPr>
          <w:rFonts w:ascii="Times New Roman" w:hAnsi="Times New Roman" w:cs="Times New Roman"/>
        </w:rPr>
      </w:pPr>
      <w:r w:rsidRPr="009F4C86">
        <w:rPr>
          <w:rFonts w:ascii="Times New Roman" w:hAnsi="Times New Roman" w:cs="Times New Roman"/>
          <w:vertAlign w:val="superscript"/>
        </w:rPr>
        <w:t>*</w:t>
      </w:r>
      <w:r w:rsidRPr="009F4C86">
        <w:rPr>
          <w:rFonts w:ascii="Times New Roman" w:hAnsi="Times New Roman" w:cs="Times New Roman"/>
        </w:rPr>
        <w:t>Co-first authors</w:t>
      </w:r>
    </w:p>
    <w:p w14:paraId="0DA7D958" w14:textId="77777777" w:rsidR="002D1635" w:rsidRPr="009F4C86" w:rsidRDefault="002D1635" w:rsidP="002D1635">
      <w:pPr>
        <w:pStyle w:val="FirstParagraph"/>
        <w:rPr>
          <w:rFonts w:ascii="Times New Roman" w:hAnsi="Times New Roman" w:cs="Times New Roman"/>
        </w:rPr>
      </w:pPr>
      <w:r w:rsidRPr="009F4C86">
        <w:rPr>
          <w:rFonts w:ascii="Times New Roman" w:hAnsi="Times New Roman" w:cs="Times New Roman"/>
          <w:b/>
          <w:bCs/>
        </w:rPr>
        <w:t>Affiliations:</w:t>
      </w:r>
    </w:p>
    <w:p w14:paraId="7B49C614" w14:textId="77777777" w:rsidR="002D1635" w:rsidRPr="009F4C86" w:rsidRDefault="002D1635" w:rsidP="002D1635">
      <w:pPr>
        <w:pStyle w:val="BodyText"/>
        <w:rPr>
          <w:rFonts w:ascii="Times New Roman" w:hAnsi="Times New Roman" w:cs="Times New Roman"/>
        </w:rPr>
      </w:pPr>
      <w:r w:rsidRPr="009F4C86">
        <w:rPr>
          <w:rFonts w:ascii="Times New Roman" w:hAnsi="Times New Roman" w:cs="Times New Roman"/>
        </w:rPr>
        <w:t>¹ Department of Radiology, University of North Carolina School of Medicine, Chapel Hill, NC, USA</w:t>
      </w:r>
      <w:r w:rsidRPr="009F4C86">
        <w:rPr>
          <w:rFonts w:ascii="Times New Roman" w:hAnsi="Times New Roman" w:cs="Times New Roman"/>
        </w:rPr>
        <w:br/>
        <w:t>² Division of Vascular and Interventional Radiology, Department of Radiology, University of North Carolina School of Medicine, Chapel Hill, NC, USA</w:t>
      </w:r>
    </w:p>
    <w:p w14:paraId="5840E78C" w14:textId="77777777" w:rsidR="002D1635" w:rsidRPr="009F4C86" w:rsidRDefault="002D1635" w:rsidP="002D1635">
      <w:pPr>
        <w:pStyle w:val="BodyText"/>
        <w:rPr>
          <w:rFonts w:ascii="Times New Roman" w:hAnsi="Times New Roman" w:cs="Times New Roman"/>
        </w:rPr>
      </w:pPr>
      <w:r w:rsidRPr="009F4C86">
        <w:rPr>
          <w:rFonts w:ascii="Times New Roman" w:hAnsi="Times New Roman" w:cs="Times New Roman"/>
          <w:b/>
          <w:bCs/>
        </w:rPr>
        <w:t>Corresponding Author:</w:t>
      </w:r>
    </w:p>
    <w:p w14:paraId="4CFFD07B" w14:textId="515B3D10" w:rsidR="002D1635" w:rsidRPr="009F4C86" w:rsidRDefault="002D1635" w:rsidP="002D1635">
      <w:pPr>
        <w:pStyle w:val="BodyText"/>
        <w:spacing w:before="0" w:after="0"/>
        <w:rPr>
          <w:rFonts w:ascii="Times New Roman" w:hAnsi="Times New Roman" w:cs="Times New Roman"/>
        </w:rPr>
      </w:pPr>
      <w:r w:rsidRPr="009F4C86">
        <w:rPr>
          <w:rFonts w:ascii="Times New Roman" w:hAnsi="Times New Roman" w:cs="Times New Roman"/>
        </w:rPr>
        <w:t>Estefania Gonzales, MD MPH</w:t>
      </w:r>
      <w:r w:rsidRPr="009F4C86">
        <w:rPr>
          <w:rFonts w:ascii="Times New Roman" w:hAnsi="Times New Roman" w:cs="Times New Roman"/>
        </w:rPr>
        <w:br/>
        <w:t>Department of Radiology</w:t>
      </w:r>
      <w:r w:rsidRPr="009F4C86">
        <w:rPr>
          <w:rFonts w:ascii="Times New Roman" w:hAnsi="Times New Roman" w:cs="Times New Roman"/>
        </w:rPr>
        <w:br/>
        <w:t>University of North Carolina School of Medicine</w:t>
      </w:r>
    </w:p>
    <w:p w14:paraId="0BF41311" w14:textId="374E15F9" w:rsidR="002D1635" w:rsidRPr="009F4C86" w:rsidRDefault="002D1635" w:rsidP="002D1635">
      <w:pPr>
        <w:rPr>
          <w:rFonts w:ascii="Times New Roman" w:hAnsi="Times New Roman" w:cs="Times New Roman"/>
        </w:rPr>
      </w:pPr>
      <w:r w:rsidRPr="009F4C86">
        <w:rPr>
          <w:rFonts w:ascii="Times New Roman" w:hAnsi="Times New Roman" w:cs="Times New Roman"/>
        </w:rPr>
        <w:t>Chapel Hill, NC 27599, USA</w:t>
      </w:r>
      <w:r w:rsidRPr="009F4C86">
        <w:rPr>
          <w:rFonts w:ascii="Times New Roman" w:hAnsi="Times New Roman" w:cs="Times New Roman"/>
        </w:rPr>
        <w:br/>
        <w:t>Email: Estefania_gonzales@med.unc.edu</w:t>
      </w:r>
      <w:r w:rsidRPr="009F4C86">
        <w:rPr>
          <w:rFonts w:ascii="Times New Roman" w:hAnsi="Times New Roman" w:cs="Times New Roman"/>
        </w:rPr>
        <w:br w:type="page"/>
      </w:r>
    </w:p>
    <w:p w14:paraId="2A3BE54E" w14:textId="1BFBA7B3" w:rsidR="0081173D" w:rsidRPr="009F4C86" w:rsidRDefault="00C53905">
      <w:pPr>
        <w:rPr>
          <w:rFonts w:ascii="Times New Roman" w:hAnsi="Times New Roman" w:cs="Times New Roman"/>
          <w:b/>
          <w:bCs/>
        </w:rPr>
      </w:pPr>
      <w:bookmarkStart w:id="4" w:name="_Hlk229694315"/>
      <w:bookmarkStart w:id="5" w:name="OLE_LINK1"/>
      <w:bookmarkStart w:id="6" w:name="OLE_LINK99"/>
      <w:r w:rsidRPr="009F4C86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bookmarkEnd w:id="4"/>
      <w:r w:rsidR="0081173D" w:rsidRPr="009F4C86">
        <w:rPr>
          <w:rFonts w:ascii="Times New Roman" w:hAnsi="Times New Roman" w:cs="Times New Roman"/>
          <w:b/>
          <w:bCs/>
        </w:rPr>
        <w:t xml:space="preserve">Table 1. </w:t>
      </w:r>
      <w:r w:rsidR="00F12BFC" w:rsidRPr="009F4C86">
        <w:rPr>
          <w:rFonts w:ascii="Times New Roman" w:hAnsi="Times New Roman" w:cs="Times New Roman"/>
        </w:rPr>
        <w:t>Variable definitions and ascertainment hierarchy.</w:t>
      </w:r>
    </w:p>
    <w:tbl>
      <w:tblPr>
        <w:tblW w:w="9900" w:type="dxa"/>
        <w:tblCellSpacing w:w="1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"/>
        <w:gridCol w:w="1350"/>
        <w:gridCol w:w="2610"/>
        <w:gridCol w:w="3150"/>
        <w:gridCol w:w="1890"/>
      </w:tblGrid>
      <w:tr w:rsidR="0081173D" w:rsidRPr="009F4C86" w14:paraId="1DA5E58C" w14:textId="77777777" w:rsidTr="0081173D">
        <w:trPr>
          <w:tblCellSpacing w:w="15" w:type="dxa"/>
        </w:trPr>
        <w:tc>
          <w:tcPr>
            <w:tcW w:w="855" w:type="dxa"/>
            <w:tcBorders>
              <w:top w:val="single" w:sz="2" w:space="0" w:color="auto"/>
              <w:bottom w:val="single" w:sz="18" w:space="0" w:color="auto"/>
            </w:tcBorders>
            <w:shd w:val="clear" w:color="auto" w:fill="FFFFFF"/>
            <w:vAlign w:val="center"/>
            <w:hideMark/>
          </w:tcPr>
          <w:p w14:paraId="4311E646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bookmarkStart w:id="7" w:name="_Hlk220279365"/>
            <w:bookmarkStart w:id="8" w:name="OLE_LINK70"/>
            <w:bookmarkEnd w:id="5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Domain</w:t>
            </w:r>
          </w:p>
        </w:tc>
        <w:tc>
          <w:tcPr>
            <w:tcW w:w="132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FFFFF"/>
            <w:vAlign w:val="center"/>
            <w:hideMark/>
          </w:tcPr>
          <w:p w14:paraId="20BBE38C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Variable (coding)</w:t>
            </w:r>
          </w:p>
        </w:tc>
        <w:tc>
          <w:tcPr>
            <w:tcW w:w="258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FFFFF"/>
            <w:vAlign w:val="center"/>
            <w:hideMark/>
          </w:tcPr>
          <w:p w14:paraId="63153CB6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Operational definition</w:t>
            </w:r>
          </w:p>
        </w:tc>
        <w:tc>
          <w:tcPr>
            <w:tcW w:w="312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FFFFF"/>
            <w:vAlign w:val="center"/>
            <w:hideMark/>
          </w:tcPr>
          <w:p w14:paraId="40C6FD91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Source</w:t>
            </w:r>
          </w:p>
        </w:tc>
        <w:tc>
          <w:tcPr>
            <w:tcW w:w="1845" w:type="dxa"/>
            <w:tcBorders>
              <w:top w:val="single" w:sz="2" w:space="0" w:color="auto"/>
              <w:bottom w:val="single" w:sz="18" w:space="0" w:color="auto"/>
            </w:tcBorders>
            <w:shd w:val="clear" w:color="auto" w:fill="FFFFFF"/>
            <w:vAlign w:val="center"/>
            <w:hideMark/>
          </w:tcPr>
          <w:p w14:paraId="2CFA6949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Notes</w:t>
            </w:r>
          </w:p>
        </w:tc>
      </w:tr>
      <w:tr w:rsidR="0081173D" w:rsidRPr="009F4C86" w14:paraId="2BEB7CB4" w14:textId="77777777" w:rsidTr="0081173D">
        <w:trPr>
          <w:cantSplit/>
          <w:trHeight w:val="1134"/>
          <w:tblCellSpacing w:w="15" w:type="dxa"/>
        </w:trPr>
        <w:tc>
          <w:tcPr>
            <w:tcW w:w="855" w:type="dxa"/>
            <w:shd w:val="clear" w:color="auto" w:fill="FFFFFF"/>
            <w:textDirection w:val="btLr"/>
            <w:vAlign w:val="center"/>
            <w:hideMark/>
          </w:tcPr>
          <w:p w14:paraId="0063DF0A" w14:textId="77777777" w:rsidR="0081173D" w:rsidRPr="009F4C86" w:rsidRDefault="0081173D" w:rsidP="0081173D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Imaging (inclusion)</w:t>
            </w:r>
          </w:p>
        </w:tc>
        <w:tc>
          <w:tcPr>
            <w:tcW w:w="1320" w:type="dxa"/>
            <w:shd w:val="clear" w:color="auto" w:fill="FFFFFF"/>
            <w:vAlign w:val="center"/>
            <w:hideMark/>
          </w:tcPr>
          <w:p w14:paraId="1270386F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Pelvic/ </w:t>
            </w:r>
            <w:proofErr w:type="spellStart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parametrial</w:t>
            </w:r>
            <w:proofErr w:type="spellEnd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varices</w:t>
            </w:r>
            <w:r w:rsidRPr="009F4C86">
              <w:rPr>
                <w:rFonts w:ascii="Times New Roman" w:hAnsi="Times New Roman" w:cs="Times New Roman"/>
                <w:sz w:val="21"/>
                <w:szCs w:val="21"/>
              </w:rPr>
              <w:t>⁺</w:t>
            </w:r>
          </w:p>
        </w:tc>
        <w:tc>
          <w:tcPr>
            <w:tcW w:w="2580" w:type="dxa"/>
            <w:shd w:val="clear" w:color="auto" w:fill="FFFFFF"/>
            <w:vAlign w:val="center"/>
            <w:hideMark/>
          </w:tcPr>
          <w:p w14:paraId="7631BDD5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Parauterine</w:t>
            </w:r>
            <w:proofErr w:type="spellEnd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/pelvic varices &gt; 5 mm on the index imaging</w:t>
            </w:r>
            <w:r w:rsidRPr="009F4C86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study.</w:t>
            </w:r>
          </w:p>
        </w:tc>
        <w:tc>
          <w:tcPr>
            <w:tcW w:w="3120" w:type="dxa"/>
            <w:shd w:val="clear" w:color="auto" w:fill="FFFFFF"/>
            <w:vAlign w:val="center"/>
            <w:hideMark/>
          </w:tcPr>
          <w:p w14:paraId="6D4C95D5" w14:textId="0416541F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CT/MR prioritized (highest-quality contrast-enhanced venous-phase exam). TVUS </w:t>
            </w:r>
            <w:r w:rsidR="00984C41"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or DUS</w:t>
            </w: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used only if CT/MR was unavailable. Symptom adjudication window anchored to the index imaging date (±12 </w:t>
            </w:r>
            <w:proofErr w:type="spellStart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</w:t>
            </w:r>
            <w:proofErr w:type="spellEnd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).</w:t>
            </w:r>
          </w:p>
        </w:tc>
        <w:tc>
          <w:tcPr>
            <w:tcW w:w="1845" w:type="dxa"/>
            <w:shd w:val="clear" w:color="auto" w:fill="FFFFFF"/>
            <w:vAlign w:val="center"/>
            <w:hideMark/>
          </w:tcPr>
          <w:p w14:paraId="2E1D0F94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Used for cohort entry only.</w:t>
            </w:r>
          </w:p>
        </w:tc>
      </w:tr>
      <w:bookmarkEnd w:id="7"/>
      <w:tr w:rsidR="0081173D" w:rsidRPr="009F4C86" w14:paraId="763BF5B4" w14:textId="77777777" w:rsidTr="0081173D">
        <w:trPr>
          <w:cantSplit/>
          <w:trHeight w:val="1134"/>
          <w:tblCellSpacing w:w="15" w:type="dxa"/>
        </w:trPr>
        <w:tc>
          <w:tcPr>
            <w:tcW w:w="855" w:type="dxa"/>
            <w:shd w:val="clear" w:color="auto" w:fill="FFFFFF"/>
            <w:textDirection w:val="btLr"/>
            <w:vAlign w:val="center"/>
            <w:hideMark/>
          </w:tcPr>
          <w:p w14:paraId="041BDA5D" w14:textId="77777777" w:rsidR="0081173D" w:rsidRPr="009F4C86" w:rsidRDefault="0081173D" w:rsidP="0081173D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Imaging (exposure)</w:t>
            </w:r>
          </w:p>
        </w:tc>
        <w:tc>
          <w:tcPr>
            <w:tcW w:w="1320" w:type="dxa"/>
            <w:tcBorders>
              <w:top w:val="single" w:sz="2" w:space="0" w:color="747474" w:themeColor="background2" w:themeShade="80"/>
              <w:bottom w:val="single" w:sz="2" w:space="0" w:color="747474" w:themeColor="background2" w:themeShade="80"/>
            </w:tcBorders>
            <w:shd w:val="clear" w:color="auto" w:fill="FFFFFF"/>
            <w:vAlign w:val="center"/>
            <w:hideMark/>
          </w:tcPr>
          <w:p w14:paraId="3B94D483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Gonadal vein (GV) diameter (continuous, mm)</w:t>
            </w:r>
          </w:p>
        </w:tc>
        <w:tc>
          <w:tcPr>
            <w:tcW w:w="2580" w:type="dxa"/>
            <w:tcBorders>
              <w:top w:val="single" w:sz="2" w:space="0" w:color="747474" w:themeColor="background2" w:themeShade="80"/>
              <w:bottom w:val="single" w:sz="2" w:space="0" w:color="747474" w:themeColor="background2" w:themeShade="80"/>
            </w:tcBorders>
            <w:shd w:val="clear" w:color="auto" w:fill="FFFFFF"/>
            <w:vAlign w:val="center"/>
            <w:hideMark/>
          </w:tcPr>
          <w:p w14:paraId="57A97E4E" w14:textId="6CD3728A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Maximal caliber along GV course on axial CT/MR; if CT/MR absent, abstracted as reported maximal caliber on TVUS</w:t>
            </w:r>
            <w:r w:rsidR="00984C41"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or DUS</w:t>
            </w: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.</w:t>
            </w:r>
          </w:p>
        </w:tc>
        <w:tc>
          <w:tcPr>
            <w:tcW w:w="3120" w:type="dxa"/>
            <w:tcBorders>
              <w:top w:val="single" w:sz="2" w:space="0" w:color="747474" w:themeColor="background2" w:themeShade="80"/>
              <w:bottom w:val="single" w:sz="2" w:space="0" w:color="747474" w:themeColor="background2" w:themeShade="80"/>
            </w:tcBorders>
            <w:shd w:val="clear" w:color="auto" w:fill="FFFFFF"/>
            <w:vAlign w:val="center"/>
            <w:hideMark/>
          </w:tcPr>
          <w:p w14:paraId="1C5F5293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As above.</w:t>
            </w:r>
          </w:p>
        </w:tc>
        <w:tc>
          <w:tcPr>
            <w:tcW w:w="1845" w:type="dxa"/>
            <w:tcBorders>
              <w:top w:val="single" w:sz="2" w:space="0" w:color="747474" w:themeColor="background2" w:themeShade="80"/>
              <w:bottom w:val="single" w:sz="2" w:space="0" w:color="747474" w:themeColor="background2" w:themeShade="80"/>
            </w:tcBorders>
            <w:shd w:val="clear" w:color="auto" w:fill="FFFFFF"/>
            <w:vAlign w:val="center"/>
            <w:hideMark/>
          </w:tcPr>
          <w:p w14:paraId="0FEF9BE2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Two independent readers; mean used when both available.</w:t>
            </w:r>
          </w:p>
        </w:tc>
      </w:tr>
      <w:tr w:rsidR="0081173D" w:rsidRPr="009F4C86" w14:paraId="6D5F4765" w14:textId="77777777" w:rsidTr="0081173D">
        <w:trPr>
          <w:tblCellSpacing w:w="15" w:type="dxa"/>
        </w:trPr>
        <w:tc>
          <w:tcPr>
            <w:tcW w:w="855" w:type="dxa"/>
            <w:vMerge w:val="restart"/>
            <w:shd w:val="clear" w:color="auto" w:fill="FFFFFF"/>
            <w:textDirection w:val="btLr"/>
            <w:vAlign w:val="center"/>
            <w:hideMark/>
          </w:tcPr>
          <w:p w14:paraId="754DFAF7" w14:textId="77777777" w:rsidR="0081173D" w:rsidRPr="009F4C86" w:rsidRDefault="0081173D" w:rsidP="0081173D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Proximal outflow obstruction</w:t>
            </w:r>
            <w:bookmarkStart w:id="9" w:name="_Hlk220338241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</w:rPr>
              <w:t>*</w:t>
            </w:r>
            <w:bookmarkEnd w:id="9"/>
          </w:p>
          <w:p w14:paraId="4BA1CA3E" w14:textId="77777777" w:rsidR="0081173D" w:rsidRPr="009F4C86" w:rsidRDefault="0081173D" w:rsidP="0081173D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shd w:val="clear" w:color="auto" w:fill="FFFFFF"/>
            <w:vAlign w:val="center"/>
            <w:hideMark/>
          </w:tcPr>
          <w:p w14:paraId="18D897C0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Iliac vein compression (NIVL)</w:t>
            </w:r>
            <w:r w:rsidRPr="009F4C86">
              <w:rPr>
                <w:rFonts w:ascii="Times New Roman" w:hAnsi="Times New Roman" w:cs="Times New Roman"/>
                <w:sz w:val="21"/>
                <w:szCs w:val="21"/>
              </w:rPr>
              <w:t>⁺</w:t>
            </w:r>
          </w:p>
        </w:tc>
        <w:tc>
          <w:tcPr>
            <w:tcW w:w="2580" w:type="dxa"/>
            <w:shd w:val="clear" w:color="auto" w:fill="FFFFFF"/>
            <w:vAlign w:val="center"/>
            <w:hideMark/>
          </w:tcPr>
          <w:p w14:paraId="48425174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Focal common/external iliac vein narrowing in a characteristic segment ± pre-</w:t>
            </w:r>
            <w:proofErr w:type="spellStart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stenotic</w:t>
            </w:r>
            <w:proofErr w:type="spellEnd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dilatation/collaterals; eponym accepted if used in radiology interpretation (e.g., “May–</w:t>
            </w:r>
            <w:proofErr w:type="spellStart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Thurner</w:t>
            </w:r>
            <w:proofErr w:type="spellEnd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”).</w:t>
            </w:r>
          </w:p>
        </w:tc>
        <w:tc>
          <w:tcPr>
            <w:tcW w:w="3120" w:type="dxa"/>
            <w:shd w:val="clear" w:color="auto" w:fill="FFFFFF"/>
            <w:vAlign w:val="center"/>
            <w:hideMark/>
          </w:tcPr>
          <w:p w14:paraId="333BAB87" w14:textId="63D7030B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IVUS ± venography</w:t>
            </w: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: stenosis/area reduction reported. </w:t>
            </w:r>
            <w:r w:rsidR="008236AE" w:rsidRPr="009F4C86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D</w:t>
            </w:r>
            <w:r w:rsidRPr="009F4C86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US</w:t>
            </w: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: iliac outflow obstruction criteria reported. </w:t>
            </w:r>
            <w:r w:rsidRPr="009F4C86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CT/MR</w:t>
            </w: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: focal compression/stenosis ± collaterals described.</w:t>
            </w:r>
          </w:p>
          <w:p w14:paraId="13303276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5" w:type="dxa"/>
            <w:shd w:val="clear" w:color="auto" w:fill="FFFFFF"/>
            <w:vAlign w:val="center"/>
            <w:hideMark/>
          </w:tcPr>
          <w:p w14:paraId="3B0C993B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 de-novo stenosis measurements; used thresholds only when explicitly reported.</w:t>
            </w:r>
          </w:p>
        </w:tc>
      </w:tr>
      <w:tr w:rsidR="0081173D" w:rsidRPr="009F4C86" w14:paraId="4762C745" w14:textId="77777777" w:rsidTr="0081173D">
        <w:trPr>
          <w:tblCellSpacing w:w="15" w:type="dxa"/>
        </w:trPr>
        <w:tc>
          <w:tcPr>
            <w:tcW w:w="855" w:type="dxa"/>
            <w:vMerge/>
            <w:shd w:val="clear" w:color="auto" w:fill="FFFFFF"/>
            <w:textDirection w:val="btLr"/>
            <w:vAlign w:val="center"/>
            <w:hideMark/>
          </w:tcPr>
          <w:p w14:paraId="7B42DB29" w14:textId="77777777" w:rsidR="0081173D" w:rsidRPr="009F4C86" w:rsidRDefault="0081173D" w:rsidP="0081173D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shd w:val="clear" w:color="auto" w:fill="FFFFFF"/>
            <w:vAlign w:val="center"/>
            <w:hideMark/>
          </w:tcPr>
          <w:p w14:paraId="4EDE9C45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Left renal vein (LRV) compression</w:t>
            </w:r>
            <w:r w:rsidRPr="009F4C86">
              <w:rPr>
                <w:rFonts w:ascii="Times New Roman" w:hAnsi="Times New Roman" w:cs="Times New Roman"/>
                <w:sz w:val="21"/>
                <w:szCs w:val="21"/>
              </w:rPr>
              <w:t>⁺</w:t>
            </w:r>
          </w:p>
        </w:tc>
        <w:tc>
          <w:tcPr>
            <w:tcW w:w="2580" w:type="dxa"/>
            <w:shd w:val="clear" w:color="auto" w:fill="FFFFFF"/>
            <w:vAlign w:val="center"/>
            <w:hideMark/>
          </w:tcPr>
          <w:p w14:paraId="4D1DDDF4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Aortomesenteric</w:t>
            </w:r>
            <w:proofErr w:type="spellEnd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LRV narrowing with </w:t>
            </w:r>
            <w:proofErr w:type="spellStart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hilar</w:t>
            </w:r>
            <w:proofErr w:type="spellEnd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dilatation/beak/collaterals or explicit diagnosis (“LRV compression/nutcracker”).</w:t>
            </w:r>
          </w:p>
        </w:tc>
        <w:tc>
          <w:tcPr>
            <w:tcW w:w="3120" w:type="dxa"/>
            <w:shd w:val="clear" w:color="auto" w:fill="FFFFFF"/>
            <w:vAlign w:val="center"/>
            <w:hideMark/>
          </w:tcPr>
          <w:p w14:paraId="0DD8C025" w14:textId="00771D1F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Venography</w:t>
            </w: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: </w:t>
            </w:r>
            <w:proofErr w:type="spellStart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renocaval</w:t>
            </w:r>
            <w:proofErr w:type="spellEnd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gradient ≥3 mmHg (if reported). </w:t>
            </w:r>
            <w:r w:rsidRPr="009F4C86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Renal Doppler/</w:t>
            </w:r>
            <w:r w:rsidR="008236AE" w:rsidRPr="009F4C86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DUS</w:t>
            </w: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: PSV and/or diameter ratio across compressed vs </w:t>
            </w:r>
            <w:proofErr w:type="spellStart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hilar</w:t>
            </w:r>
            <w:proofErr w:type="spellEnd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/proximal segment &gt;4–5:1 (if reported). </w:t>
            </w:r>
            <w:r w:rsidRPr="009F4C86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CT/MR</w:t>
            </w: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: </w:t>
            </w:r>
            <w:proofErr w:type="spellStart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hilar</w:t>
            </w:r>
            <w:proofErr w:type="spellEnd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-to-</w:t>
            </w:r>
            <w:proofErr w:type="spellStart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aortomesenteric</w:t>
            </w:r>
            <w:proofErr w:type="spellEnd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diameter ratio &gt;4–5:1 ± classic morphology (e.g., beak sign) described.</w:t>
            </w:r>
          </w:p>
          <w:p w14:paraId="4F501180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5" w:type="dxa"/>
            <w:shd w:val="clear" w:color="auto" w:fill="FFFFFF"/>
            <w:vAlign w:val="center"/>
            <w:hideMark/>
          </w:tcPr>
          <w:p w14:paraId="4DBC2EF8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 re-measurement of angle/ratios/velocities by investigators.</w:t>
            </w:r>
          </w:p>
        </w:tc>
      </w:tr>
      <w:tr w:rsidR="0081173D" w:rsidRPr="009F4C86" w14:paraId="7D21FC13" w14:textId="77777777" w:rsidTr="0081173D">
        <w:trPr>
          <w:tblCellSpacing w:w="15" w:type="dxa"/>
        </w:trPr>
        <w:tc>
          <w:tcPr>
            <w:tcW w:w="855" w:type="dxa"/>
            <w:vMerge w:val="restart"/>
            <w:shd w:val="clear" w:color="auto" w:fill="FFFFFF"/>
            <w:textDirection w:val="btLr"/>
            <w:vAlign w:val="center"/>
            <w:hideMark/>
          </w:tcPr>
          <w:p w14:paraId="3383807A" w14:textId="77777777" w:rsidR="0081173D" w:rsidRPr="009F4C86" w:rsidRDefault="0081173D" w:rsidP="0081173D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Superficial varices</w:t>
            </w:r>
            <w:bookmarkStart w:id="10" w:name="_Hlk219994266"/>
            <w:r w:rsidRPr="009F4C8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¶</w:t>
            </w:r>
            <w:bookmarkEnd w:id="10"/>
          </w:p>
        </w:tc>
        <w:tc>
          <w:tcPr>
            <w:tcW w:w="1320" w:type="dxa"/>
            <w:tcBorders>
              <w:top w:val="single" w:sz="2" w:space="0" w:color="747474" w:themeColor="background2" w:themeShade="80"/>
            </w:tcBorders>
            <w:shd w:val="clear" w:color="auto" w:fill="FFFFFF"/>
            <w:vAlign w:val="center"/>
            <w:hideMark/>
          </w:tcPr>
          <w:p w14:paraId="56E49D10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Lower-extremity (LE) varices</w:t>
            </w:r>
            <w:r w:rsidRPr="009F4C86">
              <w:rPr>
                <w:rFonts w:ascii="Times New Roman" w:hAnsi="Times New Roman" w:cs="Times New Roman"/>
                <w:sz w:val="21"/>
                <w:szCs w:val="21"/>
              </w:rPr>
              <w:t>⁺</w:t>
            </w:r>
          </w:p>
        </w:tc>
        <w:tc>
          <w:tcPr>
            <w:tcW w:w="2580" w:type="dxa"/>
            <w:tcBorders>
              <w:top w:val="single" w:sz="2" w:space="0" w:color="747474" w:themeColor="background2" w:themeShade="80"/>
            </w:tcBorders>
            <w:shd w:val="clear" w:color="auto" w:fill="FFFFFF"/>
            <w:vAlign w:val="center"/>
            <w:hideMark/>
          </w:tcPr>
          <w:p w14:paraId="1B6A595D" w14:textId="7FC7FA9F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CEAP C2: dilated, palpable subcutaneous varicose veins (GSV/SSV systems/tributaries) ≥ 3 mm upright on exam and/or </w:t>
            </w:r>
            <w:r w:rsidR="008236AE"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DUS</w:t>
            </w: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.</w:t>
            </w:r>
          </w:p>
        </w:tc>
        <w:tc>
          <w:tcPr>
            <w:tcW w:w="3120" w:type="dxa"/>
            <w:tcBorders>
              <w:top w:val="single" w:sz="2" w:space="0" w:color="747474" w:themeColor="background2" w:themeShade="80"/>
            </w:tcBorders>
            <w:shd w:val="clear" w:color="auto" w:fill="FFFFFF"/>
            <w:vAlign w:val="center"/>
            <w:hideMark/>
          </w:tcPr>
          <w:p w14:paraId="59F30380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bookmarkStart w:id="11" w:name="OLE_LINK72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EHR (PMH/physical exam/clinical notes) and imaging reports.</w:t>
            </w:r>
            <w:bookmarkEnd w:id="11"/>
          </w:p>
        </w:tc>
        <w:tc>
          <w:tcPr>
            <w:tcW w:w="1845" w:type="dxa"/>
            <w:tcBorders>
              <w:top w:val="single" w:sz="2" w:space="0" w:color="747474" w:themeColor="background2" w:themeShade="80"/>
            </w:tcBorders>
            <w:shd w:val="clear" w:color="auto" w:fill="FFFFFF"/>
            <w:vAlign w:val="center"/>
            <w:hideMark/>
          </w:tcPr>
          <w:p w14:paraId="5ADA209D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Reflux parameters not required; CEAP C1 (</w:t>
            </w:r>
            <w:proofErr w:type="spellStart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telangiectasias</w:t>
            </w:r>
            <w:proofErr w:type="spellEnd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/reticular &lt; 3mm) not counted.</w:t>
            </w:r>
            <w:r w:rsidRPr="009F4C8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17 Lurie</w:t>
            </w:r>
          </w:p>
        </w:tc>
      </w:tr>
      <w:tr w:rsidR="0081173D" w:rsidRPr="009F4C86" w14:paraId="340B143D" w14:textId="77777777" w:rsidTr="0081173D">
        <w:trPr>
          <w:tblCellSpacing w:w="15" w:type="dxa"/>
        </w:trPr>
        <w:tc>
          <w:tcPr>
            <w:tcW w:w="855" w:type="dxa"/>
            <w:vMerge/>
            <w:shd w:val="clear" w:color="auto" w:fill="FFFFFF"/>
            <w:textDirection w:val="btLr"/>
            <w:vAlign w:val="center"/>
            <w:hideMark/>
          </w:tcPr>
          <w:p w14:paraId="1BD06B54" w14:textId="77777777" w:rsidR="0081173D" w:rsidRPr="009F4C86" w:rsidRDefault="0081173D" w:rsidP="0081173D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shd w:val="clear" w:color="auto" w:fill="FFFFFF"/>
            <w:vAlign w:val="center"/>
            <w:hideMark/>
          </w:tcPr>
          <w:p w14:paraId="25B223C0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Superficial pelvic varicosities</w:t>
            </w:r>
            <w:r w:rsidRPr="009F4C86">
              <w:rPr>
                <w:rFonts w:ascii="Times New Roman" w:hAnsi="Times New Roman" w:cs="Times New Roman"/>
                <w:sz w:val="21"/>
                <w:szCs w:val="21"/>
              </w:rPr>
              <w:t>⁺</w:t>
            </w:r>
          </w:p>
        </w:tc>
        <w:tc>
          <w:tcPr>
            <w:tcW w:w="2580" w:type="dxa"/>
            <w:shd w:val="clear" w:color="auto" w:fill="FFFFFF"/>
            <w:vAlign w:val="center"/>
            <w:hideMark/>
          </w:tcPr>
          <w:p w14:paraId="3E123300" w14:textId="54D1F71F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Vulvar, </w:t>
            </w:r>
            <w:proofErr w:type="spellStart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perineal</w:t>
            </w:r>
            <w:proofErr w:type="spellEnd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, gluteal, or posterior-thigh varices explicitly documented on exam/</w:t>
            </w:r>
            <w:r w:rsidR="008236AE"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DUS</w:t>
            </w: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or CT/MR.</w:t>
            </w:r>
          </w:p>
        </w:tc>
        <w:tc>
          <w:tcPr>
            <w:tcW w:w="3120" w:type="dxa"/>
            <w:shd w:val="clear" w:color="auto" w:fill="FFFFFF"/>
            <w:vAlign w:val="center"/>
            <w:hideMark/>
          </w:tcPr>
          <w:p w14:paraId="5B3B4DF5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EHR (PMH/physical exam/clinical notes) and imaging reports.</w:t>
            </w:r>
          </w:p>
        </w:tc>
        <w:tc>
          <w:tcPr>
            <w:tcW w:w="1845" w:type="dxa"/>
            <w:shd w:val="clear" w:color="auto" w:fill="FFFFFF"/>
            <w:vAlign w:val="center"/>
          </w:tcPr>
          <w:p w14:paraId="0D2A8A5F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Marker of pelvic escape pathways; CEAP classification not applicable.</w:t>
            </w:r>
          </w:p>
        </w:tc>
      </w:tr>
      <w:tr w:rsidR="0081173D" w:rsidRPr="009F4C86" w14:paraId="2064DE97" w14:textId="77777777" w:rsidTr="0081173D">
        <w:trPr>
          <w:cantSplit/>
          <w:trHeight w:val="1134"/>
          <w:tblCellSpacing w:w="15" w:type="dxa"/>
        </w:trPr>
        <w:tc>
          <w:tcPr>
            <w:tcW w:w="855" w:type="dxa"/>
            <w:shd w:val="clear" w:color="auto" w:fill="FFFFFF"/>
            <w:textDirection w:val="btLr"/>
            <w:vAlign w:val="center"/>
            <w:hideMark/>
          </w:tcPr>
          <w:p w14:paraId="281424B4" w14:textId="77777777" w:rsidR="0081173D" w:rsidRPr="009F4C86" w:rsidRDefault="0081173D" w:rsidP="0081173D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bookmarkStart w:id="12" w:name="_Hlk220339723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Outcome</w:t>
            </w:r>
          </w:p>
        </w:tc>
        <w:tc>
          <w:tcPr>
            <w:tcW w:w="1320" w:type="dxa"/>
            <w:tcBorders>
              <w:top w:val="single" w:sz="2" w:space="0" w:color="747474" w:themeColor="background2" w:themeShade="80"/>
              <w:bottom w:val="single" w:sz="2" w:space="0" w:color="747474" w:themeColor="background2" w:themeShade="80"/>
            </w:tcBorders>
            <w:shd w:val="clear" w:color="auto" w:fill="FFFFFF"/>
            <w:vAlign w:val="center"/>
            <w:hideMark/>
          </w:tcPr>
          <w:p w14:paraId="27D0DE3D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Symptom status</w:t>
            </w:r>
            <w:r w:rsidRPr="009F4C86">
              <w:rPr>
                <w:rFonts w:ascii="Times New Roman" w:hAnsi="Times New Roman" w:cs="Times New Roman"/>
                <w:sz w:val="21"/>
                <w:szCs w:val="21"/>
              </w:rPr>
              <w:t>⁺</w:t>
            </w:r>
          </w:p>
        </w:tc>
        <w:tc>
          <w:tcPr>
            <w:tcW w:w="2580" w:type="dxa"/>
            <w:tcBorders>
              <w:top w:val="single" w:sz="2" w:space="0" w:color="747474" w:themeColor="background2" w:themeShade="80"/>
              <w:bottom w:val="single" w:sz="2" w:space="0" w:color="747474" w:themeColor="background2" w:themeShade="80"/>
            </w:tcBorders>
            <w:shd w:val="clear" w:color="auto" w:fill="FFFFFF"/>
            <w:vAlign w:val="center"/>
            <w:hideMark/>
          </w:tcPr>
          <w:p w14:paraId="12EAA3A1" w14:textId="35B64048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Symptomatic </w:t>
            </w:r>
            <w:proofErr w:type="spellStart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PeVD</w:t>
            </w:r>
            <w:proofErr w:type="spellEnd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if ≥1 </w:t>
            </w:r>
            <w:proofErr w:type="spellStart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PeVD</w:t>
            </w:r>
            <w:proofErr w:type="spellEnd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-associated symptom documented within ±12 months of index date (CPP ≥6 months or recurrent; dyspareunia/post-coital pain; vulvar/</w:t>
            </w:r>
            <w:proofErr w:type="spellStart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perineal</w:t>
            </w:r>
            <w:proofErr w:type="spellEnd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varices; LE swelling/varices attributed to pelvic reflux; or left flank pain/hematuria); asymptomatic if none documented.</w:t>
            </w:r>
          </w:p>
        </w:tc>
        <w:tc>
          <w:tcPr>
            <w:tcW w:w="3120" w:type="dxa"/>
            <w:tcBorders>
              <w:top w:val="single" w:sz="2" w:space="0" w:color="747474" w:themeColor="background2" w:themeShade="80"/>
              <w:bottom w:val="single" w:sz="2" w:space="0" w:color="747474" w:themeColor="background2" w:themeShade="80"/>
            </w:tcBorders>
            <w:shd w:val="clear" w:color="auto" w:fill="FFFFFF"/>
            <w:vAlign w:val="center"/>
            <w:hideMark/>
          </w:tcPr>
          <w:p w14:paraId="4E940651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EHR (ED, primary care, OB/</w:t>
            </w:r>
            <w:proofErr w:type="spellStart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Gyn</w:t>
            </w:r>
            <w:proofErr w:type="spellEnd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, radiology notes).</w:t>
            </w:r>
          </w:p>
        </w:tc>
        <w:tc>
          <w:tcPr>
            <w:tcW w:w="1845" w:type="dxa"/>
            <w:tcBorders>
              <w:top w:val="single" w:sz="2" w:space="0" w:color="747474" w:themeColor="background2" w:themeShade="80"/>
              <w:bottom w:val="single" w:sz="2" w:space="0" w:color="747474" w:themeColor="background2" w:themeShade="80"/>
            </w:tcBorders>
            <w:shd w:val="clear" w:color="auto" w:fill="FFFFFF"/>
            <w:vAlign w:val="center"/>
            <w:hideMark/>
          </w:tcPr>
          <w:p w14:paraId="1FC33F6C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Two reviewers; disagreements adjudicated by senior reviewer. Charts with insufficient documentation were excluded (not classified as asymptomatic).</w:t>
            </w:r>
          </w:p>
        </w:tc>
      </w:tr>
      <w:tr w:rsidR="0081173D" w:rsidRPr="009F4C86" w14:paraId="14C84A2C" w14:textId="77777777" w:rsidTr="0081173D">
        <w:trPr>
          <w:tblCellSpacing w:w="15" w:type="dxa"/>
        </w:trPr>
        <w:tc>
          <w:tcPr>
            <w:tcW w:w="855" w:type="dxa"/>
            <w:vMerge w:val="restart"/>
            <w:shd w:val="clear" w:color="auto" w:fill="FFFFFF"/>
            <w:textDirection w:val="btLr"/>
            <w:vAlign w:val="center"/>
            <w:hideMark/>
          </w:tcPr>
          <w:p w14:paraId="58BBFDDA" w14:textId="77777777" w:rsidR="0081173D" w:rsidRPr="009F4C86" w:rsidRDefault="0081173D" w:rsidP="0081173D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bookmarkStart w:id="13" w:name="_Hlk220339383"/>
            <w:bookmarkEnd w:id="12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Covariates</w:t>
            </w:r>
          </w:p>
        </w:tc>
        <w:tc>
          <w:tcPr>
            <w:tcW w:w="1320" w:type="dxa"/>
            <w:shd w:val="clear" w:color="auto" w:fill="FFFFFF"/>
            <w:vAlign w:val="center"/>
            <w:hideMark/>
          </w:tcPr>
          <w:p w14:paraId="3F067A79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Age (continuous, years)</w:t>
            </w:r>
          </w:p>
        </w:tc>
        <w:tc>
          <w:tcPr>
            <w:tcW w:w="2580" w:type="dxa"/>
            <w:shd w:val="clear" w:color="auto" w:fill="FFFFFF"/>
            <w:vAlign w:val="center"/>
            <w:hideMark/>
          </w:tcPr>
          <w:p w14:paraId="76954B78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Age at index imaging date.</w:t>
            </w:r>
          </w:p>
        </w:tc>
        <w:tc>
          <w:tcPr>
            <w:tcW w:w="3120" w:type="dxa"/>
            <w:shd w:val="clear" w:color="auto" w:fill="FFFFFF"/>
            <w:vAlign w:val="center"/>
            <w:hideMark/>
          </w:tcPr>
          <w:p w14:paraId="587D40CA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EHR.</w:t>
            </w:r>
          </w:p>
        </w:tc>
        <w:tc>
          <w:tcPr>
            <w:tcW w:w="1845" w:type="dxa"/>
            <w:shd w:val="clear" w:color="auto" w:fill="FFFFFF"/>
            <w:vAlign w:val="center"/>
            <w:hideMark/>
          </w:tcPr>
          <w:p w14:paraId="582B6B82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Modeled per 10 years; </w:t>
            </w:r>
            <w:proofErr w:type="spellStart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prespecified</w:t>
            </w:r>
            <w:proofErr w:type="spellEnd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stratification (&lt;50/≥50).</w:t>
            </w:r>
          </w:p>
        </w:tc>
      </w:tr>
      <w:tr w:rsidR="0081173D" w:rsidRPr="009F4C86" w14:paraId="16FDF61E" w14:textId="77777777" w:rsidTr="0081173D">
        <w:trPr>
          <w:tblCellSpacing w:w="15" w:type="dxa"/>
        </w:trPr>
        <w:tc>
          <w:tcPr>
            <w:tcW w:w="855" w:type="dxa"/>
            <w:vMerge/>
            <w:shd w:val="clear" w:color="auto" w:fill="FFFFFF"/>
            <w:textDirection w:val="btLr"/>
            <w:vAlign w:val="center"/>
          </w:tcPr>
          <w:p w14:paraId="62D23BB2" w14:textId="77777777" w:rsidR="0081173D" w:rsidRPr="009F4C86" w:rsidRDefault="0081173D" w:rsidP="0081173D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shd w:val="clear" w:color="auto" w:fill="FFFFFF"/>
            <w:vAlign w:val="center"/>
          </w:tcPr>
          <w:p w14:paraId="364900F8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BMI (continuous, </w:t>
            </w:r>
            <w:r w:rsidRPr="009F4C86">
              <w:rPr>
                <w:rFonts w:ascii="Times New Roman" w:hAnsi="Times New Roman" w:cs="Times New Roman"/>
                <w:sz w:val="21"/>
                <w:szCs w:val="21"/>
              </w:rPr>
              <w:t>kg/m²)ª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29B6F3C0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Closest documented BMI to the index imaging date.</w:t>
            </w:r>
          </w:p>
        </w:tc>
        <w:tc>
          <w:tcPr>
            <w:tcW w:w="3120" w:type="dxa"/>
            <w:shd w:val="clear" w:color="auto" w:fill="FFFFFF"/>
            <w:vAlign w:val="center"/>
          </w:tcPr>
          <w:p w14:paraId="6AB1D56E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EHR (vitals/encounter data).</w:t>
            </w:r>
          </w:p>
          <w:p w14:paraId="4355BE25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5" w:type="dxa"/>
            <w:shd w:val="clear" w:color="auto" w:fill="FFFFFF"/>
            <w:vAlign w:val="center"/>
          </w:tcPr>
          <w:p w14:paraId="4B6C5B78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Nearest date selected if multiple.</w:t>
            </w:r>
          </w:p>
        </w:tc>
      </w:tr>
      <w:tr w:rsidR="0081173D" w:rsidRPr="009F4C86" w14:paraId="4D04AB89" w14:textId="77777777" w:rsidTr="0081173D">
        <w:trPr>
          <w:tblCellSpacing w:w="15" w:type="dxa"/>
        </w:trPr>
        <w:tc>
          <w:tcPr>
            <w:tcW w:w="855" w:type="dxa"/>
            <w:vMerge/>
            <w:shd w:val="clear" w:color="auto" w:fill="FFFFFF"/>
            <w:textDirection w:val="btLr"/>
            <w:vAlign w:val="center"/>
          </w:tcPr>
          <w:p w14:paraId="27D7A97A" w14:textId="77777777" w:rsidR="0081173D" w:rsidRPr="009F4C86" w:rsidRDefault="0081173D" w:rsidP="0081173D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shd w:val="clear" w:color="auto" w:fill="FFFFFF"/>
            <w:vAlign w:val="center"/>
          </w:tcPr>
          <w:p w14:paraId="178D793A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Tobacco use</w:t>
            </w:r>
            <w:r w:rsidRPr="009F4C86">
              <w:rPr>
                <w:rFonts w:ascii="Times New Roman" w:hAnsi="Times New Roman" w:cs="Times New Roman"/>
                <w:sz w:val="21"/>
                <w:szCs w:val="21"/>
              </w:rPr>
              <w:t>⁺ª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2970599F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Yes if current or former (“ever”) use documented; otherwise no.</w:t>
            </w:r>
          </w:p>
        </w:tc>
        <w:tc>
          <w:tcPr>
            <w:tcW w:w="3120" w:type="dxa"/>
            <w:shd w:val="clear" w:color="auto" w:fill="FFFFFF"/>
            <w:vAlign w:val="center"/>
          </w:tcPr>
          <w:p w14:paraId="562B0167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EHR (social history/problem list/clinical notes).</w:t>
            </w:r>
          </w:p>
        </w:tc>
        <w:tc>
          <w:tcPr>
            <w:tcW w:w="1845" w:type="dxa"/>
            <w:shd w:val="clear" w:color="auto" w:fill="FFFFFF"/>
            <w:vAlign w:val="center"/>
          </w:tcPr>
          <w:p w14:paraId="4AE1A1B0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Classified from clinician documentation; not independently re-verified.</w:t>
            </w:r>
          </w:p>
        </w:tc>
      </w:tr>
      <w:tr w:rsidR="0081173D" w:rsidRPr="009F4C86" w14:paraId="7104FA82" w14:textId="77777777" w:rsidTr="0081173D">
        <w:trPr>
          <w:tblCellSpacing w:w="15" w:type="dxa"/>
        </w:trPr>
        <w:tc>
          <w:tcPr>
            <w:tcW w:w="855" w:type="dxa"/>
            <w:vMerge/>
            <w:shd w:val="clear" w:color="auto" w:fill="FFFFFF"/>
            <w:textDirection w:val="btLr"/>
            <w:vAlign w:val="center"/>
            <w:hideMark/>
          </w:tcPr>
          <w:p w14:paraId="4735955D" w14:textId="77777777" w:rsidR="0081173D" w:rsidRPr="009F4C86" w:rsidRDefault="0081173D" w:rsidP="0081173D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shd w:val="clear" w:color="auto" w:fill="FFFFFF"/>
            <w:vAlign w:val="center"/>
            <w:hideMark/>
          </w:tcPr>
          <w:p w14:paraId="6DAFEE85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Gynecologic conditions</w:t>
            </w:r>
            <w:bookmarkStart w:id="14" w:name="OLE_LINK65"/>
            <w:r w:rsidRPr="009F4C86">
              <w:rPr>
                <w:rFonts w:ascii="Times New Roman" w:hAnsi="Times New Roman" w:cs="Times New Roman"/>
                <w:sz w:val="21"/>
                <w:szCs w:val="21"/>
              </w:rPr>
              <w:t>⁺</w:t>
            </w:r>
            <w:bookmarkEnd w:id="14"/>
            <w:r w:rsidRPr="009F4C86">
              <w:rPr>
                <w:rFonts w:ascii="Times New Roman" w:hAnsi="Times New Roman" w:cs="Times New Roman"/>
                <w:sz w:val="21"/>
                <w:szCs w:val="21"/>
              </w:rPr>
              <w:t>ª</w:t>
            </w:r>
          </w:p>
        </w:tc>
        <w:tc>
          <w:tcPr>
            <w:tcW w:w="2580" w:type="dxa"/>
            <w:shd w:val="clear" w:color="auto" w:fill="FFFFFF"/>
            <w:vAlign w:val="center"/>
            <w:hideMark/>
          </w:tcPr>
          <w:p w14:paraId="115E4713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Adenomyosis</w:t>
            </w:r>
            <w:proofErr w:type="spellEnd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, endometriosis, fibroids—present if documented in problem list, operative report, or pathology.</w:t>
            </w:r>
          </w:p>
        </w:tc>
        <w:tc>
          <w:tcPr>
            <w:tcW w:w="3120" w:type="dxa"/>
            <w:shd w:val="clear" w:color="auto" w:fill="FFFFFF"/>
            <w:vAlign w:val="center"/>
            <w:hideMark/>
          </w:tcPr>
          <w:p w14:paraId="68D966D0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EHR (problem list, operative/pathology reports, notes).</w:t>
            </w:r>
          </w:p>
        </w:tc>
        <w:tc>
          <w:tcPr>
            <w:tcW w:w="1845" w:type="dxa"/>
            <w:shd w:val="clear" w:color="auto" w:fill="FFFFFF"/>
            <w:vAlign w:val="center"/>
            <w:hideMark/>
          </w:tcPr>
          <w:p w14:paraId="774A1B44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Abstracted; not independently re-verified.</w:t>
            </w:r>
          </w:p>
        </w:tc>
      </w:tr>
      <w:tr w:rsidR="0081173D" w:rsidRPr="009F4C86" w14:paraId="49F5950E" w14:textId="77777777" w:rsidTr="0081173D">
        <w:trPr>
          <w:tblCellSpacing w:w="15" w:type="dxa"/>
        </w:trPr>
        <w:tc>
          <w:tcPr>
            <w:tcW w:w="855" w:type="dxa"/>
            <w:vMerge/>
            <w:shd w:val="clear" w:color="auto" w:fill="FFFFFF"/>
            <w:textDirection w:val="btLr"/>
            <w:vAlign w:val="center"/>
          </w:tcPr>
          <w:p w14:paraId="670B4256" w14:textId="77777777" w:rsidR="0081173D" w:rsidRPr="009F4C86" w:rsidRDefault="0081173D" w:rsidP="0081173D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shd w:val="clear" w:color="auto" w:fill="FFFFFF"/>
            <w:vAlign w:val="center"/>
          </w:tcPr>
          <w:p w14:paraId="35FCD9D9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Other comorbidities</w:t>
            </w:r>
            <w:r w:rsidRPr="009F4C86">
              <w:rPr>
                <w:rFonts w:ascii="Times New Roman" w:hAnsi="Times New Roman" w:cs="Times New Roman"/>
                <w:sz w:val="21"/>
                <w:szCs w:val="21"/>
              </w:rPr>
              <w:t>⁺ª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403E364B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HTN, hyperlipidemia, malignancy, migraine, hemorrhoids, CPD, depression, anxiety, thyroid disease—coded present if documented.</w:t>
            </w:r>
          </w:p>
        </w:tc>
        <w:tc>
          <w:tcPr>
            <w:tcW w:w="3120" w:type="dxa"/>
            <w:shd w:val="clear" w:color="auto" w:fill="FFFFFF"/>
            <w:vAlign w:val="center"/>
          </w:tcPr>
          <w:p w14:paraId="2DB5BAA2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bookmarkStart w:id="15" w:name="OLE_LINK71"/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EHR (PMH/problem list/clinical notes).</w:t>
            </w:r>
            <w:bookmarkEnd w:id="15"/>
          </w:p>
        </w:tc>
        <w:tc>
          <w:tcPr>
            <w:tcW w:w="1845" w:type="dxa"/>
            <w:shd w:val="clear" w:color="auto" w:fill="FFFFFF"/>
            <w:vAlign w:val="center"/>
          </w:tcPr>
          <w:p w14:paraId="2FC59518" w14:textId="77777777" w:rsidR="0081173D" w:rsidRPr="009F4C86" w:rsidRDefault="0081173D" w:rsidP="0081173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Abstracted; not independently re-verified.</w:t>
            </w:r>
          </w:p>
        </w:tc>
      </w:tr>
      <w:tr w:rsidR="0081173D" w:rsidRPr="009F4C86" w14:paraId="45FBA2D7" w14:textId="77777777" w:rsidTr="00C26E13">
        <w:trPr>
          <w:trHeight w:val="253"/>
          <w:tblCellSpacing w:w="15" w:type="dxa"/>
        </w:trPr>
        <w:tc>
          <w:tcPr>
            <w:tcW w:w="9840" w:type="dxa"/>
            <w:gridSpan w:val="5"/>
            <w:shd w:val="clear" w:color="auto" w:fill="FFFFFF"/>
            <w:vAlign w:val="center"/>
          </w:tcPr>
          <w:p w14:paraId="6D642408" w14:textId="77C8018A" w:rsidR="0081173D" w:rsidRPr="009F4C86" w:rsidRDefault="0081173D" w:rsidP="0081173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</w:pPr>
            <w:r w:rsidRPr="009F4C86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  <w:bdr w:val="none" w:sz="0" w:space="0" w:color="auto" w:frame="1"/>
              </w:rPr>
              <w:t>Abbreviations:</w:t>
            </w: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 </w:t>
            </w:r>
            <w:r w:rsidR="00A476EF" w:rsidRPr="009F4C86">
              <w:rPr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 xml:space="preserve">BMI, body mass index; CEAP, Clinical–Etiological–Anatomical–Pathophysiological; CPP, chronic pelvic pain; </w:t>
            </w:r>
            <w:r w:rsidR="008236AE" w:rsidRPr="009F4C86">
              <w:rPr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 xml:space="preserve">CPD, chronic pain disorder; </w:t>
            </w:r>
            <w:r w:rsidR="00A476EF" w:rsidRPr="009F4C86">
              <w:rPr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 xml:space="preserve">CT, computed tomography; DUS, duplex ultrasound; ED, emergency department; EHR, electronic health record; GSV, great saphenous vein; GV, gonadal vein; HTN, hypertension; IVUS, intravascular ultrasound; LE, lower extremity; LRV, left renal vein; MR/MRI, magnetic resonance (imaging); NIVL, </w:t>
            </w:r>
            <w:proofErr w:type="spellStart"/>
            <w:r w:rsidR="00A476EF" w:rsidRPr="009F4C86">
              <w:rPr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nonthrombotic</w:t>
            </w:r>
            <w:proofErr w:type="spellEnd"/>
            <w:r w:rsidR="00A476EF" w:rsidRPr="009F4C86">
              <w:rPr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 xml:space="preserve"> iliac vein lesion; </w:t>
            </w:r>
            <w:proofErr w:type="spellStart"/>
            <w:r w:rsidR="00A476EF" w:rsidRPr="009F4C86">
              <w:rPr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PeVD</w:t>
            </w:r>
            <w:proofErr w:type="spellEnd"/>
            <w:r w:rsidR="00A476EF" w:rsidRPr="009F4C86">
              <w:rPr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 xml:space="preserve">, pelvic venous disorder(s); PMH, past medical history; PSV, peak systolic velocity; SSV, small saphenous vein; TVUS, </w:t>
            </w:r>
            <w:proofErr w:type="spellStart"/>
            <w:r w:rsidR="00A476EF" w:rsidRPr="009F4C86">
              <w:rPr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transvaginal</w:t>
            </w:r>
            <w:proofErr w:type="spellEnd"/>
            <w:r w:rsidR="00A476EF" w:rsidRPr="009F4C86">
              <w:rPr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 xml:space="preserve"> ultrasound.</w:t>
            </w: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br/>
            </w:r>
            <w:r w:rsidRPr="009F4C86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  <w:bdr w:val="none" w:sz="0" w:space="0" w:color="auto" w:frame="1"/>
              </w:rPr>
              <w:t>Consensus references:</w:t>
            </w: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 SVP classification/consensus; CEAP; Imaging diagnoses were accepted as documented by board-certified radiologists and were not re-evaluated by study investigators.</w:t>
            </w:r>
          </w:p>
          <w:p w14:paraId="35C740F7" w14:textId="77777777" w:rsidR="0081173D" w:rsidRPr="009F4C86" w:rsidRDefault="0081173D" w:rsidP="0081173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sz w:val="21"/>
                <w:szCs w:val="21"/>
              </w:rPr>
            </w:pPr>
            <w:bookmarkStart w:id="16" w:name="OLE_LINK12"/>
            <w:r w:rsidRPr="009F4C8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Ascertainment windows: </w:t>
            </w:r>
            <w:r w:rsidRPr="009F4C86">
              <w:rPr>
                <w:rFonts w:ascii="Times New Roman" w:hAnsi="Times New Roman" w:cs="Times New Roman"/>
                <w:sz w:val="21"/>
                <w:szCs w:val="21"/>
              </w:rPr>
              <w:t>Unless specified, windows were ±12 months from the index imaging date. When a finding was not explicitly documented, it was coded absent; indeterminate statements were coded missing.</w:t>
            </w:r>
          </w:p>
          <w:p w14:paraId="38141986" w14:textId="77777777" w:rsidR="0081173D" w:rsidRPr="009F4C86" w:rsidRDefault="0081173D" w:rsidP="0081173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</w:rPr>
              <w:t>*</w:t>
            </w:r>
            <w:r w:rsidRPr="009F4C86">
              <w:rPr>
                <w:rFonts w:ascii="Times New Roman" w:hAnsi="Times New Roman" w:cs="Times New Roman"/>
                <w:sz w:val="21"/>
                <w:szCs w:val="21"/>
              </w:rPr>
              <w:t>Compression variables were coded missing only when no qualifying assessment (IVUS/venography, duplex, or CT/MR report evidence) was available.</w:t>
            </w:r>
          </w:p>
          <w:p w14:paraId="762402B1" w14:textId="77777777" w:rsidR="0081173D" w:rsidRPr="009F4C86" w:rsidRDefault="0081173D" w:rsidP="0081173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sz w:val="21"/>
                <w:szCs w:val="21"/>
              </w:rPr>
            </w:pPr>
            <w:r w:rsidRPr="009F4C8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¶</w:t>
            </w:r>
            <w:r w:rsidRPr="009F4C86">
              <w:rPr>
                <w:rFonts w:ascii="Times New Roman" w:hAnsi="Times New Roman" w:cs="Times New Roman"/>
                <w:sz w:val="21"/>
                <w:szCs w:val="21"/>
              </w:rPr>
              <w:t>We acknowledge potential under-ascertainment of LE/superficial pelvic varices when not solicited in referral indications; this would bias results toward the null and is addressed in Limitations.</w:t>
            </w:r>
          </w:p>
          <w:p w14:paraId="5E883869" w14:textId="605FCC27" w:rsidR="0081173D" w:rsidRPr="009F4C86" w:rsidRDefault="0081173D" w:rsidP="0081173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sz w:val="21"/>
                <w:szCs w:val="21"/>
              </w:rPr>
            </w:pPr>
            <w:bookmarkStart w:id="17" w:name="OLE_LINK67"/>
            <w:bookmarkStart w:id="18" w:name="OLE_LINK97"/>
            <w:r w:rsidRPr="009F4C86">
              <w:rPr>
                <w:rFonts w:ascii="Times New Roman" w:hAnsi="Times New Roman" w:cs="Times New Roman"/>
                <w:sz w:val="21"/>
                <w:szCs w:val="21"/>
              </w:rPr>
              <w:t>⁺</w:t>
            </w:r>
            <w:bookmarkEnd w:id="16"/>
            <w:bookmarkEnd w:id="17"/>
            <w:r w:rsidRPr="009F4C86">
              <w:rPr>
                <w:rFonts w:ascii="Times New Roman" w:hAnsi="Times New Roman" w:cs="Times New Roman"/>
                <w:sz w:val="21"/>
                <w:szCs w:val="21"/>
              </w:rPr>
              <w:t xml:space="preserve">Binary variable </w:t>
            </w:r>
            <w:r w:rsidR="00A039D5" w:rsidRPr="009F4C86">
              <w:rPr>
                <w:rFonts w:ascii="Times New Roman" w:hAnsi="Times New Roman" w:cs="Times New Roman"/>
                <w:sz w:val="21"/>
                <w:szCs w:val="21"/>
              </w:rPr>
              <w:t xml:space="preserve">coded as </w:t>
            </w:r>
            <w:r w:rsidRPr="009F4C86">
              <w:rPr>
                <w:rFonts w:ascii="Times New Roman" w:hAnsi="Times New Roman" w:cs="Times New Roman"/>
                <w:sz w:val="21"/>
                <w:szCs w:val="21"/>
              </w:rPr>
              <w:t>present/absent</w:t>
            </w:r>
            <w:bookmarkEnd w:id="18"/>
            <w:r w:rsidRPr="009F4C86">
              <w:rPr>
                <w:rFonts w:ascii="Times New Roman" w:hAnsi="Times New Roman" w:cs="Times New Roman"/>
                <w:sz w:val="21"/>
                <w:szCs w:val="21"/>
              </w:rPr>
              <w:t>; each</w:t>
            </w:r>
            <w:r w:rsidR="005853A2" w:rsidRPr="009F4C86">
              <w:rPr>
                <w:rFonts w:ascii="Times New Roman" w:hAnsi="Times New Roman" w:cs="Times New Roman"/>
                <w:sz w:val="21"/>
                <w:szCs w:val="21"/>
              </w:rPr>
              <w:t xml:space="preserve"> comorbidity, including</w:t>
            </w:r>
            <w:r w:rsidRPr="009F4C86">
              <w:rPr>
                <w:rFonts w:ascii="Times New Roman" w:hAnsi="Times New Roman" w:cs="Times New Roman"/>
                <w:sz w:val="21"/>
                <w:szCs w:val="21"/>
              </w:rPr>
              <w:t xml:space="preserve"> gynecologic condition</w:t>
            </w:r>
            <w:r w:rsidR="005853A2" w:rsidRPr="009F4C86">
              <w:rPr>
                <w:rFonts w:ascii="Times New Roman" w:hAnsi="Times New Roman" w:cs="Times New Roman"/>
                <w:sz w:val="21"/>
                <w:szCs w:val="21"/>
              </w:rPr>
              <w:t>s,</w:t>
            </w:r>
            <w:r w:rsidRPr="009F4C86">
              <w:rPr>
                <w:rFonts w:ascii="Times New Roman" w:hAnsi="Times New Roman" w:cs="Times New Roman"/>
                <w:sz w:val="21"/>
                <w:szCs w:val="21"/>
              </w:rPr>
              <w:t xml:space="preserve"> was binary.</w:t>
            </w:r>
          </w:p>
          <w:p w14:paraId="2AE8F494" w14:textId="77777777" w:rsidR="0081173D" w:rsidRPr="009F4C86" w:rsidRDefault="0081173D" w:rsidP="0081173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</w:pPr>
            <w:r w:rsidRPr="009F4C86">
              <w:rPr>
                <w:rFonts w:ascii="Times New Roman" w:hAnsi="Times New Roman" w:cs="Times New Roman"/>
                <w:sz w:val="21"/>
                <w:szCs w:val="21"/>
              </w:rPr>
              <w:t>ªReported in Table 1 only (not included in multivariable models).</w:t>
            </w:r>
          </w:p>
        </w:tc>
      </w:tr>
      <w:bookmarkEnd w:id="6"/>
      <w:bookmarkEnd w:id="8"/>
      <w:bookmarkEnd w:id="13"/>
    </w:tbl>
    <w:p w14:paraId="767820A1" w14:textId="77777777" w:rsidR="00F12BFC" w:rsidRPr="009F4C86" w:rsidRDefault="00F12BFC">
      <w:pPr>
        <w:rPr>
          <w:rFonts w:ascii="Times New Roman" w:hAnsi="Times New Roman" w:cs="Times New Roman"/>
          <w:b/>
          <w:bCs/>
        </w:rPr>
      </w:pPr>
    </w:p>
    <w:p w14:paraId="78AAE65A" w14:textId="2CD91A86" w:rsidR="0081173D" w:rsidRPr="009F4C86" w:rsidRDefault="00C53905">
      <w:pPr>
        <w:rPr>
          <w:rFonts w:ascii="Times New Roman" w:hAnsi="Times New Roman" w:cs="Times New Roman"/>
        </w:rPr>
      </w:pPr>
      <w:r w:rsidRPr="009F4C86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F12BFC" w:rsidRPr="009F4C86">
        <w:rPr>
          <w:rFonts w:ascii="Times New Roman" w:hAnsi="Times New Roman" w:cs="Times New Roman"/>
          <w:b/>
          <w:bCs/>
        </w:rPr>
        <w:t xml:space="preserve">Table 2. </w:t>
      </w:r>
      <w:r w:rsidR="00F12BFC" w:rsidRPr="009F4C86">
        <w:rPr>
          <w:rFonts w:ascii="Times New Roman" w:hAnsi="Times New Roman" w:cs="Times New Roman"/>
        </w:rPr>
        <w:t xml:space="preserve">Age-stratified crude and adjusted associations (&lt;50 vs ≥50) with symptomatic </w:t>
      </w:r>
      <w:proofErr w:type="spellStart"/>
      <w:r w:rsidR="00F12BFC" w:rsidRPr="009F4C86">
        <w:rPr>
          <w:rFonts w:ascii="Times New Roman" w:hAnsi="Times New Roman" w:cs="Times New Roman"/>
        </w:rPr>
        <w:t>PeVD</w:t>
      </w:r>
      <w:proofErr w:type="spellEnd"/>
      <w:r w:rsidR="00F12BFC" w:rsidRPr="009F4C86">
        <w:rPr>
          <w:rFonts w:ascii="Times New Roman" w:hAnsi="Times New Roman" w:cs="Times New Roman"/>
        </w:rPr>
        <w:t>.</w:t>
      </w:r>
    </w:p>
    <w:tbl>
      <w:tblPr>
        <w:tblpPr w:leftFromText="180" w:rightFromText="180" w:vertAnchor="text" w:horzAnchor="margin" w:tblpY="108"/>
        <w:tblW w:w="118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5"/>
        <w:gridCol w:w="3575"/>
        <w:gridCol w:w="1530"/>
        <w:gridCol w:w="900"/>
        <w:gridCol w:w="1890"/>
        <w:gridCol w:w="900"/>
        <w:gridCol w:w="2235"/>
      </w:tblGrid>
      <w:tr w:rsidR="00BF4A7C" w:rsidRPr="009F4C86" w14:paraId="3B8AA18A" w14:textId="62A37C11" w:rsidTr="00BF4A7C">
        <w:trPr>
          <w:gridAfter w:val="1"/>
          <w:wAfter w:w="2190" w:type="dxa"/>
          <w:tblHeader/>
          <w:tblCellSpacing w:w="15" w:type="dxa"/>
        </w:trPr>
        <w:tc>
          <w:tcPr>
            <w:tcW w:w="790" w:type="dxa"/>
            <w:tcBorders>
              <w:top w:val="single" w:sz="2" w:space="0" w:color="auto"/>
              <w:bottom w:val="single" w:sz="18" w:space="0" w:color="auto"/>
            </w:tcBorders>
            <w:vAlign w:val="center"/>
            <w:hideMark/>
          </w:tcPr>
          <w:p w14:paraId="661EDA0F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bookmarkStart w:id="19" w:name="_Hlk220345873"/>
            <w:bookmarkStart w:id="20" w:name="OLE_LINK86"/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Stratum</w:t>
            </w:r>
          </w:p>
        </w:tc>
        <w:tc>
          <w:tcPr>
            <w:tcW w:w="3545" w:type="dxa"/>
            <w:tcBorders>
              <w:top w:val="single" w:sz="2" w:space="0" w:color="auto"/>
              <w:bottom w:val="single" w:sz="18" w:space="0" w:color="auto"/>
            </w:tcBorders>
            <w:vAlign w:val="center"/>
            <w:hideMark/>
          </w:tcPr>
          <w:p w14:paraId="48A0607E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  Predictor</w:t>
            </w:r>
          </w:p>
        </w:tc>
        <w:tc>
          <w:tcPr>
            <w:tcW w:w="1500" w:type="dxa"/>
            <w:tcBorders>
              <w:top w:val="single" w:sz="2" w:space="0" w:color="auto"/>
              <w:bottom w:val="single" w:sz="18" w:space="0" w:color="auto"/>
            </w:tcBorders>
            <w:vAlign w:val="center"/>
            <w:hideMark/>
          </w:tcPr>
          <w:p w14:paraId="39525B09" w14:textId="15C0B58E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Crude OR (95% CI)</w:t>
            </w:r>
          </w:p>
        </w:tc>
        <w:tc>
          <w:tcPr>
            <w:tcW w:w="870" w:type="dxa"/>
            <w:tcBorders>
              <w:top w:val="single" w:sz="2" w:space="0" w:color="auto"/>
              <w:bottom w:val="single" w:sz="18" w:space="0" w:color="auto"/>
            </w:tcBorders>
            <w:vAlign w:val="center"/>
            <w:hideMark/>
          </w:tcPr>
          <w:p w14:paraId="277B2D6E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14:ligatures w14:val="none"/>
              </w:rPr>
              <w:t>P</w:t>
            </w: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 value</w:t>
            </w:r>
          </w:p>
        </w:tc>
        <w:tc>
          <w:tcPr>
            <w:tcW w:w="1860" w:type="dxa"/>
            <w:tcBorders>
              <w:top w:val="single" w:sz="2" w:space="0" w:color="747474" w:themeColor="background2" w:themeShade="80"/>
              <w:bottom w:val="single" w:sz="18" w:space="0" w:color="747474" w:themeColor="background2" w:themeShade="80"/>
            </w:tcBorders>
            <w:vAlign w:val="center"/>
          </w:tcPr>
          <w:p w14:paraId="34DB70BE" w14:textId="14E4704C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Adjusted OR</w:t>
            </w: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vertAlign w:val="superscript"/>
                <w14:ligatures w14:val="none"/>
              </w:rPr>
              <w:t>*</w:t>
            </w: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 (95% CI)</w:t>
            </w:r>
          </w:p>
        </w:tc>
        <w:tc>
          <w:tcPr>
            <w:tcW w:w="870" w:type="dxa"/>
            <w:tcBorders>
              <w:top w:val="single" w:sz="2" w:space="0" w:color="747474" w:themeColor="background2" w:themeShade="80"/>
              <w:bottom w:val="single" w:sz="18" w:space="0" w:color="747474" w:themeColor="background2" w:themeShade="80"/>
            </w:tcBorders>
            <w:vAlign w:val="center"/>
          </w:tcPr>
          <w:p w14:paraId="6180F752" w14:textId="4387D789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14:ligatures w14:val="none"/>
              </w:rPr>
              <w:t>P</w:t>
            </w: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 value</w:t>
            </w:r>
          </w:p>
        </w:tc>
      </w:tr>
      <w:bookmarkEnd w:id="19"/>
      <w:tr w:rsidR="00BF4A7C" w:rsidRPr="009F4C86" w14:paraId="3D8CCF00" w14:textId="2B9CFDE0" w:rsidTr="00BF4A7C">
        <w:trPr>
          <w:gridAfter w:val="1"/>
          <w:wAfter w:w="2190" w:type="dxa"/>
          <w:tblCellSpacing w:w="15" w:type="dxa"/>
        </w:trPr>
        <w:tc>
          <w:tcPr>
            <w:tcW w:w="790" w:type="dxa"/>
            <w:vMerge w:val="restart"/>
            <w:vAlign w:val="center"/>
          </w:tcPr>
          <w:p w14:paraId="5063F709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&lt;50</w:t>
            </w:r>
          </w:p>
        </w:tc>
        <w:tc>
          <w:tcPr>
            <w:tcW w:w="3545" w:type="dxa"/>
            <w:vAlign w:val="center"/>
          </w:tcPr>
          <w:p w14:paraId="2608EE2F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bookmarkStart w:id="21" w:name="OLE_LINK26"/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GV diameter (per mm)</w:t>
            </w:r>
            <w:bookmarkEnd w:id="21"/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, </w:t>
            </w:r>
            <w:bookmarkStart w:id="22" w:name="OLE_LINK32"/>
            <w:r w:rsidRPr="009F4C86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14:ligatures w14:val="none"/>
              </w:rPr>
              <w:t>n = 100</w:t>
            </w:r>
            <w:bookmarkEnd w:id="22"/>
          </w:p>
        </w:tc>
        <w:tc>
          <w:tcPr>
            <w:tcW w:w="1500" w:type="dxa"/>
            <w:vAlign w:val="center"/>
          </w:tcPr>
          <w:p w14:paraId="50514FFA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0.86</w:t>
            </w:r>
          </w:p>
          <w:p w14:paraId="6BCC96BF" w14:textId="202F4406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(0.71–1.04)</w:t>
            </w:r>
          </w:p>
        </w:tc>
        <w:tc>
          <w:tcPr>
            <w:tcW w:w="870" w:type="dxa"/>
            <w:vAlign w:val="center"/>
          </w:tcPr>
          <w:p w14:paraId="22C0125A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0.120</w:t>
            </w:r>
          </w:p>
        </w:tc>
        <w:tc>
          <w:tcPr>
            <w:tcW w:w="1860" w:type="dxa"/>
            <w:vAlign w:val="center"/>
          </w:tcPr>
          <w:p w14:paraId="0C8DEEE3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0.87</w:t>
            </w:r>
          </w:p>
          <w:p w14:paraId="40C4423B" w14:textId="2780A02F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(0.67–1.10)</w:t>
            </w:r>
          </w:p>
        </w:tc>
        <w:tc>
          <w:tcPr>
            <w:tcW w:w="870" w:type="dxa"/>
            <w:vAlign w:val="center"/>
          </w:tcPr>
          <w:p w14:paraId="442DB2B1" w14:textId="5320BB88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0.240</w:t>
            </w:r>
          </w:p>
        </w:tc>
      </w:tr>
      <w:tr w:rsidR="00BF4A7C" w:rsidRPr="009F4C86" w14:paraId="7739A17A" w14:textId="282D014D" w:rsidTr="00BF4A7C">
        <w:trPr>
          <w:gridAfter w:val="1"/>
          <w:wAfter w:w="2190" w:type="dxa"/>
          <w:tblCellSpacing w:w="15" w:type="dxa"/>
        </w:trPr>
        <w:tc>
          <w:tcPr>
            <w:tcW w:w="790" w:type="dxa"/>
            <w:vMerge/>
            <w:vAlign w:val="center"/>
          </w:tcPr>
          <w:p w14:paraId="5DEE17B4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545" w:type="dxa"/>
            <w:vAlign w:val="center"/>
          </w:tcPr>
          <w:p w14:paraId="12103307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bookmarkStart w:id="23" w:name="OLE_LINK27"/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LE varices</w:t>
            </w:r>
            <w:bookmarkEnd w:id="23"/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 </w:t>
            </w:r>
            <w:bookmarkStart w:id="24" w:name="OLE_LINK36"/>
            <w:r w:rsidRPr="009F4C86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14:ligatures w14:val="none"/>
              </w:rPr>
              <w:t>n = 100</w:t>
            </w:r>
            <w:bookmarkEnd w:id="24"/>
          </w:p>
        </w:tc>
        <w:tc>
          <w:tcPr>
            <w:tcW w:w="1500" w:type="dxa"/>
            <w:vAlign w:val="center"/>
          </w:tcPr>
          <w:p w14:paraId="3424B62B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13.89</w:t>
            </w:r>
          </w:p>
          <w:p w14:paraId="2D49E134" w14:textId="7EDE6063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(3.07</w:t>
            </w:r>
            <w:bookmarkStart w:id="25" w:name="OLE_LINK37"/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–6</w:t>
            </w:r>
            <w:bookmarkEnd w:id="25"/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2.84)</w:t>
            </w:r>
          </w:p>
        </w:tc>
        <w:tc>
          <w:tcPr>
            <w:tcW w:w="870" w:type="dxa"/>
            <w:vAlign w:val="center"/>
          </w:tcPr>
          <w:p w14:paraId="065147BC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1860" w:type="dxa"/>
            <w:vAlign w:val="center"/>
          </w:tcPr>
          <w:p w14:paraId="4404088F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12.16</w:t>
            </w:r>
          </w:p>
          <w:p w14:paraId="6197A802" w14:textId="22AF8EBF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(2.53–58.31)</w:t>
            </w:r>
          </w:p>
        </w:tc>
        <w:tc>
          <w:tcPr>
            <w:tcW w:w="870" w:type="dxa"/>
            <w:vAlign w:val="center"/>
          </w:tcPr>
          <w:p w14:paraId="1215480B" w14:textId="59D4973D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>0.002</w:t>
            </w:r>
          </w:p>
        </w:tc>
      </w:tr>
      <w:tr w:rsidR="00BF4A7C" w:rsidRPr="009F4C86" w14:paraId="1152D2A2" w14:textId="55799660" w:rsidTr="00BF4A7C">
        <w:trPr>
          <w:gridAfter w:val="1"/>
          <w:wAfter w:w="2190" w:type="dxa"/>
          <w:tblCellSpacing w:w="15" w:type="dxa"/>
        </w:trPr>
        <w:tc>
          <w:tcPr>
            <w:tcW w:w="790" w:type="dxa"/>
            <w:vMerge/>
            <w:vAlign w:val="center"/>
          </w:tcPr>
          <w:p w14:paraId="78F4CFA3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545" w:type="dxa"/>
            <w:tcBorders>
              <w:bottom w:val="single" w:sz="2" w:space="0" w:color="747474" w:themeColor="background2" w:themeShade="80"/>
            </w:tcBorders>
            <w:vAlign w:val="center"/>
          </w:tcPr>
          <w:p w14:paraId="62CE85E4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Any iliac/renal compression, </w:t>
            </w:r>
            <w:r w:rsidRPr="009F4C86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14:ligatures w14:val="none"/>
              </w:rPr>
              <w:t>n = 90</w:t>
            </w:r>
          </w:p>
        </w:tc>
        <w:tc>
          <w:tcPr>
            <w:tcW w:w="1500" w:type="dxa"/>
            <w:tcBorders>
              <w:bottom w:val="single" w:sz="2" w:space="0" w:color="747474" w:themeColor="background2" w:themeShade="80"/>
            </w:tcBorders>
            <w:vAlign w:val="center"/>
          </w:tcPr>
          <w:p w14:paraId="20EDCC55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10.36</w:t>
            </w:r>
          </w:p>
          <w:p w14:paraId="3FF8F276" w14:textId="223D3382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(2.24–47.94)</w:t>
            </w:r>
          </w:p>
        </w:tc>
        <w:tc>
          <w:tcPr>
            <w:tcW w:w="870" w:type="dxa"/>
            <w:tcBorders>
              <w:bottom w:val="single" w:sz="2" w:space="0" w:color="747474" w:themeColor="background2" w:themeShade="80"/>
            </w:tcBorders>
            <w:vAlign w:val="center"/>
          </w:tcPr>
          <w:p w14:paraId="4C7A77CD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1860" w:type="dxa"/>
            <w:tcBorders>
              <w:bottom w:val="single" w:sz="2" w:space="0" w:color="747474" w:themeColor="background2" w:themeShade="80"/>
            </w:tcBorders>
            <w:vAlign w:val="center"/>
          </w:tcPr>
          <w:p w14:paraId="756CF5AF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7.49</w:t>
            </w:r>
          </w:p>
          <w:p w14:paraId="348ACC8C" w14:textId="640D8324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(1.44</w:t>
            </w:r>
            <w:bookmarkStart w:id="26" w:name="OLE_LINK28"/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–</w:t>
            </w:r>
            <w:bookmarkEnd w:id="26"/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38.85)</w:t>
            </w:r>
          </w:p>
        </w:tc>
        <w:tc>
          <w:tcPr>
            <w:tcW w:w="870" w:type="dxa"/>
            <w:tcBorders>
              <w:bottom w:val="single" w:sz="2" w:space="0" w:color="747474" w:themeColor="background2" w:themeShade="80"/>
            </w:tcBorders>
            <w:vAlign w:val="center"/>
          </w:tcPr>
          <w:p w14:paraId="4BD5F15F" w14:textId="59B38BB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>0.017</w:t>
            </w:r>
          </w:p>
        </w:tc>
      </w:tr>
      <w:tr w:rsidR="00BF4A7C" w:rsidRPr="009F4C86" w14:paraId="51A4BF54" w14:textId="39397834" w:rsidTr="00BF4A7C">
        <w:trPr>
          <w:gridAfter w:val="1"/>
          <w:wAfter w:w="2190" w:type="dxa"/>
          <w:tblCellSpacing w:w="15" w:type="dxa"/>
        </w:trPr>
        <w:tc>
          <w:tcPr>
            <w:tcW w:w="790" w:type="dxa"/>
            <w:vMerge w:val="restart"/>
            <w:vAlign w:val="center"/>
            <w:hideMark/>
          </w:tcPr>
          <w:p w14:paraId="01C26A42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bookmarkStart w:id="27" w:name="OLE_LINK31"/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≥50</w:t>
            </w:r>
            <w:bookmarkEnd w:id="27"/>
          </w:p>
        </w:tc>
        <w:tc>
          <w:tcPr>
            <w:tcW w:w="3545" w:type="dxa"/>
            <w:vAlign w:val="center"/>
          </w:tcPr>
          <w:p w14:paraId="1A7322E5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GV diameter,</w:t>
            </w:r>
            <w:r w:rsidRPr="009F4C86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14:ligatures w14:val="none"/>
              </w:rPr>
              <w:t xml:space="preserve"> n = 100</w:t>
            </w:r>
          </w:p>
        </w:tc>
        <w:tc>
          <w:tcPr>
            <w:tcW w:w="1500" w:type="dxa"/>
            <w:vAlign w:val="center"/>
          </w:tcPr>
          <w:p w14:paraId="4829055A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1.02</w:t>
            </w:r>
          </w:p>
          <w:p w14:paraId="1C32622E" w14:textId="5BFB062E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(0.86–1.22)</w:t>
            </w:r>
          </w:p>
        </w:tc>
        <w:tc>
          <w:tcPr>
            <w:tcW w:w="870" w:type="dxa"/>
            <w:vAlign w:val="center"/>
          </w:tcPr>
          <w:p w14:paraId="53ED4CB6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0.787</w:t>
            </w:r>
          </w:p>
        </w:tc>
        <w:tc>
          <w:tcPr>
            <w:tcW w:w="1860" w:type="dxa"/>
            <w:vAlign w:val="center"/>
          </w:tcPr>
          <w:p w14:paraId="7382D73C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1.05</w:t>
            </w:r>
          </w:p>
          <w:p w14:paraId="6CC52247" w14:textId="382B630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(0.86</w:t>
            </w:r>
            <w:r w:rsidRPr="009F4C86">
              <w:rPr>
                <w:sz w:val="21"/>
                <w:szCs w:val="21"/>
              </w:rPr>
              <w:t xml:space="preserve"> </w:t>
            </w: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–1.28)</w:t>
            </w:r>
          </w:p>
        </w:tc>
        <w:tc>
          <w:tcPr>
            <w:tcW w:w="870" w:type="dxa"/>
            <w:vAlign w:val="center"/>
          </w:tcPr>
          <w:p w14:paraId="61C0F141" w14:textId="4F0B26FF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0.619</w:t>
            </w:r>
          </w:p>
        </w:tc>
      </w:tr>
      <w:tr w:rsidR="00BF4A7C" w:rsidRPr="009F4C86" w14:paraId="70D5A403" w14:textId="41F4475E" w:rsidTr="00BF4A7C">
        <w:trPr>
          <w:gridAfter w:val="1"/>
          <w:wAfter w:w="2190" w:type="dxa"/>
          <w:tblCellSpacing w:w="15" w:type="dxa"/>
        </w:trPr>
        <w:tc>
          <w:tcPr>
            <w:tcW w:w="790" w:type="dxa"/>
            <w:vMerge/>
            <w:vAlign w:val="center"/>
          </w:tcPr>
          <w:p w14:paraId="384CD1DB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545" w:type="dxa"/>
            <w:vAlign w:val="center"/>
          </w:tcPr>
          <w:p w14:paraId="761B9E50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LE varices, </w:t>
            </w:r>
            <w:r w:rsidRPr="009F4C86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14:ligatures w14:val="none"/>
              </w:rPr>
              <w:t>n = 100</w:t>
            </w:r>
          </w:p>
        </w:tc>
        <w:tc>
          <w:tcPr>
            <w:tcW w:w="1500" w:type="dxa"/>
            <w:vAlign w:val="center"/>
          </w:tcPr>
          <w:p w14:paraId="0FAAB579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4.17</w:t>
            </w:r>
          </w:p>
          <w:p w14:paraId="2AD73066" w14:textId="07D84A65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(1.49–11.66)</w:t>
            </w:r>
          </w:p>
        </w:tc>
        <w:tc>
          <w:tcPr>
            <w:tcW w:w="870" w:type="dxa"/>
            <w:vAlign w:val="center"/>
          </w:tcPr>
          <w:p w14:paraId="1C68857C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>0.007</w:t>
            </w:r>
          </w:p>
        </w:tc>
        <w:tc>
          <w:tcPr>
            <w:tcW w:w="1860" w:type="dxa"/>
            <w:vAlign w:val="center"/>
          </w:tcPr>
          <w:p w14:paraId="56046DF6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4.23</w:t>
            </w:r>
          </w:p>
          <w:p w14:paraId="5362CB8C" w14:textId="6895CDC8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(1.37</w:t>
            </w:r>
            <w:r w:rsidRPr="009F4C86">
              <w:rPr>
                <w:sz w:val="21"/>
                <w:szCs w:val="21"/>
              </w:rPr>
              <w:t xml:space="preserve"> </w:t>
            </w: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–13.10)</w:t>
            </w:r>
          </w:p>
        </w:tc>
        <w:tc>
          <w:tcPr>
            <w:tcW w:w="870" w:type="dxa"/>
            <w:vAlign w:val="center"/>
          </w:tcPr>
          <w:p w14:paraId="10279101" w14:textId="374AAF70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>0.012</w:t>
            </w:r>
          </w:p>
        </w:tc>
      </w:tr>
      <w:tr w:rsidR="00BF4A7C" w:rsidRPr="009F4C86" w14:paraId="1762FBF5" w14:textId="58F2905B" w:rsidTr="00BF4A7C">
        <w:trPr>
          <w:gridAfter w:val="1"/>
          <w:wAfter w:w="2190" w:type="dxa"/>
          <w:tblCellSpacing w:w="15" w:type="dxa"/>
        </w:trPr>
        <w:tc>
          <w:tcPr>
            <w:tcW w:w="790" w:type="dxa"/>
            <w:vMerge/>
            <w:vAlign w:val="center"/>
          </w:tcPr>
          <w:p w14:paraId="4F01E93F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545" w:type="dxa"/>
            <w:vAlign w:val="center"/>
          </w:tcPr>
          <w:p w14:paraId="175DEDC8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Any iliac/renal compression, </w:t>
            </w:r>
            <w:r w:rsidRPr="009F4C86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14:ligatures w14:val="none"/>
              </w:rPr>
              <w:t>n = 99</w:t>
            </w:r>
          </w:p>
        </w:tc>
        <w:tc>
          <w:tcPr>
            <w:tcW w:w="1500" w:type="dxa"/>
            <w:vAlign w:val="center"/>
          </w:tcPr>
          <w:p w14:paraId="5D1A2524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24.06</w:t>
            </w:r>
          </w:p>
          <w:p w14:paraId="533156C1" w14:textId="6A050192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(2.63–220.12)</w:t>
            </w:r>
          </w:p>
        </w:tc>
        <w:tc>
          <w:tcPr>
            <w:tcW w:w="870" w:type="dxa"/>
            <w:vAlign w:val="center"/>
          </w:tcPr>
          <w:p w14:paraId="26DA14F6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>0.001</w:t>
            </w:r>
          </w:p>
        </w:tc>
        <w:tc>
          <w:tcPr>
            <w:tcW w:w="1860" w:type="dxa"/>
            <w:vAlign w:val="center"/>
          </w:tcPr>
          <w:p w14:paraId="7A0B0A5A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21.80</w:t>
            </w:r>
          </w:p>
          <w:p w14:paraId="6C98C75A" w14:textId="0037DC4C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(2.20–216.11)</w:t>
            </w:r>
          </w:p>
        </w:tc>
        <w:tc>
          <w:tcPr>
            <w:tcW w:w="870" w:type="dxa"/>
            <w:vAlign w:val="center"/>
          </w:tcPr>
          <w:p w14:paraId="3C24AECC" w14:textId="7A25FDEF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>0.008</w:t>
            </w:r>
          </w:p>
        </w:tc>
      </w:tr>
      <w:tr w:rsidR="00BF4A7C" w:rsidRPr="009F4C86" w14:paraId="1548FC55" w14:textId="311679E8" w:rsidTr="00BF4A7C">
        <w:trPr>
          <w:tblCellSpacing w:w="15" w:type="dxa"/>
        </w:trPr>
        <w:tc>
          <w:tcPr>
            <w:tcW w:w="9585" w:type="dxa"/>
            <w:gridSpan w:val="6"/>
            <w:vAlign w:val="center"/>
          </w:tcPr>
          <w:p w14:paraId="71AFCD44" w14:textId="77777777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14:ligatures w14:val="none"/>
              </w:rPr>
              <w:t>Denominators:</w:t>
            </w: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 Vary by predictor due to variable availability (compression assessable subset).</w:t>
            </w:r>
          </w:p>
          <w:p w14:paraId="64AE7EF2" w14:textId="00628F3C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Model calibration:</w:t>
            </w:r>
            <w:r w:rsidRPr="009F4C8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bookmarkStart w:id="28" w:name="OLE_LINK30"/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HL </w:t>
            </w:r>
            <w:proofErr w:type="gramStart"/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χ²(</w:t>
            </w:r>
            <w:proofErr w:type="gramEnd"/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8)</w:t>
            </w:r>
            <w:r w:rsidRPr="009F4C86">
              <w:rPr>
                <w:rFonts w:ascii="Times New Roman" w:hAnsi="Times New Roman" w:cs="Times New Roman"/>
                <w:sz w:val="21"/>
                <w:szCs w:val="21"/>
              </w:rPr>
              <w:t xml:space="preserve"> =</w:t>
            </w:r>
            <w:bookmarkEnd w:id="28"/>
            <w:r w:rsidRPr="009F4C86">
              <w:rPr>
                <w:rFonts w:ascii="Times New Roman" w:hAnsi="Times New Roman" w:cs="Times New Roman"/>
                <w:sz w:val="21"/>
                <w:szCs w:val="21"/>
              </w:rPr>
              <w:t xml:space="preserve"> 9.33 (P = 0.315) for &lt;50; </w:t>
            </w: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HL χ²(8)</w:t>
            </w:r>
            <w:r w:rsidRPr="009F4C86">
              <w:rPr>
                <w:rFonts w:ascii="Times New Roman" w:hAnsi="Times New Roman" w:cs="Times New Roman"/>
                <w:sz w:val="21"/>
                <w:szCs w:val="21"/>
              </w:rPr>
              <w:t xml:space="preserve"> = 7.00 (P = 0.536) for </w:t>
            </w: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≥50.</w:t>
            </w:r>
          </w:p>
        </w:tc>
        <w:tc>
          <w:tcPr>
            <w:tcW w:w="2190" w:type="dxa"/>
            <w:vAlign w:val="center"/>
          </w:tcPr>
          <w:p w14:paraId="464F77B2" w14:textId="77777777" w:rsidR="00BF4A7C" w:rsidRPr="009F4C86" w:rsidRDefault="00BF4A7C" w:rsidP="00BF4A7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</w:tr>
      <w:tr w:rsidR="00BF4A7C" w:rsidRPr="009F4C86" w14:paraId="1E67B858" w14:textId="77777777" w:rsidTr="00BF4A7C">
        <w:trPr>
          <w:tblCellSpacing w:w="15" w:type="dxa"/>
        </w:trPr>
        <w:tc>
          <w:tcPr>
            <w:tcW w:w="9585" w:type="dxa"/>
            <w:gridSpan w:val="6"/>
            <w:vAlign w:val="center"/>
          </w:tcPr>
          <w:p w14:paraId="2F36BD3A" w14:textId="0C17BCA6" w:rsidR="00BF4A7C" w:rsidRPr="009F4C86" w:rsidRDefault="00BF4A7C" w:rsidP="00BF4A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vertAlign w:val="superscript"/>
                <w14:ligatures w14:val="none"/>
              </w:rPr>
              <w:t>*</w:t>
            </w: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Adjusted models were fit within each age stratum among patients with assessable proximal compression and included GV diameter (mm), LE varices, and any iliac/LRV compression.</w:t>
            </w:r>
          </w:p>
        </w:tc>
        <w:tc>
          <w:tcPr>
            <w:tcW w:w="2190" w:type="dxa"/>
            <w:vAlign w:val="center"/>
          </w:tcPr>
          <w:p w14:paraId="62061530" w14:textId="77777777" w:rsidR="00BF4A7C" w:rsidRPr="009F4C86" w:rsidRDefault="00BF4A7C" w:rsidP="00BF4A7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</w:tr>
      <w:bookmarkEnd w:id="20"/>
    </w:tbl>
    <w:p w14:paraId="23B423A0" w14:textId="77777777" w:rsidR="00BF4A7C" w:rsidRPr="009F4C86" w:rsidRDefault="00BF4A7C">
      <w:pPr>
        <w:rPr>
          <w:rFonts w:ascii="Times New Roman" w:hAnsi="Times New Roman" w:cs="Times New Roman"/>
          <w:b/>
          <w:bCs/>
        </w:rPr>
      </w:pPr>
    </w:p>
    <w:p w14:paraId="6495A849" w14:textId="77777777" w:rsidR="0017717F" w:rsidRPr="009F4C86" w:rsidRDefault="0017717F">
      <w:pPr>
        <w:rPr>
          <w:rFonts w:ascii="Times New Roman" w:hAnsi="Times New Roman" w:cs="Times New Roman"/>
          <w:b/>
          <w:bCs/>
        </w:rPr>
      </w:pPr>
    </w:p>
    <w:p w14:paraId="49BC9FA9" w14:textId="77777777" w:rsidR="0017717F" w:rsidRPr="009F4C86" w:rsidRDefault="0017717F">
      <w:pPr>
        <w:rPr>
          <w:rFonts w:ascii="Times New Roman" w:hAnsi="Times New Roman" w:cs="Times New Roman"/>
          <w:b/>
          <w:bCs/>
        </w:rPr>
      </w:pPr>
    </w:p>
    <w:p w14:paraId="6CDB5FE9" w14:textId="77777777" w:rsidR="0017717F" w:rsidRPr="009F4C86" w:rsidRDefault="0017717F">
      <w:pPr>
        <w:rPr>
          <w:rFonts w:ascii="Times New Roman" w:hAnsi="Times New Roman" w:cs="Times New Roman"/>
          <w:b/>
          <w:bCs/>
        </w:rPr>
      </w:pPr>
    </w:p>
    <w:p w14:paraId="19E82F1E" w14:textId="535BF670" w:rsidR="00BF4A7C" w:rsidRPr="009F4C86" w:rsidRDefault="00C53905">
      <w:pPr>
        <w:rPr>
          <w:rFonts w:ascii="Times New Roman" w:hAnsi="Times New Roman" w:cs="Times New Roman"/>
        </w:rPr>
      </w:pPr>
      <w:r w:rsidRPr="009F4C86">
        <w:rPr>
          <w:rFonts w:ascii="Times New Roman" w:hAnsi="Times New Roman" w:cs="Times New Roman"/>
          <w:b/>
          <w:bCs/>
        </w:rPr>
        <w:t xml:space="preserve">Supplementary </w:t>
      </w:r>
      <w:r w:rsidR="0000686C" w:rsidRPr="009F4C86">
        <w:rPr>
          <w:rFonts w:ascii="Times New Roman" w:hAnsi="Times New Roman" w:cs="Times New Roman"/>
          <w:b/>
          <w:bCs/>
        </w:rPr>
        <w:t xml:space="preserve">Table 3. </w:t>
      </w:r>
      <w:r w:rsidR="0000686C" w:rsidRPr="009F4C86">
        <w:rPr>
          <w:rFonts w:ascii="Times New Roman" w:hAnsi="Times New Roman" w:cs="Times New Roman"/>
        </w:rPr>
        <w:t>Continuity-corrected crude ORs for iliac and LRV compression.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0"/>
        <w:gridCol w:w="2340"/>
        <w:gridCol w:w="1080"/>
        <w:gridCol w:w="2309"/>
        <w:gridCol w:w="751"/>
      </w:tblGrid>
      <w:tr w:rsidR="00CE7234" w:rsidRPr="009F4C86" w14:paraId="1BE639D1" w14:textId="77777777" w:rsidTr="00E55F3C">
        <w:trPr>
          <w:tblHeader/>
          <w:tblCellSpacing w:w="15" w:type="dxa"/>
        </w:trPr>
        <w:tc>
          <w:tcPr>
            <w:tcW w:w="2835" w:type="dxa"/>
            <w:tcBorders>
              <w:top w:val="single" w:sz="2" w:space="0" w:color="747474" w:themeColor="background2" w:themeShade="80"/>
              <w:bottom w:val="single" w:sz="18" w:space="0" w:color="747474" w:themeColor="background2" w:themeShade="80"/>
            </w:tcBorders>
            <w:vAlign w:val="center"/>
            <w:hideMark/>
          </w:tcPr>
          <w:p w14:paraId="50CEAB84" w14:textId="77777777" w:rsidR="00CE7234" w:rsidRPr="009F4C86" w:rsidRDefault="00CE7234" w:rsidP="000068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Predictor</w:t>
            </w:r>
          </w:p>
        </w:tc>
        <w:tc>
          <w:tcPr>
            <w:tcW w:w="2310" w:type="dxa"/>
            <w:tcBorders>
              <w:top w:val="single" w:sz="2" w:space="0" w:color="747474" w:themeColor="background2" w:themeShade="80"/>
              <w:bottom w:val="single" w:sz="18" w:space="0" w:color="747474" w:themeColor="background2" w:themeShade="80"/>
            </w:tcBorders>
            <w:vAlign w:val="center"/>
            <w:hideMark/>
          </w:tcPr>
          <w:p w14:paraId="2396CD15" w14:textId="77777777" w:rsidR="00CE7234" w:rsidRPr="009F4C86" w:rsidRDefault="00CE7234" w:rsidP="000068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Crude OR (95% CI)</w:t>
            </w:r>
          </w:p>
        </w:tc>
        <w:tc>
          <w:tcPr>
            <w:tcW w:w="1050" w:type="dxa"/>
            <w:tcBorders>
              <w:top w:val="single" w:sz="2" w:space="0" w:color="747474" w:themeColor="background2" w:themeShade="80"/>
              <w:bottom w:val="single" w:sz="18" w:space="0" w:color="747474" w:themeColor="background2" w:themeShade="80"/>
            </w:tcBorders>
            <w:vAlign w:val="center"/>
            <w:hideMark/>
          </w:tcPr>
          <w:p w14:paraId="6B466835" w14:textId="77777777" w:rsidR="00CE7234" w:rsidRPr="009F4C86" w:rsidRDefault="00CE7234" w:rsidP="0000686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14:ligatures w14:val="none"/>
              </w:rPr>
              <w:t>P</w:t>
            </w:r>
          </w:p>
        </w:tc>
        <w:tc>
          <w:tcPr>
            <w:tcW w:w="2279" w:type="dxa"/>
            <w:tcBorders>
              <w:top w:val="single" w:sz="2" w:space="0" w:color="747474" w:themeColor="background2" w:themeShade="80"/>
              <w:bottom w:val="single" w:sz="18" w:space="0" w:color="747474" w:themeColor="background2" w:themeShade="80"/>
            </w:tcBorders>
            <w:vAlign w:val="center"/>
            <w:hideMark/>
          </w:tcPr>
          <w:p w14:paraId="0718A155" w14:textId="26D8F6F8" w:rsidR="00CE7234" w:rsidRPr="009F4C86" w:rsidRDefault="00CE7234" w:rsidP="000068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Continuity-corrected OR</w:t>
            </w:r>
            <w:r w:rsidR="0000686C"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vertAlign w:val="superscript"/>
                <w14:ligatures w14:val="none"/>
              </w:rPr>
              <w:t>*</w:t>
            </w: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 (95% CI)</w:t>
            </w:r>
          </w:p>
        </w:tc>
        <w:tc>
          <w:tcPr>
            <w:tcW w:w="0" w:type="auto"/>
            <w:tcBorders>
              <w:top w:val="single" w:sz="2" w:space="0" w:color="747474" w:themeColor="background2" w:themeShade="80"/>
              <w:bottom w:val="single" w:sz="18" w:space="0" w:color="747474" w:themeColor="background2" w:themeShade="80"/>
            </w:tcBorders>
            <w:vAlign w:val="center"/>
            <w:hideMark/>
          </w:tcPr>
          <w:p w14:paraId="56F1F8E4" w14:textId="77777777" w:rsidR="00CE7234" w:rsidRPr="009F4C86" w:rsidRDefault="00CE7234" w:rsidP="0000686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14:ligatures w14:val="none"/>
              </w:rPr>
              <w:t>P</w:t>
            </w:r>
          </w:p>
        </w:tc>
      </w:tr>
      <w:tr w:rsidR="00E55F3C" w:rsidRPr="009F4C86" w14:paraId="7D1D6CDC" w14:textId="77777777" w:rsidTr="00E55F3C">
        <w:trPr>
          <w:tblCellSpacing w:w="15" w:type="dxa"/>
        </w:trPr>
        <w:tc>
          <w:tcPr>
            <w:tcW w:w="2835" w:type="dxa"/>
            <w:vAlign w:val="center"/>
          </w:tcPr>
          <w:p w14:paraId="746E215A" w14:textId="126DA808" w:rsidR="00E55F3C" w:rsidRPr="009F4C86" w:rsidRDefault="00E55F3C" w:rsidP="000068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Any compression</w:t>
            </w:r>
          </w:p>
        </w:tc>
        <w:tc>
          <w:tcPr>
            <w:tcW w:w="2310" w:type="dxa"/>
            <w:vAlign w:val="center"/>
          </w:tcPr>
          <w:p w14:paraId="40027DCB" w14:textId="17BD1DAB" w:rsidR="00E55F3C" w:rsidRPr="009F4C86" w:rsidRDefault="00E55F3C" w:rsidP="00E55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18.45 (5.31–64.15)</w:t>
            </w:r>
          </w:p>
        </w:tc>
        <w:tc>
          <w:tcPr>
            <w:tcW w:w="1050" w:type="dxa"/>
            <w:vAlign w:val="center"/>
          </w:tcPr>
          <w:p w14:paraId="3AA0B794" w14:textId="1992BAB7" w:rsidR="00E55F3C" w:rsidRPr="009F4C86" w:rsidRDefault="00E55F3C" w:rsidP="000068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2279" w:type="dxa"/>
            <w:vAlign w:val="center"/>
          </w:tcPr>
          <w:p w14:paraId="42AF72A5" w14:textId="1E834C28" w:rsidR="00E55F3C" w:rsidRPr="009F4C86" w:rsidRDefault="00E55F3C" w:rsidP="000068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103.9 (6.41–1814.3)</w:t>
            </w:r>
          </w:p>
        </w:tc>
        <w:tc>
          <w:tcPr>
            <w:tcW w:w="0" w:type="auto"/>
            <w:vAlign w:val="center"/>
          </w:tcPr>
          <w:p w14:paraId="5FCE0186" w14:textId="1FCBF9A4" w:rsidR="00E55F3C" w:rsidRPr="009F4C86" w:rsidRDefault="00E55F3C" w:rsidP="000068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CE7234" w:rsidRPr="009F4C86" w14:paraId="7A3C2AEB" w14:textId="77777777" w:rsidTr="00E55F3C">
        <w:trPr>
          <w:tblCellSpacing w:w="15" w:type="dxa"/>
        </w:trPr>
        <w:tc>
          <w:tcPr>
            <w:tcW w:w="2835" w:type="dxa"/>
            <w:vAlign w:val="center"/>
            <w:hideMark/>
          </w:tcPr>
          <w:p w14:paraId="6A44CB7C" w14:textId="3E6C8194" w:rsidR="00CE7234" w:rsidRPr="009F4C86" w:rsidRDefault="00CE7234" w:rsidP="000068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NIVL/iliac compression</w:t>
            </w:r>
          </w:p>
        </w:tc>
        <w:tc>
          <w:tcPr>
            <w:tcW w:w="2310" w:type="dxa"/>
            <w:vAlign w:val="center"/>
            <w:hideMark/>
          </w:tcPr>
          <w:p w14:paraId="6C3F359A" w14:textId="77777777" w:rsidR="00CE7234" w:rsidRPr="009F4C86" w:rsidRDefault="00CE7234" w:rsidP="000068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17.30 (3.86–77.52)</w:t>
            </w:r>
          </w:p>
        </w:tc>
        <w:tc>
          <w:tcPr>
            <w:tcW w:w="1050" w:type="dxa"/>
            <w:vAlign w:val="center"/>
            <w:hideMark/>
          </w:tcPr>
          <w:p w14:paraId="4FF841D1" w14:textId="77777777" w:rsidR="00CE7234" w:rsidRPr="009F4C86" w:rsidRDefault="00CE7234" w:rsidP="000068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2279" w:type="dxa"/>
            <w:vAlign w:val="center"/>
            <w:hideMark/>
          </w:tcPr>
          <w:p w14:paraId="0201C5EC" w14:textId="77777777" w:rsidR="00CE7234" w:rsidRPr="009F4C86" w:rsidRDefault="00CE7234" w:rsidP="000068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40.3 (2.30–705.5)</w:t>
            </w:r>
          </w:p>
        </w:tc>
        <w:tc>
          <w:tcPr>
            <w:tcW w:w="0" w:type="auto"/>
            <w:vAlign w:val="center"/>
            <w:hideMark/>
          </w:tcPr>
          <w:p w14:paraId="19129DCB" w14:textId="77777777" w:rsidR="00CE7234" w:rsidRPr="009F4C86" w:rsidRDefault="00CE7234" w:rsidP="000068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bookmarkStart w:id="29" w:name="OLE_LINK96"/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&lt;0.001</w:t>
            </w:r>
            <w:bookmarkEnd w:id="29"/>
          </w:p>
        </w:tc>
      </w:tr>
      <w:tr w:rsidR="00CE7234" w:rsidRPr="009F4C86" w14:paraId="7978AF4B" w14:textId="77777777" w:rsidTr="00E55F3C">
        <w:trPr>
          <w:tblCellSpacing w:w="15" w:type="dxa"/>
        </w:trPr>
        <w:tc>
          <w:tcPr>
            <w:tcW w:w="2835" w:type="dxa"/>
            <w:vAlign w:val="center"/>
            <w:hideMark/>
          </w:tcPr>
          <w:p w14:paraId="714776B9" w14:textId="07B1E74F" w:rsidR="00CE7234" w:rsidRPr="009F4C86" w:rsidRDefault="00CE7234" w:rsidP="000068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LRV compression</w:t>
            </w:r>
          </w:p>
        </w:tc>
        <w:tc>
          <w:tcPr>
            <w:tcW w:w="2310" w:type="dxa"/>
            <w:vAlign w:val="center"/>
            <w:hideMark/>
          </w:tcPr>
          <w:p w14:paraId="5DA29310" w14:textId="77777777" w:rsidR="00CE7234" w:rsidRPr="009F4C86" w:rsidRDefault="00CE7234" w:rsidP="000068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13.52 (2.97–61.50)</w:t>
            </w:r>
          </w:p>
        </w:tc>
        <w:tc>
          <w:tcPr>
            <w:tcW w:w="1050" w:type="dxa"/>
            <w:vAlign w:val="center"/>
            <w:hideMark/>
          </w:tcPr>
          <w:p w14:paraId="40F0B064" w14:textId="77777777" w:rsidR="00CE7234" w:rsidRPr="009F4C86" w:rsidRDefault="00CE7234" w:rsidP="000068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2279" w:type="dxa"/>
            <w:vAlign w:val="center"/>
            <w:hideMark/>
          </w:tcPr>
          <w:p w14:paraId="6CABD586" w14:textId="77777777" w:rsidR="00CE7234" w:rsidRPr="009F4C86" w:rsidRDefault="00CE7234" w:rsidP="000068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35.4 (2.01–624.7)</w:t>
            </w:r>
          </w:p>
        </w:tc>
        <w:tc>
          <w:tcPr>
            <w:tcW w:w="0" w:type="auto"/>
            <w:vAlign w:val="center"/>
            <w:hideMark/>
          </w:tcPr>
          <w:p w14:paraId="172B76C9" w14:textId="77777777" w:rsidR="00CE7234" w:rsidRPr="009F4C86" w:rsidRDefault="00CE7234" w:rsidP="000068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00686C" w:rsidRPr="009F4C86" w14:paraId="007D31B1" w14:textId="77777777" w:rsidTr="0000686C">
        <w:trPr>
          <w:tblCellSpacing w:w="15" w:type="dxa"/>
        </w:trPr>
        <w:tc>
          <w:tcPr>
            <w:tcW w:w="9300" w:type="dxa"/>
            <w:gridSpan w:val="5"/>
            <w:vAlign w:val="center"/>
          </w:tcPr>
          <w:p w14:paraId="5383C083" w14:textId="0C2679FF" w:rsidR="0000686C" w:rsidRPr="009F4C86" w:rsidRDefault="0000686C" w:rsidP="000068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bookmarkStart w:id="30" w:name="_Hlk220346589"/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vertAlign w:val="superscript"/>
                <w14:ligatures w14:val="none"/>
              </w:rPr>
              <w:t>*</w:t>
            </w:r>
            <w:bookmarkEnd w:id="30"/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Haldane–</w:t>
            </w:r>
            <w:proofErr w:type="spellStart"/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Anscombe</w:t>
            </w:r>
            <w:proofErr w:type="spellEnd"/>
            <w:r w:rsidRPr="009F4C8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 correction for sparse cells.</w:t>
            </w:r>
          </w:p>
        </w:tc>
      </w:tr>
    </w:tbl>
    <w:p w14:paraId="4C78E7F6" w14:textId="77777777" w:rsidR="00976584" w:rsidRPr="009F4C86" w:rsidRDefault="00976584" w:rsidP="009765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5567A940" w14:textId="77777777" w:rsidR="00976584" w:rsidRPr="009F4C86" w:rsidRDefault="00976584" w:rsidP="0097658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</w:rPr>
      </w:pPr>
    </w:p>
    <w:p w14:paraId="413B4CB6" w14:textId="1F771487" w:rsidR="00976584" w:rsidRPr="009F4C86" w:rsidRDefault="00976584">
      <w:pPr>
        <w:rPr>
          <w:rFonts w:ascii="Times New Roman" w:hAnsi="Times New Roman" w:cs="Times New Roman"/>
        </w:rPr>
      </w:pPr>
      <w:r w:rsidRPr="009F4C86">
        <w:rPr>
          <w:rFonts w:ascii="Times New Roman" w:hAnsi="Times New Roman" w:cs="Times New Roman"/>
          <w:noProof/>
          <w:lang w:val="en-IN" w:eastAsia="en-IN"/>
        </w:rPr>
        <w:lastRenderedPageBreak/>
        <w:drawing>
          <wp:inline distT="0" distB="0" distL="0" distR="0" wp14:anchorId="365B5284" wp14:editId="43B087DA">
            <wp:extent cx="6049926" cy="3564628"/>
            <wp:effectExtent l="0" t="0" r="0" b="4445"/>
            <wp:docPr id="83186620" name="Picture 1" descr="A graph of a curv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86620" name="Picture 1" descr="A graph of a curve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55395" cy="356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9A409" w14:textId="52DFFB71" w:rsidR="0017717F" w:rsidRPr="0017717F" w:rsidRDefault="00C53905" w:rsidP="0017717F">
      <w:pPr>
        <w:rPr>
          <w:rFonts w:ascii="Times New Roman" w:hAnsi="Times New Roman" w:cs="Times New Roman"/>
        </w:rPr>
      </w:pPr>
      <w:r w:rsidRPr="009F4C86">
        <w:rPr>
          <w:rFonts w:ascii="Times New Roman" w:hAnsi="Times New Roman" w:cs="Times New Roman"/>
          <w:b/>
          <w:bCs/>
        </w:rPr>
        <w:t xml:space="preserve">Supplementary </w:t>
      </w:r>
      <w:r w:rsidR="0017717F" w:rsidRPr="009F4C86">
        <w:rPr>
          <w:rStyle w:val="Strong"/>
          <w:rFonts w:ascii="Times New Roman" w:hAnsi="Times New Roman" w:cs="Times New Roman"/>
        </w:rPr>
        <w:t xml:space="preserve">Figure </w:t>
      </w:r>
      <w:r w:rsidRPr="009F4C86">
        <w:rPr>
          <w:rStyle w:val="Strong"/>
          <w:rFonts w:ascii="Times New Roman" w:hAnsi="Times New Roman" w:cs="Times New Roman"/>
        </w:rPr>
        <w:t>1</w:t>
      </w:r>
      <w:r w:rsidR="0017717F" w:rsidRPr="009F4C86">
        <w:rPr>
          <w:rStyle w:val="Strong"/>
          <w:rFonts w:ascii="Times New Roman" w:hAnsi="Times New Roman" w:cs="Times New Roman"/>
        </w:rPr>
        <w:t>.</w:t>
      </w:r>
      <w:r w:rsidR="0017717F" w:rsidRPr="009F4C86">
        <w:rPr>
          <w:rFonts w:ascii="Times New Roman" w:hAnsi="Times New Roman" w:cs="Times New Roman"/>
        </w:rPr>
        <w:t xml:space="preserve"> ROC curves comparing the primary multivariable model with versus without gonadal vein diameter (complete cases, n=189). Discrimination was similar across models (AUC ≈0.82 for both), indicating no incremental predictive value of gonadal vein diameter beyond age, lower-extremity varices, and proximal outflow compression.</w:t>
      </w:r>
    </w:p>
    <w:sectPr w:rsidR="0017717F" w:rsidRPr="0017717F" w:rsidSect="009F4C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99411"/>
    <w:multiLevelType w:val="multilevel"/>
    <w:tmpl w:val="6F6C09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041"/>
    <w:rsid w:val="0000686C"/>
    <w:rsid w:val="00033C61"/>
    <w:rsid w:val="000669B6"/>
    <w:rsid w:val="001342AA"/>
    <w:rsid w:val="00153530"/>
    <w:rsid w:val="0017717F"/>
    <w:rsid w:val="001B60EF"/>
    <w:rsid w:val="001C3CD9"/>
    <w:rsid w:val="001D286B"/>
    <w:rsid w:val="002B033C"/>
    <w:rsid w:val="002D1635"/>
    <w:rsid w:val="0037223A"/>
    <w:rsid w:val="003E0F22"/>
    <w:rsid w:val="00456379"/>
    <w:rsid w:val="00514C43"/>
    <w:rsid w:val="00534806"/>
    <w:rsid w:val="0057693B"/>
    <w:rsid w:val="005853A2"/>
    <w:rsid w:val="005C5565"/>
    <w:rsid w:val="007A445B"/>
    <w:rsid w:val="007A5CE6"/>
    <w:rsid w:val="0081173D"/>
    <w:rsid w:val="008236AE"/>
    <w:rsid w:val="00863281"/>
    <w:rsid w:val="008841C6"/>
    <w:rsid w:val="008C404D"/>
    <w:rsid w:val="008E17B9"/>
    <w:rsid w:val="00976584"/>
    <w:rsid w:val="00984C41"/>
    <w:rsid w:val="009F4C86"/>
    <w:rsid w:val="00A039D5"/>
    <w:rsid w:val="00A3763E"/>
    <w:rsid w:val="00A476EF"/>
    <w:rsid w:val="00A64C2B"/>
    <w:rsid w:val="00AD3EAE"/>
    <w:rsid w:val="00B25486"/>
    <w:rsid w:val="00BA7C84"/>
    <w:rsid w:val="00BB7041"/>
    <w:rsid w:val="00BC2199"/>
    <w:rsid w:val="00BF4A7C"/>
    <w:rsid w:val="00C35225"/>
    <w:rsid w:val="00C4361D"/>
    <w:rsid w:val="00C53905"/>
    <w:rsid w:val="00C951C0"/>
    <w:rsid w:val="00CE7234"/>
    <w:rsid w:val="00DC2E17"/>
    <w:rsid w:val="00E55F3C"/>
    <w:rsid w:val="00EC16C0"/>
    <w:rsid w:val="00F12BFC"/>
    <w:rsid w:val="00F565F7"/>
    <w:rsid w:val="00F663C4"/>
    <w:rsid w:val="00F9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E341F"/>
  <w15:chartTrackingRefBased/>
  <w15:docId w15:val="{E41065B2-DD27-8248-8DD8-9829D243E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6584"/>
  </w:style>
  <w:style w:type="paragraph" w:styleId="Heading1">
    <w:name w:val="heading 1"/>
    <w:basedOn w:val="Normal"/>
    <w:next w:val="Normal"/>
    <w:link w:val="Heading1Char"/>
    <w:uiPriority w:val="9"/>
    <w:qFormat/>
    <w:rsid w:val="00BB70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70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70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70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70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70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70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70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70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70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70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70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70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70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70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70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70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70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70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70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70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70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70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70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70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70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0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0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704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D2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17717F"/>
    <w:rPr>
      <w:b/>
      <w:bCs/>
    </w:rPr>
  </w:style>
  <w:style w:type="paragraph" w:styleId="BodyText">
    <w:name w:val="Body Text"/>
    <w:basedOn w:val="Normal"/>
    <w:link w:val="BodyTextChar"/>
    <w:qFormat/>
    <w:rsid w:val="002D1635"/>
    <w:pPr>
      <w:spacing w:before="180" w:after="180" w:line="240" w:lineRule="auto"/>
    </w:pPr>
    <w:rPr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rsid w:val="002D1635"/>
    <w:rPr>
      <w:kern w:val="0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2D1635"/>
  </w:style>
  <w:style w:type="paragraph" w:customStyle="1" w:styleId="Compact">
    <w:name w:val="Compact"/>
    <w:basedOn w:val="BodyText"/>
    <w:qFormat/>
    <w:rsid w:val="002D1635"/>
    <w:pPr>
      <w:spacing w:before="36" w:after="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844</TotalTime>
  <Pages>5</Pages>
  <Words>1192</Words>
  <Characters>6796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Aruna B</cp:lastModifiedBy>
  <cp:revision>19</cp:revision>
  <dcterms:created xsi:type="dcterms:W3CDTF">2026-01-20T06:13:00Z</dcterms:created>
  <dcterms:modified xsi:type="dcterms:W3CDTF">2026-05-20T07:58:00Z</dcterms:modified>
</cp:coreProperties>
</file>