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6" w:space="0" w:color="000000"/>
          <w:left w:val="none" w:sz="0" w:space="0" w:color="000000"/>
          <w:bottom w:val="single" w:sz="6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713"/>
        <w:gridCol w:w="4713"/>
        <w:gridCol w:w="4713"/>
      </w:tblGrid>
      <w:tr w:rsidR="001B73B2" w:rsidRPr="001B73B2" w14:paraId="6912FE1D" w14:textId="77777777" w:rsidTr="00B56DC9">
        <w:trPr>
          <w:jc w:val="center"/>
        </w:trPr>
        <w:tc>
          <w:tcPr>
            <w:tcW w:w="4713" w:type="dxa"/>
            <w:tcBorders>
              <w:bottom w:val="single" w:sz="2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19CA88" w14:textId="77777777" w:rsidR="001B73B2" w:rsidRPr="001B73B2" w:rsidRDefault="001B73B2" w:rsidP="001B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t>Domain</w:t>
            </w:r>
          </w:p>
        </w:tc>
        <w:tc>
          <w:tcPr>
            <w:tcW w:w="4713" w:type="dxa"/>
            <w:tcBorders>
              <w:bottom w:val="single" w:sz="2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7BB4B3" w14:textId="77777777" w:rsidR="001B73B2" w:rsidRPr="001B73B2" w:rsidRDefault="001B73B2" w:rsidP="001B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t>Judgment distribution</w:t>
            </w:r>
          </w:p>
        </w:tc>
        <w:tc>
          <w:tcPr>
            <w:tcW w:w="4713" w:type="dxa"/>
            <w:tcBorders>
              <w:bottom w:val="single" w:sz="2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D00315" w14:textId="77777777" w:rsidR="001B73B2" w:rsidRPr="001B73B2" w:rsidRDefault="001B73B2" w:rsidP="001B7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s-CO" w:eastAsia="es-CO"/>
                <w14:ligatures w14:val="none"/>
              </w:rPr>
              <w:t>Support for judgment</w:t>
            </w:r>
          </w:p>
        </w:tc>
      </w:tr>
      <w:tr w:rsidR="001B73B2" w:rsidRPr="001B73B2" w14:paraId="77C283BD" w14:textId="77777777" w:rsidTr="00B56DC9">
        <w:trPr>
          <w:jc w:val="center"/>
        </w:trPr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8AB954D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D1. Confounding</w:t>
            </w:r>
          </w:p>
        </w:tc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98B5AA1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Critical (35/35)</w:t>
            </w:r>
          </w:p>
        </w:tc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2209A0C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 xml:space="preserve">All </w:t>
            </w:r>
            <w:proofErr w:type="gramStart"/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>single-arm</w:t>
            </w:r>
            <w:proofErr w:type="gramEnd"/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 xml:space="preserve"> without control group. Cannot distinguish treatment effect from placebo response, natural disease course, regression to the mean, or concurrent conservative therapies (NSAIDs, PT, injections allowed in most studies).</w:t>
            </w:r>
          </w:p>
        </w:tc>
      </w:tr>
      <w:tr w:rsidR="001B73B2" w:rsidRPr="001B73B2" w14:paraId="7612B36F" w14:textId="77777777" w:rsidTr="00B56DC9">
        <w:trPr>
          <w:jc w:val="center"/>
        </w:trPr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C44F180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D2. Selection</w:t>
            </w:r>
          </w:p>
        </w:tc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7BF1C7D6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 (15) / Moderate (20)</w:t>
            </w:r>
          </w:p>
        </w:tc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58C6531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 xml:space="preserve">Low: prospective studies with clear eligibility and consecutive enrollment (Padia, Bagla 2020, </w:t>
            </w:r>
            <w:proofErr w:type="spellStart"/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>Callese</w:t>
            </w:r>
            <w:proofErr w:type="spellEnd"/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 xml:space="preserve">, Fleckenstein, Little 2024, Harrison, </w:t>
            </w:r>
            <w:proofErr w:type="spellStart"/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>Sapoval</w:t>
            </w:r>
            <w:proofErr w:type="spellEnd"/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 xml:space="preserve"> 2023/2025, </w:t>
            </w:r>
            <w:proofErr w:type="spellStart"/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>Hindso</w:t>
            </w:r>
            <w:proofErr w:type="spellEnd"/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>, Taslakian 2025, Taheri Amin 2026a). Moderate: retrospective designs with potential selection bias or post-hoc exclusions.</w:t>
            </w:r>
          </w:p>
        </w:tc>
      </w:tr>
      <w:tr w:rsidR="001B73B2" w:rsidRPr="001B73B2" w14:paraId="559D501F" w14:textId="77777777" w:rsidTr="00B56DC9">
        <w:trPr>
          <w:jc w:val="center"/>
        </w:trPr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67A90BA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D3. Classification</w:t>
            </w:r>
          </w:p>
        </w:tc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70EFC85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 (35/35)</w:t>
            </w:r>
          </w:p>
        </w:tc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4FA690F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 xml:space="preserve">GAE </w:t>
            </w:r>
            <w:proofErr w:type="gramStart"/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>well</w:t>
            </w:r>
            <w:proofErr w:type="gramEnd"/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 xml:space="preserve">-defined in all studies: target arteries, embolic material, and angiographic endpoint clearly described. </w:t>
            </w:r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No ambiguity in intervention classification.</w:t>
            </w:r>
          </w:p>
        </w:tc>
      </w:tr>
      <w:tr w:rsidR="001B73B2" w:rsidRPr="001B73B2" w14:paraId="518C28EF" w14:textId="77777777" w:rsidTr="00B56DC9">
        <w:trPr>
          <w:jc w:val="center"/>
        </w:trPr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F178FC7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D4. Deviations</w:t>
            </w:r>
          </w:p>
        </w:tc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5F388F5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 (33) / Moderate (2)</w:t>
            </w:r>
          </w:p>
        </w:tc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AD9D34E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>Most patients received the planned intervention. Moderate: Landers 2020 (2 different embolic agents used in same study); Taheri Amin 2025a (non-validated questionnaire may alter patient perception).</w:t>
            </w:r>
          </w:p>
        </w:tc>
      </w:tr>
      <w:tr w:rsidR="001B73B2" w:rsidRPr="001B73B2" w14:paraId="369504D9" w14:textId="77777777" w:rsidTr="00B56DC9">
        <w:trPr>
          <w:jc w:val="center"/>
        </w:trPr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90B2B40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D5. Missing data</w:t>
            </w:r>
          </w:p>
        </w:tc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C86E23D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 (24) / Moderate (11)</w:t>
            </w:r>
          </w:p>
        </w:tc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DA1E32D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 xml:space="preserve">Low: studies with 100% follow-up or minimal attrition (&lt;15%). Moderate: Fleckenstein 2025 (82% at 12mo), </w:t>
            </w:r>
            <w:proofErr w:type="spellStart"/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>Sapoval</w:t>
            </w:r>
            <w:proofErr w:type="spellEnd"/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 xml:space="preserve"> 2025 (74% knees at 12mo), Taslakian 2023 (37.5% at 12mo), Taslakian/Mabud 2025/2026 (84% at 12mo), van </w:t>
            </w:r>
            <w:proofErr w:type="spellStart"/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>Zadelhoff</w:t>
            </w:r>
            <w:proofErr w:type="spellEnd"/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 xml:space="preserve"> 2021 (12/66 excluded for MRI quality), Badar 2025a (44% at 2yr).</w:t>
            </w:r>
          </w:p>
        </w:tc>
      </w:tr>
      <w:tr w:rsidR="001B73B2" w:rsidRPr="001B73B2" w14:paraId="146DEBF8" w14:textId="77777777" w:rsidTr="00B56DC9">
        <w:trPr>
          <w:jc w:val="center"/>
        </w:trPr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DE7C7F6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D6. Measurement</w:t>
            </w:r>
          </w:p>
        </w:tc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FEED4A7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Moderate (32) / Serious (3)</w:t>
            </w:r>
          </w:p>
        </w:tc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860CB8E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>Moderate: self-reported PROMs (VAS, WOMAC, KOOS) without blinding; expectation bias inherent in open-label designs. Serious: Russu 2022 (reversed WOMAC 0–100 scale where higher = better, inconsistent with standard Likert); Taheri Amin 2025a (non-validated 10-item NRS questionnaire).</w:t>
            </w:r>
          </w:p>
        </w:tc>
      </w:tr>
      <w:tr w:rsidR="001B73B2" w:rsidRPr="001B73B2" w14:paraId="7C35F182" w14:textId="77777777" w:rsidTr="00B56DC9">
        <w:trPr>
          <w:jc w:val="center"/>
        </w:trPr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5802335A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b/>
                <w:kern w:val="0"/>
                <w:sz w:val="15"/>
                <w:lang w:val="es-CO" w:eastAsia="es-CO"/>
                <w14:ligatures w14:val="none"/>
              </w:rPr>
              <w:t>D7. Reporting</w:t>
            </w:r>
          </w:p>
        </w:tc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778EE9E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s-CO" w:eastAsia="es-CO"/>
                <w14:ligatures w14:val="none"/>
              </w:rPr>
              <w:t>Low (30) / Moderate (5)</w:t>
            </w:r>
          </w:p>
        </w:tc>
        <w:tc>
          <w:tcPr>
            <w:tcW w:w="471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56704F5" w14:textId="77777777" w:rsidR="001B73B2" w:rsidRPr="001B73B2" w:rsidRDefault="001B73B2" w:rsidP="001B73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CO"/>
                <w14:ligatures w14:val="none"/>
              </w:rPr>
            </w:pPr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 xml:space="preserve">Low: pre-registered studies with outcomes aligned to protocol. Moderate: unregistered retrospective studies reporting multiple timepoints and post-hoc </w:t>
            </w:r>
            <w:proofErr w:type="spellStart"/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>subanalyses</w:t>
            </w:r>
            <w:proofErr w:type="spellEnd"/>
            <w:r w:rsidRPr="001B73B2">
              <w:rPr>
                <w:rFonts w:ascii="Times New Roman" w:eastAsia="Times New Roman" w:hAnsi="Times New Roman" w:cs="Times New Roman"/>
                <w:kern w:val="0"/>
                <w:sz w:val="15"/>
                <w:lang w:val="en-US" w:eastAsia="es-CO"/>
                <w14:ligatures w14:val="none"/>
              </w:rPr>
              <w:t xml:space="preserve"> without clear a priori specification (Min 2023, Dablan 2025).</w:t>
            </w:r>
          </w:p>
        </w:tc>
      </w:tr>
    </w:tbl>
    <w:p w14:paraId="0D11E218" w14:textId="77777777" w:rsidR="00423D83" w:rsidRPr="001B73B2" w:rsidRDefault="00423D83">
      <w:pPr>
        <w:rPr>
          <w:lang w:val="es-CO"/>
        </w:rPr>
      </w:pPr>
    </w:p>
    <w:sectPr w:rsidR="00423D83" w:rsidRPr="001B73B2" w:rsidSect="001B73B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D83"/>
    <w:rsid w:val="00005A38"/>
    <w:rsid w:val="001B73B2"/>
    <w:rsid w:val="0042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3A9E6-28F9-497E-B2D7-AD20AE020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23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3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23D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23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23D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23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23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23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23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23D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3D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23D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23D8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23D8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23D8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23D8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23D8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23D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23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23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23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23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23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23D8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23D8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23D8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23D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23D8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23D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1704</Characters>
  <Application>Microsoft Office Word</Application>
  <DocSecurity>0</DocSecurity>
  <Lines>85</Lines>
  <Paragraphs>66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taheri amin</dc:creator>
  <cp:keywords/>
  <dc:description/>
  <cp:lastModifiedBy>Arian taheri amin</cp:lastModifiedBy>
  <cp:revision>2</cp:revision>
  <dcterms:created xsi:type="dcterms:W3CDTF">2026-04-11T20:33:00Z</dcterms:created>
  <dcterms:modified xsi:type="dcterms:W3CDTF">2026-04-11T20:33:00Z</dcterms:modified>
</cp:coreProperties>
</file>