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29E" w:rsidRPr="00696C73" w:rsidRDefault="006F529E" w:rsidP="006F529E">
      <w:pPr>
        <w:rPr>
          <w:rFonts w:ascii="Arial" w:hAnsi="Arial" w:cs="Arial"/>
          <w:b/>
          <w:bCs/>
        </w:rPr>
      </w:pPr>
      <w:r w:rsidRPr="00696C73">
        <w:rPr>
          <w:rFonts w:ascii="Arial" w:hAnsi="Arial" w:cs="Arial"/>
          <w:b/>
          <w:bCs/>
        </w:rPr>
        <w:t>Supplements</w:t>
      </w:r>
    </w:p>
    <w:p w:rsidR="006F529E" w:rsidRPr="00696C73" w:rsidRDefault="006F529E" w:rsidP="006F529E">
      <w:pPr>
        <w:rPr>
          <w:rFonts w:ascii="Arial" w:hAnsi="Arial" w:cs="Arial"/>
          <w:b/>
          <w:bCs/>
        </w:rPr>
      </w:pPr>
      <w:r w:rsidRPr="00696C73">
        <w:rPr>
          <w:rFonts w:ascii="Arial" w:hAnsi="Arial" w:cs="Arial"/>
          <w:b/>
          <w:bCs/>
        </w:rPr>
        <w:t>Supplementary Table 1:</w:t>
      </w:r>
      <w:r w:rsidRPr="00696C73">
        <w:t xml:space="preserve"> </w:t>
      </w:r>
      <w:r w:rsidRPr="00696C73">
        <w:rPr>
          <w:rFonts w:ascii="Arial" w:hAnsi="Arial" w:cs="Arial"/>
          <w:b/>
          <w:bCs/>
        </w:rPr>
        <w:t>Complete results of the first open-ended round.</w:t>
      </w:r>
    </w:p>
    <w:p w:rsidR="006F529E" w:rsidRPr="00696C73" w:rsidRDefault="006F529E" w:rsidP="006F529E">
      <w:pPr>
        <w:spacing w:line="480" w:lineRule="auto"/>
        <w:rPr>
          <w:rFonts w:ascii="Arial" w:hAnsi="Arial" w:cs="Arial"/>
          <w:bCs/>
        </w:rPr>
      </w:pPr>
      <w:r w:rsidRPr="00696C73">
        <w:rPr>
          <w:rFonts w:ascii="Arial" w:hAnsi="Arial" w:cs="Arial"/>
          <w:bCs/>
        </w:rPr>
        <w:t xml:space="preserve">Results of the first Delphi round, presented per question with response options, number of respondents selecting each option, and percentage relative to the full panel (n = 29). For questions allowing multiple selections, percentages may not sum to 100%. Of the 72 questions included in round one, 8 questions pertaining to </w:t>
      </w:r>
      <w:proofErr w:type="spellStart"/>
      <w:r w:rsidRPr="00696C73">
        <w:rPr>
          <w:rFonts w:ascii="Arial" w:hAnsi="Arial" w:cs="Arial"/>
          <w:bCs/>
        </w:rPr>
        <w:t>panelist</w:t>
      </w:r>
      <w:proofErr w:type="spellEnd"/>
      <w:r w:rsidRPr="00696C73">
        <w:rPr>
          <w:rFonts w:ascii="Arial" w:hAnsi="Arial" w:cs="Arial"/>
          <w:bCs/>
        </w:rPr>
        <w:t xml:space="preserve"> characterization (e.g., country of practice, field of expertise, experience in GAE) are not listed in this table. The corresponding results are presented in Table 1. Results of this exploratory round informed the development of the 75 statements rated in rounds 2 and 3.</w:t>
      </w:r>
    </w:p>
    <w:p w:rsidR="006F529E" w:rsidRPr="00696C73" w:rsidRDefault="006F529E" w:rsidP="006F529E">
      <w:pPr>
        <w:rPr>
          <w:rFonts w:ascii="Arial" w:hAnsi="Arial" w:cs="Arial"/>
          <w:bCs/>
          <w:i/>
        </w:rPr>
      </w:pPr>
      <w:r w:rsidRPr="00696C73">
        <w:rPr>
          <w:rFonts w:ascii="Arial" w:hAnsi="Arial" w:cs="Arial"/>
          <w:bCs/>
          <w:i/>
        </w:rPr>
        <w:t xml:space="preserve">Abbreviations: GAE: Genicular Artery Embolization; IR: Interventional Radiologist; NRS: Numeric Rating Scale; VAS: Visual Analogue Scale; OA: Osteoarthritis; K&amp;L: </w:t>
      </w:r>
      <w:proofErr w:type="spellStart"/>
      <w:r w:rsidRPr="00696C73">
        <w:rPr>
          <w:rFonts w:ascii="Arial" w:hAnsi="Arial" w:cs="Arial"/>
          <w:bCs/>
          <w:i/>
        </w:rPr>
        <w:t>Kellgren</w:t>
      </w:r>
      <w:proofErr w:type="spellEnd"/>
      <w:r w:rsidRPr="00696C73">
        <w:rPr>
          <w:rFonts w:ascii="Arial" w:hAnsi="Arial" w:cs="Arial"/>
          <w:bCs/>
          <w:i/>
        </w:rPr>
        <w:t xml:space="preserve">–Lawrence Grade; TKA: Total Knee Arthroplasty; BMI: Body Mass Index; ECG: Electrocardiogram; Fr: French; DGA: Descending Genicular Artery; SMGA: </w:t>
      </w:r>
      <w:proofErr w:type="spellStart"/>
      <w:r w:rsidRPr="00696C73">
        <w:rPr>
          <w:rFonts w:ascii="Arial" w:hAnsi="Arial" w:cs="Arial"/>
          <w:bCs/>
          <w:i/>
        </w:rPr>
        <w:t>Superomedial</w:t>
      </w:r>
      <w:proofErr w:type="spellEnd"/>
      <w:r w:rsidRPr="00696C73">
        <w:rPr>
          <w:rFonts w:ascii="Arial" w:hAnsi="Arial" w:cs="Arial"/>
          <w:bCs/>
          <w:i/>
        </w:rPr>
        <w:t xml:space="preserve"> Genicular Artery; IMGA: </w:t>
      </w:r>
      <w:proofErr w:type="spellStart"/>
      <w:r w:rsidRPr="00696C73">
        <w:rPr>
          <w:rFonts w:ascii="Arial" w:hAnsi="Arial" w:cs="Arial"/>
          <w:bCs/>
          <w:i/>
        </w:rPr>
        <w:t>Inferomedial</w:t>
      </w:r>
      <w:proofErr w:type="spellEnd"/>
      <w:r w:rsidRPr="00696C73">
        <w:rPr>
          <w:rFonts w:ascii="Arial" w:hAnsi="Arial" w:cs="Arial"/>
          <w:bCs/>
          <w:i/>
        </w:rPr>
        <w:t xml:space="preserve"> Genicular Artery; SLGA: </w:t>
      </w:r>
      <w:proofErr w:type="spellStart"/>
      <w:r w:rsidRPr="00696C73">
        <w:rPr>
          <w:rFonts w:ascii="Arial" w:hAnsi="Arial" w:cs="Arial"/>
          <w:bCs/>
          <w:i/>
        </w:rPr>
        <w:t>Superolateral</w:t>
      </w:r>
      <w:proofErr w:type="spellEnd"/>
      <w:r w:rsidRPr="00696C73">
        <w:rPr>
          <w:rFonts w:ascii="Arial" w:hAnsi="Arial" w:cs="Arial"/>
          <w:bCs/>
          <w:i/>
        </w:rPr>
        <w:t xml:space="preserve"> Genicular Artery; ILGA: Inferolateral Genicular Artery; ARTA: Anterior Recurrent </w:t>
      </w:r>
      <w:proofErr w:type="spellStart"/>
      <w:r w:rsidRPr="00696C73">
        <w:rPr>
          <w:rFonts w:ascii="Arial" w:hAnsi="Arial" w:cs="Arial"/>
          <w:bCs/>
          <w:i/>
        </w:rPr>
        <w:t>Tibial</w:t>
      </w:r>
      <w:proofErr w:type="spellEnd"/>
      <w:r w:rsidRPr="00696C73">
        <w:rPr>
          <w:rFonts w:ascii="Arial" w:hAnsi="Arial" w:cs="Arial"/>
          <w:bCs/>
          <w:i/>
        </w:rPr>
        <w:t xml:space="preserve"> Artery; KOOS: Knee injury and Osteoarthritis Outcome Score; WOMAC: Western Ontario and McMaster Universities Osteoarthritis Index; MCID: Minimal Clinically Important Difference.</w:t>
      </w:r>
    </w:p>
    <w:p w:rsidR="006F529E" w:rsidRPr="00696C73" w:rsidRDefault="006F529E" w:rsidP="006F529E">
      <w:pPr>
        <w:rPr>
          <w:rFonts w:ascii="Arial" w:hAnsi="Arial" w:cs="Arial"/>
          <w:b/>
          <w:bCs/>
        </w:rPr>
      </w:pPr>
    </w:p>
    <w:tbl>
      <w:tblPr>
        <w:tblStyle w:val="Tabellenraster20"/>
        <w:tblW w:w="0" w:type="auto"/>
        <w:tblLook w:val="04A0" w:firstRow="1" w:lastRow="0" w:firstColumn="1" w:lastColumn="0" w:noHBand="0" w:noVBand="1"/>
      </w:tblPr>
      <w:tblGrid>
        <w:gridCol w:w="590"/>
        <w:gridCol w:w="5610"/>
        <w:gridCol w:w="1418"/>
        <w:gridCol w:w="1444"/>
      </w:tblGrid>
      <w:tr w:rsidR="006F529E" w:rsidRPr="00696C73" w:rsidTr="00811D9D">
        <w:tc>
          <w:tcPr>
            <w:tcW w:w="590" w:type="dxa"/>
          </w:tcPr>
          <w:p w:rsidR="006F529E" w:rsidRPr="00696C73" w:rsidRDefault="006F529E" w:rsidP="00811D9D">
            <w:pPr>
              <w:rPr>
                <w:rFonts w:ascii="Arial" w:eastAsia="Aptos" w:hAnsi="Arial" w:cs="Arial"/>
                <w:b/>
                <w:sz w:val="20"/>
                <w:szCs w:val="20"/>
              </w:rPr>
            </w:pPr>
            <w:r w:rsidRPr="00696C73">
              <w:rPr>
                <w:rFonts w:ascii="Arial" w:eastAsia="Aptos" w:hAnsi="Arial" w:cs="Arial"/>
                <w:b/>
                <w:sz w:val="20"/>
                <w:szCs w:val="20"/>
              </w:rPr>
              <w:t>No.</w:t>
            </w:r>
          </w:p>
        </w:tc>
        <w:tc>
          <w:tcPr>
            <w:tcW w:w="5610" w:type="dxa"/>
          </w:tcPr>
          <w:p w:rsidR="006F529E" w:rsidRPr="00696C73" w:rsidRDefault="006F529E" w:rsidP="00811D9D">
            <w:pPr>
              <w:rPr>
                <w:rFonts w:ascii="Arial" w:eastAsia="Aptos" w:hAnsi="Arial" w:cs="Arial"/>
                <w:b/>
                <w:sz w:val="20"/>
                <w:szCs w:val="20"/>
              </w:rPr>
            </w:pPr>
            <w:r w:rsidRPr="00696C73">
              <w:rPr>
                <w:rFonts w:ascii="Arial" w:eastAsia="Aptos" w:hAnsi="Arial" w:cs="Arial"/>
                <w:b/>
                <w:sz w:val="20"/>
                <w:szCs w:val="20"/>
              </w:rPr>
              <w:t xml:space="preserve">Question </w:t>
            </w:r>
            <w:r w:rsidRPr="00696C73">
              <w:rPr>
                <w:rFonts w:ascii="Arial" w:eastAsia="Aptos" w:hAnsi="Arial" w:cs="Arial"/>
                <w:b/>
                <w:i/>
                <w:sz w:val="20"/>
                <w:szCs w:val="20"/>
              </w:rPr>
              <w:t>(Answers)</w:t>
            </w:r>
          </w:p>
        </w:tc>
        <w:tc>
          <w:tcPr>
            <w:tcW w:w="1418" w:type="dxa"/>
          </w:tcPr>
          <w:p w:rsidR="006F529E" w:rsidRPr="00696C73" w:rsidRDefault="006F529E" w:rsidP="00811D9D">
            <w:pPr>
              <w:jc w:val="center"/>
              <w:rPr>
                <w:rFonts w:ascii="Arial" w:eastAsia="Aptos" w:hAnsi="Arial" w:cs="Arial"/>
                <w:b/>
                <w:sz w:val="20"/>
                <w:szCs w:val="20"/>
              </w:rPr>
            </w:pPr>
            <w:r w:rsidRPr="00696C73">
              <w:rPr>
                <w:rFonts w:ascii="Arial" w:eastAsia="Aptos" w:hAnsi="Arial" w:cs="Arial"/>
                <w:b/>
                <w:sz w:val="20"/>
                <w:szCs w:val="20"/>
              </w:rPr>
              <w:t>Responses</w:t>
            </w:r>
          </w:p>
        </w:tc>
        <w:tc>
          <w:tcPr>
            <w:tcW w:w="1444" w:type="dxa"/>
          </w:tcPr>
          <w:p w:rsidR="006F529E" w:rsidRPr="00696C73" w:rsidRDefault="006F529E" w:rsidP="00811D9D">
            <w:pPr>
              <w:jc w:val="center"/>
              <w:rPr>
                <w:rFonts w:ascii="Arial" w:eastAsia="Aptos" w:hAnsi="Arial" w:cs="Arial"/>
                <w:b/>
                <w:sz w:val="20"/>
                <w:szCs w:val="20"/>
              </w:rPr>
            </w:pPr>
            <w:r w:rsidRPr="00696C73">
              <w:rPr>
                <w:rFonts w:ascii="Arial" w:eastAsia="Aptos" w:hAnsi="Arial" w:cs="Arial"/>
                <w:b/>
                <w:sz w:val="20"/>
                <w:szCs w:val="20"/>
              </w:rPr>
              <w:t>Percentage</w:t>
            </w:r>
          </w:p>
        </w:tc>
      </w:tr>
      <w:tr w:rsidR="006F529E" w:rsidRPr="00696C73" w:rsidTr="00811D9D">
        <w:tc>
          <w:tcPr>
            <w:tcW w:w="590" w:type="dxa"/>
            <w:vMerge w:val="restart"/>
            <w:vAlign w:val="center"/>
          </w:tcPr>
          <w:p w:rsidR="006F529E" w:rsidRPr="00696C73" w:rsidRDefault="006F529E" w:rsidP="00811D9D">
            <w:pPr>
              <w:jc w:val="center"/>
              <w:rPr>
                <w:rFonts w:ascii="Arial" w:eastAsia="Aptos" w:hAnsi="Arial" w:cs="Arial"/>
                <w:sz w:val="20"/>
                <w:szCs w:val="20"/>
              </w:rPr>
            </w:pPr>
            <w:r w:rsidRPr="00696C73">
              <w:rPr>
                <w:rFonts w:ascii="Arial" w:eastAsia="Aptos" w:hAnsi="Arial" w:cs="Arial"/>
                <w:sz w:val="20"/>
                <w:szCs w:val="20"/>
              </w:rPr>
              <w:t>1</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From which medical specialty are patients mainly referred to you?</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Radiology (radiology clinic)</w:t>
            </w:r>
          </w:p>
        </w:tc>
        <w:tc>
          <w:tcPr>
            <w:tcW w:w="1418"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9</w:t>
            </w:r>
          </w:p>
        </w:tc>
        <w:tc>
          <w:tcPr>
            <w:tcW w:w="1444"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31%</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Orthopedics</w:t>
            </w:r>
          </w:p>
        </w:tc>
        <w:tc>
          <w:tcPr>
            <w:tcW w:w="1418"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18</w:t>
            </w:r>
          </w:p>
        </w:tc>
        <w:tc>
          <w:tcPr>
            <w:tcW w:w="1444"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62%</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Rheumatology</w:t>
            </w:r>
          </w:p>
        </w:tc>
        <w:tc>
          <w:tcPr>
            <w:tcW w:w="1418"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5</w:t>
            </w:r>
          </w:p>
        </w:tc>
        <w:tc>
          <w:tcPr>
            <w:tcW w:w="1444"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17%</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Pain medicine</w:t>
            </w:r>
          </w:p>
        </w:tc>
        <w:tc>
          <w:tcPr>
            <w:tcW w:w="1418"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6</w:t>
            </w:r>
          </w:p>
        </w:tc>
        <w:tc>
          <w:tcPr>
            <w:tcW w:w="1444"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21%</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General practitioner</w:t>
            </w:r>
          </w:p>
        </w:tc>
        <w:tc>
          <w:tcPr>
            <w:tcW w:w="1418"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10</w:t>
            </w:r>
          </w:p>
        </w:tc>
        <w:tc>
          <w:tcPr>
            <w:tcW w:w="1444"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34%</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Self-referrals</w:t>
            </w:r>
          </w:p>
        </w:tc>
        <w:tc>
          <w:tcPr>
            <w:tcW w:w="1418"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21</w:t>
            </w:r>
          </w:p>
        </w:tc>
        <w:tc>
          <w:tcPr>
            <w:tcW w:w="1444" w:type="dxa"/>
            <w:vAlign w:val="center"/>
          </w:tcPr>
          <w:p w:rsidR="006F529E" w:rsidRPr="00696C73" w:rsidRDefault="006F529E" w:rsidP="00811D9D">
            <w:pPr>
              <w:jc w:val="center"/>
              <w:rPr>
                <w:rFonts w:ascii="Arial" w:eastAsia="Aptos" w:hAnsi="Arial" w:cs="Arial"/>
                <w:sz w:val="20"/>
                <w:szCs w:val="20"/>
              </w:rPr>
            </w:pPr>
            <w:r w:rsidRPr="00696C73">
              <w:rPr>
                <w:rFonts w:ascii="Arial" w:eastAsia="Times New Roman" w:hAnsi="Arial" w:cs="Arial"/>
                <w:sz w:val="20"/>
                <w:szCs w:val="20"/>
              </w:rPr>
              <w:t>72%</w:t>
            </w:r>
          </w:p>
        </w:tc>
      </w:tr>
      <w:tr w:rsidR="006F529E" w:rsidRPr="00696C73" w:rsidTr="00811D9D">
        <w:tc>
          <w:tcPr>
            <w:tcW w:w="590" w:type="dxa"/>
            <w:vMerge w:val="restart"/>
            <w:vAlign w:val="center"/>
          </w:tcPr>
          <w:p w:rsidR="006F529E" w:rsidRPr="00696C73" w:rsidRDefault="006F529E" w:rsidP="00811D9D">
            <w:pPr>
              <w:jc w:val="center"/>
              <w:rPr>
                <w:rFonts w:ascii="Arial" w:eastAsia="Aptos" w:hAnsi="Arial" w:cs="Arial"/>
                <w:sz w:val="20"/>
                <w:szCs w:val="20"/>
              </w:rPr>
            </w:pPr>
            <w:r w:rsidRPr="00696C73">
              <w:rPr>
                <w:rFonts w:ascii="Arial" w:eastAsia="Aptos" w:hAnsi="Arial" w:cs="Arial"/>
                <w:sz w:val="20"/>
                <w:szCs w:val="20"/>
              </w:rPr>
              <w:t>2</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In what setting does the majority of your GAE procedures take place?</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Within a prospective study (including observational studies)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34%</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Outside of a study</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19</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66%</w:t>
            </w:r>
          </w:p>
        </w:tc>
      </w:tr>
      <w:tr w:rsidR="006F529E" w:rsidRPr="00696C73" w:rsidTr="00811D9D">
        <w:tc>
          <w:tcPr>
            <w:tcW w:w="590" w:type="dxa"/>
            <w:vMerge w:val="restart"/>
            <w:vAlign w:val="center"/>
          </w:tcPr>
          <w:p w:rsidR="006F529E" w:rsidRPr="00696C73" w:rsidRDefault="006F529E" w:rsidP="00811D9D">
            <w:pPr>
              <w:jc w:val="center"/>
              <w:rPr>
                <w:rFonts w:ascii="Arial" w:eastAsia="Aptos" w:hAnsi="Arial" w:cs="Arial"/>
                <w:sz w:val="20"/>
                <w:szCs w:val="20"/>
              </w:rPr>
            </w:pPr>
            <w:r w:rsidRPr="00696C73">
              <w:rPr>
                <w:rFonts w:ascii="Arial" w:eastAsia="Aptos" w:hAnsi="Arial" w:cs="Arial"/>
                <w:sz w:val="20"/>
                <w:szCs w:val="20"/>
              </w:rPr>
              <w:t>3</w:t>
            </w:r>
          </w:p>
        </w:tc>
        <w:tc>
          <w:tcPr>
            <w:tcW w:w="5610" w:type="dxa"/>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Who determines the indication for GAE?</w:t>
            </w:r>
          </w:p>
        </w:tc>
        <w:tc>
          <w:tcPr>
            <w:tcW w:w="1418" w:type="dxa"/>
          </w:tcPr>
          <w:p w:rsidR="006F529E" w:rsidRPr="00696C73" w:rsidRDefault="006F529E" w:rsidP="00811D9D">
            <w:pPr>
              <w:jc w:val="center"/>
              <w:rPr>
                <w:rFonts w:ascii="Arial" w:eastAsia="Aptos" w:hAnsi="Arial" w:cs="Arial"/>
                <w:sz w:val="20"/>
                <w:szCs w:val="20"/>
              </w:rPr>
            </w:pPr>
          </w:p>
        </w:tc>
        <w:tc>
          <w:tcPr>
            <w:tcW w:w="1444" w:type="dxa"/>
          </w:tcPr>
          <w:p w:rsidR="006F529E" w:rsidRPr="00696C73" w:rsidRDefault="006F529E" w:rsidP="00811D9D">
            <w:pPr>
              <w:jc w:val="center"/>
              <w:rPr>
                <w:rFonts w:ascii="Arial" w:eastAsia="Aptos" w:hAnsi="Arial" w:cs="Arial"/>
                <w:sz w:val="20"/>
                <w:szCs w:val="20"/>
              </w:rPr>
            </w:pP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You as the interventional radiologist</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20</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69%</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The referring physician</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3</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10%</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Interdisciplinary conferences with IR and other specialties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6</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21%</w:t>
            </w:r>
          </w:p>
        </w:tc>
      </w:tr>
      <w:tr w:rsidR="006F529E" w:rsidRPr="00696C73" w:rsidTr="00811D9D">
        <w:tc>
          <w:tcPr>
            <w:tcW w:w="590" w:type="dxa"/>
            <w:vMerge w:val="restart"/>
            <w:vAlign w:val="center"/>
          </w:tcPr>
          <w:p w:rsidR="006F529E" w:rsidRPr="00696C73" w:rsidRDefault="006F529E" w:rsidP="00811D9D">
            <w:pPr>
              <w:jc w:val="center"/>
              <w:rPr>
                <w:rFonts w:ascii="Arial" w:eastAsia="Aptos" w:hAnsi="Arial" w:cs="Arial"/>
                <w:sz w:val="20"/>
                <w:szCs w:val="20"/>
              </w:rPr>
            </w:pPr>
            <w:r w:rsidRPr="00696C73">
              <w:rPr>
                <w:rFonts w:ascii="Arial" w:eastAsia="Aptos" w:hAnsi="Arial" w:cs="Arial"/>
                <w:sz w:val="20"/>
                <w:szCs w:val="20"/>
              </w:rPr>
              <w:t>4</w:t>
            </w:r>
          </w:p>
        </w:tc>
        <w:tc>
          <w:tcPr>
            <w:tcW w:w="8472" w:type="dxa"/>
            <w:gridSpan w:val="3"/>
          </w:tcPr>
          <w:p w:rsidR="006F529E" w:rsidRPr="00696C73" w:rsidRDefault="006F529E" w:rsidP="00811D9D">
            <w:pPr>
              <w:tabs>
                <w:tab w:val="left" w:pos="1980"/>
              </w:tabs>
              <w:rPr>
                <w:rFonts w:ascii="Arial" w:eastAsia="Aptos" w:hAnsi="Arial" w:cs="Arial"/>
                <w:sz w:val="20"/>
                <w:szCs w:val="20"/>
              </w:rPr>
            </w:pPr>
            <w:r w:rsidRPr="00696C73">
              <w:rPr>
                <w:rFonts w:ascii="Arial" w:eastAsia="Aptos" w:hAnsi="Arial" w:cs="Arial"/>
                <w:sz w:val="20"/>
                <w:szCs w:val="20"/>
              </w:rPr>
              <w:t>What are indications for GAE?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Knee pain due to osteoarthritis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29</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Knee pain due to tendinopathies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13</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45%</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Bridge to total knee arthroplasty</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55%</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Knee pain after total knee arthroplasty</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Knee pain related to inflammatory arthritis (e.g. rheumatoid arthritis, psoriatic arthritis)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Recurrent hemarthrosis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72%</w:t>
            </w:r>
          </w:p>
        </w:tc>
      </w:tr>
      <w:tr w:rsidR="006F529E" w:rsidRPr="00696C73" w:rsidTr="00811D9D">
        <w:tc>
          <w:tcPr>
            <w:tcW w:w="590" w:type="dxa"/>
            <w:vMerge w:val="restart"/>
            <w:vAlign w:val="center"/>
          </w:tcPr>
          <w:p w:rsidR="006F529E" w:rsidRPr="00696C73" w:rsidRDefault="006F529E" w:rsidP="00811D9D">
            <w:pPr>
              <w:jc w:val="center"/>
              <w:rPr>
                <w:rFonts w:ascii="Arial" w:eastAsia="Aptos" w:hAnsi="Arial" w:cs="Arial"/>
                <w:sz w:val="20"/>
                <w:szCs w:val="20"/>
              </w:rPr>
            </w:pPr>
            <w:r w:rsidRPr="00696C73">
              <w:rPr>
                <w:rFonts w:ascii="Arial" w:eastAsia="Aptos" w:hAnsi="Arial" w:cs="Arial"/>
                <w:sz w:val="20"/>
                <w:szCs w:val="20"/>
              </w:rPr>
              <w:t>5</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For how long should a patient experience therapy-refractory pain to be considered a candidate for GAE?</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One month</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3%</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Three months</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13</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45%</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Four months</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3%</w:t>
            </w:r>
          </w:p>
        </w:tc>
      </w:tr>
      <w:tr w:rsidR="006F529E" w:rsidRPr="00696C73" w:rsidTr="00811D9D">
        <w:tc>
          <w:tcPr>
            <w:tcW w:w="590" w:type="dxa"/>
            <w:vMerge/>
            <w:vAlign w:val="center"/>
          </w:tcPr>
          <w:p w:rsidR="006F529E" w:rsidRPr="00696C73" w:rsidRDefault="006F529E" w:rsidP="00811D9D">
            <w:pPr>
              <w:jc w:val="cente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Six months</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14</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48%</w:t>
            </w:r>
          </w:p>
        </w:tc>
      </w:tr>
      <w:tr w:rsidR="006F529E" w:rsidRPr="00696C73" w:rsidTr="00811D9D">
        <w:tc>
          <w:tcPr>
            <w:tcW w:w="590" w:type="dxa"/>
            <w:vMerge w:val="restart"/>
            <w:vAlign w:val="center"/>
          </w:tcPr>
          <w:p w:rsidR="006F529E" w:rsidRPr="00696C73" w:rsidRDefault="006F529E" w:rsidP="00811D9D">
            <w:pPr>
              <w:jc w:val="center"/>
              <w:rPr>
                <w:rFonts w:ascii="Arial" w:eastAsia="Aptos" w:hAnsi="Arial" w:cs="Arial"/>
                <w:sz w:val="20"/>
                <w:szCs w:val="20"/>
              </w:rPr>
            </w:pPr>
            <w:r w:rsidRPr="00696C73">
              <w:rPr>
                <w:rFonts w:ascii="Arial" w:eastAsia="Aptos" w:hAnsi="Arial" w:cs="Arial"/>
                <w:sz w:val="20"/>
                <w:szCs w:val="20"/>
              </w:rPr>
              <w:t>6</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Is there a minimum pain severity (NRS/VAS) required for a patient to be considered for GAE?[</w:t>
            </w:r>
          </w:p>
        </w:tc>
      </w:tr>
      <w:tr w:rsidR="006F529E" w:rsidRPr="00696C73" w:rsidTr="00811D9D">
        <w:tc>
          <w:tcPr>
            <w:tcW w:w="590" w:type="dxa"/>
            <w:vMerge/>
          </w:tcPr>
          <w:p w:rsidR="006F529E" w:rsidRPr="00696C73" w:rsidRDefault="006F529E" w:rsidP="00811D9D">
            <w:pPr>
              <w:rPr>
                <w:rFonts w:ascii="Arial" w:eastAsia="Aptos" w:hAnsi="Arial" w:cs="Arial"/>
                <w:i/>
                <w:iCs/>
                <w:sz w:val="20"/>
                <w:szCs w:val="20"/>
              </w:rPr>
            </w:pPr>
          </w:p>
        </w:tc>
        <w:tc>
          <w:tcPr>
            <w:tcW w:w="5610" w:type="dxa"/>
            <w:vAlign w:val="center"/>
          </w:tcPr>
          <w:p w:rsidR="006F529E" w:rsidRPr="00696C73" w:rsidRDefault="006F529E" w:rsidP="00811D9D">
            <w:pPr>
              <w:rPr>
                <w:rFonts w:ascii="Arial" w:eastAsia="Aptos" w:hAnsi="Arial" w:cs="Arial"/>
                <w:i/>
                <w:iCs/>
                <w:sz w:val="20"/>
                <w:szCs w:val="20"/>
              </w:rPr>
            </w:pPr>
            <w:r w:rsidRPr="00696C73">
              <w:rPr>
                <w:rFonts w:ascii="Arial" w:eastAsia="Times New Roman" w:hAnsi="Arial" w:cs="Arial"/>
                <w:i/>
                <w:iCs/>
                <w:sz w:val="20"/>
                <w:szCs w:val="20"/>
              </w:rPr>
              <w:t>No minimum value; the indication for GAE is based on clinically relevant pain prompting the patient to seek medical treatment</w:t>
            </w:r>
          </w:p>
        </w:tc>
        <w:tc>
          <w:tcPr>
            <w:tcW w:w="1418" w:type="dxa"/>
            <w:vAlign w:val="center"/>
          </w:tcPr>
          <w:p w:rsidR="006F529E" w:rsidRPr="00696C73" w:rsidRDefault="006F529E" w:rsidP="00811D9D">
            <w:pPr>
              <w:jc w:val="center"/>
              <w:rPr>
                <w:rFonts w:ascii="Arial" w:eastAsia="Aptos" w:hAnsi="Arial" w:cs="Arial"/>
                <w:i/>
                <w:iCs/>
                <w:sz w:val="20"/>
                <w:szCs w:val="20"/>
              </w:rPr>
            </w:pPr>
            <w:r w:rsidRPr="00696C73">
              <w:rPr>
                <w:rFonts w:ascii="Arial" w:eastAsia="Times New Roman" w:hAnsi="Arial" w:cs="Arial"/>
                <w:i/>
                <w:iCs/>
                <w:sz w:val="20"/>
                <w:szCs w:val="20"/>
              </w:rPr>
              <w:t>14</w:t>
            </w:r>
          </w:p>
        </w:tc>
        <w:tc>
          <w:tcPr>
            <w:tcW w:w="1444" w:type="dxa"/>
            <w:vAlign w:val="center"/>
          </w:tcPr>
          <w:p w:rsidR="006F529E" w:rsidRPr="00696C73" w:rsidRDefault="006F529E" w:rsidP="00811D9D">
            <w:pPr>
              <w:jc w:val="center"/>
              <w:rPr>
                <w:rFonts w:ascii="Arial" w:eastAsia="Aptos" w:hAnsi="Arial" w:cs="Arial"/>
                <w:i/>
                <w:iCs/>
                <w:sz w:val="20"/>
                <w:szCs w:val="20"/>
              </w:rPr>
            </w:pPr>
            <w:r w:rsidRPr="00696C73">
              <w:rPr>
                <w:rFonts w:ascii="Arial" w:eastAsia="Times New Roman" w:hAnsi="Arial" w:cs="Arial"/>
                <w:i/>
                <w:iCs/>
                <w:sz w:val="20"/>
                <w:szCs w:val="20"/>
              </w:rPr>
              <w:t>48%</w:t>
            </w:r>
          </w:p>
        </w:tc>
      </w:tr>
      <w:tr w:rsidR="006F529E" w:rsidRPr="00696C73" w:rsidTr="00811D9D">
        <w:tc>
          <w:tcPr>
            <w:tcW w:w="590" w:type="dxa"/>
            <w:vMerge/>
          </w:tcPr>
          <w:p w:rsidR="006F529E" w:rsidRPr="00696C73" w:rsidRDefault="006F529E" w:rsidP="00811D9D">
            <w:pPr>
              <w:rPr>
                <w:rFonts w:ascii="Arial" w:eastAsia="Aptos" w:hAnsi="Arial" w:cs="Arial"/>
                <w:i/>
                <w:iCs/>
                <w:sz w:val="20"/>
                <w:szCs w:val="20"/>
              </w:rPr>
            </w:pPr>
          </w:p>
        </w:tc>
        <w:tc>
          <w:tcPr>
            <w:tcW w:w="5610" w:type="dxa"/>
            <w:vAlign w:val="center"/>
          </w:tcPr>
          <w:p w:rsidR="006F529E" w:rsidRPr="00696C73" w:rsidRDefault="006F529E" w:rsidP="00811D9D">
            <w:pPr>
              <w:rPr>
                <w:rFonts w:ascii="Arial" w:eastAsia="Aptos" w:hAnsi="Arial" w:cs="Arial"/>
                <w:i/>
                <w:iCs/>
                <w:sz w:val="20"/>
                <w:szCs w:val="20"/>
              </w:rPr>
            </w:pPr>
            <w:r w:rsidRPr="00696C73">
              <w:rPr>
                <w:rFonts w:ascii="Arial" w:eastAsia="Times New Roman" w:hAnsi="Arial" w:cs="Arial"/>
                <w:i/>
                <w:iCs/>
                <w:sz w:val="20"/>
                <w:szCs w:val="20"/>
              </w:rPr>
              <w:t>Yes, a minimum NRS/VAS score of is required...</w:t>
            </w:r>
          </w:p>
        </w:tc>
        <w:tc>
          <w:tcPr>
            <w:tcW w:w="1418" w:type="dxa"/>
            <w:vAlign w:val="center"/>
          </w:tcPr>
          <w:p w:rsidR="006F529E" w:rsidRPr="00696C73" w:rsidRDefault="006F529E" w:rsidP="00811D9D">
            <w:pPr>
              <w:jc w:val="center"/>
              <w:rPr>
                <w:rFonts w:ascii="Arial" w:eastAsia="Aptos" w:hAnsi="Arial" w:cs="Arial"/>
                <w:i/>
                <w:iCs/>
                <w:sz w:val="20"/>
                <w:szCs w:val="20"/>
              </w:rPr>
            </w:pPr>
            <w:r w:rsidRPr="00696C73">
              <w:rPr>
                <w:rFonts w:ascii="Arial" w:eastAsia="Times New Roman" w:hAnsi="Arial" w:cs="Arial"/>
                <w:i/>
                <w:iCs/>
                <w:sz w:val="20"/>
                <w:szCs w:val="20"/>
              </w:rPr>
              <w:t>15</w:t>
            </w:r>
          </w:p>
        </w:tc>
        <w:tc>
          <w:tcPr>
            <w:tcW w:w="1444" w:type="dxa"/>
            <w:vAlign w:val="center"/>
          </w:tcPr>
          <w:p w:rsidR="006F529E" w:rsidRPr="00696C73" w:rsidRDefault="006F529E" w:rsidP="00811D9D">
            <w:pPr>
              <w:jc w:val="center"/>
              <w:rPr>
                <w:rFonts w:ascii="Arial" w:eastAsia="Aptos" w:hAnsi="Arial" w:cs="Arial"/>
                <w:i/>
                <w:iCs/>
                <w:sz w:val="20"/>
                <w:szCs w:val="20"/>
              </w:rPr>
            </w:pPr>
            <w:r w:rsidRPr="00696C73">
              <w:rPr>
                <w:rFonts w:ascii="Arial" w:eastAsia="Times New Roman" w:hAnsi="Arial" w:cs="Arial"/>
                <w:i/>
                <w:iCs/>
                <w:sz w:val="20"/>
                <w:szCs w:val="20"/>
              </w:rPr>
              <w:t>52%</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7</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Beyond the standard contraindications to angiography, what do you consider to be contraindications for GAE?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Advanced knee OA (Kellgren &amp; Lawrence Grade 4)</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Axis deviation greater than 10°</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Large Bone Marrow Lesions on MRI</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 xml:space="preserve">Meniscal tears </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 xml:space="preserve">Cruciate ligament ruptures </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Peripheral arterial disease</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19</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66%</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8</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Which examinations do you personally perform when you see patients for the first time?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Medical history</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93%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Inspection</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Clinical examination</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86%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Joint ultrasound</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9</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Which imaging modality is mandatory for you before GAE?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X-ray</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83%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CT</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MRI</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59%</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DVT</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Ultrasound</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10</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Setting of the intervention</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Outpatient (radiology day unit)</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59%</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Outpatient (external day unit)</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bookmarkStart w:id="0" w:name="_GoBack" w:colFirst="1" w:colLast="1"/>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Inpatient (radiology ward)</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Inpatient (external ward)</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11</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Duration of the inpatient stay</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1 Night</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21%</w:t>
            </w:r>
          </w:p>
        </w:tc>
      </w:tr>
      <w:bookmarkEnd w:id="0"/>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&gt; 1 Night</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0</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0%</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12</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Main reason for inpatient stay</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Billing reasons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Comorbidities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Peri-interventional complications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0</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0%</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13</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Anesthesia during the intervention</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Local anesthesia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90%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 i.v. sedation</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i.v. sedation</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 i.v. analgesia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i.v. analgesia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General anesthesia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14</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Who administers the i.v. anesthesia during the intervention?</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Interventional radiologist</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9</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Anesthesia team</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15</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What do you use for i.v. sedation / i.v. analgesia ?</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Midazolam</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11</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38%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Fentanyl</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11</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38%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Propofol</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2</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16</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Periarticular cooling?</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59%</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17</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Commonly used access sites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Ipsilateral transfemoral</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28</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97%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Contralateral transfemoral</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9</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Transpedal</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lastRenderedPageBreak/>
              <w:t>18</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When do you use a contralateral transfemoral access site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Obsese / High BMI</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15</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52%</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Never</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6</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Severe atherosclerotic disease</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4</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19</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Introducer sheath</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20</w:t>
            </w:r>
          </w:p>
        </w:tc>
        <w:tc>
          <w:tcPr>
            <w:tcW w:w="8472" w:type="dxa"/>
            <w:gridSpan w:val="3"/>
          </w:tcPr>
          <w:p w:rsidR="006F529E" w:rsidRPr="00696C73" w:rsidRDefault="006F529E" w:rsidP="00811D9D">
            <w:pPr>
              <w:tabs>
                <w:tab w:val="left" w:pos="360"/>
              </w:tabs>
              <w:rPr>
                <w:rFonts w:ascii="Arial" w:eastAsia="Aptos" w:hAnsi="Arial" w:cs="Arial"/>
                <w:sz w:val="20"/>
                <w:szCs w:val="20"/>
              </w:rPr>
            </w:pPr>
            <w:r w:rsidRPr="00696C73">
              <w:rPr>
                <w:rFonts w:ascii="Arial" w:eastAsia="Aptos" w:hAnsi="Arial" w:cs="Arial"/>
                <w:sz w:val="20"/>
                <w:szCs w:val="20"/>
              </w:rPr>
              <w:t>Introducer sheath size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3 Fr</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4 Fr</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5 Fr</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6 Fr</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21</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Macrocatether</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28</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97%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22</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Configuration of Macrocatether</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Cobra 1 (C1)</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Cobra 2 (C2)</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Berenstein</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Multipurpose (MP-A1)</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Aachen Catheter</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Other (Vertebral; JR1-3; Internal mammary)</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23</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Do you use different macrocatheters for the catheterization of different genicular arteries?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83%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24</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Which catheter configuration do you typically use for the catheterization of each genicular artery (e.g. DGA, SMGA, IMGA, SLGA, ILGA, ARTA)?</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I will use a RIM catheter as a bailout when C2 fails</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25</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Catheter size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3 Fr</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2</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4 Fr</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20</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69%</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5 Fr</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4</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tcPr>
          <w:p w:rsidR="006F529E" w:rsidRPr="00696C73" w:rsidRDefault="006F529E" w:rsidP="00811D9D">
            <w:pPr>
              <w:rPr>
                <w:rFonts w:ascii="Arial" w:eastAsia="Aptos" w:hAnsi="Arial" w:cs="Arial"/>
                <w:i/>
                <w:sz w:val="20"/>
                <w:szCs w:val="20"/>
              </w:rPr>
            </w:pPr>
            <w:r w:rsidRPr="00696C73">
              <w:rPr>
                <w:rFonts w:ascii="Arial" w:eastAsia="Aptos" w:hAnsi="Arial" w:cs="Arial"/>
                <w:i/>
                <w:sz w:val="20"/>
                <w:szCs w:val="20"/>
              </w:rPr>
              <w:t>6 Fr</w:t>
            </w:r>
          </w:p>
        </w:tc>
        <w:tc>
          <w:tcPr>
            <w:tcW w:w="1418"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1</w:t>
            </w:r>
          </w:p>
        </w:tc>
        <w:tc>
          <w:tcPr>
            <w:tcW w:w="1444" w:type="dxa"/>
          </w:tcPr>
          <w:p w:rsidR="006F529E" w:rsidRPr="00696C73" w:rsidRDefault="006F529E" w:rsidP="00811D9D">
            <w:pPr>
              <w:jc w:val="center"/>
              <w:rPr>
                <w:rFonts w:ascii="Arial" w:eastAsia="Aptos" w:hAnsi="Arial" w:cs="Arial"/>
                <w:i/>
                <w:sz w:val="20"/>
                <w:szCs w:val="20"/>
              </w:rPr>
            </w:pPr>
            <w:r w:rsidRPr="00696C73">
              <w:rPr>
                <w:rFonts w:ascii="Arial" w:eastAsia="Aptos"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26</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Microwire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86%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27</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Size of Microwire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0.010″</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0</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0.014″</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55%</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0.016″</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0.018″</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28</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Microcatheter</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28</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97%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29</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Size of Microcatheter</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1.7 Fr</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52%</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2.0 Fr</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9</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31%</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30</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For the catheterization of which genicular arteries do you use a lateral projection?</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DGA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SMGA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IMGA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SLGA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ILGA</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 do not use a lateral projection</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19</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66%</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31</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Closure of the access site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Vascular closure device</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No vascular closure device</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72%</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Compression bandage</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16</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55%</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32</w:t>
            </w:r>
          </w:p>
        </w:tc>
        <w:tc>
          <w:tcPr>
            <w:tcW w:w="8472" w:type="dxa"/>
            <w:gridSpan w:val="3"/>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First choice of Embolic agent</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Embospheres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Embozene</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Nexspheres</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10</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Aptos" w:hAnsi="Arial" w:cs="Arial"/>
                <w:i/>
                <w:sz w:val="20"/>
                <w:szCs w:val="20"/>
              </w:rPr>
            </w:pPr>
            <w:r w:rsidRPr="00696C73">
              <w:rPr>
                <w:rFonts w:ascii="Arial" w:eastAsia="Times New Roman" w:hAnsi="Arial" w:cs="Arial"/>
                <w:i/>
                <w:sz w:val="20"/>
                <w:szCs w:val="20"/>
              </w:rPr>
              <w:t>Imipinem/Cilastatin</w:t>
            </w:r>
          </w:p>
        </w:tc>
        <w:tc>
          <w:tcPr>
            <w:tcW w:w="1418"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11</w:t>
            </w:r>
          </w:p>
        </w:tc>
        <w:tc>
          <w:tcPr>
            <w:tcW w:w="1444" w:type="dxa"/>
            <w:vAlign w:val="center"/>
          </w:tcPr>
          <w:p w:rsidR="006F529E" w:rsidRPr="00696C73" w:rsidRDefault="006F529E" w:rsidP="00811D9D">
            <w:pPr>
              <w:jc w:val="center"/>
              <w:rPr>
                <w:rFonts w:ascii="Arial" w:eastAsia="Aptos" w:hAnsi="Arial" w:cs="Arial"/>
                <w:i/>
                <w:sz w:val="20"/>
                <w:szCs w:val="20"/>
              </w:rPr>
            </w:pPr>
            <w:r w:rsidRPr="00696C73">
              <w:rPr>
                <w:rFonts w:ascii="Arial" w:eastAsia="Times New Roman" w:hAnsi="Arial" w:cs="Arial"/>
                <w:i/>
                <w:sz w:val="20"/>
                <w:szCs w:val="20"/>
              </w:rPr>
              <w:t>38%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Other (Lipiodol;SakuraBeads; Biopearls)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33</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Do you use different embolic agents for different indications?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19</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66%</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34</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Which embolic agents do you use for which indications?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 xml:space="preserve">Permanent in post-TKA pain </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Permanent in recurrent hemarthrosis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35</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Preparation of the embolic material</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According to the manufacturer’s Instructions for Use (IFU)</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19</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Deviation from the IFU (500mg IMP with 10 mL contrast; 3:1 Lipiodol:Optiray; Nexsphere: 3 NaCl : 7 CM; Diluted contrast and saline for a total volume of 20 mL)</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28%</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36</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Preferred embolic endpoint</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Pruning</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19</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Stasis/Reflux</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37</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Do you use different embolic endpoints for different embolic agents?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45%</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55%</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38</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Which embolic endpoints do you use for which embolic agents?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Pruning for permanent, Stasis/Reflux for temporary</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Stasis/Reflux for Imipinem/Cilastatin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39</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Do you place radiopaque markers at the patient’s point of maximal pain prior to the intervention?</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59%</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40</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Do you perform embolization only when a vascular blush is detected?</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Yes, I embolize only if a vascular blush is present</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 I also embolize in the absence of a visible blush</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28%</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41</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In which situations do you perform embolization even in the absence of a visible vascular blush?</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 embolize all genicular arteries regardless of the presence of a blush</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If the genicular artery correlates with the patient’s pain localization, even without a visible blush</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If the genicular artery corresponds to the point of maximal synovitis or osteoarthritis on imaging, even without a visible blush</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42</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How do you select the arteries to be treated?</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Based on the patient’s pain localization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Based on the point of maximal osteoarthritis or synovitis on radiography/MRI</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 treat all genicular arteries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62%</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43</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What are the reasons for not embolizing all genicular arteries?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Blush and/or pain/synovitis correlation as embolization criterion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Anatomically based (collateralization makes individual treatment unnecessary)</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Technical minimum rule (at least one vessel per compartment)</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44</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Which genicular arteries do you treat in cases of medial knee pain?</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DGA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lastRenderedPageBreak/>
              <w:t>45</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Which genicular arteries do you treat in cases of lateral knee pain?</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DGA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ARTA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46</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Which genicular arteries do you treat in cases of medial knee OA?</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DGA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47</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Which genicular arteries do you treat in cases of lateral knee OA?</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DGA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ARTA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48</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If you state that you embolize all genicular arteries, please specify which genicular arteries are included.</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DGA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59%</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59%</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IMGA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59%</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59%</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62%</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ARTA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38%</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49</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Please specify other indications and the corresponding genicular arteries you particulary embolize.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 indication-specific vessel selection (treat all visible/blush-positive vessels regardless of indication)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9</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Patellofemoral pain / patellar tendinopathy → Superior Patellar Artery and/or ILGA</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50</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Is structured follow-up performed at regular intervals?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93%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51</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Who is responsible for the follow-up care of most patients?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You as the interventional radiologist</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90%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The referring physician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52</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Up to what time period is follow-up care carried out?</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 xml:space="preserve"> &lt;1 Year</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45%</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&gt; 1 Year</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48%</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53</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What is part of the structured follow-up?</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Standardized Questionnaires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Pain history</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Clinical examination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19</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66%</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Imaging</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Which questionnaires do you use for outcome assessment?</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NRS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VAS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20</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69%</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KOOS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9</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WOMAC</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62%</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54</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At which time points do you collect outcome questionnaires?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≤2 weeks (1 day / 1 week / 2 weeks)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6 weeks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1 month</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3 months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55</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How do you define clinical success after GAE?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Achievement of the Minimum Clinically Important Difference (WOMAC: ≥ 12–15 pt. in total score; KOOS: ≥ 8–10 pt. in subscales; NRS/VAS: ≥ 2 pt.)</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Reduction of pain by at least 50%</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45%</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Achievement of pain-free status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56</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How do you manage patients with bilateral knee osteoarthritis?</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 treat both knees in a single session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 treat one knee first and then re-evaluate the patient before treating the contralateral side</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86%</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57</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What is your rationale for treating both knees simultaneously?</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Biomechanical/compensatory overload rationale (untreated contralateral knee leads to compensatory overload of the treated knee)</w:t>
            </w:r>
          </w:p>
        </w:tc>
        <w:tc>
          <w:tcPr>
            <w:tcW w:w="1418" w:type="dxa"/>
          </w:tcPr>
          <w:p w:rsidR="006F529E" w:rsidRPr="00696C73" w:rsidRDefault="006F529E" w:rsidP="00811D9D">
            <w:pPr>
              <w:jc w:val="center"/>
              <w:rPr>
                <w:rFonts w:ascii="Arial" w:eastAsia="Times New Roman" w:hAnsi="Arial" w:cs="Arial"/>
                <w:i/>
                <w:sz w:val="20"/>
                <w:szCs w:val="20"/>
              </w:rPr>
            </w:pPr>
            <w:r w:rsidRPr="00696C73">
              <w:rPr>
                <w:rFonts w:ascii="Arial" w:eastAsia="Aptos" w:hAnsi="Arial" w:cs="Arial"/>
                <w:i/>
                <w:sz w:val="20"/>
                <w:szCs w:val="20"/>
              </w:rPr>
              <w:t>1</w:t>
            </w:r>
          </w:p>
        </w:tc>
        <w:tc>
          <w:tcPr>
            <w:tcW w:w="1444" w:type="dxa"/>
          </w:tcPr>
          <w:p w:rsidR="006F529E" w:rsidRPr="00696C73" w:rsidRDefault="006F529E" w:rsidP="00811D9D">
            <w:pPr>
              <w:jc w:val="center"/>
              <w:rPr>
                <w:rFonts w:ascii="Arial" w:eastAsia="Times New Roman" w:hAnsi="Arial" w:cs="Arial"/>
                <w:i/>
                <w:sz w:val="20"/>
                <w:szCs w:val="20"/>
              </w:rPr>
            </w:pPr>
            <w:r w:rsidRPr="00696C73">
              <w:rPr>
                <w:rFonts w:ascii="Arial" w:eastAsia="Aptos"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Reduced patient/procedural burden (treatment time, repeated hospital visits, procedure-related anxiety)</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Cost/reimbursement rationale</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58</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In patients with bilateral knee osteoarthritis, which side do you treat first?</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The side with more severe osteoarthritis/synovitis on imaging</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The side with more severe pain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72%</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59</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At what earliest time point do you evaluate the contralateral knee for GAE?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≤2 weeks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4-6 weeks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8 weeks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1 month</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3 months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6 months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Immediate / at first presentation</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60</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Do you perform a repeat GAE?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Yes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90%</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10%</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61</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At what earliest time point (in months) would you consider repeat GAE after the initial procedure?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3 months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2–3 months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&gt;3 months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3%</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6 months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12 months</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7</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62</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What do you consider indications for repeat GAE?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Lack of pain reduction after initial GAE</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28%</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Recurrence of pain after initial pain relief</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25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86%</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63</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What is the maximum number of GAE procedures you would perform on the same knee?</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Maximum of 2</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12</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41%</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Maximum of 3</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 defined maximum</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4</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14%</w:t>
            </w:r>
          </w:p>
        </w:tc>
      </w:tr>
      <w:tr w:rsidR="006F529E" w:rsidRPr="00696C73" w:rsidTr="00811D9D">
        <w:tc>
          <w:tcPr>
            <w:tcW w:w="590" w:type="dxa"/>
            <w:vMerge w:val="restart"/>
          </w:tcPr>
          <w:p w:rsidR="006F529E" w:rsidRPr="00696C73" w:rsidRDefault="006F529E" w:rsidP="00811D9D">
            <w:pPr>
              <w:rPr>
                <w:rFonts w:ascii="Arial" w:eastAsia="Aptos" w:hAnsi="Arial" w:cs="Arial"/>
                <w:sz w:val="20"/>
                <w:szCs w:val="20"/>
              </w:rPr>
            </w:pPr>
            <w:r w:rsidRPr="00696C73">
              <w:rPr>
                <w:rFonts w:ascii="Arial" w:eastAsia="Aptos" w:hAnsi="Arial" w:cs="Arial"/>
                <w:sz w:val="20"/>
                <w:szCs w:val="20"/>
              </w:rPr>
              <w:t>64</w:t>
            </w:r>
          </w:p>
        </w:tc>
        <w:tc>
          <w:tcPr>
            <w:tcW w:w="8472" w:type="dxa"/>
            <w:gridSpan w:val="3"/>
            <w:vAlign w:val="center"/>
          </w:tcPr>
          <w:p w:rsidR="006F529E" w:rsidRPr="00696C73" w:rsidRDefault="006F529E" w:rsidP="00811D9D">
            <w:pPr>
              <w:rPr>
                <w:rFonts w:ascii="Arial" w:eastAsia="Times New Roman" w:hAnsi="Arial" w:cs="Arial"/>
                <w:sz w:val="20"/>
                <w:szCs w:val="20"/>
              </w:rPr>
            </w:pPr>
            <w:r w:rsidRPr="00696C73">
              <w:rPr>
                <w:rFonts w:ascii="Arial" w:eastAsia="Times New Roman" w:hAnsi="Arial" w:cs="Arial"/>
                <w:sz w:val="20"/>
                <w:szCs w:val="20"/>
              </w:rPr>
              <w:t>Do you use different embolic agents for repeat Genicular Artery Embolization (repeat GAE)? If yes, which combinations of embolic agents do you use, and what is the rationale for this approach?</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Yes – switches to permanent/more durable agent upon recurrence</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16</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55%</w:t>
            </w:r>
          </w:p>
        </w:tc>
      </w:tr>
      <w:tr w:rsidR="006F529E" w:rsidRPr="00696C73" w:rsidTr="00811D9D">
        <w:tc>
          <w:tcPr>
            <w:tcW w:w="590" w:type="dxa"/>
            <w:vMerge/>
          </w:tcPr>
          <w:p w:rsidR="006F529E" w:rsidRPr="00696C73" w:rsidRDefault="006F529E" w:rsidP="00811D9D">
            <w:pPr>
              <w:rPr>
                <w:rFonts w:ascii="Arial" w:eastAsia="Aptos" w:hAnsi="Arial" w:cs="Arial"/>
                <w:sz w:val="20"/>
                <w:szCs w:val="20"/>
              </w:rPr>
            </w:pPr>
          </w:p>
        </w:tc>
        <w:tc>
          <w:tcPr>
            <w:tcW w:w="5610" w:type="dxa"/>
            <w:vAlign w:val="center"/>
          </w:tcPr>
          <w:p w:rsidR="006F529E" w:rsidRPr="00696C73" w:rsidRDefault="006F529E" w:rsidP="00811D9D">
            <w:pPr>
              <w:rPr>
                <w:rFonts w:ascii="Arial" w:eastAsia="Times New Roman" w:hAnsi="Arial" w:cs="Arial"/>
                <w:i/>
                <w:sz w:val="20"/>
                <w:szCs w:val="20"/>
              </w:rPr>
            </w:pPr>
            <w:r w:rsidRPr="00696C73">
              <w:rPr>
                <w:rFonts w:ascii="Arial" w:eastAsia="Times New Roman" w:hAnsi="Arial" w:cs="Arial"/>
                <w:i/>
                <w:sz w:val="20"/>
                <w:szCs w:val="20"/>
              </w:rPr>
              <w:t>No – same agent used at repeat GAE</w:t>
            </w:r>
          </w:p>
        </w:tc>
        <w:tc>
          <w:tcPr>
            <w:tcW w:w="1418"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5</w:t>
            </w:r>
          </w:p>
        </w:tc>
        <w:tc>
          <w:tcPr>
            <w:tcW w:w="1444" w:type="dxa"/>
            <w:vAlign w:val="center"/>
          </w:tcPr>
          <w:p w:rsidR="006F529E" w:rsidRPr="00696C73" w:rsidRDefault="006F529E" w:rsidP="00811D9D">
            <w:pPr>
              <w:jc w:val="center"/>
              <w:rPr>
                <w:rFonts w:ascii="Arial" w:eastAsia="Times New Roman" w:hAnsi="Arial" w:cs="Arial"/>
                <w:i/>
                <w:sz w:val="20"/>
                <w:szCs w:val="20"/>
              </w:rPr>
            </w:pPr>
            <w:r w:rsidRPr="00696C73">
              <w:rPr>
                <w:rFonts w:ascii="Arial" w:eastAsia="Times New Roman" w:hAnsi="Arial" w:cs="Arial"/>
                <w:i/>
                <w:sz w:val="20"/>
                <w:szCs w:val="20"/>
              </w:rPr>
              <w:t>17%</w:t>
            </w:r>
          </w:p>
        </w:tc>
      </w:tr>
    </w:tbl>
    <w:p w:rsidR="006F529E" w:rsidRPr="00696C73" w:rsidRDefault="006F529E" w:rsidP="006F529E">
      <w:pPr>
        <w:rPr>
          <w:rFonts w:ascii="Arial" w:hAnsi="Arial" w:cs="Arial"/>
          <w:b/>
          <w:bCs/>
        </w:rPr>
        <w:sectPr w:rsidR="006F529E" w:rsidRPr="00696C73">
          <w:pgSz w:w="11906" w:h="16838"/>
          <w:pgMar w:top="1417" w:right="1417" w:bottom="1134" w:left="1417" w:header="708" w:footer="708" w:gutter="0"/>
          <w:cols w:space="708"/>
          <w:docGrid w:linePitch="360"/>
        </w:sectPr>
      </w:pPr>
    </w:p>
    <w:p w:rsidR="006F529E" w:rsidRPr="00696C73" w:rsidRDefault="006F529E" w:rsidP="006F529E">
      <w:pPr>
        <w:spacing w:line="480" w:lineRule="auto"/>
        <w:rPr>
          <w:rFonts w:ascii="Arial" w:hAnsi="Arial" w:cs="Arial"/>
          <w:b/>
          <w:bCs/>
        </w:rPr>
      </w:pPr>
      <w:r w:rsidRPr="00696C73">
        <w:rPr>
          <w:rFonts w:ascii="Arial" w:hAnsi="Arial" w:cs="Arial"/>
          <w:b/>
          <w:bCs/>
        </w:rPr>
        <w:lastRenderedPageBreak/>
        <w:t>Supplementary Table 2: Complete Delphi results for Round two and three</w:t>
      </w:r>
    </w:p>
    <w:p w:rsidR="006F529E" w:rsidRPr="00696C73" w:rsidRDefault="006F529E" w:rsidP="006F529E">
      <w:pPr>
        <w:spacing w:line="480" w:lineRule="auto"/>
        <w:rPr>
          <w:rFonts w:ascii="Arial" w:hAnsi="Arial" w:cs="Arial"/>
          <w:bCs/>
        </w:rPr>
      </w:pPr>
      <w:r w:rsidRPr="00696C73">
        <w:rPr>
          <w:rFonts w:ascii="Arial" w:hAnsi="Arial" w:cs="Arial"/>
          <w:bCs/>
        </w:rPr>
        <w:t xml:space="preserve">Results of the second and third Delphi rounds, presented per statement and grouped by domain and subdomain. For each statement, the median, minimum, maximum, interquartile range (IQR), and the number (%) of ratings ≥7 and ≤7 are reported (n = 29 </w:t>
      </w:r>
      <w:proofErr w:type="spellStart"/>
      <w:r w:rsidRPr="00696C73">
        <w:rPr>
          <w:rFonts w:ascii="Arial" w:hAnsi="Arial" w:cs="Arial"/>
          <w:bCs/>
        </w:rPr>
        <w:t>panelists</w:t>
      </w:r>
      <w:proofErr w:type="spellEnd"/>
      <w:r w:rsidRPr="00696C73">
        <w:rPr>
          <w:rFonts w:ascii="Arial" w:hAnsi="Arial" w:cs="Arial"/>
          <w:bCs/>
        </w:rPr>
        <w:t>). Statements that reached consensus (≥75% of ratings ≥7) in round 2 are listed once. Statements that did not reach consensus in round two were resubmitted in round three, accompanied by the percentage agreement from round two. Results of both rounds are shown sequentially (1: round two; 2: round three), together with the p-value for the change in ratings between rounds (Wilcoxon signed-rank test for paired ordinal data).</w:t>
      </w:r>
    </w:p>
    <w:p w:rsidR="006F529E" w:rsidRPr="00696C73" w:rsidRDefault="006F529E" w:rsidP="006F529E">
      <w:pPr>
        <w:spacing w:before="300" w:after="120" w:line="240" w:lineRule="auto"/>
        <w:rPr>
          <w:rFonts w:ascii="Arial" w:eastAsia="Arial" w:hAnsi="Arial" w:cs="Arial"/>
          <w:sz w:val="18"/>
          <w:szCs w:val="18"/>
          <w:lang w:val="de-DE" w:eastAsia="de-DE"/>
        </w:rPr>
      </w:pPr>
      <w:r w:rsidRPr="00696C73">
        <w:rPr>
          <w:rFonts w:ascii="Arial" w:hAnsi="Arial" w:cs="Arial"/>
          <w:bCs/>
          <w:i/>
        </w:rPr>
        <w:t xml:space="preserve">Abbreviations: GAE: Genicular Artery Embolization; IR: Interventional Radiologist; CI: Contraindication; OA: Osteoarthritis; K&amp;L: </w:t>
      </w:r>
      <w:proofErr w:type="spellStart"/>
      <w:r w:rsidRPr="00696C73">
        <w:rPr>
          <w:rFonts w:ascii="Arial" w:hAnsi="Arial" w:cs="Arial"/>
          <w:bCs/>
          <w:i/>
        </w:rPr>
        <w:t>Kellgren</w:t>
      </w:r>
      <w:proofErr w:type="spellEnd"/>
      <w:r w:rsidRPr="00696C73">
        <w:rPr>
          <w:rFonts w:ascii="Arial" w:hAnsi="Arial" w:cs="Arial"/>
          <w:bCs/>
          <w:i/>
        </w:rPr>
        <w:t xml:space="preserve">–Lawrence Grade; NRS: Numeric Rating Scale; VAS: Visual Analogue Scale; IQR: Interquartile Range; Fr: French; DGA: Descending Genicular Artery; SMGA: </w:t>
      </w:r>
      <w:proofErr w:type="spellStart"/>
      <w:r w:rsidRPr="00696C73">
        <w:rPr>
          <w:rFonts w:ascii="Arial" w:hAnsi="Arial" w:cs="Arial"/>
          <w:bCs/>
          <w:i/>
        </w:rPr>
        <w:t>Superomedial</w:t>
      </w:r>
      <w:proofErr w:type="spellEnd"/>
      <w:r w:rsidRPr="00696C73">
        <w:rPr>
          <w:rFonts w:ascii="Arial" w:hAnsi="Arial" w:cs="Arial"/>
          <w:bCs/>
          <w:i/>
        </w:rPr>
        <w:t xml:space="preserve"> Genicular Artery; IMGA: </w:t>
      </w:r>
      <w:proofErr w:type="spellStart"/>
      <w:r w:rsidRPr="00696C73">
        <w:rPr>
          <w:rFonts w:ascii="Arial" w:hAnsi="Arial" w:cs="Arial"/>
          <w:bCs/>
          <w:i/>
        </w:rPr>
        <w:t>Inferomedial</w:t>
      </w:r>
      <w:proofErr w:type="spellEnd"/>
      <w:r w:rsidRPr="00696C73">
        <w:rPr>
          <w:rFonts w:ascii="Arial" w:hAnsi="Arial" w:cs="Arial"/>
          <w:bCs/>
          <w:i/>
        </w:rPr>
        <w:t xml:space="preserve"> Genicular Artery; SLGA: </w:t>
      </w:r>
      <w:proofErr w:type="spellStart"/>
      <w:r w:rsidRPr="00696C73">
        <w:rPr>
          <w:rFonts w:ascii="Arial" w:hAnsi="Arial" w:cs="Arial"/>
          <w:bCs/>
          <w:i/>
        </w:rPr>
        <w:t>Superolateral</w:t>
      </w:r>
      <w:proofErr w:type="spellEnd"/>
      <w:r w:rsidRPr="00696C73">
        <w:rPr>
          <w:rFonts w:ascii="Arial" w:hAnsi="Arial" w:cs="Arial"/>
          <w:bCs/>
          <w:i/>
        </w:rPr>
        <w:t xml:space="preserve"> Genicular Artery; ILGA: Inferolateral Genicular Artery; SPA: Superior Patellar Artery; ARTA: Anterior Recurrent </w:t>
      </w:r>
      <w:proofErr w:type="spellStart"/>
      <w:r w:rsidRPr="00696C73">
        <w:rPr>
          <w:rFonts w:ascii="Arial" w:hAnsi="Arial" w:cs="Arial"/>
          <w:bCs/>
          <w:i/>
        </w:rPr>
        <w:t>Tibial</w:t>
      </w:r>
      <w:proofErr w:type="spellEnd"/>
      <w:r w:rsidRPr="00696C73">
        <w:rPr>
          <w:rFonts w:ascii="Arial" w:hAnsi="Arial" w:cs="Arial"/>
          <w:bCs/>
          <w:i/>
        </w:rPr>
        <w:t xml:space="preserve"> Artery; R-GAE: Retrograde Genicular Artery Embolization; KOOS: Knee injury and Osteoarthritis Outcome Score; WOMAC: Western Ontario and McMaster Universities Osteoarthritis Index; MCID: Minimal Clinically Important Difference.</w:t>
      </w:r>
      <w:r w:rsidRPr="00696C73">
        <w:rPr>
          <w:rFonts w:ascii="Arial" w:eastAsia="Arial" w:hAnsi="Arial" w:cs="Arial"/>
          <w:b/>
          <w:bCs/>
          <w:color w:val="2E4057"/>
          <w:lang w:val="de-DE" w:eastAsia="de-DE"/>
        </w:rPr>
        <w:t>Indications</w:t>
      </w:r>
    </w:p>
    <w:tbl>
      <w:tblPr>
        <w:tblpPr w:leftFromText="141" w:rightFromText="141" w:vertAnchor="text" w:tblpY="1"/>
        <w:tblOverlap w:val="never"/>
        <w:tblW w:w="13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3"/>
        <w:gridCol w:w="992"/>
        <w:gridCol w:w="1090"/>
        <w:gridCol w:w="7437"/>
        <w:gridCol w:w="448"/>
        <w:gridCol w:w="448"/>
        <w:gridCol w:w="448"/>
        <w:gridCol w:w="618"/>
        <w:gridCol w:w="656"/>
        <w:gridCol w:w="62"/>
        <w:gridCol w:w="770"/>
      </w:tblGrid>
      <w:tr w:rsidR="006F529E" w:rsidRPr="00696C73" w:rsidTr="00811D9D">
        <w:trPr>
          <w:cantSplit/>
          <w:trHeight w:val="1134"/>
          <w:tblHeader/>
        </w:trPr>
        <w:tc>
          <w:tcPr>
            <w:tcW w:w="423"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No.</w:t>
            </w:r>
          </w:p>
        </w:tc>
        <w:tc>
          <w:tcPr>
            <w:tcW w:w="992"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Domain</w:t>
            </w:r>
          </w:p>
        </w:tc>
        <w:tc>
          <w:tcPr>
            <w:tcW w:w="1090"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Subdomain</w:t>
            </w:r>
          </w:p>
        </w:tc>
        <w:tc>
          <w:tcPr>
            <w:tcW w:w="7437"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Statement</w:t>
            </w:r>
          </w:p>
        </w:tc>
        <w:tc>
          <w:tcPr>
            <w:tcW w:w="448"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bottom"/>
            <w:hideMark/>
          </w:tcPr>
          <w:p w:rsidR="006F529E" w:rsidRPr="00696C73" w:rsidRDefault="006F529E" w:rsidP="00811D9D">
            <w:pPr>
              <w:spacing w:after="0" w:line="240" w:lineRule="auto"/>
              <w:ind w:left="113" w:right="113"/>
              <w:jc w:val="center"/>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Median</w:t>
            </w:r>
          </w:p>
        </w:tc>
        <w:tc>
          <w:tcPr>
            <w:tcW w:w="448"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bottom"/>
            <w:hideMark/>
          </w:tcPr>
          <w:p w:rsidR="006F529E" w:rsidRPr="00696C73" w:rsidRDefault="006F529E" w:rsidP="00811D9D">
            <w:pPr>
              <w:spacing w:after="0" w:line="240" w:lineRule="auto"/>
              <w:ind w:left="113" w:right="113"/>
              <w:jc w:val="center"/>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Minimum</w:t>
            </w:r>
          </w:p>
        </w:tc>
        <w:tc>
          <w:tcPr>
            <w:tcW w:w="448"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bottom"/>
            <w:hideMark/>
          </w:tcPr>
          <w:p w:rsidR="006F529E" w:rsidRPr="00696C73" w:rsidRDefault="006F529E" w:rsidP="00811D9D">
            <w:pPr>
              <w:spacing w:after="0" w:line="240" w:lineRule="auto"/>
              <w:ind w:left="113" w:right="113"/>
              <w:jc w:val="center"/>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Maximum</w:t>
            </w:r>
          </w:p>
        </w:tc>
        <w:tc>
          <w:tcPr>
            <w:tcW w:w="618" w:type="dxa"/>
            <w:tcBorders>
              <w:top w:val="single" w:sz="2" w:space="0" w:color="999999"/>
              <w:left w:val="single" w:sz="2" w:space="0" w:color="999999"/>
              <w:bottom w:val="single" w:sz="2" w:space="0" w:color="999999"/>
              <w:right w:val="single" w:sz="2" w:space="0" w:color="999999"/>
            </w:tcBorders>
            <w:shd w:val="clear" w:color="auto" w:fill="2E4057"/>
            <w:vAlign w:val="center"/>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IQR</w:t>
            </w:r>
          </w:p>
        </w:tc>
        <w:tc>
          <w:tcPr>
            <w:tcW w:w="656"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n ≥ 7</w:t>
            </w:r>
          </w:p>
          <w:p w:rsidR="006F529E" w:rsidRPr="00696C73" w:rsidRDefault="006F529E" w:rsidP="00811D9D">
            <w:pPr>
              <w:spacing w:after="0" w:line="240" w:lineRule="auto"/>
              <w:jc w:val="center"/>
              <w:rPr>
                <w:rFonts w:ascii="Arial" w:eastAsia="Arial" w:hAnsi="Arial" w:cs="Arial"/>
                <w:color w:val="FFFFFF"/>
                <w:sz w:val="18"/>
                <w:szCs w:val="18"/>
                <w:lang w:val="de-DE" w:eastAsia="de-DE"/>
              </w:rPr>
            </w:pPr>
            <w:r w:rsidRPr="00696C73">
              <w:rPr>
                <w:rFonts w:ascii="Arial" w:eastAsia="Arial" w:hAnsi="Arial" w:cs="Arial"/>
                <w:color w:val="FFFFFF"/>
                <w:sz w:val="18"/>
                <w:szCs w:val="18"/>
                <w:lang w:val="de-DE" w:eastAsia="de-DE"/>
              </w:rPr>
              <w:t>(%)</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n ≤ 7</w:t>
            </w:r>
          </w:p>
          <w:p w:rsidR="006F529E" w:rsidRPr="00696C73" w:rsidRDefault="006F529E" w:rsidP="00811D9D">
            <w:pPr>
              <w:spacing w:after="0" w:line="240" w:lineRule="auto"/>
              <w:jc w:val="center"/>
              <w:rPr>
                <w:rFonts w:ascii="Arial" w:eastAsia="Arial" w:hAnsi="Arial" w:cs="Arial"/>
                <w:color w:val="FFFFFF"/>
                <w:sz w:val="18"/>
                <w:szCs w:val="18"/>
                <w:lang w:val="de-DE" w:eastAsia="de-DE"/>
              </w:rPr>
            </w:pPr>
            <w:r w:rsidRPr="00696C73">
              <w:rPr>
                <w:rFonts w:ascii="Arial" w:eastAsia="Arial" w:hAnsi="Arial" w:cs="Arial"/>
                <w:color w:val="FFFFFF"/>
                <w:sz w:val="18"/>
                <w:szCs w:val="18"/>
                <w:lang w:val="de-DE" w:eastAsia="de-DE"/>
              </w:rPr>
              <w:t>(%)</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Wherever feasible, GAE should be performed within clinical studies to enable the collection of high-quality, structured data.</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9</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p w:rsidR="006F529E" w:rsidRPr="00696C73" w:rsidRDefault="006F529E" w:rsidP="00811D9D">
            <w:pPr>
              <w:spacing w:after="0" w:line="240" w:lineRule="auto"/>
              <w:jc w:val="center"/>
              <w:rPr>
                <w:rFonts w:ascii="Arial" w:eastAsia="Arial" w:hAnsi="Arial" w:cs="Arial"/>
                <w:sz w:val="18"/>
                <w:szCs w:val="18"/>
                <w:lang w:val="de-DE" w:eastAsia="de-DE"/>
              </w:rPr>
            </w:pP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 xml:space="preserve">When establishing referral pathways, input should be sought from </w:t>
            </w:r>
            <w:proofErr w:type="spellStart"/>
            <w:r w:rsidRPr="00696C73">
              <w:rPr>
                <w:rFonts w:ascii="Arial" w:eastAsia="Arial" w:hAnsi="Arial" w:cs="Arial"/>
                <w:color w:val="000000"/>
                <w:sz w:val="16"/>
                <w:szCs w:val="16"/>
                <w:lang w:eastAsia="de-DE"/>
              </w:rPr>
              <w:t>orthopedic</w:t>
            </w:r>
            <w:proofErr w:type="spellEnd"/>
            <w:r w:rsidRPr="00696C73">
              <w:rPr>
                <w:rFonts w:ascii="Arial" w:eastAsia="Arial" w:hAnsi="Arial" w:cs="Arial"/>
                <w:color w:val="000000"/>
                <w:sz w:val="16"/>
                <w:szCs w:val="16"/>
                <w:lang w:eastAsia="de-DE"/>
              </w:rPr>
              <w:t>, rheumatology, primary care, and/or pain management</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9</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p w:rsidR="006F529E" w:rsidRPr="00696C73" w:rsidRDefault="006F529E" w:rsidP="00811D9D">
            <w:pPr>
              <w:spacing w:after="0" w:line="240" w:lineRule="auto"/>
              <w:jc w:val="center"/>
              <w:rPr>
                <w:rFonts w:ascii="Arial" w:eastAsia="Arial" w:hAnsi="Arial" w:cs="Arial"/>
                <w:sz w:val="18"/>
                <w:szCs w:val="18"/>
                <w:lang w:val="de-DE" w:eastAsia="de-DE"/>
              </w:rPr>
            </w:pP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IRs, as clinically responsible physicians, should actively engage with patients, provide independent consultation, and should accept self-referrals</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7</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29</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(100%)</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If feasible, the indication for GAE should be established within an interdisciplinary setting with active involvement of the IR</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p w:rsidR="006F529E" w:rsidRPr="00696C73" w:rsidRDefault="006F529E" w:rsidP="00811D9D">
            <w:pPr>
              <w:spacing w:after="0" w:line="240" w:lineRule="auto"/>
              <w:jc w:val="center"/>
              <w:rPr>
                <w:rFonts w:ascii="Arial" w:eastAsia="Arial" w:hAnsi="Arial" w:cs="Arial"/>
                <w:sz w:val="18"/>
                <w:szCs w:val="18"/>
                <w:lang w:val="de-DE" w:eastAsia="de-DE"/>
              </w:rPr>
            </w:pP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Knee pain should be refractory to conservative treatment for at least 3 months before GAE is considered.</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(90%)</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r>
      <w:tr w:rsidR="006F529E" w:rsidRPr="00696C73" w:rsidTr="00811D9D">
        <w:trPr>
          <w:trHeight w:val="329"/>
        </w:trPr>
        <w:tc>
          <w:tcPr>
            <w:tcW w:w="423"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6 (1)</w:t>
            </w:r>
          </w:p>
        </w:tc>
        <w:tc>
          <w:tcPr>
            <w:tcW w:w="992"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Indications</w:t>
            </w:r>
          </w:p>
        </w:tc>
        <w:tc>
          <w:tcPr>
            <w:tcW w:w="1090"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Setting</w:t>
            </w:r>
          </w:p>
        </w:tc>
        <w:tc>
          <w:tcPr>
            <w:tcW w:w="7437"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eastAsia="de-DE"/>
              </w:rPr>
            </w:pPr>
            <w:r w:rsidRPr="00696C73">
              <w:rPr>
                <w:rFonts w:ascii="Arial" w:eastAsia="Arial" w:hAnsi="Arial" w:cs="Arial"/>
                <w:color w:val="FFFFFF"/>
                <w:sz w:val="16"/>
                <w:szCs w:val="16"/>
                <w:lang w:eastAsia="de-DE"/>
              </w:rPr>
              <w:t>There is no minimum NRS/VAS pain score that a patient must meet.</w:t>
            </w:r>
          </w:p>
          <w:p w:rsidR="006F529E" w:rsidRPr="00696C73" w:rsidRDefault="006F529E" w:rsidP="00811D9D">
            <w:pPr>
              <w:spacing w:after="0" w:line="240" w:lineRule="auto"/>
              <w:rPr>
                <w:rFonts w:ascii="Arial" w:eastAsia="Arial" w:hAnsi="Arial" w:cs="Arial"/>
                <w:i/>
                <w:sz w:val="18"/>
                <w:szCs w:val="18"/>
                <w:lang w:eastAsia="de-DE"/>
              </w:rPr>
            </w:pPr>
            <w:r w:rsidRPr="00696C73">
              <w:rPr>
                <w:rFonts w:ascii="Arial" w:eastAsia="Arial" w:hAnsi="Arial" w:cs="Arial"/>
                <w:i/>
                <w:color w:val="FFFFFF"/>
                <w:sz w:val="16"/>
                <w:szCs w:val="16"/>
                <w:lang w:eastAsia="de-DE"/>
              </w:rPr>
              <w:t>(p=1)</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2</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1-6</w:t>
            </w:r>
          </w:p>
        </w:tc>
        <w:tc>
          <w:tcPr>
            <w:tcW w:w="656"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(24%)</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21</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(76%)</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6 (2)</w:t>
            </w:r>
          </w:p>
        </w:tc>
        <w:tc>
          <w:tcPr>
            <w:tcW w:w="992"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1090"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7437"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eastAsia="de-DE"/>
              </w:rPr>
            </w:pP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Del="00F11C76"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1-6</w:t>
            </w:r>
          </w:p>
        </w:tc>
        <w:tc>
          <w:tcPr>
            <w:tcW w:w="656"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(24%)</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21</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(76%)</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7</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Patients should have a minimum NRS/VAS score of 5 prior to GAE.</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(76%)</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(24%)</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8</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Knee pain due to mild OA (K&amp;L 2)</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7.5-10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(76%)</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(24%)</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9</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Knee pain due to moderate OA (K&amp;L 3)</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5</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9.8-10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28</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lastRenderedPageBreak/>
              <w:t>(97%)</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lastRenderedPageBreak/>
              <w:t>1</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lastRenderedPageBreak/>
              <w:t>(3%)</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lastRenderedPageBreak/>
              <w:t>10</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Knee pain due to severe OA (K&amp;L 4)</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6.5-10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(76%)</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(24%)</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11</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Persistent knee pain after total knee arthroplasty</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5</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25</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(86%)</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4</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(14%)</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12</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Bridging therapy to total knee arthroplasty</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3</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23</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(79%)</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(21%)</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13</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Patient refusal of total knee arthroplasty </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5</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28</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(97%)</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(3%)</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14</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Patients who are not surgical candidates due to significant comorbidities.</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5</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28</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(97%)</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(3%)</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15</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Recurrent hemarthrosis</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29</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(100%)</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16</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Tendinopathies of the knee (e.g. Jumpers knee)</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7.8-10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24</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(83%)</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5</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(17%)</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17</w:t>
            </w:r>
          </w:p>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(1)</w:t>
            </w:r>
          </w:p>
        </w:tc>
        <w:tc>
          <w:tcPr>
            <w:tcW w:w="992"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Indications</w:t>
            </w:r>
          </w:p>
        </w:tc>
        <w:tc>
          <w:tcPr>
            <w:tcW w:w="1090"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Indications</w:t>
            </w:r>
          </w:p>
        </w:tc>
        <w:tc>
          <w:tcPr>
            <w:tcW w:w="7437"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eastAsia="de-DE"/>
              </w:rPr>
            </w:pPr>
            <w:r w:rsidRPr="00696C73">
              <w:rPr>
                <w:rFonts w:ascii="Arial" w:eastAsia="Arial" w:hAnsi="Arial" w:cs="Arial"/>
                <w:color w:val="FFFFFF"/>
                <w:sz w:val="16"/>
                <w:szCs w:val="16"/>
                <w:lang w:eastAsia="de-DE"/>
              </w:rPr>
              <w:t>Inflammatory arthritis (e.g. Rheumatoid Arthritis, Psoriatic Arthritis)</w:t>
            </w:r>
          </w:p>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i/>
                <w:color w:val="FFFFFF"/>
                <w:sz w:val="16"/>
                <w:szCs w:val="16"/>
                <w:lang w:eastAsia="de-DE"/>
              </w:rPr>
              <w:t>(p=1)</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4</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8</w:t>
            </w:r>
          </w:p>
        </w:tc>
        <w:tc>
          <w:tcPr>
            <w:tcW w:w="618" w:type="dxa"/>
            <w:tcBorders>
              <w:top w:val="single" w:sz="2" w:space="0" w:color="999999"/>
              <w:left w:val="single" w:sz="2" w:space="0" w:color="999999"/>
              <w:bottom w:val="single" w:sz="2" w:space="0" w:color="999999"/>
              <w:right w:val="single" w:sz="2" w:space="0" w:color="999999"/>
            </w:tcBorders>
            <w:shd w:val="clear" w:color="auto" w:fill="FF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2-6.5</w:t>
            </w:r>
          </w:p>
        </w:tc>
        <w:tc>
          <w:tcPr>
            <w:tcW w:w="656"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(24%)</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19</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(76%)</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17 (2)</w:t>
            </w:r>
          </w:p>
        </w:tc>
        <w:tc>
          <w:tcPr>
            <w:tcW w:w="992"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1090"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7437"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eastAsia="de-DE"/>
              </w:rPr>
            </w:pP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4</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8</w:t>
            </w:r>
          </w:p>
        </w:tc>
        <w:tc>
          <w:tcPr>
            <w:tcW w:w="618" w:type="dxa"/>
            <w:tcBorders>
              <w:top w:val="single" w:sz="2" w:space="0" w:color="999999"/>
              <w:left w:val="single" w:sz="2" w:space="0" w:color="999999"/>
              <w:bottom w:val="single" w:sz="2" w:space="0" w:color="999999"/>
              <w:right w:val="single" w:sz="2" w:space="0" w:color="999999"/>
            </w:tcBorders>
            <w:shd w:val="clear" w:color="auto" w:fill="FF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2-6.5</w:t>
            </w:r>
          </w:p>
        </w:tc>
        <w:tc>
          <w:tcPr>
            <w:tcW w:w="656"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(24%)</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19</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(76%)</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18</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Relative CI</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Large bone marrow edema</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19</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Relative CI</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Large cartilage defects</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20</w:t>
            </w:r>
          </w:p>
          <w:p w:rsidR="006F529E" w:rsidRPr="00696C73" w:rsidRDefault="006F529E" w:rsidP="00811D9D">
            <w:pPr>
              <w:spacing w:after="0" w:line="240" w:lineRule="auto"/>
              <w:rPr>
                <w:rFonts w:ascii="Arial" w:eastAsia="Arial" w:hAnsi="Arial" w:cs="Arial"/>
                <w:color w:val="FFFFFF"/>
                <w:sz w:val="18"/>
                <w:szCs w:val="18"/>
                <w:lang w:val="de-DE" w:eastAsia="de-DE"/>
              </w:rPr>
            </w:pPr>
            <w:r w:rsidRPr="00696C73">
              <w:rPr>
                <w:rFonts w:ascii="Arial" w:eastAsia="Arial" w:hAnsi="Arial" w:cs="Arial"/>
                <w:color w:val="FFFFFF"/>
                <w:sz w:val="16"/>
                <w:szCs w:val="16"/>
                <w:lang w:val="de-DE" w:eastAsia="de-DE"/>
              </w:rPr>
              <w:t>(1)</w:t>
            </w:r>
          </w:p>
        </w:tc>
        <w:tc>
          <w:tcPr>
            <w:tcW w:w="992" w:type="dxa"/>
            <w:tcBorders>
              <w:top w:val="single" w:sz="2" w:space="0" w:color="999999"/>
              <w:left w:val="single" w:sz="2" w:space="0" w:color="999999"/>
              <w:bottom w:val="nil"/>
              <w:right w:val="single" w:sz="2" w:space="0" w:color="999999"/>
            </w:tcBorders>
            <w:shd w:val="clear" w:color="auto" w:fill="EE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8"/>
                <w:szCs w:val="18"/>
                <w:lang w:val="de-DE" w:eastAsia="de-DE"/>
              </w:rPr>
            </w:pPr>
            <w:r w:rsidRPr="00696C73">
              <w:rPr>
                <w:rFonts w:ascii="Arial" w:eastAsia="Arial" w:hAnsi="Arial" w:cs="Arial"/>
                <w:color w:val="FFFFFF"/>
                <w:sz w:val="16"/>
                <w:szCs w:val="16"/>
                <w:lang w:val="de-DE" w:eastAsia="de-DE"/>
              </w:rPr>
              <w:t>Indications</w:t>
            </w:r>
          </w:p>
        </w:tc>
        <w:tc>
          <w:tcPr>
            <w:tcW w:w="1090" w:type="dxa"/>
            <w:tcBorders>
              <w:top w:val="single" w:sz="2" w:space="0" w:color="999999"/>
              <w:left w:val="single" w:sz="2" w:space="0" w:color="999999"/>
              <w:bottom w:val="nil"/>
              <w:right w:val="single" w:sz="2" w:space="0" w:color="999999"/>
            </w:tcBorders>
            <w:shd w:val="clear" w:color="auto" w:fill="EE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8"/>
                <w:szCs w:val="18"/>
                <w:lang w:val="de-DE" w:eastAsia="de-DE"/>
              </w:rPr>
            </w:pPr>
            <w:r w:rsidRPr="00696C73">
              <w:rPr>
                <w:rFonts w:ascii="Arial" w:eastAsia="Arial" w:hAnsi="Arial" w:cs="Arial"/>
                <w:color w:val="FFFFFF"/>
                <w:sz w:val="16"/>
                <w:szCs w:val="16"/>
                <w:lang w:val="de-DE" w:eastAsia="de-DE"/>
              </w:rPr>
              <w:t>Relative CI</w:t>
            </w:r>
          </w:p>
        </w:tc>
        <w:tc>
          <w:tcPr>
            <w:tcW w:w="7437" w:type="dxa"/>
            <w:tcBorders>
              <w:top w:val="single" w:sz="2" w:space="0" w:color="999999"/>
              <w:left w:val="single" w:sz="2" w:space="0" w:color="999999"/>
              <w:bottom w:val="nil"/>
              <w:right w:val="single" w:sz="2" w:space="0" w:color="999999"/>
            </w:tcBorders>
            <w:shd w:val="clear" w:color="auto" w:fill="EE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eastAsia="de-DE"/>
              </w:rPr>
            </w:pPr>
            <w:r w:rsidRPr="00696C73">
              <w:rPr>
                <w:rFonts w:ascii="Arial" w:eastAsia="Arial" w:hAnsi="Arial" w:cs="Arial"/>
                <w:color w:val="FFFFFF"/>
                <w:sz w:val="16"/>
                <w:szCs w:val="16"/>
                <w:lang w:eastAsia="de-DE"/>
              </w:rPr>
              <w:t>Meniscal or ligamentous injuries (with no indications for surgery)</w:t>
            </w:r>
          </w:p>
          <w:p w:rsidR="006F529E" w:rsidRPr="00696C73" w:rsidRDefault="006F529E" w:rsidP="00811D9D">
            <w:pPr>
              <w:spacing w:after="0" w:line="240" w:lineRule="auto"/>
              <w:rPr>
                <w:rFonts w:ascii="Arial" w:eastAsia="Arial" w:hAnsi="Arial" w:cs="Arial"/>
                <w:i/>
                <w:color w:val="FFFFFF"/>
                <w:sz w:val="16"/>
                <w:szCs w:val="16"/>
                <w:lang w:val="de-DE" w:eastAsia="de-DE"/>
              </w:rPr>
            </w:pPr>
            <w:r w:rsidRPr="00696C73">
              <w:rPr>
                <w:rFonts w:ascii="Arial" w:eastAsia="Arial" w:hAnsi="Arial" w:cs="Arial"/>
                <w:i/>
                <w:color w:val="FFFFFF"/>
                <w:sz w:val="16"/>
                <w:szCs w:val="16"/>
                <w:lang w:val="de-DE" w:eastAsia="de-DE"/>
              </w:rPr>
              <w:t>(p=0.04)</w:t>
            </w:r>
          </w:p>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448"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w:t>
            </w:r>
          </w:p>
        </w:tc>
        <w:tc>
          <w:tcPr>
            <w:tcW w:w="448"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3</w:t>
            </w:r>
          </w:p>
        </w:tc>
        <w:tc>
          <w:tcPr>
            <w:tcW w:w="448"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EE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6-8</w:t>
            </w:r>
          </w:p>
        </w:tc>
        <w:tc>
          <w:tcPr>
            <w:tcW w:w="656"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16</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(55%)</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12</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(45%)</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 xml:space="preserve">20 </w:t>
            </w:r>
          </w:p>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w:t>
            </w:r>
          </w:p>
        </w:tc>
        <w:tc>
          <w:tcPr>
            <w:tcW w:w="992" w:type="dxa"/>
            <w:tcBorders>
              <w:top w:val="nil"/>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p>
        </w:tc>
        <w:tc>
          <w:tcPr>
            <w:tcW w:w="1090" w:type="dxa"/>
            <w:tcBorders>
              <w:top w:val="nil"/>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p>
        </w:tc>
        <w:tc>
          <w:tcPr>
            <w:tcW w:w="7437" w:type="dxa"/>
            <w:tcBorders>
              <w:top w:val="nil"/>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p>
        </w:tc>
        <w:tc>
          <w:tcPr>
            <w:tcW w:w="448"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3</w:t>
            </w:r>
          </w:p>
        </w:tc>
        <w:tc>
          <w:tcPr>
            <w:tcW w:w="448"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4EA72E"/>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7-9</w:t>
            </w:r>
          </w:p>
        </w:tc>
        <w:tc>
          <w:tcPr>
            <w:tcW w:w="656"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23</w:t>
            </w:r>
          </w:p>
          <w:p w:rsidR="006F529E" w:rsidRPr="00696C73" w:rsidDel="003A3C0F"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(79%)</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6</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(21%)</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21</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Relative CI</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Subchondral insufficiency fractures</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7.8-10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24</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(83%)</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5</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(17%)</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22</w:t>
            </w:r>
          </w:p>
          <w:p w:rsidR="006F529E" w:rsidRPr="00696C73" w:rsidRDefault="006F529E" w:rsidP="00811D9D">
            <w:pPr>
              <w:spacing w:after="0" w:line="240" w:lineRule="auto"/>
              <w:rPr>
                <w:rFonts w:ascii="Arial" w:eastAsia="Arial" w:hAnsi="Arial" w:cs="Arial"/>
                <w:color w:val="FFFFFF"/>
                <w:sz w:val="18"/>
                <w:szCs w:val="18"/>
                <w:lang w:val="de-DE" w:eastAsia="de-DE"/>
              </w:rPr>
            </w:pPr>
            <w:r w:rsidRPr="00696C73">
              <w:rPr>
                <w:rFonts w:ascii="Arial" w:eastAsia="Arial" w:hAnsi="Arial" w:cs="Arial"/>
                <w:color w:val="FFFFFF"/>
                <w:sz w:val="16"/>
                <w:szCs w:val="16"/>
                <w:lang w:val="de-DE" w:eastAsia="de-DE"/>
              </w:rPr>
              <w:t>(1)</w:t>
            </w:r>
          </w:p>
        </w:tc>
        <w:tc>
          <w:tcPr>
            <w:tcW w:w="992"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8"/>
                <w:szCs w:val="18"/>
                <w:lang w:val="de-DE" w:eastAsia="de-DE"/>
              </w:rPr>
            </w:pPr>
            <w:r w:rsidRPr="00696C73">
              <w:rPr>
                <w:rFonts w:ascii="Arial" w:eastAsia="Arial" w:hAnsi="Arial" w:cs="Arial"/>
                <w:color w:val="FFFFFF"/>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8"/>
                <w:szCs w:val="18"/>
                <w:lang w:val="de-DE" w:eastAsia="de-DE"/>
              </w:rPr>
            </w:pPr>
            <w:r w:rsidRPr="00696C73">
              <w:rPr>
                <w:rFonts w:ascii="Arial" w:eastAsia="Arial" w:hAnsi="Arial" w:cs="Arial"/>
                <w:color w:val="FFFFFF"/>
                <w:sz w:val="16"/>
                <w:szCs w:val="16"/>
                <w:lang w:val="de-DE" w:eastAsia="de-DE"/>
              </w:rPr>
              <w:t>Relative CI</w:t>
            </w:r>
          </w:p>
        </w:tc>
        <w:tc>
          <w:tcPr>
            <w:tcW w:w="7437"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Loose intraarticular bodies</w:t>
            </w:r>
          </w:p>
          <w:p w:rsidR="006F529E" w:rsidRPr="00696C73" w:rsidRDefault="006F529E" w:rsidP="00811D9D">
            <w:pPr>
              <w:spacing w:after="0" w:line="240" w:lineRule="auto"/>
              <w:rPr>
                <w:rFonts w:ascii="Arial" w:eastAsia="Arial" w:hAnsi="Arial" w:cs="Arial"/>
                <w:i/>
                <w:color w:val="FFFFFF"/>
                <w:sz w:val="16"/>
                <w:szCs w:val="16"/>
                <w:lang w:val="de-DE" w:eastAsia="de-DE"/>
              </w:rPr>
            </w:pPr>
            <w:r w:rsidRPr="00696C73">
              <w:rPr>
                <w:rFonts w:ascii="Arial" w:eastAsia="Arial" w:hAnsi="Arial" w:cs="Arial"/>
                <w:i/>
                <w:color w:val="FFFFFF"/>
                <w:sz w:val="16"/>
                <w:szCs w:val="16"/>
                <w:lang w:val="de-DE" w:eastAsia="de-DE"/>
              </w:rPr>
              <w:t>(p=0.04)</w:t>
            </w:r>
          </w:p>
        </w:tc>
        <w:tc>
          <w:tcPr>
            <w:tcW w:w="448"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themeColor="background1"/>
                <w:sz w:val="16"/>
                <w:szCs w:val="16"/>
                <w:lang w:eastAsia="de-DE"/>
              </w:rPr>
              <w:t>7</w:t>
            </w:r>
          </w:p>
        </w:tc>
        <w:tc>
          <w:tcPr>
            <w:tcW w:w="448"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themeColor="background1"/>
                <w:sz w:val="16"/>
                <w:szCs w:val="16"/>
                <w:lang w:eastAsia="de-DE"/>
              </w:rPr>
              <w:t>3</w:t>
            </w:r>
          </w:p>
        </w:tc>
        <w:tc>
          <w:tcPr>
            <w:tcW w:w="448"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themeColor="background1"/>
                <w:sz w:val="16"/>
                <w:szCs w:val="16"/>
                <w:lang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EE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themeColor="background1"/>
                <w:sz w:val="16"/>
                <w:szCs w:val="16"/>
                <w:lang w:eastAsia="de-DE"/>
              </w:rPr>
              <w:t>6-8</w:t>
            </w:r>
          </w:p>
        </w:tc>
        <w:tc>
          <w:tcPr>
            <w:tcW w:w="656" w:type="dxa"/>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themeColor="background1"/>
                <w:sz w:val="16"/>
                <w:szCs w:val="16"/>
                <w:lang w:eastAsia="de-DE"/>
              </w:rPr>
            </w:pPr>
            <w:r w:rsidRPr="00696C73">
              <w:rPr>
                <w:rFonts w:ascii="Arial" w:eastAsia="Arial" w:hAnsi="Arial" w:cs="Arial"/>
                <w:color w:val="FFFFFF" w:themeColor="background1"/>
                <w:sz w:val="16"/>
                <w:szCs w:val="16"/>
                <w:lang w:eastAsia="de-DE"/>
              </w:rPr>
              <w:t>16</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themeColor="background1"/>
                <w:sz w:val="16"/>
                <w:szCs w:val="16"/>
                <w:lang w:eastAsia="de-DE"/>
              </w:rPr>
              <w:t>(55%)</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EE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themeColor="background1"/>
                <w:sz w:val="16"/>
                <w:szCs w:val="16"/>
                <w:lang w:eastAsia="de-DE"/>
              </w:rPr>
            </w:pPr>
            <w:r w:rsidRPr="00696C73">
              <w:rPr>
                <w:rFonts w:ascii="Arial" w:eastAsia="Arial" w:hAnsi="Arial" w:cs="Arial"/>
                <w:color w:val="FFFFFF" w:themeColor="background1"/>
                <w:sz w:val="16"/>
                <w:szCs w:val="16"/>
                <w:lang w:eastAsia="de-DE"/>
              </w:rPr>
              <w:t>12</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themeColor="background1"/>
                <w:sz w:val="16"/>
                <w:szCs w:val="16"/>
                <w:lang w:eastAsia="de-DE"/>
              </w:rPr>
              <w:t>(45%)</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22</w:t>
            </w:r>
          </w:p>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w:t>
            </w:r>
          </w:p>
        </w:tc>
        <w:tc>
          <w:tcPr>
            <w:tcW w:w="992"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1090"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7437"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448"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9</w:t>
            </w:r>
          </w:p>
        </w:tc>
        <w:tc>
          <w:tcPr>
            <w:tcW w:w="448"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w:t>
            </w:r>
          </w:p>
        </w:tc>
        <w:tc>
          <w:tcPr>
            <w:tcW w:w="448"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4EA72E"/>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8-10</w:t>
            </w:r>
          </w:p>
        </w:tc>
        <w:tc>
          <w:tcPr>
            <w:tcW w:w="656" w:type="dxa"/>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24</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(83%)</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4EA72E"/>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5</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(17%)</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23</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Absolute CI</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peripheral arterial disease (Fontaine&gt;3/Rutherford&gt;4)</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24</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(83%)</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5</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(17%)</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24</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Absolute CI</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Active septic arthritis</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7</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29</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(100%)</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(0%)</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25</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Absolute CI</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Meniscal or ligamentous injuries for which surgical treatment is indicated</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24</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(83%)</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5</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(17%)</w:t>
            </w:r>
          </w:p>
        </w:tc>
      </w:tr>
      <w:tr w:rsidR="006F529E" w:rsidRPr="00696C73" w:rsidTr="00811D9D">
        <w:tc>
          <w:tcPr>
            <w:tcW w:w="423"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26</w:t>
            </w:r>
          </w:p>
        </w:tc>
        <w:tc>
          <w:tcPr>
            <w:tcW w:w="99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Indications</w:t>
            </w:r>
          </w:p>
        </w:tc>
        <w:tc>
          <w:tcPr>
            <w:tcW w:w="109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Absolute CI</w:t>
            </w:r>
          </w:p>
        </w:tc>
        <w:tc>
          <w:tcPr>
            <w:tcW w:w="743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Axis deviation greater than 10°</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8</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w:t>
            </w:r>
          </w:p>
        </w:tc>
        <w:tc>
          <w:tcPr>
            <w:tcW w:w="4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7-8</w:t>
            </w:r>
          </w:p>
        </w:tc>
        <w:tc>
          <w:tcPr>
            <w:tcW w:w="6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24</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(83%)</w:t>
            </w:r>
          </w:p>
        </w:tc>
        <w:tc>
          <w:tcPr>
            <w:tcW w:w="832" w:type="dxa"/>
            <w:gridSpan w:val="2"/>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5</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(17%)</w:t>
            </w:r>
          </w:p>
        </w:tc>
      </w:tr>
      <w:tr w:rsidR="006F529E" w:rsidRPr="00696C73" w:rsidTr="00811D9D">
        <w:trPr>
          <w:trHeight w:val="22"/>
        </w:trPr>
        <w:tc>
          <w:tcPr>
            <w:tcW w:w="423"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27</w:t>
            </w:r>
          </w:p>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(1)</w:t>
            </w:r>
          </w:p>
        </w:tc>
        <w:tc>
          <w:tcPr>
            <w:tcW w:w="992"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Indications</w:t>
            </w:r>
          </w:p>
        </w:tc>
        <w:tc>
          <w:tcPr>
            <w:tcW w:w="1090"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Absolute CI</w:t>
            </w:r>
          </w:p>
        </w:tc>
        <w:tc>
          <w:tcPr>
            <w:tcW w:w="7437"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eastAsia="de-DE"/>
              </w:rPr>
            </w:pPr>
            <w:r w:rsidRPr="00696C73">
              <w:rPr>
                <w:rFonts w:ascii="Arial" w:eastAsia="Arial" w:hAnsi="Arial" w:cs="Arial"/>
                <w:color w:val="FFFFFF"/>
                <w:sz w:val="16"/>
                <w:szCs w:val="16"/>
                <w:lang w:eastAsia="de-DE"/>
              </w:rPr>
              <w:t>Knee pain due to end-stage OA (K&amp;L 4)</w:t>
            </w:r>
          </w:p>
          <w:p w:rsidR="006F529E" w:rsidRPr="00696C73" w:rsidRDefault="006F529E" w:rsidP="00811D9D">
            <w:pPr>
              <w:spacing w:after="0" w:line="240" w:lineRule="auto"/>
              <w:rPr>
                <w:rFonts w:ascii="Arial" w:eastAsia="Arial" w:hAnsi="Arial" w:cs="Arial"/>
                <w:i/>
                <w:sz w:val="18"/>
                <w:szCs w:val="18"/>
                <w:lang w:eastAsia="de-DE"/>
              </w:rPr>
            </w:pPr>
            <w:r w:rsidRPr="00696C73">
              <w:rPr>
                <w:rFonts w:ascii="Arial" w:eastAsia="Arial" w:hAnsi="Arial" w:cs="Arial"/>
                <w:i/>
                <w:color w:val="FFFFFF"/>
                <w:sz w:val="16"/>
                <w:szCs w:val="16"/>
                <w:lang w:eastAsia="de-DE"/>
              </w:rPr>
              <w:t>(p=1)</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5</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1-8</w:t>
            </w:r>
          </w:p>
        </w:tc>
        <w:tc>
          <w:tcPr>
            <w:tcW w:w="718" w:type="dxa"/>
            <w:gridSpan w:val="2"/>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14</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(48%)</w:t>
            </w:r>
          </w:p>
        </w:tc>
        <w:tc>
          <w:tcPr>
            <w:tcW w:w="770"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15</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(52%)</w:t>
            </w:r>
          </w:p>
        </w:tc>
      </w:tr>
      <w:tr w:rsidR="006F529E" w:rsidRPr="00696C73" w:rsidTr="00811D9D">
        <w:trPr>
          <w:trHeight w:val="22"/>
        </w:trPr>
        <w:tc>
          <w:tcPr>
            <w:tcW w:w="423"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27</w:t>
            </w:r>
          </w:p>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w:t>
            </w:r>
          </w:p>
        </w:tc>
        <w:tc>
          <w:tcPr>
            <w:tcW w:w="992"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1090"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7437"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eastAsia="de-DE"/>
              </w:rPr>
            </w:pP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5</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0</w:t>
            </w:r>
          </w:p>
        </w:tc>
        <w:tc>
          <w:tcPr>
            <w:tcW w:w="448"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tc>
        <w:tc>
          <w:tcPr>
            <w:tcW w:w="618" w:type="dxa"/>
            <w:tcBorders>
              <w:top w:val="single" w:sz="2" w:space="0" w:color="999999"/>
              <w:left w:val="single" w:sz="2" w:space="0" w:color="999999"/>
              <w:bottom w:val="single" w:sz="2" w:space="0" w:color="999999"/>
              <w:right w:val="single" w:sz="2" w:space="0" w:color="999999"/>
            </w:tcBorders>
            <w:shd w:val="clear" w:color="auto" w:fill="FF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1-8</w:t>
            </w:r>
          </w:p>
        </w:tc>
        <w:tc>
          <w:tcPr>
            <w:tcW w:w="718" w:type="dxa"/>
            <w:gridSpan w:val="2"/>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14</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(48%)</w:t>
            </w:r>
          </w:p>
        </w:tc>
        <w:tc>
          <w:tcPr>
            <w:tcW w:w="770"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15</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(52%)</w:t>
            </w:r>
          </w:p>
        </w:tc>
      </w:tr>
    </w:tbl>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sz w:val="18"/>
          <w:szCs w:val="18"/>
          <w:lang w:val="de-DE" w:eastAsia="de-DE"/>
        </w:rPr>
      </w:pPr>
      <w:r w:rsidRPr="00696C73">
        <w:rPr>
          <w:rFonts w:ascii="Arial" w:eastAsia="Arial" w:hAnsi="Arial" w:cs="Arial"/>
          <w:b/>
          <w:bCs/>
          <w:color w:val="2E4057"/>
          <w:lang w:val="de-DE" w:eastAsia="de-DE"/>
        </w:rPr>
        <w:t>Technique</w:t>
      </w:r>
    </w:p>
    <w:tbl>
      <w:tblPr>
        <w:tblW w:w="13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6"/>
        <w:gridCol w:w="948"/>
        <w:gridCol w:w="1277"/>
        <w:gridCol w:w="7168"/>
        <w:gridCol w:w="446"/>
        <w:gridCol w:w="446"/>
        <w:gridCol w:w="446"/>
        <w:gridCol w:w="615"/>
        <w:gridCol w:w="716"/>
        <w:gridCol w:w="830"/>
      </w:tblGrid>
      <w:tr w:rsidR="006F529E" w:rsidRPr="00696C73" w:rsidTr="00811D9D">
        <w:trPr>
          <w:cantSplit/>
          <w:trHeight w:val="1134"/>
          <w:tblHeader/>
        </w:trPr>
        <w:tc>
          <w:tcPr>
            <w:tcW w:w="556"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No.</w:t>
            </w:r>
          </w:p>
        </w:tc>
        <w:tc>
          <w:tcPr>
            <w:tcW w:w="948"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Domain</w:t>
            </w:r>
          </w:p>
        </w:tc>
        <w:tc>
          <w:tcPr>
            <w:tcW w:w="1277"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Subdomain</w:t>
            </w:r>
          </w:p>
        </w:tc>
        <w:tc>
          <w:tcPr>
            <w:tcW w:w="7170"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Statement</w:t>
            </w:r>
          </w:p>
        </w:tc>
        <w:tc>
          <w:tcPr>
            <w:tcW w:w="446"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center"/>
            <w:hideMark/>
          </w:tcPr>
          <w:p w:rsidR="006F529E" w:rsidRPr="00696C73" w:rsidRDefault="006F529E" w:rsidP="00811D9D">
            <w:pPr>
              <w:spacing w:after="0" w:line="240" w:lineRule="auto"/>
              <w:ind w:left="113" w:right="113"/>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Median</w:t>
            </w:r>
          </w:p>
        </w:tc>
        <w:tc>
          <w:tcPr>
            <w:tcW w:w="446"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center"/>
            <w:hideMark/>
          </w:tcPr>
          <w:p w:rsidR="006F529E" w:rsidRPr="00696C73" w:rsidRDefault="006F529E" w:rsidP="00811D9D">
            <w:pPr>
              <w:spacing w:after="0" w:line="240" w:lineRule="auto"/>
              <w:ind w:left="113" w:right="113"/>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Minimum</w:t>
            </w:r>
          </w:p>
        </w:tc>
        <w:tc>
          <w:tcPr>
            <w:tcW w:w="446"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center"/>
            <w:hideMark/>
          </w:tcPr>
          <w:p w:rsidR="006F529E" w:rsidRPr="00696C73" w:rsidRDefault="006F529E" w:rsidP="00811D9D">
            <w:pPr>
              <w:spacing w:after="0" w:line="240" w:lineRule="auto"/>
              <w:ind w:left="113" w:right="113"/>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Maximum</w:t>
            </w:r>
          </w:p>
        </w:tc>
        <w:tc>
          <w:tcPr>
            <w:tcW w:w="615" w:type="dxa"/>
            <w:tcBorders>
              <w:top w:val="single" w:sz="2" w:space="0" w:color="999999"/>
              <w:left w:val="single" w:sz="2" w:space="0" w:color="999999"/>
              <w:bottom w:val="single" w:sz="2" w:space="0" w:color="999999"/>
              <w:right w:val="single" w:sz="2" w:space="0" w:color="999999"/>
            </w:tcBorders>
            <w:shd w:val="clear" w:color="auto" w:fill="2E4057"/>
            <w:vAlign w:val="center"/>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IQR</w:t>
            </w:r>
          </w:p>
        </w:tc>
        <w:tc>
          <w:tcPr>
            <w:tcW w:w="714"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n ≥ 7</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8"/>
                <w:szCs w:val="18"/>
                <w:lang w:val="de-DE" w:eastAsia="de-DE"/>
              </w:rPr>
              <w:t>(%)</w:t>
            </w:r>
          </w:p>
        </w:tc>
        <w:tc>
          <w:tcPr>
            <w:tcW w:w="830"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n ≤ 7</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8"/>
                <w:szCs w:val="18"/>
                <w:lang w:val="de-DE" w:eastAsia="de-DE"/>
              </w:rPr>
              <w:t>(%)</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28</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GAE can routinely be performed in an outpatient setting; however, inpatient admission should be considered in patients with increased </w:t>
            </w:r>
            <w:proofErr w:type="spellStart"/>
            <w:r w:rsidRPr="00696C73">
              <w:rPr>
                <w:rFonts w:ascii="Arial" w:eastAsia="Arial" w:hAnsi="Arial" w:cs="Arial"/>
                <w:color w:val="000000"/>
                <w:sz w:val="16"/>
                <w:szCs w:val="16"/>
                <w:lang w:eastAsia="de-DE"/>
              </w:rPr>
              <w:t>periprocedural</w:t>
            </w:r>
            <w:proofErr w:type="spellEnd"/>
            <w:r w:rsidRPr="00696C73">
              <w:rPr>
                <w:rFonts w:ascii="Arial" w:eastAsia="Arial" w:hAnsi="Arial" w:cs="Arial"/>
                <w:color w:val="000000"/>
                <w:sz w:val="16"/>
                <w:szCs w:val="16"/>
                <w:lang w:eastAsia="de-DE"/>
              </w:rPr>
              <w:t xml:space="preserve"> risks due to comorbidities. </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(93%)</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29</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Basic </w:t>
            </w:r>
            <w:proofErr w:type="spellStart"/>
            <w:r w:rsidRPr="00696C73">
              <w:rPr>
                <w:rFonts w:ascii="Arial" w:eastAsia="Arial" w:hAnsi="Arial" w:cs="Arial"/>
                <w:color w:val="000000"/>
                <w:sz w:val="16"/>
                <w:szCs w:val="16"/>
                <w:lang w:eastAsia="de-DE"/>
              </w:rPr>
              <w:t>intraprocedural</w:t>
            </w:r>
            <w:proofErr w:type="spellEnd"/>
            <w:r w:rsidRPr="00696C73">
              <w:rPr>
                <w:rFonts w:ascii="Arial" w:eastAsia="Arial" w:hAnsi="Arial" w:cs="Arial"/>
                <w:color w:val="000000"/>
                <w:sz w:val="16"/>
                <w:szCs w:val="16"/>
                <w:lang w:eastAsia="de-DE"/>
              </w:rPr>
              <w:t xml:space="preserve"> monitoring includes blood pressure measurement, ECG and pulse oximetry.</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26</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(90%)</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3</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30</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When permanent embolic agents are used, periarticular cooling should be applied with the start of embolization; this is not required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(76%)</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31</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Radiopaque skin markers may be applied to localize pain. However, their use is not mandatory.</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7.5-10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(76%)</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32</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Setting</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Local </w:t>
            </w:r>
            <w:proofErr w:type="spellStart"/>
            <w:r w:rsidRPr="00696C73">
              <w:rPr>
                <w:rFonts w:ascii="Arial" w:eastAsia="Arial" w:hAnsi="Arial" w:cs="Arial"/>
                <w:color w:val="000000"/>
                <w:sz w:val="16"/>
                <w:szCs w:val="16"/>
                <w:lang w:eastAsia="de-DE"/>
              </w:rPr>
              <w:t>anesthesia</w:t>
            </w:r>
            <w:proofErr w:type="spellEnd"/>
            <w:r w:rsidRPr="00696C73">
              <w:rPr>
                <w:rFonts w:ascii="Arial" w:eastAsia="Arial" w:hAnsi="Arial" w:cs="Arial"/>
                <w:color w:val="000000"/>
                <w:sz w:val="16"/>
                <w:szCs w:val="16"/>
                <w:lang w:eastAsia="de-DE"/>
              </w:rPr>
              <w:t xml:space="preserve"> is sufficient for the procedure. In anxious patients, intravenous </w:t>
            </w:r>
            <w:proofErr w:type="spellStart"/>
            <w:r w:rsidRPr="00696C73">
              <w:rPr>
                <w:rFonts w:ascii="Arial" w:eastAsia="Arial" w:hAnsi="Arial" w:cs="Arial"/>
                <w:color w:val="000000"/>
                <w:sz w:val="16"/>
                <w:szCs w:val="16"/>
                <w:lang w:eastAsia="de-DE"/>
              </w:rPr>
              <w:t>periprocedural</w:t>
            </w:r>
            <w:proofErr w:type="spellEnd"/>
            <w:r w:rsidRPr="00696C73">
              <w:rPr>
                <w:rFonts w:ascii="Arial" w:eastAsia="Arial" w:hAnsi="Arial" w:cs="Arial"/>
                <w:color w:val="000000"/>
                <w:sz w:val="16"/>
                <w:szCs w:val="16"/>
                <w:lang w:eastAsia="de-DE"/>
              </w:rPr>
              <w:t xml:space="preserve"> sedation may be used.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25</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(86%)</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4</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33</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Access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The standard vascular access is ipsilateral </w:t>
            </w:r>
            <w:proofErr w:type="spellStart"/>
            <w:r w:rsidRPr="00696C73">
              <w:rPr>
                <w:rFonts w:ascii="Arial" w:eastAsia="Arial" w:hAnsi="Arial" w:cs="Arial"/>
                <w:color w:val="000000"/>
                <w:sz w:val="16"/>
                <w:szCs w:val="16"/>
                <w:lang w:eastAsia="de-DE"/>
              </w:rPr>
              <w:t>transfemoral</w:t>
            </w:r>
            <w:proofErr w:type="spellEnd"/>
            <w:r w:rsidRPr="00696C73">
              <w:rPr>
                <w:rFonts w:ascii="Arial" w:eastAsia="Arial" w:hAnsi="Arial" w:cs="Arial"/>
                <w:color w:val="000000"/>
                <w:sz w:val="16"/>
                <w:szCs w:val="16"/>
                <w:lang w:eastAsia="de-DE"/>
              </w:rPr>
              <w:t xml:space="preserve">; in obese patients, a contralateral </w:t>
            </w:r>
            <w:proofErr w:type="spellStart"/>
            <w:r w:rsidRPr="00696C73">
              <w:rPr>
                <w:rFonts w:ascii="Arial" w:eastAsia="Arial" w:hAnsi="Arial" w:cs="Arial"/>
                <w:color w:val="000000"/>
                <w:sz w:val="16"/>
                <w:szCs w:val="16"/>
                <w:lang w:eastAsia="de-DE"/>
              </w:rPr>
              <w:t>transfemoral</w:t>
            </w:r>
            <w:proofErr w:type="spellEnd"/>
            <w:r w:rsidRPr="00696C73">
              <w:rPr>
                <w:rFonts w:ascii="Arial" w:eastAsia="Arial" w:hAnsi="Arial" w:cs="Arial"/>
                <w:color w:val="000000"/>
                <w:sz w:val="16"/>
                <w:szCs w:val="16"/>
                <w:lang w:eastAsia="de-DE"/>
              </w:rPr>
              <w:t xml:space="preserve"> access may be considered.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29</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(100%)</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34</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Access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A </w:t>
            </w:r>
            <w:proofErr w:type="spellStart"/>
            <w:r w:rsidRPr="00696C73">
              <w:rPr>
                <w:rFonts w:ascii="Arial" w:eastAsia="Arial" w:hAnsi="Arial" w:cs="Arial"/>
                <w:color w:val="000000"/>
                <w:sz w:val="16"/>
                <w:szCs w:val="16"/>
                <w:lang w:eastAsia="de-DE"/>
              </w:rPr>
              <w:t>transpedal</w:t>
            </w:r>
            <w:proofErr w:type="spellEnd"/>
            <w:r w:rsidRPr="00696C73">
              <w:rPr>
                <w:rFonts w:ascii="Arial" w:eastAsia="Arial" w:hAnsi="Arial" w:cs="Arial"/>
                <w:color w:val="000000"/>
                <w:sz w:val="16"/>
                <w:szCs w:val="16"/>
                <w:lang w:eastAsia="de-DE"/>
              </w:rPr>
              <w:t xml:space="preserve"> access may be considered as an alternative vascular</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23</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(79%)</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35</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Access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Use of a vascular sheath is not mandatory. However, a 3–5 Fr sheath may be used if required.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(93%)</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36</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Access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A vascular closure device is not required. Manual compression for approximately 15 minutes until </w:t>
            </w:r>
            <w:proofErr w:type="spellStart"/>
            <w:r w:rsidRPr="00696C73">
              <w:rPr>
                <w:rFonts w:ascii="Arial" w:eastAsia="Arial" w:hAnsi="Arial" w:cs="Arial"/>
                <w:color w:val="000000"/>
                <w:sz w:val="16"/>
                <w:szCs w:val="16"/>
                <w:lang w:eastAsia="de-DE"/>
              </w:rPr>
              <w:t>hemostasis</w:t>
            </w:r>
            <w:proofErr w:type="spellEnd"/>
            <w:r w:rsidRPr="00696C73">
              <w:rPr>
                <w:rFonts w:ascii="Arial" w:eastAsia="Arial" w:hAnsi="Arial" w:cs="Arial"/>
                <w:color w:val="000000"/>
                <w:sz w:val="16"/>
                <w:szCs w:val="16"/>
                <w:lang w:eastAsia="de-DE"/>
              </w:rPr>
              <w:t xml:space="preserve"> is achieved, followed by a compression bandage for 2–4 hours, is sufficient.</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23</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(79%)</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37</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Catheterization</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Typical guiding catheters include Cobra 1/2, Bernstein, Multipurpose, </w:t>
            </w:r>
            <w:proofErr w:type="spellStart"/>
            <w:r w:rsidRPr="00696C73">
              <w:rPr>
                <w:rFonts w:ascii="Arial" w:eastAsia="Arial" w:hAnsi="Arial" w:cs="Arial"/>
                <w:color w:val="000000"/>
                <w:sz w:val="16"/>
                <w:szCs w:val="16"/>
                <w:lang w:eastAsia="de-DE"/>
              </w:rPr>
              <w:t>Judkins</w:t>
            </w:r>
            <w:proofErr w:type="spellEnd"/>
            <w:r w:rsidRPr="00696C73">
              <w:rPr>
                <w:rFonts w:ascii="Arial" w:eastAsia="Arial" w:hAnsi="Arial" w:cs="Arial"/>
                <w:color w:val="000000"/>
                <w:sz w:val="16"/>
                <w:szCs w:val="16"/>
                <w:lang w:eastAsia="de-DE"/>
              </w:rPr>
              <w:t xml:space="preserve"> right catheters and </w:t>
            </w:r>
            <w:proofErr w:type="spellStart"/>
            <w:r w:rsidRPr="00696C73">
              <w:rPr>
                <w:rFonts w:ascii="Arial" w:eastAsia="Arial" w:hAnsi="Arial" w:cs="Arial"/>
                <w:color w:val="000000"/>
                <w:sz w:val="16"/>
                <w:szCs w:val="16"/>
                <w:lang w:eastAsia="de-DE"/>
              </w:rPr>
              <w:t>Vertebralis</w:t>
            </w:r>
            <w:proofErr w:type="spellEnd"/>
            <w:r w:rsidRPr="00696C73">
              <w:rPr>
                <w:rFonts w:ascii="Arial" w:eastAsia="Arial" w:hAnsi="Arial" w:cs="Arial"/>
                <w:color w:val="000000"/>
                <w:sz w:val="16"/>
                <w:szCs w:val="16"/>
                <w:lang w:eastAsia="de-DE"/>
              </w:rPr>
              <w:t>: typically in 3–5 Fr sizes.</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4</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(93%)</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38</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Catheterization</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For catheterization of the genicular arteries a </w:t>
            </w:r>
            <w:proofErr w:type="spellStart"/>
            <w:r w:rsidRPr="00696C73">
              <w:rPr>
                <w:rFonts w:ascii="Arial" w:eastAsia="Arial" w:hAnsi="Arial" w:cs="Arial"/>
                <w:color w:val="000000"/>
                <w:sz w:val="16"/>
                <w:szCs w:val="16"/>
                <w:lang w:eastAsia="de-DE"/>
              </w:rPr>
              <w:t>microcatheter</w:t>
            </w:r>
            <w:proofErr w:type="spellEnd"/>
            <w:r w:rsidRPr="00696C73">
              <w:rPr>
                <w:rFonts w:ascii="Arial" w:eastAsia="Arial" w:hAnsi="Arial" w:cs="Arial"/>
                <w:color w:val="000000"/>
                <w:sz w:val="16"/>
                <w:szCs w:val="16"/>
                <w:lang w:eastAsia="de-DE"/>
              </w:rPr>
              <w:t xml:space="preserve"> (&lt; 2 Fr) should be used.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25</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(86%)</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4</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39</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Catheterization</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The use of a </w:t>
            </w:r>
            <w:proofErr w:type="spellStart"/>
            <w:r w:rsidRPr="00696C73">
              <w:rPr>
                <w:rFonts w:ascii="Arial" w:eastAsia="Arial" w:hAnsi="Arial" w:cs="Arial"/>
                <w:color w:val="000000"/>
                <w:sz w:val="16"/>
                <w:szCs w:val="16"/>
                <w:lang w:eastAsia="de-DE"/>
              </w:rPr>
              <w:t>microguidewire</w:t>
            </w:r>
            <w:proofErr w:type="spellEnd"/>
            <w:r w:rsidRPr="00696C73">
              <w:rPr>
                <w:rFonts w:ascii="Arial" w:eastAsia="Arial" w:hAnsi="Arial" w:cs="Arial"/>
                <w:color w:val="000000"/>
                <w:sz w:val="16"/>
                <w:szCs w:val="16"/>
                <w:lang w:eastAsia="de-DE"/>
              </w:rPr>
              <w:t xml:space="preserve"> (0.014–0.018 inch) is optional.</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23</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(79%)</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lastRenderedPageBreak/>
              <w:t>40</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Catheterization</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In cases of complex vessel origins, a lateral projection may facilitate catheterization of genicular arteries.</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(93%)</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41</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Catheterization</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Cone-beam CT is helpful for catheterization of challenging vessel origins and to confirm correct catheter position prior to embolization.</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25</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(86%)</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4</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42</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Embolic</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Both permanent and temporary embolic agents can be used. To date, no relevant differences in efficacy or safety have been demonstrated.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25</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(86%)</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4</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43</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Embolic</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When using permanent embolic agents, the potential occurrence of temporary periarticular skin discolorations should be discussed with</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28</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(97%)</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(3%)</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44</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Embolic</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Common permanent </w:t>
            </w:r>
            <w:proofErr w:type="spellStart"/>
            <w:r w:rsidRPr="00696C73">
              <w:rPr>
                <w:rFonts w:ascii="Arial" w:eastAsia="Arial" w:hAnsi="Arial" w:cs="Arial"/>
                <w:color w:val="000000"/>
                <w:sz w:val="16"/>
                <w:szCs w:val="16"/>
                <w:lang w:eastAsia="de-DE"/>
              </w:rPr>
              <w:t>embolics</w:t>
            </w:r>
            <w:proofErr w:type="spellEnd"/>
            <w:r w:rsidRPr="00696C73">
              <w:rPr>
                <w:rFonts w:ascii="Arial" w:eastAsia="Arial" w:hAnsi="Arial" w:cs="Arial"/>
                <w:color w:val="000000"/>
                <w:sz w:val="16"/>
                <w:szCs w:val="16"/>
                <w:lang w:eastAsia="de-DE"/>
              </w:rPr>
              <w:t xml:space="preserve"> are 100–300 µm </w:t>
            </w:r>
            <w:proofErr w:type="spellStart"/>
            <w:r w:rsidRPr="00696C73">
              <w:rPr>
                <w:rFonts w:ascii="Arial" w:eastAsia="Arial" w:hAnsi="Arial" w:cs="Arial"/>
                <w:color w:val="000000"/>
                <w:sz w:val="16"/>
                <w:szCs w:val="16"/>
                <w:lang w:eastAsia="de-DE"/>
              </w:rPr>
              <w:t>Trisacryl-Gelatin</w:t>
            </w:r>
            <w:proofErr w:type="spellEnd"/>
            <w:r w:rsidRPr="00696C73">
              <w:rPr>
                <w:rFonts w:ascii="Arial" w:eastAsia="Arial" w:hAnsi="Arial" w:cs="Arial"/>
                <w:color w:val="000000"/>
                <w:sz w:val="16"/>
                <w:szCs w:val="16"/>
                <w:lang w:eastAsia="de-DE"/>
              </w:rPr>
              <w:t xml:space="preserve"> Microspheres and 200 µm Polyvinyl Alcohol Particles</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7.3-10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23</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(79%)</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45</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Embolic</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Common </w:t>
            </w:r>
            <w:proofErr w:type="spellStart"/>
            <w:r w:rsidRPr="00696C73">
              <w:rPr>
                <w:rFonts w:ascii="Arial" w:eastAsia="Arial" w:hAnsi="Arial" w:cs="Arial"/>
                <w:color w:val="000000"/>
                <w:sz w:val="16"/>
                <w:szCs w:val="16"/>
                <w:lang w:eastAsia="de-DE"/>
              </w:rPr>
              <w:t>resorbable</w:t>
            </w:r>
            <w:proofErr w:type="spellEnd"/>
            <w:r w:rsidRPr="00696C73">
              <w:rPr>
                <w:rFonts w:ascii="Arial" w:eastAsia="Arial" w:hAnsi="Arial" w:cs="Arial"/>
                <w:color w:val="000000"/>
                <w:sz w:val="16"/>
                <w:szCs w:val="16"/>
                <w:lang w:eastAsia="de-DE"/>
              </w:rPr>
              <w:t xml:space="preserve"> </w:t>
            </w:r>
            <w:proofErr w:type="spellStart"/>
            <w:r w:rsidRPr="00696C73">
              <w:rPr>
                <w:rFonts w:ascii="Arial" w:eastAsia="Arial" w:hAnsi="Arial" w:cs="Arial"/>
                <w:color w:val="000000"/>
                <w:sz w:val="16"/>
                <w:szCs w:val="16"/>
                <w:lang w:eastAsia="de-DE"/>
              </w:rPr>
              <w:t>embolics</w:t>
            </w:r>
            <w:proofErr w:type="spellEnd"/>
            <w:r w:rsidRPr="00696C73">
              <w:rPr>
                <w:rFonts w:ascii="Arial" w:eastAsia="Arial" w:hAnsi="Arial" w:cs="Arial"/>
                <w:color w:val="000000"/>
                <w:sz w:val="16"/>
                <w:szCs w:val="16"/>
                <w:lang w:eastAsia="de-DE"/>
              </w:rPr>
              <w:t xml:space="preserve"> are Imipenem/</w:t>
            </w:r>
            <w:proofErr w:type="spellStart"/>
            <w:r w:rsidRPr="00696C73">
              <w:rPr>
                <w:rFonts w:ascii="Arial" w:eastAsia="Arial" w:hAnsi="Arial" w:cs="Arial"/>
                <w:color w:val="000000"/>
                <w:sz w:val="16"/>
                <w:szCs w:val="16"/>
                <w:lang w:eastAsia="de-DE"/>
              </w:rPr>
              <w:t>Cilastatin</w:t>
            </w:r>
            <w:proofErr w:type="spellEnd"/>
            <w:r w:rsidRPr="00696C73">
              <w:rPr>
                <w:rFonts w:ascii="Arial" w:eastAsia="Arial" w:hAnsi="Arial" w:cs="Arial"/>
                <w:color w:val="000000"/>
                <w:sz w:val="16"/>
                <w:szCs w:val="16"/>
                <w:lang w:eastAsia="de-DE"/>
              </w:rPr>
              <w:t xml:space="preserve">, 100–300 µm </w:t>
            </w:r>
            <w:proofErr w:type="spellStart"/>
            <w:r w:rsidRPr="00696C73">
              <w:rPr>
                <w:rFonts w:ascii="Arial" w:eastAsia="Arial" w:hAnsi="Arial" w:cs="Arial"/>
                <w:color w:val="000000"/>
                <w:sz w:val="16"/>
                <w:szCs w:val="16"/>
                <w:lang w:eastAsia="de-DE"/>
              </w:rPr>
              <w:t>Resorbable</w:t>
            </w:r>
            <w:proofErr w:type="spellEnd"/>
            <w:r w:rsidRPr="00696C73">
              <w:rPr>
                <w:rFonts w:ascii="Arial" w:eastAsia="Arial" w:hAnsi="Arial" w:cs="Arial"/>
                <w:color w:val="000000"/>
                <w:sz w:val="16"/>
                <w:szCs w:val="16"/>
                <w:lang w:eastAsia="de-DE"/>
              </w:rPr>
              <w:t xml:space="preserve"> </w:t>
            </w:r>
            <w:proofErr w:type="spellStart"/>
            <w:r w:rsidRPr="00696C73">
              <w:rPr>
                <w:rFonts w:ascii="Arial" w:eastAsia="Arial" w:hAnsi="Arial" w:cs="Arial"/>
                <w:color w:val="000000"/>
                <w:sz w:val="16"/>
                <w:szCs w:val="16"/>
                <w:lang w:eastAsia="de-DE"/>
              </w:rPr>
              <w:t>Gelatin</w:t>
            </w:r>
            <w:proofErr w:type="spellEnd"/>
            <w:r w:rsidRPr="00696C73">
              <w:rPr>
                <w:rFonts w:ascii="Arial" w:eastAsia="Arial" w:hAnsi="Arial" w:cs="Arial"/>
                <w:color w:val="000000"/>
                <w:sz w:val="16"/>
                <w:szCs w:val="16"/>
                <w:lang w:eastAsia="de-DE"/>
              </w:rPr>
              <w:t xml:space="preserve"> Microspheres, </w:t>
            </w:r>
            <w:proofErr w:type="spellStart"/>
            <w:r w:rsidRPr="00696C73">
              <w:rPr>
                <w:rFonts w:ascii="Arial" w:eastAsia="Arial" w:hAnsi="Arial" w:cs="Arial"/>
                <w:color w:val="000000"/>
                <w:sz w:val="16"/>
                <w:szCs w:val="16"/>
                <w:lang w:eastAsia="de-DE"/>
              </w:rPr>
              <w:t>Ethiodized</w:t>
            </w:r>
            <w:proofErr w:type="spellEnd"/>
            <w:r w:rsidRPr="00696C73">
              <w:rPr>
                <w:rFonts w:ascii="Arial" w:eastAsia="Arial" w:hAnsi="Arial" w:cs="Arial"/>
                <w:color w:val="000000"/>
                <w:sz w:val="16"/>
                <w:szCs w:val="16"/>
                <w:lang w:eastAsia="de-DE"/>
              </w:rPr>
              <w:t xml:space="preserve"> oil-based emulsion and 200 µm </w:t>
            </w:r>
            <w:proofErr w:type="spellStart"/>
            <w:r w:rsidRPr="00696C73">
              <w:rPr>
                <w:rFonts w:ascii="Arial" w:eastAsia="Arial" w:hAnsi="Arial" w:cs="Arial"/>
                <w:color w:val="000000"/>
                <w:sz w:val="16"/>
                <w:szCs w:val="16"/>
                <w:lang w:eastAsia="de-DE"/>
              </w:rPr>
              <w:t>Resorbable</w:t>
            </w:r>
            <w:proofErr w:type="spellEnd"/>
            <w:r w:rsidRPr="00696C73">
              <w:rPr>
                <w:rFonts w:ascii="Arial" w:eastAsia="Arial" w:hAnsi="Arial" w:cs="Arial"/>
                <w:color w:val="000000"/>
                <w:sz w:val="16"/>
                <w:szCs w:val="16"/>
                <w:lang w:eastAsia="de-DE"/>
              </w:rPr>
              <w:t xml:space="preserve"> Alginate Microspheres</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23</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(79%)</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46</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Embolic</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In cases of severe osteoarthritis (</w:t>
            </w:r>
            <w:proofErr w:type="spellStart"/>
            <w:r w:rsidRPr="00696C73">
              <w:rPr>
                <w:rFonts w:ascii="Arial" w:eastAsia="Arial" w:hAnsi="Arial" w:cs="Arial"/>
                <w:color w:val="000000"/>
                <w:sz w:val="16"/>
                <w:szCs w:val="16"/>
                <w:lang w:eastAsia="de-DE"/>
              </w:rPr>
              <w:t>Kellgren</w:t>
            </w:r>
            <w:proofErr w:type="spellEnd"/>
            <w:r w:rsidRPr="00696C73">
              <w:rPr>
                <w:rFonts w:ascii="Arial" w:eastAsia="Arial" w:hAnsi="Arial" w:cs="Arial"/>
                <w:color w:val="000000"/>
                <w:sz w:val="16"/>
                <w:szCs w:val="16"/>
                <w:lang w:eastAsia="de-DE"/>
              </w:rPr>
              <w:t xml:space="preserve">–Lawrence Grade 4), status post total knee replacement, and recurrent </w:t>
            </w:r>
            <w:proofErr w:type="spellStart"/>
            <w:r w:rsidRPr="00696C73">
              <w:rPr>
                <w:rFonts w:ascii="Arial" w:eastAsia="Arial" w:hAnsi="Arial" w:cs="Arial"/>
                <w:color w:val="000000"/>
                <w:sz w:val="16"/>
                <w:szCs w:val="16"/>
                <w:lang w:eastAsia="de-DE"/>
              </w:rPr>
              <w:t>hemarthrosis</w:t>
            </w:r>
            <w:proofErr w:type="spellEnd"/>
            <w:r w:rsidRPr="00696C73">
              <w:rPr>
                <w:rFonts w:ascii="Arial" w:eastAsia="Arial" w:hAnsi="Arial" w:cs="Arial"/>
                <w:color w:val="000000"/>
                <w:sz w:val="16"/>
                <w:szCs w:val="16"/>
                <w:lang w:eastAsia="de-DE"/>
              </w:rPr>
              <w:t>, the use of permanent microspheres may be preferred.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(76%)</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47</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Embolic</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When using permanent embolic agents, embolization should be performed in aliquots until the endpoint of pruning is achieved, defined by the absence of </w:t>
            </w:r>
            <w:proofErr w:type="spellStart"/>
            <w:r w:rsidRPr="00696C73">
              <w:rPr>
                <w:rFonts w:ascii="Arial" w:eastAsia="Arial" w:hAnsi="Arial" w:cs="Arial"/>
                <w:color w:val="000000"/>
                <w:sz w:val="16"/>
                <w:szCs w:val="16"/>
                <w:lang w:eastAsia="de-DE"/>
              </w:rPr>
              <w:t>hypervascularization</w:t>
            </w:r>
            <w:proofErr w:type="spellEnd"/>
            <w:r w:rsidRPr="00696C73">
              <w:rPr>
                <w:rFonts w:ascii="Arial" w:eastAsia="Arial" w:hAnsi="Arial" w:cs="Arial"/>
                <w:color w:val="000000"/>
                <w:sz w:val="16"/>
                <w:szCs w:val="16"/>
                <w:lang w:eastAsia="de-DE"/>
              </w:rPr>
              <w:t xml:space="preserve"> while preserving the parent</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29</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(100%)</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48</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Embolic</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When using temporary embolic agents, more liberal embolization endpoints such as stasis or reflux are recommended.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(93%)</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49</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Target Vessels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Target arteries for GAE include the descending genicular artery (DGA), </w:t>
            </w:r>
            <w:proofErr w:type="spellStart"/>
            <w:r w:rsidRPr="00696C73">
              <w:rPr>
                <w:rFonts w:ascii="Arial" w:eastAsia="Arial" w:hAnsi="Arial" w:cs="Arial"/>
                <w:color w:val="000000"/>
                <w:sz w:val="16"/>
                <w:szCs w:val="16"/>
                <w:lang w:eastAsia="de-DE"/>
              </w:rPr>
              <w:t>superomedial</w:t>
            </w:r>
            <w:proofErr w:type="spellEnd"/>
            <w:r w:rsidRPr="00696C73">
              <w:rPr>
                <w:rFonts w:ascii="Arial" w:eastAsia="Arial" w:hAnsi="Arial" w:cs="Arial"/>
                <w:color w:val="000000"/>
                <w:sz w:val="16"/>
                <w:szCs w:val="16"/>
                <w:lang w:eastAsia="de-DE"/>
              </w:rPr>
              <w:t xml:space="preserve"> genicular artery (SMGA), </w:t>
            </w:r>
            <w:proofErr w:type="spellStart"/>
            <w:r w:rsidRPr="00696C73">
              <w:rPr>
                <w:rFonts w:ascii="Arial" w:eastAsia="Arial" w:hAnsi="Arial" w:cs="Arial"/>
                <w:color w:val="000000"/>
                <w:sz w:val="16"/>
                <w:szCs w:val="16"/>
                <w:lang w:eastAsia="de-DE"/>
              </w:rPr>
              <w:t>inferomedial</w:t>
            </w:r>
            <w:proofErr w:type="spellEnd"/>
            <w:r w:rsidRPr="00696C73">
              <w:rPr>
                <w:rFonts w:ascii="Arial" w:eastAsia="Arial" w:hAnsi="Arial" w:cs="Arial"/>
                <w:color w:val="000000"/>
                <w:sz w:val="16"/>
                <w:szCs w:val="16"/>
                <w:lang w:eastAsia="de-DE"/>
              </w:rPr>
              <w:t xml:space="preserve"> genicular artery (IMGA), </w:t>
            </w:r>
            <w:proofErr w:type="spellStart"/>
            <w:r w:rsidRPr="00696C73">
              <w:rPr>
                <w:rFonts w:ascii="Arial" w:eastAsia="Arial" w:hAnsi="Arial" w:cs="Arial"/>
                <w:color w:val="000000"/>
                <w:sz w:val="16"/>
                <w:szCs w:val="16"/>
                <w:lang w:eastAsia="de-DE"/>
              </w:rPr>
              <w:t>superolateral</w:t>
            </w:r>
            <w:proofErr w:type="spellEnd"/>
            <w:r w:rsidRPr="00696C73">
              <w:rPr>
                <w:rFonts w:ascii="Arial" w:eastAsia="Arial" w:hAnsi="Arial" w:cs="Arial"/>
                <w:color w:val="000000"/>
                <w:sz w:val="16"/>
                <w:szCs w:val="16"/>
                <w:lang w:eastAsia="de-DE"/>
              </w:rPr>
              <w:t xml:space="preserve"> genicular artery (SLGA), inferolateral genicular artery (ILGA), Superior patellar artery (SPA) and the anterior recurrent </w:t>
            </w:r>
            <w:proofErr w:type="spellStart"/>
            <w:r w:rsidRPr="00696C73">
              <w:rPr>
                <w:rFonts w:ascii="Arial" w:eastAsia="Arial" w:hAnsi="Arial" w:cs="Arial"/>
                <w:color w:val="000000"/>
                <w:sz w:val="16"/>
                <w:szCs w:val="16"/>
                <w:lang w:eastAsia="de-DE"/>
              </w:rPr>
              <w:t>tibial</w:t>
            </w:r>
            <w:proofErr w:type="spellEnd"/>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29</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(100%)</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50</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Target Vessels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Genicular arteries do not represent isolated vessels but rather a vascular network; the hemodynamic implications of which should be considered when selecting the embolization strategy.</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29</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(100%)</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51</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Target Vessels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Based on this concept, all genicular arteries visible on the overview angiogram should be selectively catheterized, and embolization should be performed only if a </w:t>
            </w:r>
            <w:proofErr w:type="spellStart"/>
            <w:r w:rsidRPr="00696C73">
              <w:rPr>
                <w:rFonts w:ascii="Arial" w:eastAsia="Arial" w:hAnsi="Arial" w:cs="Arial"/>
                <w:color w:val="000000"/>
                <w:sz w:val="16"/>
                <w:szCs w:val="16"/>
                <w:lang w:eastAsia="de-DE"/>
              </w:rPr>
              <w:t>hypervascular</w:t>
            </w:r>
            <w:proofErr w:type="spellEnd"/>
            <w:r w:rsidRPr="00696C73">
              <w:rPr>
                <w:rFonts w:ascii="Arial" w:eastAsia="Arial" w:hAnsi="Arial" w:cs="Arial"/>
                <w:color w:val="000000"/>
                <w:sz w:val="16"/>
                <w:szCs w:val="16"/>
                <w:lang w:eastAsia="de-DE"/>
              </w:rPr>
              <w:t xml:space="preserve"> blush is identified and/or evoked pain is detected.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(76%)</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52</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Target Vessels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If </w:t>
            </w:r>
            <w:proofErr w:type="spellStart"/>
            <w:r w:rsidRPr="00696C73">
              <w:rPr>
                <w:rFonts w:ascii="Arial" w:eastAsia="Arial" w:hAnsi="Arial" w:cs="Arial"/>
                <w:color w:val="000000"/>
                <w:sz w:val="16"/>
                <w:szCs w:val="16"/>
                <w:lang w:eastAsia="de-DE"/>
              </w:rPr>
              <w:t>antegrade</w:t>
            </w:r>
            <w:proofErr w:type="spellEnd"/>
            <w:r w:rsidRPr="00696C73">
              <w:rPr>
                <w:rFonts w:ascii="Arial" w:eastAsia="Arial" w:hAnsi="Arial" w:cs="Arial"/>
                <w:color w:val="000000"/>
                <w:sz w:val="16"/>
                <w:szCs w:val="16"/>
                <w:lang w:eastAsia="de-DE"/>
              </w:rPr>
              <w:t xml:space="preserve"> catheterization of a genicular artery is not feasible (e.g., due to ostial stenosis, vasospasm, or complex vessel origin), retrograde embolization via the anastomotic network (R-GAE) may be performed.</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29</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(100%)</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53</w:t>
            </w:r>
          </w:p>
        </w:tc>
        <w:tc>
          <w:tcPr>
            <w:tcW w:w="948"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Technique</w:t>
            </w:r>
          </w:p>
        </w:tc>
        <w:tc>
          <w:tcPr>
            <w:tcW w:w="1277"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Target Vessels</w:t>
            </w:r>
          </w:p>
        </w:tc>
        <w:tc>
          <w:tcPr>
            <w:tcW w:w="717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If contrast transfer via anastomoses to adjacent genicular arteries is observed during </w:t>
            </w:r>
            <w:proofErr w:type="spellStart"/>
            <w:r w:rsidRPr="00696C73">
              <w:rPr>
                <w:rFonts w:ascii="Arial" w:eastAsia="Arial" w:hAnsi="Arial" w:cs="Arial"/>
                <w:color w:val="000000"/>
                <w:sz w:val="16"/>
                <w:szCs w:val="16"/>
                <w:lang w:eastAsia="de-DE"/>
              </w:rPr>
              <w:t>superselective</w:t>
            </w:r>
            <w:proofErr w:type="spellEnd"/>
            <w:r w:rsidRPr="00696C73">
              <w:rPr>
                <w:rFonts w:ascii="Arial" w:eastAsia="Arial" w:hAnsi="Arial" w:cs="Arial"/>
                <w:color w:val="000000"/>
                <w:sz w:val="16"/>
                <w:szCs w:val="16"/>
                <w:lang w:eastAsia="de-DE"/>
              </w:rPr>
              <w:t xml:space="preserve"> angiography, these vessels may be treated retrograde (R-GAE)</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tc>
        <w:tc>
          <w:tcPr>
            <w:tcW w:w="44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615"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71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27</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(93%)</w:t>
            </w:r>
          </w:p>
        </w:tc>
        <w:tc>
          <w:tcPr>
            <w:tcW w:w="830"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tc>
      </w:tr>
    </w:tbl>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b/>
          <w:bCs/>
          <w:color w:val="2E4057"/>
          <w:lang w:val="de-DE" w:eastAsia="de-DE"/>
        </w:rPr>
      </w:pPr>
    </w:p>
    <w:p w:rsidR="006F529E" w:rsidRPr="00696C73" w:rsidRDefault="006F529E" w:rsidP="006F529E">
      <w:pPr>
        <w:spacing w:before="300" w:after="120" w:line="240" w:lineRule="auto"/>
        <w:rPr>
          <w:rFonts w:ascii="Arial" w:eastAsia="Arial" w:hAnsi="Arial" w:cs="Arial"/>
          <w:sz w:val="18"/>
          <w:szCs w:val="18"/>
          <w:lang w:val="de-DE" w:eastAsia="de-DE"/>
        </w:rPr>
      </w:pPr>
      <w:r w:rsidRPr="00696C73">
        <w:rPr>
          <w:rFonts w:ascii="Arial" w:eastAsia="Arial" w:hAnsi="Arial" w:cs="Arial"/>
          <w:b/>
          <w:bCs/>
          <w:color w:val="2E4057"/>
          <w:lang w:val="de-DE" w:eastAsia="de-DE"/>
        </w:rPr>
        <w:t xml:space="preserve">Clinical Care </w:t>
      </w:r>
    </w:p>
    <w:tbl>
      <w:tblPr>
        <w:tblW w:w="13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6"/>
        <w:gridCol w:w="881"/>
        <w:gridCol w:w="1339"/>
        <w:gridCol w:w="7002"/>
        <w:gridCol w:w="425"/>
        <w:gridCol w:w="426"/>
        <w:gridCol w:w="425"/>
        <w:gridCol w:w="709"/>
        <w:gridCol w:w="894"/>
        <w:gridCol w:w="921"/>
      </w:tblGrid>
      <w:tr w:rsidR="006F529E" w:rsidRPr="00696C73" w:rsidTr="00811D9D">
        <w:trPr>
          <w:cantSplit/>
          <w:trHeight w:val="1134"/>
          <w:tblHeader/>
        </w:trPr>
        <w:tc>
          <w:tcPr>
            <w:tcW w:w="556"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No.</w:t>
            </w:r>
          </w:p>
        </w:tc>
        <w:tc>
          <w:tcPr>
            <w:tcW w:w="881"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Domain</w:t>
            </w:r>
          </w:p>
        </w:tc>
        <w:tc>
          <w:tcPr>
            <w:tcW w:w="1339"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Subdomain</w:t>
            </w:r>
          </w:p>
        </w:tc>
        <w:tc>
          <w:tcPr>
            <w:tcW w:w="7002"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Statement</w:t>
            </w:r>
          </w:p>
        </w:tc>
        <w:tc>
          <w:tcPr>
            <w:tcW w:w="425"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center"/>
            <w:hideMark/>
          </w:tcPr>
          <w:p w:rsidR="006F529E" w:rsidRPr="00696C73" w:rsidRDefault="006F529E" w:rsidP="00811D9D">
            <w:pPr>
              <w:spacing w:after="0" w:line="240" w:lineRule="auto"/>
              <w:ind w:left="113" w:right="113"/>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Median</w:t>
            </w:r>
          </w:p>
        </w:tc>
        <w:tc>
          <w:tcPr>
            <w:tcW w:w="426"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center"/>
            <w:hideMark/>
          </w:tcPr>
          <w:p w:rsidR="006F529E" w:rsidRPr="00696C73" w:rsidRDefault="006F529E" w:rsidP="00811D9D">
            <w:pPr>
              <w:spacing w:after="0" w:line="240" w:lineRule="auto"/>
              <w:ind w:left="113" w:right="113"/>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Minimum</w:t>
            </w:r>
          </w:p>
        </w:tc>
        <w:tc>
          <w:tcPr>
            <w:tcW w:w="425"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textDirection w:val="btLr"/>
            <w:vAlign w:val="center"/>
            <w:hideMark/>
          </w:tcPr>
          <w:p w:rsidR="006F529E" w:rsidRPr="00696C73" w:rsidRDefault="006F529E" w:rsidP="00811D9D">
            <w:pPr>
              <w:spacing w:after="0" w:line="240" w:lineRule="auto"/>
              <w:ind w:left="113" w:right="113"/>
              <w:rPr>
                <w:rFonts w:ascii="Arial" w:eastAsia="Arial" w:hAnsi="Arial" w:cs="Arial"/>
                <w:sz w:val="18"/>
                <w:szCs w:val="18"/>
                <w:lang w:val="de-DE" w:eastAsia="de-DE"/>
              </w:rPr>
            </w:pPr>
            <w:r w:rsidRPr="00696C73">
              <w:rPr>
                <w:rFonts w:ascii="Arial" w:eastAsia="Arial" w:hAnsi="Arial" w:cs="Arial"/>
                <w:b/>
                <w:bCs/>
                <w:color w:val="FFFFFF"/>
                <w:sz w:val="16"/>
                <w:szCs w:val="16"/>
                <w:lang w:val="de-DE" w:eastAsia="de-DE"/>
              </w:rPr>
              <w:t>Maximum</w:t>
            </w:r>
          </w:p>
        </w:tc>
        <w:tc>
          <w:tcPr>
            <w:tcW w:w="709" w:type="dxa"/>
            <w:tcBorders>
              <w:top w:val="single" w:sz="2" w:space="0" w:color="999999"/>
              <w:left w:val="single" w:sz="2" w:space="0" w:color="999999"/>
              <w:bottom w:val="single" w:sz="2" w:space="0" w:color="999999"/>
              <w:right w:val="single" w:sz="2" w:space="0" w:color="999999"/>
            </w:tcBorders>
            <w:shd w:val="clear" w:color="auto" w:fill="2E4057"/>
            <w:vAlign w:val="center"/>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IQR</w:t>
            </w:r>
          </w:p>
        </w:tc>
        <w:tc>
          <w:tcPr>
            <w:tcW w:w="894"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n ≥ 7</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8"/>
                <w:szCs w:val="18"/>
                <w:lang w:val="de-DE" w:eastAsia="de-DE"/>
              </w:rPr>
              <w:t>(%)</w:t>
            </w:r>
          </w:p>
        </w:tc>
        <w:tc>
          <w:tcPr>
            <w:tcW w:w="921" w:type="dxa"/>
            <w:tcBorders>
              <w:top w:val="single" w:sz="2" w:space="0" w:color="999999"/>
              <w:left w:val="single" w:sz="2" w:space="0" w:color="999999"/>
              <w:bottom w:val="single" w:sz="2" w:space="0" w:color="999999"/>
              <w:right w:val="single" w:sz="2" w:space="0" w:color="999999"/>
            </w:tcBorders>
            <w:shd w:val="clear" w:color="auto" w:fill="2E4057"/>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b/>
                <w:bCs/>
                <w:color w:val="FFFFFF"/>
                <w:sz w:val="16"/>
                <w:szCs w:val="16"/>
                <w:lang w:val="de-DE" w:eastAsia="de-DE"/>
              </w:rPr>
            </w:pPr>
            <w:r w:rsidRPr="00696C73">
              <w:rPr>
                <w:rFonts w:ascii="Arial" w:eastAsia="Arial" w:hAnsi="Arial" w:cs="Arial"/>
                <w:b/>
                <w:bCs/>
                <w:color w:val="FFFFFF"/>
                <w:sz w:val="16"/>
                <w:szCs w:val="16"/>
                <w:lang w:val="de-DE" w:eastAsia="de-DE"/>
              </w:rPr>
              <w:t>n ≤ 7</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8"/>
                <w:szCs w:val="18"/>
                <w:lang w:val="de-DE" w:eastAsia="de-DE"/>
              </w:rPr>
              <w:t>(%)</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54</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Medical History (mandatory)</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29</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(100%)</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55</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At least standardized pain assessment using NRS/VAS and preferably standardized outcome questionnaires such as KOOS or WOMAC.</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5</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27</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(93%)</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56</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Inspection (mandatory)</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4</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28</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(97%)</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57</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Clinical Examination (mandatory)</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4</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(90%)</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lastRenderedPageBreak/>
              <w:t>58</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Full-length weight-bearing radiographs to exclude relevant axis deviation, and standard knee radiographs in two planes and a patellar skyline view.</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22</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(76%)</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59</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If no radiographs are available, MRI may be performed as an alternative.</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24</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(83%)</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5</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60</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In routine clinical practice, MRI should be used primarily to exclude differential diagnoses to osteoarthritis and when there is suspicion of intra-articular knee pathology.</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61</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If MRI is used for prognostic assessment and patient selection, contrast-enhanced sequences should be included to assess synovitis.</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25</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(86%)</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4</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62</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Contrast-enhanced MRI is recommended in clinical trials investigating GAE to assess and grade synovitis for patient stratification and to further refine the selection criteria for GAE</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22</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(76%)</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63</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Baseline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Duplex-</w:t>
            </w:r>
            <w:proofErr w:type="spellStart"/>
            <w:r w:rsidRPr="00696C73">
              <w:rPr>
                <w:rFonts w:ascii="Arial" w:eastAsia="Arial" w:hAnsi="Arial" w:cs="Arial"/>
                <w:color w:val="000000"/>
                <w:sz w:val="16"/>
                <w:szCs w:val="16"/>
                <w:lang w:eastAsia="de-DE"/>
              </w:rPr>
              <w:t>Arthrosonography</w:t>
            </w:r>
            <w:proofErr w:type="spellEnd"/>
            <w:r w:rsidRPr="00696C73">
              <w:rPr>
                <w:rFonts w:ascii="Arial" w:eastAsia="Arial" w:hAnsi="Arial" w:cs="Arial"/>
                <w:color w:val="000000"/>
                <w:sz w:val="16"/>
                <w:szCs w:val="16"/>
                <w:lang w:eastAsia="de-DE"/>
              </w:rPr>
              <w:t xml:space="preserve"> may optionally be used for the assessment of synovitis</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0</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7-9.3</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64</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Follow-Up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Regular long-term follow-up for at least one year after GAE is essential and should be conducted by the interventional radiologist.</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65</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Follow-Up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Follow-up assessment should include a clinical examination and outcome evaluation using standardized questionnaires.</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(90%)</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66</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Follow-Up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Appropriate standardized outcome measures include Visual Analog Scale (VAS), Numeric Rating Scale (NRS), Knee injury osteoarthritis outcome score (KOOS) and Western Ontario and McMaster Universities Osteoarthritis Index (WOMAC)</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4</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27</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(93%)</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67</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Follow-Up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Standardized questionnaires should be administered prior to the intervention and at 4–6 weeks, as well as 3, 6, 12, and 24 months after GAE.</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9</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4</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23</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6</w:t>
            </w:r>
          </w:p>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68</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Follow-Up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 xml:space="preserve">Clinical success should be defined as achieving the minimum clinically important difference (MCID) (WOMAC: ≥ 12–15 points in total score; KOOS: ≥ 8–10 points in subscales; NRS/VAS: ≥ 2 points).  </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3</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24</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(83%)</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5</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(17%)</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69</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Follow-Up Assessment</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In addition to achieving predefined threshold improvements in outcome scores, subjective patient satisfaction with the treatment outcome should also be considered as clinical success in the context of patient-</w:t>
            </w:r>
            <w:proofErr w:type="spellStart"/>
            <w:r w:rsidRPr="00696C73">
              <w:rPr>
                <w:rFonts w:ascii="Arial" w:eastAsia="Arial" w:hAnsi="Arial" w:cs="Arial"/>
                <w:color w:val="000000"/>
                <w:sz w:val="16"/>
                <w:szCs w:val="16"/>
                <w:lang w:eastAsia="de-DE"/>
              </w:rPr>
              <w:t>centered</w:t>
            </w:r>
            <w:proofErr w:type="spellEnd"/>
            <w:r w:rsidRPr="00696C73">
              <w:rPr>
                <w:rFonts w:ascii="Arial" w:eastAsia="Arial" w:hAnsi="Arial" w:cs="Arial"/>
                <w:color w:val="000000"/>
                <w:sz w:val="16"/>
                <w:szCs w:val="16"/>
                <w:lang w:eastAsia="de-DE"/>
              </w:rPr>
              <w:t xml:space="preserve"> care.(Patient Global Assessment score of ≥7 on a 10-point scale)</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28</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(97%)</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(3%)</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70</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Repeat/Bilateral GAE</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In patients with bilateral knee pain / bilateral OA with clear side predominance, the more painful knee should be treated first, and treatment of the contralateral side should be evaluated after at least 3 months.</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9</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3</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23</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(79%)</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71</w:t>
            </w:r>
          </w:p>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w:t>
            </w:r>
          </w:p>
        </w:tc>
        <w:tc>
          <w:tcPr>
            <w:tcW w:w="881"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Clinical Care</w:t>
            </w:r>
          </w:p>
        </w:tc>
        <w:tc>
          <w:tcPr>
            <w:tcW w:w="1339"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Repeat/Bilateral GAE</w:t>
            </w:r>
          </w:p>
        </w:tc>
        <w:tc>
          <w:tcPr>
            <w:tcW w:w="7002" w:type="dxa"/>
            <w:vMerge w:val="restart"/>
            <w:tcBorders>
              <w:top w:val="single" w:sz="2" w:space="0" w:color="999999"/>
              <w:left w:val="single" w:sz="2" w:space="0" w:color="999999"/>
              <w:right w:val="single" w:sz="2" w:space="0" w:color="999999"/>
            </w:tcBorders>
            <w:shd w:val="clear" w:color="auto" w:fill="FF0000"/>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color w:val="FFFFFF"/>
                <w:sz w:val="16"/>
                <w:szCs w:val="16"/>
                <w:lang w:eastAsia="de-DE"/>
              </w:rPr>
            </w:pPr>
            <w:r w:rsidRPr="00696C73">
              <w:rPr>
                <w:rFonts w:ascii="Arial" w:eastAsia="Arial" w:hAnsi="Arial" w:cs="Arial"/>
                <w:color w:val="FFFFFF"/>
                <w:sz w:val="16"/>
                <w:szCs w:val="16"/>
                <w:lang w:eastAsia="de-DE"/>
              </w:rPr>
              <w:t xml:space="preserve">In the absence of side predominance, both knees may be treated in a single session to avoid overloading the treated side after unilateral intervention. Patient-specific factors such as </w:t>
            </w:r>
            <w:proofErr w:type="spellStart"/>
            <w:r w:rsidRPr="00696C73">
              <w:rPr>
                <w:rFonts w:ascii="Arial" w:eastAsia="Arial" w:hAnsi="Arial" w:cs="Arial"/>
                <w:color w:val="FFFFFF"/>
                <w:sz w:val="16"/>
                <w:szCs w:val="16"/>
                <w:lang w:eastAsia="de-DE"/>
              </w:rPr>
              <w:t>periprocedural</w:t>
            </w:r>
            <w:proofErr w:type="spellEnd"/>
            <w:r w:rsidRPr="00696C73">
              <w:rPr>
                <w:rFonts w:ascii="Arial" w:eastAsia="Arial" w:hAnsi="Arial" w:cs="Arial"/>
                <w:color w:val="FFFFFF"/>
                <w:sz w:val="16"/>
                <w:szCs w:val="16"/>
                <w:lang w:eastAsia="de-DE"/>
              </w:rPr>
              <w:t xml:space="preserve"> anxiety or difficult vascular access may also constitute an indication for single-session bilateral GAE.</w:t>
            </w:r>
          </w:p>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(p=1)</w:t>
            </w:r>
          </w:p>
        </w:tc>
        <w:tc>
          <w:tcPr>
            <w:tcW w:w="425"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FFFFFF"/>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0</w:t>
            </w:r>
          </w:p>
        </w:tc>
        <w:tc>
          <w:tcPr>
            <w:tcW w:w="425"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5-9</w:t>
            </w:r>
          </w:p>
        </w:tc>
        <w:tc>
          <w:tcPr>
            <w:tcW w:w="894"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19</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(66%)</w:t>
            </w:r>
          </w:p>
        </w:tc>
        <w:tc>
          <w:tcPr>
            <w:tcW w:w="921"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(34%)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71</w:t>
            </w:r>
          </w:p>
          <w:p w:rsidR="006F529E" w:rsidRPr="00696C73" w:rsidRDefault="006F529E" w:rsidP="00811D9D">
            <w:pPr>
              <w:spacing w:after="0" w:line="240" w:lineRule="auto"/>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(2)</w:t>
            </w:r>
          </w:p>
        </w:tc>
        <w:tc>
          <w:tcPr>
            <w:tcW w:w="881"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1339"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val="de-DE" w:eastAsia="de-DE"/>
              </w:rPr>
            </w:pPr>
          </w:p>
        </w:tc>
        <w:tc>
          <w:tcPr>
            <w:tcW w:w="7002" w:type="dxa"/>
            <w:vMerge/>
            <w:tcBorders>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tcPr>
          <w:p w:rsidR="006F529E" w:rsidRPr="00696C73" w:rsidRDefault="006F529E" w:rsidP="00811D9D">
            <w:pPr>
              <w:spacing w:after="0" w:line="240" w:lineRule="auto"/>
              <w:rPr>
                <w:rFonts w:ascii="Arial" w:eastAsia="Arial" w:hAnsi="Arial" w:cs="Arial"/>
                <w:color w:val="FFFFFF"/>
                <w:sz w:val="16"/>
                <w:szCs w:val="16"/>
                <w:lang w:eastAsia="de-DE"/>
              </w:rPr>
            </w:pPr>
          </w:p>
        </w:tc>
        <w:tc>
          <w:tcPr>
            <w:tcW w:w="425"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0</w:t>
            </w:r>
          </w:p>
        </w:tc>
        <w:tc>
          <w:tcPr>
            <w:tcW w:w="425"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0000"/>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5-9</w:t>
            </w:r>
          </w:p>
        </w:tc>
        <w:tc>
          <w:tcPr>
            <w:tcW w:w="894"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19</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(66%)</w:t>
            </w:r>
          </w:p>
        </w:tc>
        <w:tc>
          <w:tcPr>
            <w:tcW w:w="921" w:type="dxa"/>
            <w:tcBorders>
              <w:top w:val="single" w:sz="2" w:space="0" w:color="999999"/>
              <w:left w:val="single" w:sz="2" w:space="0" w:color="999999"/>
              <w:bottom w:val="single" w:sz="2" w:space="0" w:color="999999"/>
              <w:right w:val="single" w:sz="2" w:space="0" w:color="999999"/>
            </w:tcBorders>
            <w:shd w:val="clear" w:color="auto" w:fill="FF0000"/>
            <w:tcMar>
              <w:top w:w="60" w:type="dxa"/>
              <w:left w:w="100" w:type="dxa"/>
              <w:bottom w:w="60" w:type="dxa"/>
              <w:right w:w="100" w:type="dxa"/>
            </w:tcMar>
            <w:vAlign w:val="center"/>
          </w:tcPr>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10</w:t>
            </w:r>
          </w:p>
          <w:p w:rsidR="006F529E" w:rsidRPr="00696C73" w:rsidRDefault="006F529E" w:rsidP="00811D9D">
            <w:pPr>
              <w:spacing w:after="0" w:line="240" w:lineRule="auto"/>
              <w:jc w:val="center"/>
              <w:rPr>
                <w:rFonts w:ascii="Arial" w:eastAsia="Arial" w:hAnsi="Arial" w:cs="Arial"/>
                <w:color w:val="FFFFFF"/>
                <w:sz w:val="16"/>
                <w:szCs w:val="16"/>
                <w:lang w:val="de-DE" w:eastAsia="de-DE"/>
              </w:rPr>
            </w:pPr>
            <w:r w:rsidRPr="00696C73">
              <w:rPr>
                <w:rFonts w:ascii="Arial" w:eastAsia="Arial" w:hAnsi="Arial" w:cs="Arial"/>
                <w:color w:val="FFFFFF"/>
                <w:sz w:val="16"/>
                <w:szCs w:val="16"/>
                <w:lang w:val="de-DE" w:eastAsia="de-DE"/>
              </w:rPr>
              <w:t>(34%)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72</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Repeat/Bilateral GAE</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Before considering alternative treatment options, repeat GAE should be considered, and this possibility should be discussed with the patient prior to the initial treatment.</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3</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7-9.3</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23</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eastAsia="de-DE"/>
              </w:rPr>
              <w:t>(79%)</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6</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eastAsia="de-DE"/>
              </w:rPr>
              <w:t>(21%)</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73</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Repeat/Bilateral GAE</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Indications for repeat GAE include lack of pain reduction, defined as failure to achieve the MCID, or recurrence of pain, defined as initial achievement of the MCID followed by subsequent deterioration and loss of the MCID.</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8</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0</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7-10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22</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eastAsia="de-DE"/>
              </w:rPr>
              <w:t>(76%)</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7</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eastAsia="de-DE"/>
              </w:rPr>
              <w:t>(24%)</w:t>
            </w:r>
          </w:p>
        </w:tc>
      </w:tr>
      <w:tr w:rsidR="006F529E" w:rsidRPr="00696C73"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74</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Repeat/Bilateral GAE</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Repeat GAE should be considered no earlier than 3 months after the initial procedure</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2</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28</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eastAsia="de-DE"/>
              </w:rPr>
              <w:t>(97%)</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1</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eastAsia="de-DE"/>
              </w:rPr>
              <w:t>(3%)</w:t>
            </w:r>
          </w:p>
        </w:tc>
      </w:tr>
      <w:tr w:rsidR="006F529E" w:rsidRPr="00FA4D0F" w:rsidTr="00811D9D">
        <w:tc>
          <w:tcPr>
            <w:tcW w:w="55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75</w:t>
            </w:r>
          </w:p>
        </w:tc>
        <w:tc>
          <w:tcPr>
            <w:tcW w:w="88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Clinical Care</w:t>
            </w:r>
          </w:p>
        </w:tc>
        <w:tc>
          <w:tcPr>
            <w:tcW w:w="1339"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Repeat/Bilateral GAE</w:t>
            </w:r>
          </w:p>
        </w:tc>
        <w:tc>
          <w:tcPr>
            <w:tcW w:w="7002"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hideMark/>
          </w:tcPr>
          <w:p w:rsidR="006F529E" w:rsidRPr="00696C73" w:rsidRDefault="006F529E" w:rsidP="00811D9D">
            <w:pPr>
              <w:spacing w:after="0" w:line="240" w:lineRule="auto"/>
              <w:rPr>
                <w:rFonts w:ascii="Arial" w:eastAsia="Arial" w:hAnsi="Arial" w:cs="Arial"/>
                <w:sz w:val="18"/>
                <w:szCs w:val="18"/>
                <w:lang w:eastAsia="de-DE"/>
              </w:rPr>
            </w:pPr>
            <w:r w:rsidRPr="00696C73">
              <w:rPr>
                <w:rFonts w:ascii="Arial" w:eastAsia="Arial" w:hAnsi="Arial" w:cs="Arial"/>
                <w:color w:val="000000"/>
                <w:sz w:val="16"/>
                <w:szCs w:val="16"/>
                <w:lang w:eastAsia="de-DE"/>
              </w:rPr>
              <w:t>In repeat GAE, a change of the embolic agent (e.g., from temporary to permanent embolic agents) may be considered.</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9</w:t>
            </w:r>
          </w:p>
        </w:tc>
        <w:tc>
          <w:tcPr>
            <w:tcW w:w="426"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5</w:t>
            </w:r>
          </w:p>
        </w:tc>
        <w:tc>
          <w:tcPr>
            <w:tcW w:w="425"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val="de-DE" w:eastAsia="de-DE"/>
              </w:rPr>
              <w:t>10</w:t>
            </w:r>
          </w:p>
        </w:tc>
        <w:tc>
          <w:tcPr>
            <w:tcW w:w="709" w:type="dxa"/>
            <w:tcBorders>
              <w:top w:val="single" w:sz="2" w:space="0" w:color="999999"/>
              <w:left w:val="single" w:sz="2" w:space="0" w:color="999999"/>
              <w:bottom w:val="single" w:sz="2" w:space="0" w:color="999999"/>
              <w:right w:val="single" w:sz="2" w:space="0" w:color="999999"/>
            </w:tcBorders>
            <w:shd w:val="clear" w:color="auto" w:fill="FFFFFF"/>
            <w:vAlign w:val="center"/>
          </w:tcPr>
          <w:p w:rsidR="006F529E" w:rsidRPr="00696C73" w:rsidRDefault="006F529E" w:rsidP="00811D9D">
            <w:pPr>
              <w:spacing w:after="0" w:line="240" w:lineRule="auto"/>
              <w:jc w:val="center"/>
              <w:rPr>
                <w:rFonts w:ascii="Arial" w:eastAsia="Arial" w:hAnsi="Arial" w:cs="Arial"/>
                <w:color w:val="000000"/>
                <w:sz w:val="16"/>
                <w:szCs w:val="16"/>
                <w:lang w:val="de-DE" w:eastAsia="de-DE"/>
              </w:rPr>
            </w:pPr>
            <w:r w:rsidRPr="00696C73">
              <w:rPr>
                <w:rFonts w:ascii="Arial" w:eastAsia="Arial" w:hAnsi="Arial" w:cs="Arial"/>
                <w:color w:val="000000"/>
                <w:sz w:val="16"/>
                <w:szCs w:val="16"/>
                <w:lang w:val="de-DE" w:eastAsia="de-DE"/>
              </w:rPr>
              <w:t>8-10</w:t>
            </w:r>
          </w:p>
        </w:tc>
        <w:tc>
          <w:tcPr>
            <w:tcW w:w="894"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25</w:t>
            </w:r>
          </w:p>
          <w:p w:rsidR="006F529E" w:rsidRPr="00696C73"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eastAsia="de-DE"/>
              </w:rPr>
              <w:t>(86%)</w:t>
            </w:r>
          </w:p>
        </w:tc>
        <w:tc>
          <w:tcPr>
            <w:tcW w:w="921" w:type="dxa"/>
            <w:tcBorders>
              <w:top w:val="single" w:sz="2" w:space="0" w:color="999999"/>
              <w:left w:val="single" w:sz="2" w:space="0" w:color="999999"/>
              <w:bottom w:val="single" w:sz="2" w:space="0" w:color="999999"/>
              <w:right w:val="single" w:sz="2" w:space="0" w:color="999999"/>
            </w:tcBorders>
            <w:shd w:val="clear" w:color="auto" w:fill="FFFFFF"/>
            <w:tcMar>
              <w:top w:w="60" w:type="dxa"/>
              <w:left w:w="100" w:type="dxa"/>
              <w:bottom w:w="60" w:type="dxa"/>
              <w:right w:w="100" w:type="dxa"/>
            </w:tcMar>
            <w:vAlign w:val="center"/>
            <w:hideMark/>
          </w:tcPr>
          <w:p w:rsidR="006F529E" w:rsidRPr="00696C73" w:rsidRDefault="006F529E" w:rsidP="00811D9D">
            <w:pPr>
              <w:spacing w:after="0" w:line="240" w:lineRule="auto"/>
              <w:jc w:val="center"/>
              <w:rPr>
                <w:rFonts w:ascii="Arial" w:eastAsia="Arial" w:hAnsi="Arial" w:cs="Arial"/>
                <w:color w:val="000000"/>
                <w:sz w:val="16"/>
                <w:szCs w:val="16"/>
                <w:lang w:eastAsia="de-DE"/>
              </w:rPr>
            </w:pPr>
            <w:r w:rsidRPr="00696C73">
              <w:rPr>
                <w:rFonts w:ascii="Arial" w:eastAsia="Arial" w:hAnsi="Arial" w:cs="Arial"/>
                <w:color w:val="000000"/>
                <w:sz w:val="16"/>
                <w:szCs w:val="16"/>
                <w:lang w:eastAsia="de-DE"/>
              </w:rPr>
              <w:t>4</w:t>
            </w:r>
          </w:p>
          <w:p w:rsidR="006F529E" w:rsidRPr="00FA4D0F" w:rsidRDefault="006F529E" w:rsidP="00811D9D">
            <w:pPr>
              <w:spacing w:after="0" w:line="240" w:lineRule="auto"/>
              <w:jc w:val="center"/>
              <w:rPr>
                <w:rFonts w:ascii="Arial" w:eastAsia="Arial" w:hAnsi="Arial" w:cs="Arial"/>
                <w:sz w:val="18"/>
                <w:szCs w:val="18"/>
                <w:lang w:val="de-DE" w:eastAsia="de-DE"/>
              </w:rPr>
            </w:pPr>
            <w:r w:rsidRPr="00696C73">
              <w:rPr>
                <w:rFonts w:ascii="Arial" w:eastAsia="Arial" w:hAnsi="Arial" w:cs="Arial"/>
                <w:color w:val="000000"/>
                <w:sz w:val="16"/>
                <w:szCs w:val="16"/>
                <w:lang w:eastAsia="de-DE"/>
              </w:rPr>
              <w:t>(14%)</w:t>
            </w:r>
          </w:p>
        </w:tc>
      </w:tr>
    </w:tbl>
    <w:p w:rsidR="006F529E" w:rsidRDefault="006F529E" w:rsidP="006F529E">
      <w:pPr>
        <w:spacing w:before="300" w:after="120" w:line="240" w:lineRule="auto"/>
        <w:rPr>
          <w:rFonts w:ascii="Arial" w:hAnsi="Arial" w:cs="Arial"/>
          <w:bCs/>
        </w:rPr>
      </w:pPr>
    </w:p>
    <w:p w:rsidR="00FD4412" w:rsidRDefault="00FD4412"/>
    <w:sectPr w:rsidR="00FD441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920F0"/>
    <w:multiLevelType w:val="hybridMultilevel"/>
    <w:tmpl w:val="B2E448C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4742909"/>
    <w:multiLevelType w:val="hybridMultilevel"/>
    <w:tmpl w:val="1FC8AD66"/>
    <w:lvl w:ilvl="0" w:tplc="0E1CA4F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7FA4AAF"/>
    <w:multiLevelType w:val="hybridMultilevel"/>
    <w:tmpl w:val="E77C0BBA"/>
    <w:lvl w:ilvl="0" w:tplc="FA4CBFCE">
      <w:start w:val="7"/>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74408B"/>
    <w:multiLevelType w:val="hybridMultilevel"/>
    <w:tmpl w:val="5296C088"/>
    <w:lvl w:ilvl="0" w:tplc="35A68B8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2715B1D"/>
    <w:multiLevelType w:val="hybridMultilevel"/>
    <w:tmpl w:val="4D46D1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A987CAD"/>
    <w:multiLevelType w:val="hybridMultilevel"/>
    <w:tmpl w:val="64603314"/>
    <w:lvl w:ilvl="0" w:tplc="1368F012">
      <w:start w:val="1"/>
      <w:numFmt w:val="upperLetter"/>
      <w:lvlText w:val="%1-"/>
      <w:lvlJc w:val="left"/>
      <w:pPr>
        <w:ind w:left="1635" w:hanging="127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0C9686B"/>
    <w:multiLevelType w:val="hybridMultilevel"/>
    <w:tmpl w:val="4C50E6AC"/>
    <w:lvl w:ilvl="0" w:tplc="177C686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2A22CE"/>
    <w:multiLevelType w:val="hybridMultilevel"/>
    <w:tmpl w:val="E5BE383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606E33DE"/>
    <w:multiLevelType w:val="hybridMultilevel"/>
    <w:tmpl w:val="4128EC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61F7CFE"/>
    <w:multiLevelType w:val="hybridMultilevel"/>
    <w:tmpl w:val="796242C6"/>
    <w:lvl w:ilvl="0" w:tplc="77902ED8">
      <w:start w:val="7"/>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F392B3D"/>
    <w:multiLevelType w:val="hybridMultilevel"/>
    <w:tmpl w:val="E3BE93BE"/>
    <w:lvl w:ilvl="0" w:tplc="8046893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9754AD0"/>
    <w:multiLevelType w:val="hybridMultilevel"/>
    <w:tmpl w:val="BEE885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D53389C"/>
    <w:multiLevelType w:val="hybridMultilevel"/>
    <w:tmpl w:val="89120342"/>
    <w:lvl w:ilvl="0" w:tplc="9A04260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6"/>
  </w:num>
  <w:num w:numId="2">
    <w:abstractNumId w:val="3"/>
  </w:num>
  <w:num w:numId="3">
    <w:abstractNumId w:val="10"/>
  </w:num>
  <w:num w:numId="4">
    <w:abstractNumId w:val="1"/>
  </w:num>
  <w:num w:numId="5">
    <w:abstractNumId w:val="5"/>
  </w:num>
  <w:num w:numId="6">
    <w:abstractNumId w:val="9"/>
  </w:num>
  <w:num w:numId="7">
    <w:abstractNumId w:val="2"/>
  </w:num>
  <w:num w:numId="8">
    <w:abstractNumId w:val="8"/>
  </w:num>
  <w:num w:numId="9">
    <w:abstractNumId w:val="4"/>
  </w:num>
  <w:num w:numId="10">
    <w:abstractNumId w:val="12"/>
  </w:num>
  <w:num w:numId="11">
    <w:abstractNumId w:val="11"/>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8FA"/>
    <w:rsid w:val="0000000E"/>
    <w:rsid w:val="00000D97"/>
    <w:rsid w:val="00001251"/>
    <w:rsid w:val="000106C8"/>
    <w:rsid w:val="0001099C"/>
    <w:rsid w:val="00013AB9"/>
    <w:rsid w:val="000143BE"/>
    <w:rsid w:val="00014AF0"/>
    <w:rsid w:val="0003166D"/>
    <w:rsid w:val="000408B3"/>
    <w:rsid w:val="00042CF2"/>
    <w:rsid w:val="000451B5"/>
    <w:rsid w:val="00051E64"/>
    <w:rsid w:val="00052191"/>
    <w:rsid w:val="0005275B"/>
    <w:rsid w:val="00052D18"/>
    <w:rsid w:val="000532B0"/>
    <w:rsid w:val="000566DF"/>
    <w:rsid w:val="000675B3"/>
    <w:rsid w:val="00070019"/>
    <w:rsid w:val="0007332F"/>
    <w:rsid w:val="00074BFC"/>
    <w:rsid w:val="0007660C"/>
    <w:rsid w:val="00082F3D"/>
    <w:rsid w:val="00092482"/>
    <w:rsid w:val="000A0238"/>
    <w:rsid w:val="000A5759"/>
    <w:rsid w:val="000B04B0"/>
    <w:rsid w:val="000B09E6"/>
    <w:rsid w:val="000B2CBD"/>
    <w:rsid w:val="000B3420"/>
    <w:rsid w:val="000B7136"/>
    <w:rsid w:val="000C27B4"/>
    <w:rsid w:val="000C2855"/>
    <w:rsid w:val="000C3071"/>
    <w:rsid w:val="000D20D1"/>
    <w:rsid w:val="000D5F17"/>
    <w:rsid w:val="000F2696"/>
    <w:rsid w:val="00103C6F"/>
    <w:rsid w:val="001045C3"/>
    <w:rsid w:val="00110DEB"/>
    <w:rsid w:val="00123535"/>
    <w:rsid w:val="00123844"/>
    <w:rsid w:val="00127CEF"/>
    <w:rsid w:val="00133EF7"/>
    <w:rsid w:val="001369DE"/>
    <w:rsid w:val="001424BA"/>
    <w:rsid w:val="00142D0E"/>
    <w:rsid w:val="00145B38"/>
    <w:rsid w:val="00150B1C"/>
    <w:rsid w:val="0015666B"/>
    <w:rsid w:val="00165EE8"/>
    <w:rsid w:val="0017690E"/>
    <w:rsid w:val="00177F51"/>
    <w:rsid w:val="00182E58"/>
    <w:rsid w:val="00184C14"/>
    <w:rsid w:val="00192AA7"/>
    <w:rsid w:val="001B452D"/>
    <w:rsid w:val="001D4A5F"/>
    <w:rsid w:val="001D6F98"/>
    <w:rsid w:val="001D7186"/>
    <w:rsid w:val="001E66FB"/>
    <w:rsid w:val="001F1C49"/>
    <w:rsid w:val="001F5101"/>
    <w:rsid w:val="001F5B39"/>
    <w:rsid w:val="001F69B7"/>
    <w:rsid w:val="0020383C"/>
    <w:rsid w:val="00204803"/>
    <w:rsid w:val="00205C4C"/>
    <w:rsid w:val="002144CC"/>
    <w:rsid w:val="0021546F"/>
    <w:rsid w:val="0022105A"/>
    <w:rsid w:val="00221513"/>
    <w:rsid w:val="002228FC"/>
    <w:rsid w:val="002237CE"/>
    <w:rsid w:val="00224778"/>
    <w:rsid w:val="002254AF"/>
    <w:rsid w:val="00236309"/>
    <w:rsid w:val="0024074F"/>
    <w:rsid w:val="00260157"/>
    <w:rsid w:val="0026105E"/>
    <w:rsid w:val="00274224"/>
    <w:rsid w:val="00280CA7"/>
    <w:rsid w:val="00287160"/>
    <w:rsid w:val="00290DBA"/>
    <w:rsid w:val="00294575"/>
    <w:rsid w:val="002948D8"/>
    <w:rsid w:val="002B43EB"/>
    <w:rsid w:val="002C6457"/>
    <w:rsid w:val="002C789D"/>
    <w:rsid w:val="002C7A01"/>
    <w:rsid w:val="002E2A12"/>
    <w:rsid w:val="002E5633"/>
    <w:rsid w:val="002E60BD"/>
    <w:rsid w:val="002E7BA9"/>
    <w:rsid w:val="002F503E"/>
    <w:rsid w:val="003065CC"/>
    <w:rsid w:val="00307DBC"/>
    <w:rsid w:val="00314851"/>
    <w:rsid w:val="00323FA1"/>
    <w:rsid w:val="00324EA6"/>
    <w:rsid w:val="00326574"/>
    <w:rsid w:val="00332110"/>
    <w:rsid w:val="0033578B"/>
    <w:rsid w:val="00341DD3"/>
    <w:rsid w:val="00346A03"/>
    <w:rsid w:val="00346BCF"/>
    <w:rsid w:val="00346ED3"/>
    <w:rsid w:val="00353E4B"/>
    <w:rsid w:val="00361297"/>
    <w:rsid w:val="003612F3"/>
    <w:rsid w:val="0036774F"/>
    <w:rsid w:val="00381C50"/>
    <w:rsid w:val="00383C70"/>
    <w:rsid w:val="00391022"/>
    <w:rsid w:val="00392F6B"/>
    <w:rsid w:val="003948AD"/>
    <w:rsid w:val="00397D33"/>
    <w:rsid w:val="003A6787"/>
    <w:rsid w:val="003B3EA9"/>
    <w:rsid w:val="003C0223"/>
    <w:rsid w:val="003D2399"/>
    <w:rsid w:val="003E783C"/>
    <w:rsid w:val="003F4B04"/>
    <w:rsid w:val="00401348"/>
    <w:rsid w:val="00404C01"/>
    <w:rsid w:val="00404FA6"/>
    <w:rsid w:val="004057F7"/>
    <w:rsid w:val="004153A0"/>
    <w:rsid w:val="00416AE7"/>
    <w:rsid w:val="0042273C"/>
    <w:rsid w:val="004244A5"/>
    <w:rsid w:val="004255B9"/>
    <w:rsid w:val="00427448"/>
    <w:rsid w:val="00427A4F"/>
    <w:rsid w:val="00430A09"/>
    <w:rsid w:val="0043647A"/>
    <w:rsid w:val="004376BE"/>
    <w:rsid w:val="00441019"/>
    <w:rsid w:val="00443863"/>
    <w:rsid w:val="00447E26"/>
    <w:rsid w:val="00452FED"/>
    <w:rsid w:val="00466271"/>
    <w:rsid w:val="00467660"/>
    <w:rsid w:val="00472CCC"/>
    <w:rsid w:val="00472E7E"/>
    <w:rsid w:val="0047492A"/>
    <w:rsid w:val="00475350"/>
    <w:rsid w:val="00475759"/>
    <w:rsid w:val="004761EC"/>
    <w:rsid w:val="004828A4"/>
    <w:rsid w:val="00482D18"/>
    <w:rsid w:val="00484CF8"/>
    <w:rsid w:val="00491CA7"/>
    <w:rsid w:val="00492C2F"/>
    <w:rsid w:val="00494FDA"/>
    <w:rsid w:val="004954E1"/>
    <w:rsid w:val="004B2EA8"/>
    <w:rsid w:val="004B3600"/>
    <w:rsid w:val="004B4EFB"/>
    <w:rsid w:val="004B6F85"/>
    <w:rsid w:val="004B71E3"/>
    <w:rsid w:val="004B7354"/>
    <w:rsid w:val="004D1A00"/>
    <w:rsid w:val="004F1D64"/>
    <w:rsid w:val="004F4058"/>
    <w:rsid w:val="004F68C1"/>
    <w:rsid w:val="004F6B10"/>
    <w:rsid w:val="004F6FC6"/>
    <w:rsid w:val="00502DC1"/>
    <w:rsid w:val="00503EA4"/>
    <w:rsid w:val="00510BEF"/>
    <w:rsid w:val="0051129C"/>
    <w:rsid w:val="00511CF4"/>
    <w:rsid w:val="0051437A"/>
    <w:rsid w:val="005152EF"/>
    <w:rsid w:val="00521ACE"/>
    <w:rsid w:val="005228FA"/>
    <w:rsid w:val="0052520B"/>
    <w:rsid w:val="00526942"/>
    <w:rsid w:val="005274DE"/>
    <w:rsid w:val="005277D7"/>
    <w:rsid w:val="00534ECF"/>
    <w:rsid w:val="005412C8"/>
    <w:rsid w:val="00543220"/>
    <w:rsid w:val="0055150C"/>
    <w:rsid w:val="00551CB4"/>
    <w:rsid w:val="00553EE2"/>
    <w:rsid w:val="00556B8E"/>
    <w:rsid w:val="00557FB3"/>
    <w:rsid w:val="00561847"/>
    <w:rsid w:val="0056338A"/>
    <w:rsid w:val="00563C75"/>
    <w:rsid w:val="00570E3F"/>
    <w:rsid w:val="0058068C"/>
    <w:rsid w:val="00595C4D"/>
    <w:rsid w:val="00596726"/>
    <w:rsid w:val="005A69D8"/>
    <w:rsid w:val="005A6C2E"/>
    <w:rsid w:val="005B3213"/>
    <w:rsid w:val="005B58B8"/>
    <w:rsid w:val="005B5EEA"/>
    <w:rsid w:val="005B611E"/>
    <w:rsid w:val="005C32FD"/>
    <w:rsid w:val="005D0DA7"/>
    <w:rsid w:val="005D0E21"/>
    <w:rsid w:val="005E327C"/>
    <w:rsid w:val="005E3A8F"/>
    <w:rsid w:val="005E47D2"/>
    <w:rsid w:val="005F6ECA"/>
    <w:rsid w:val="00600CB5"/>
    <w:rsid w:val="00601314"/>
    <w:rsid w:val="0061191C"/>
    <w:rsid w:val="00622FFD"/>
    <w:rsid w:val="006230A6"/>
    <w:rsid w:val="00637477"/>
    <w:rsid w:val="00640105"/>
    <w:rsid w:val="00653AA2"/>
    <w:rsid w:val="0065634E"/>
    <w:rsid w:val="006577AA"/>
    <w:rsid w:val="00661A25"/>
    <w:rsid w:val="006633CF"/>
    <w:rsid w:val="006654ED"/>
    <w:rsid w:val="006673D9"/>
    <w:rsid w:val="00674B03"/>
    <w:rsid w:val="00675F81"/>
    <w:rsid w:val="00676225"/>
    <w:rsid w:val="00696C73"/>
    <w:rsid w:val="006A156C"/>
    <w:rsid w:val="006A1E16"/>
    <w:rsid w:val="006A6B84"/>
    <w:rsid w:val="006B1B90"/>
    <w:rsid w:val="006C0254"/>
    <w:rsid w:val="006C063F"/>
    <w:rsid w:val="006C2340"/>
    <w:rsid w:val="006C336B"/>
    <w:rsid w:val="006D05D6"/>
    <w:rsid w:val="006D1473"/>
    <w:rsid w:val="006D4BA3"/>
    <w:rsid w:val="006D6FE4"/>
    <w:rsid w:val="006E1500"/>
    <w:rsid w:val="006F2FBE"/>
    <w:rsid w:val="006F529E"/>
    <w:rsid w:val="00701194"/>
    <w:rsid w:val="00706A82"/>
    <w:rsid w:val="007137A3"/>
    <w:rsid w:val="00717045"/>
    <w:rsid w:val="00723E93"/>
    <w:rsid w:val="00724A55"/>
    <w:rsid w:val="00726EC6"/>
    <w:rsid w:val="0073597B"/>
    <w:rsid w:val="0073672D"/>
    <w:rsid w:val="00737BDF"/>
    <w:rsid w:val="007536CE"/>
    <w:rsid w:val="007624F1"/>
    <w:rsid w:val="00773E49"/>
    <w:rsid w:val="00783E32"/>
    <w:rsid w:val="00786891"/>
    <w:rsid w:val="00786C90"/>
    <w:rsid w:val="00797351"/>
    <w:rsid w:val="007A1F68"/>
    <w:rsid w:val="007A2641"/>
    <w:rsid w:val="007A472A"/>
    <w:rsid w:val="007A5232"/>
    <w:rsid w:val="007B069E"/>
    <w:rsid w:val="007B4A3E"/>
    <w:rsid w:val="007B6B25"/>
    <w:rsid w:val="007B6C0B"/>
    <w:rsid w:val="007C1A59"/>
    <w:rsid w:val="007C49AC"/>
    <w:rsid w:val="007C6BC0"/>
    <w:rsid w:val="007C7728"/>
    <w:rsid w:val="007D083B"/>
    <w:rsid w:val="007E535C"/>
    <w:rsid w:val="007E5D12"/>
    <w:rsid w:val="007F0CC7"/>
    <w:rsid w:val="007F42AF"/>
    <w:rsid w:val="00800AA3"/>
    <w:rsid w:val="00805664"/>
    <w:rsid w:val="008121A3"/>
    <w:rsid w:val="0081540D"/>
    <w:rsid w:val="00821127"/>
    <w:rsid w:val="00822F56"/>
    <w:rsid w:val="008254CA"/>
    <w:rsid w:val="00831745"/>
    <w:rsid w:val="008361A5"/>
    <w:rsid w:val="00837128"/>
    <w:rsid w:val="00845A06"/>
    <w:rsid w:val="00846343"/>
    <w:rsid w:val="008465C8"/>
    <w:rsid w:val="00846ADE"/>
    <w:rsid w:val="00846BD9"/>
    <w:rsid w:val="00846CE3"/>
    <w:rsid w:val="0085155E"/>
    <w:rsid w:val="00860404"/>
    <w:rsid w:val="00865192"/>
    <w:rsid w:val="00871D4B"/>
    <w:rsid w:val="00886820"/>
    <w:rsid w:val="00890274"/>
    <w:rsid w:val="0089197A"/>
    <w:rsid w:val="00893764"/>
    <w:rsid w:val="00893867"/>
    <w:rsid w:val="008A30A4"/>
    <w:rsid w:val="008A48BA"/>
    <w:rsid w:val="008A58B3"/>
    <w:rsid w:val="008A72CF"/>
    <w:rsid w:val="008B014D"/>
    <w:rsid w:val="008B3BBE"/>
    <w:rsid w:val="008B456C"/>
    <w:rsid w:val="008B63B3"/>
    <w:rsid w:val="008B7191"/>
    <w:rsid w:val="008B7D66"/>
    <w:rsid w:val="008B7DF7"/>
    <w:rsid w:val="008D0EE0"/>
    <w:rsid w:val="008D5272"/>
    <w:rsid w:val="008D59ED"/>
    <w:rsid w:val="008D5A9F"/>
    <w:rsid w:val="008E70B5"/>
    <w:rsid w:val="008F12EF"/>
    <w:rsid w:val="008F49A0"/>
    <w:rsid w:val="008F5F82"/>
    <w:rsid w:val="00914BEC"/>
    <w:rsid w:val="00915278"/>
    <w:rsid w:val="009163E4"/>
    <w:rsid w:val="0091646E"/>
    <w:rsid w:val="009167FD"/>
    <w:rsid w:val="00917326"/>
    <w:rsid w:val="00920531"/>
    <w:rsid w:val="00920B37"/>
    <w:rsid w:val="009309CC"/>
    <w:rsid w:val="00932D32"/>
    <w:rsid w:val="0093328B"/>
    <w:rsid w:val="00935428"/>
    <w:rsid w:val="009370C5"/>
    <w:rsid w:val="00971348"/>
    <w:rsid w:val="00974400"/>
    <w:rsid w:val="0098003E"/>
    <w:rsid w:val="00982A8C"/>
    <w:rsid w:val="00985567"/>
    <w:rsid w:val="009A0E33"/>
    <w:rsid w:val="009A1FAA"/>
    <w:rsid w:val="009D2147"/>
    <w:rsid w:val="009D2FF0"/>
    <w:rsid w:val="009E01CA"/>
    <w:rsid w:val="009E14DA"/>
    <w:rsid w:val="009E15F8"/>
    <w:rsid w:val="009F25BC"/>
    <w:rsid w:val="009F4523"/>
    <w:rsid w:val="009F4B6F"/>
    <w:rsid w:val="00A179AE"/>
    <w:rsid w:val="00A2199E"/>
    <w:rsid w:val="00A30E78"/>
    <w:rsid w:val="00A32020"/>
    <w:rsid w:val="00A3535A"/>
    <w:rsid w:val="00A40684"/>
    <w:rsid w:val="00A43995"/>
    <w:rsid w:val="00A45C1B"/>
    <w:rsid w:val="00A56005"/>
    <w:rsid w:val="00A6194A"/>
    <w:rsid w:val="00A62476"/>
    <w:rsid w:val="00A70CA1"/>
    <w:rsid w:val="00A72BF2"/>
    <w:rsid w:val="00A73590"/>
    <w:rsid w:val="00A75611"/>
    <w:rsid w:val="00A75BA2"/>
    <w:rsid w:val="00A75DCD"/>
    <w:rsid w:val="00A77243"/>
    <w:rsid w:val="00A77ECD"/>
    <w:rsid w:val="00A77EF4"/>
    <w:rsid w:val="00A80259"/>
    <w:rsid w:val="00A84F9E"/>
    <w:rsid w:val="00A86C78"/>
    <w:rsid w:val="00A9105B"/>
    <w:rsid w:val="00A92886"/>
    <w:rsid w:val="00A92EC7"/>
    <w:rsid w:val="00A932C9"/>
    <w:rsid w:val="00AA1B9E"/>
    <w:rsid w:val="00AA1E7B"/>
    <w:rsid w:val="00AA4D94"/>
    <w:rsid w:val="00AB61C7"/>
    <w:rsid w:val="00AC516B"/>
    <w:rsid w:val="00AC5652"/>
    <w:rsid w:val="00AC5703"/>
    <w:rsid w:val="00AD2421"/>
    <w:rsid w:val="00AD6847"/>
    <w:rsid w:val="00AE18BC"/>
    <w:rsid w:val="00AE5DA3"/>
    <w:rsid w:val="00AE7CFD"/>
    <w:rsid w:val="00AF0744"/>
    <w:rsid w:val="00AF7580"/>
    <w:rsid w:val="00B0551E"/>
    <w:rsid w:val="00B06DCD"/>
    <w:rsid w:val="00B07F23"/>
    <w:rsid w:val="00B10CF8"/>
    <w:rsid w:val="00B12959"/>
    <w:rsid w:val="00B17943"/>
    <w:rsid w:val="00B22712"/>
    <w:rsid w:val="00B23CB6"/>
    <w:rsid w:val="00B27C5A"/>
    <w:rsid w:val="00B30F6A"/>
    <w:rsid w:val="00B417E1"/>
    <w:rsid w:val="00B43BD2"/>
    <w:rsid w:val="00B51D20"/>
    <w:rsid w:val="00B5314B"/>
    <w:rsid w:val="00B60709"/>
    <w:rsid w:val="00B66452"/>
    <w:rsid w:val="00B66464"/>
    <w:rsid w:val="00B703A7"/>
    <w:rsid w:val="00B70B92"/>
    <w:rsid w:val="00B74370"/>
    <w:rsid w:val="00B75AB4"/>
    <w:rsid w:val="00B75FB8"/>
    <w:rsid w:val="00B76B94"/>
    <w:rsid w:val="00B90E2C"/>
    <w:rsid w:val="00B91BE5"/>
    <w:rsid w:val="00B9378F"/>
    <w:rsid w:val="00B947DC"/>
    <w:rsid w:val="00B95C1A"/>
    <w:rsid w:val="00BA1CD9"/>
    <w:rsid w:val="00BA2CFA"/>
    <w:rsid w:val="00BA31B1"/>
    <w:rsid w:val="00BA3CA8"/>
    <w:rsid w:val="00BA7F0B"/>
    <w:rsid w:val="00BC0E9D"/>
    <w:rsid w:val="00BC33A7"/>
    <w:rsid w:val="00BD292D"/>
    <w:rsid w:val="00BD2AD0"/>
    <w:rsid w:val="00BD472F"/>
    <w:rsid w:val="00BD4F90"/>
    <w:rsid w:val="00BD541A"/>
    <w:rsid w:val="00BD6003"/>
    <w:rsid w:val="00BF3C65"/>
    <w:rsid w:val="00BF3F3B"/>
    <w:rsid w:val="00C02B35"/>
    <w:rsid w:val="00C032B0"/>
    <w:rsid w:val="00C03F86"/>
    <w:rsid w:val="00C106E7"/>
    <w:rsid w:val="00C44A76"/>
    <w:rsid w:val="00C50900"/>
    <w:rsid w:val="00C55626"/>
    <w:rsid w:val="00C55E3C"/>
    <w:rsid w:val="00C6626D"/>
    <w:rsid w:val="00C66883"/>
    <w:rsid w:val="00C66D84"/>
    <w:rsid w:val="00C73284"/>
    <w:rsid w:val="00C74EEA"/>
    <w:rsid w:val="00C75346"/>
    <w:rsid w:val="00C93E62"/>
    <w:rsid w:val="00CA01B7"/>
    <w:rsid w:val="00CA11D1"/>
    <w:rsid w:val="00CA353C"/>
    <w:rsid w:val="00CA3D5D"/>
    <w:rsid w:val="00CB1F98"/>
    <w:rsid w:val="00CB3924"/>
    <w:rsid w:val="00CD3F32"/>
    <w:rsid w:val="00CE132D"/>
    <w:rsid w:val="00CE36DE"/>
    <w:rsid w:val="00CE455F"/>
    <w:rsid w:val="00CE47EC"/>
    <w:rsid w:val="00CE6737"/>
    <w:rsid w:val="00CF0138"/>
    <w:rsid w:val="00CF55DB"/>
    <w:rsid w:val="00CF5664"/>
    <w:rsid w:val="00D003A9"/>
    <w:rsid w:val="00D01086"/>
    <w:rsid w:val="00D02B74"/>
    <w:rsid w:val="00D032B0"/>
    <w:rsid w:val="00D11D5F"/>
    <w:rsid w:val="00D1298B"/>
    <w:rsid w:val="00D16748"/>
    <w:rsid w:val="00D240F8"/>
    <w:rsid w:val="00D355CC"/>
    <w:rsid w:val="00D52947"/>
    <w:rsid w:val="00D554D5"/>
    <w:rsid w:val="00D740E8"/>
    <w:rsid w:val="00D75306"/>
    <w:rsid w:val="00D758FE"/>
    <w:rsid w:val="00D7604B"/>
    <w:rsid w:val="00D8272A"/>
    <w:rsid w:val="00D877A4"/>
    <w:rsid w:val="00D93B47"/>
    <w:rsid w:val="00D97B57"/>
    <w:rsid w:val="00DA22BA"/>
    <w:rsid w:val="00DA2918"/>
    <w:rsid w:val="00DA372A"/>
    <w:rsid w:val="00DA42DF"/>
    <w:rsid w:val="00DA4DDF"/>
    <w:rsid w:val="00DB0967"/>
    <w:rsid w:val="00DC2C8B"/>
    <w:rsid w:val="00DC3E7F"/>
    <w:rsid w:val="00DD12A9"/>
    <w:rsid w:val="00DD51CC"/>
    <w:rsid w:val="00DD5D3F"/>
    <w:rsid w:val="00DE0132"/>
    <w:rsid w:val="00DE06D1"/>
    <w:rsid w:val="00DE610D"/>
    <w:rsid w:val="00DF3F90"/>
    <w:rsid w:val="00E017AE"/>
    <w:rsid w:val="00E031EE"/>
    <w:rsid w:val="00E16CDA"/>
    <w:rsid w:val="00E16F19"/>
    <w:rsid w:val="00E175CE"/>
    <w:rsid w:val="00E23780"/>
    <w:rsid w:val="00E303A5"/>
    <w:rsid w:val="00E32272"/>
    <w:rsid w:val="00E32308"/>
    <w:rsid w:val="00E35F26"/>
    <w:rsid w:val="00E41AB2"/>
    <w:rsid w:val="00E434F9"/>
    <w:rsid w:val="00E5523C"/>
    <w:rsid w:val="00E648C4"/>
    <w:rsid w:val="00E71D29"/>
    <w:rsid w:val="00E74296"/>
    <w:rsid w:val="00E746D6"/>
    <w:rsid w:val="00E806A6"/>
    <w:rsid w:val="00E87F72"/>
    <w:rsid w:val="00E90818"/>
    <w:rsid w:val="00E96E04"/>
    <w:rsid w:val="00EA342E"/>
    <w:rsid w:val="00EB21EB"/>
    <w:rsid w:val="00EB484A"/>
    <w:rsid w:val="00EC2606"/>
    <w:rsid w:val="00EC68E4"/>
    <w:rsid w:val="00ED381E"/>
    <w:rsid w:val="00ED39E5"/>
    <w:rsid w:val="00ED79F1"/>
    <w:rsid w:val="00ED7B8C"/>
    <w:rsid w:val="00EE4E79"/>
    <w:rsid w:val="00EE7F8B"/>
    <w:rsid w:val="00EF1A9A"/>
    <w:rsid w:val="00EF1F39"/>
    <w:rsid w:val="00F04E07"/>
    <w:rsid w:val="00F10FB2"/>
    <w:rsid w:val="00F12065"/>
    <w:rsid w:val="00F15118"/>
    <w:rsid w:val="00F15736"/>
    <w:rsid w:val="00F172AE"/>
    <w:rsid w:val="00F20BA6"/>
    <w:rsid w:val="00F24109"/>
    <w:rsid w:val="00F44F53"/>
    <w:rsid w:val="00F44FE9"/>
    <w:rsid w:val="00F45380"/>
    <w:rsid w:val="00F46EBC"/>
    <w:rsid w:val="00F542E5"/>
    <w:rsid w:val="00F55C98"/>
    <w:rsid w:val="00F574E7"/>
    <w:rsid w:val="00F701FD"/>
    <w:rsid w:val="00F72BAC"/>
    <w:rsid w:val="00F75664"/>
    <w:rsid w:val="00F82600"/>
    <w:rsid w:val="00F86A99"/>
    <w:rsid w:val="00F86B4D"/>
    <w:rsid w:val="00F95DE5"/>
    <w:rsid w:val="00FA2F59"/>
    <w:rsid w:val="00FB0FBF"/>
    <w:rsid w:val="00FB4FB7"/>
    <w:rsid w:val="00FB678E"/>
    <w:rsid w:val="00FC5680"/>
    <w:rsid w:val="00FC5BAE"/>
    <w:rsid w:val="00FD4412"/>
    <w:rsid w:val="00FD4C27"/>
    <w:rsid w:val="00FE2FB0"/>
    <w:rsid w:val="00FF15B1"/>
    <w:rsid w:val="00FF23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87413-C189-4D9F-9131-AC81457A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F529E"/>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Heading2">
    <w:name w:val="heading 2"/>
    <w:basedOn w:val="Normal"/>
    <w:next w:val="Normal"/>
    <w:link w:val="Heading2Char"/>
    <w:uiPriority w:val="9"/>
    <w:unhideWhenUsed/>
    <w:qFormat/>
    <w:rsid w:val="006F529E"/>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Heading3">
    <w:name w:val="heading 3"/>
    <w:basedOn w:val="Normal"/>
    <w:next w:val="Normal"/>
    <w:link w:val="Heading3Char"/>
    <w:uiPriority w:val="9"/>
    <w:unhideWhenUsed/>
    <w:qFormat/>
    <w:rsid w:val="006F529E"/>
    <w:pPr>
      <w:keepNext/>
      <w:keepLines/>
      <w:spacing w:before="160" w:after="80" w:line="278" w:lineRule="auto"/>
      <w:outlineLvl w:val="2"/>
    </w:pPr>
    <w:rPr>
      <w:rFonts w:eastAsiaTheme="majorEastAsia" w:cstheme="majorBidi"/>
      <w:color w:val="2E74B5" w:themeColor="accent1" w:themeShade="BF"/>
      <w:kern w:val="2"/>
      <w:sz w:val="28"/>
      <w:szCs w:val="28"/>
      <w:lang w:val="en-US"/>
      <w14:ligatures w14:val="standardContextual"/>
    </w:rPr>
  </w:style>
  <w:style w:type="paragraph" w:styleId="Heading4">
    <w:name w:val="heading 4"/>
    <w:basedOn w:val="Normal"/>
    <w:next w:val="Normal"/>
    <w:link w:val="Heading4Char"/>
    <w:uiPriority w:val="9"/>
    <w:unhideWhenUsed/>
    <w:qFormat/>
    <w:rsid w:val="006F529E"/>
    <w:pPr>
      <w:keepNext/>
      <w:keepLines/>
      <w:spacing w:before="80" w:after="40" w:line="278" w:lineRule="auto"/>
      <w:outlineLvl w:val="3"/>
    </w:pPr>
    <w:rPr>
      <w:rFonts w:eastAsiaTheme="majorEastAsia" w:cstheme="majorBidi"/>
      <w:i/>
      <w:iCs/>
      <w:color w:val="2E74B5"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6F529E"/>
    <w:pPr>
      <w:keepNext/>
      <w:keepLines/>
      <w:spacing w:before="80" w:after="40" w:line="278" w:lineRule="auto"/>
      <w:outlineLvl w:val="4"/>
    </w:pPr>
    <w:rPr>
      <w:rFonts w:eastAsiaTheme="majorEastAsia" w:cstheme="majorBidi"/>
      <w:color w:val="2E74B5"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6F529E"/>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6F529E"/>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6F529E"/>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6F529E"/>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9E"/>
    <w:rPr>
      <w:rFonts w:asciiTheme="majorHAnsi" w:eastAsiaTheme="majorEastAsia" w:hAnsiTheme="majorHAnsi" w:cstheme="majorBidi"/>
      <w:color w:val="2E74B5" w:themeColor="accent1" w:themeShade="BF"/>
      <w:kern w:val="2"/>
      <w:sz w:val="40"/>
      <w:szCs w:val="40"/>
      <w:lang w:val="en-US"/>
      <w14:ligatures w14:val="standardContextual"/>
    </w:rPr>
  </w:style>
  <w:style w:type="character" w:customStyle="1" w:styleId="Heading2Char">
    <w:name w:val="Heading 2 Char"/>
    <w:basedOn w:val="DefaultParagraphFont"/>
    <w:link w:val="Heading2"/>
    <w:uiPriority w:val="9"/>
    <w:rsid w:val="006F529E"/>
    <w:rPr>
      <w:rFonts w:asciiTheme="majorHAnsi" w:eastAsiaTheme="majorEastAsia" w:hAnsiTheme="majorHAnsi" w:cstheme="majorBidi"/>
      <w:color w:val="2E74B5" w:themeColor="accent1" w:themeShade="BF"/>
      <w:kern w:val="2"/>
      <w:sz w:val="32"/>
      <w:szCs w:val="32"/>
      <w:lang w:val="en-US"/>
      <w14:ligatures w14:val="standardContextual"/>
    </w:rPr>
  </w:style>
  <w:style w:type="character" w:customStyle="1" w:styleId="Heading3Char">
    <w:name w:val="Heading 3 Char"/>
    <w:basedOn w:val="DefaultParagraphFont"/>
    <w:link w:val="Heading3"/>
    <w:uiPriority w:val="9"/>
    <w:rsid w:val="006F529E"/>
    <w:rPr>
      <w:rFonts w:eastAsiaTheme="majorEastAsia" w:cstheme="majorBidi"/>
      <w:color w:val="2E74B5" w:themeColor="accent1" w:themeShade="BF"/>
      <w:kern w:val="2"/>
      <w:sz w:val="28"/>
      <w:szCs w:val="28"/>
      <w:lang w:val="en-US"/>
      <w14:ligatures w14:val="standardContextual"/>
    </w:rPr>
  </w:style>
  <w:style w:type="character" w:customStyle="1" w:styleId="Heading4Char">
    <w:name w:val="Heading 4 Char"/>
    <w:basedOn w:val="DefaultParagraphFont"/>
    <w:link w:val="Heading4"/>
    <w:uiPriority w:val="9"/>
    <w:rsid w:val="006F529E"/>
    <w:rPr>
      <w:rFonts w:eastAsiaTheme="majorEastAsia" w:cstheme="majorBidi"/>
      <w:i/>
      <w:iCs/>
      <w:color w:val="2E74B5" w:themeColor="accent1" w:themeShade="BF"/>
      <w:kern w:val="2"/>
      <w:sz w:val="24"/>
      <w:szCs w:val="24"/>
      <w:lang w:val="en-US"/>
      <w14:ligatures w14:val="standardContextual"/>
    </w:rPr>
  </w:style>
  <w:style w:type="character" w:customStyle="1" w:styleId="Heading5Char">
    <w:name w:val="Heading 5 Char"/>
    <w:basedOn w:val="DefaultParagraphFont"/>
    <w:link w:val="Heading5"/>
    <w:uiPriority w:val="9"/>
    <w:semiHidden/>
    <w:rsid w:val="006F529E"/>
    <w:rPr>
      <w:rFonts w:eastAsiaTheme="majorEastAsia" w:cstheme="majorBidi"/>
      <w:color w:val="2E74B5" w:themeColor="accent1" w:themeShade="BF"/>
      <w:kern w:val="2"/>
      <w:sz w:val="24"/>
      <w:szCs w:val="24"/>
      <w:lang w:val="en-US"/>
      <w14:ligatures w14:val="standardContextual"/>
    </w:rPr>
  </w:style>
  <w:style w:type="character" w:customStyle="1" w:styleId="Heading6Char">
    <w:name w:val="Heading 6 Char"/>
    <w:basedOn w:val="DefaultParagraphFont"/>
    <w:link w:val="Heading6"/>
    <w:uiPriority w:val="9"/>
    <w:semiHidden/>
    <w:rsid w:val="006F529E"/>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uiPriority w:val="9"/>
    <w:semiHidden/>
    <w:rsid w:val="006F529E"/>
    <w:rPr>
      <w:rFonts w:eastAsiaTheme="majorEastAsia"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uiPriority w:val="9"/>
    <w:semiHidden/>
    <w:rsid w:val="006F529E"/>
    <w:rPr>
      <w:rFonts w:eastAsiaTheme="majorEastAsia"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uiPriority w:val="9"/>
    <w:semiHidden/>
    <w:rsid w:val="006F529E"/>
    <w:rPr>
      <w:rFonts w:eastAsiaTheme="majorEastAsia" w:cstheme="majorBidi"/>
      <w:color w:val="272727" w:themeColor="text1" w:themeTint="D8"/>
      <w:kern w:val="2"/>
      <w:sz w:val="24"/>
      <w:szCs w:val="24"/>
      <w:lang w:val="en-US"/>
      <w14:ligatures w14:val="standardContextual"/>
    </w:rPr>
  </w:style>
  <w:style w:type="paragraph" w:styleId="Title">
    <w:name w:val="Title"/>
    <w:basedOn w:val="Normal"/>
    <w:next w:val="Normal"/>
    <w:link w:val="TitleChar"/>
    <w:uiPriority w:val="10"/>
    <w:qFormat/>
    <w:rsid w:val="006F529E"/>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F529E"/>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6F529E"/>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F529E"/>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F529E"/>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6F529E"/>
    <w:rPr>
      <w:i/>
      <w:iCs/>
      <w:color w:val="404040" w:themeColor="text1" w:themeTint="BF"/>
      <w:kern w:val="2"/>
      <w:sz w:val="24"/>
      <w:szCs w:val="24"/>
      <w:lang w:val="en-US"/>
      <w14:ligatures w14:val="standardContextual"/>
    </w:rPr>
  </w:style>
  <w:style w:type="paragraph" w:styleId="ListParagraph">
    <w:name w:val="List Paragraph"/>
    <w:basedOn w:val="Normal"/>
    <w:qFormat/>
    <w:rsid w:val="006F529E"/>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6F529E"/>
    <w:rPr>
      <w:i/>
      <w:iCs/>
      <w:color w:val="2E74B5" w:themeColor="accent1" w:themeShade="BF"/>
    </w:rPr>
  </w:style>
  <w:style w:type="paragraph" w:styleId="IntenseQuote">
    <w:name w:val="Intense Quote"/>
    <w:basedOn w:val="Normal"/>
    <w:next w:val="Normal"/>
    <w:link w:val="IntenseQuoteChar"/>
    <w:uiPriority w:val="30"/>
    <w:qFormat/>
    <w:rsid w:val="006F529E"/>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6F529E"/>
    <w:rPr>
      <w:i/>
      <w:iCs/>
      <w:color w:val="2E74B5"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F529E"/>
    <w:rPr>
      <w:b/>
      <w:bCs/>
      <w:smallCaps/>
      <w:color w:val="2E74B5" w:themeColor="accent1" w:themeShade="BF"/>
      <w:spacing w:val="5"/>
    </w:rPr>
  </w:style>
  <w:style w:type="paragraph" w:styleId="NormalWeb">
    <w:name w:val="Normal (Web)"/>
    <w:basedOn w:val="Normal"/>
    <w:uiPriority w:val="99"/>
    <w:semiHidden/>
    <w:unhideWhenUsed/>
    <w:rsid w:val="006F529E"/>
    <w:pPr>
      <w:spacing w:line="278" w:lineRule="auto"/>
    </w:pPr>
    <w:rPr>
      <w:rFonts w:ascii="Times New Roman" w:hAnsi="Times New Roman" w:cs="Times New Roman"/>
      <w:kern w:val="2"/>
      <w:sz w:val="24"/>
      <w:szCs w:val="24"/>
      <w:lang w:val="en-US"/>
      <w14:ligatures w14:val="standardContextual"/>
    </w:rPr>
  </w:style>
  <w:style w:type="character" w:styleId="Hyperlink">
    <w:name w:val="Hyperlink"/>
    <w:basedOn w:val="DefaultParagraphFont"/>
    <w:uiPriority w:val="99"/>
    <w:unhideWhenUsed/>
    <w:rsid w:val="006F529E"/>
    <w:rPr>
      <w:color w:val="0563C1" w:themeColor="hyperlink"/>
      <w:u w:val="single"/>
    </w:rPr>
  </w:style>
  <w:style w:type="character" w:customStyle="1" w:styleId="NichtaufgelsteErwhnung1">
    <w:name w:val="Nicht aufgelöste Erwähnung1"/>
    <w:basedOn w:val="DefaultParagraphFont"/>
    <w:uiPriority w:val="99"/>
    <w:semiHidden/>
    <w:unhideWhenUsed/>
    <w:rsid w:val="006F529E"/>
    <w:rPr>
      <w:color w:val="605E5C"/>
      <w:shd w:val="clear" w:color="auto" w:fill="E1DFDD"/>
    </w:rPr>
  </w:style>
  <w:style w:type="character" w:styleId="FollowedHyperlink">
    <w:name w:val="FollowedHyperlink"/>
    <w:basedOn w:val="DefaultParagraphFont"/>
    <w:uiPriority w:val="99"/>
    <w:semiHidden/>
    <w:unhideWhenUsed/>
    <w:rsid w:val="006F529E"/>
    <w:rPr>
      <w:color w:val="954F72" w:themeColor="followedHyperlink"/>
      <w:u w:val="single"/>
    </w:rPr>
  </w:style>
  <w:style w:type="paragraph" w:styleId="Bibliography">
    <w:name w:val="Bibliography"/>
    <w:basedOn w:val="Normal"/>
    <w:next w:val="Normal"/>
    <w:uiPriority w:val="37"/>
    <w:unhideWhenUsed/>
    <w:rsid w:val="006F529E"/>
    <w:pPr>
      <w:spacing w:after="240" w:line="240" w:lineRule="auto"/>
    </w:pPr>
    <w:rPr>
      <w:kern w:val="2"/>
      <w:sz w:val="24"/>
      <w:szCs w:val="24"/>
      <w:lang w:val="en-US"/>
      <w14:ligatures w14:val="standardContextual"/>
    </w:rPr>
  </w:style>
  <w:style w:type="paragraph" w:styleId="BalloonText">
    <w:name w:val="Balloon Text"/>
    <w:basedOn w:val="Normal"/>
    <w:link w:val="BalloonTextChar"/>
    <w:uiPriority w:val="99"/>
    <w:semiHidden/>
    <w:unhideWhenUsed/>
    <w:rsid w:val="006F529E"/>
    <w:pPr>
      <w:spacing w:after="0" w:line="240" w:lineRule="auto"/>
    </w:pPr>
    <w:rPr>
      <w:rFonts w:ascii="Times New Roman" w:hAnsi="Times New Roman" w:cs="Times New Roman"/>
      <w:kern w:val="2"/>
      <w:sz w:val="18"/>
      <w:szCs w:val="18"/>
      <w:lang w:val="en-US"/>
      <w14:ligatures w14:val="standardContextual"/>
    </w:rPr>
  </w:style>
  <w:style w:type="character" w:customStyle="1" w:styleId="BalloonTextChar">
    <w:name w:val="Balloon Text Char"/>
    <w:basedOn w:val="DefaultParagraphFont"/>
    <w:link w:val="BalloonText"/>
    <w:uiPriority w:val="99"/>
    <w:semiHidden/>
    <w:rsid w:val="006F529E"/>
    <w:rPr>
      <w:rFonts w:ascii="Times New Roman" w:hAnsi="Times New Roman" w:cs="Times New Roman"/>
      <w:kern w:val="2"/>
      <w:sz w:val="18"/>
      <w:szCs w:val="18"/>
      <w:lang w:val="en-US"/>
      <w14:ligatures w14:val="standardContextual"/>
    </w:rPr>
  </w:style>
  <w:style w:type="character" w:styleId="CommentReference">
    <w:name w:val="annotation reference"/>
    <w:basedOn w:val="DefaultParagraphFont"/>
    <w:uiPriority w:val="99"/>
    <w:semiHidden/>
    <w:unhideWhenUsed/>
    <w:rsid w:val="006F529E"/>
    <w:rPr>
      <w:sz w:val="16"/>
      <w:szCs w:val="16"/>
    </w:rPr>
  </w:style>
  <w:style w:type="paragraph" w:styleId="CommentText">
    <w:name w:val="annotation text"/>
    <w:basedOn w:val="Normal"/>
    <w:link w:val="CommentTextChar"/>
    <w:uiPriority w:val="99"/>
    <w:unhideWhenUsed/>
    <w:rsid w:val="006F529E"/>
    <w:pPr>
      <w:spacing w:line="240" w:lineRule="auto"/>
    </w:pPr>
    <w:rPr>
      <w:kern w:val="2"/>
      <w:sz w:val="20"/>
      <w:szCs w:val="20"/>
      <w:lang w:val="en-US"/>
      <w14:ligatures w14:val="standardContextual"/>
    </w:rPr>
  </w:style>
  <w:style w:type="character" w:customStyle="1" w:styleId="CommentTextChar">
    <w:name w:val="Comment Text Char"/>
    <w:basedOn w:val="DefaultParagraphFont"/>
    <w:link w:val="CommentText"/>
    <w:uiPriority w:val="99"/>
    <w:rsid w:val="006F529E"/>
    <w:rPr>
      <w:kern w:val="2"/>
      <w:sz w:val="20"/>
      <w:szCs w:val="20"/>
      <w:lang w:val="en-US"/>
      <w14:ligatures w14:val="standardContextual"/>
    </w:rPr>
  </w:style>
  <w:style w:type="paragraph" w:styleId="CommentSubject">
    <w:name w:val="annotation subject"/>
    <w:basedOn w:val="CommentText"/>
    <w:next w:val="CommentText"/>
    <w:link w:val="CommentSubjectChar"/>
    <w:uiPriority w:val="99"/>
    <w:semiHidden/>
    <w:unhideWhenUsed/>
    <w:rsid w:val="006F529E"/>
    <w:rPr>
      <w:b/>
      <w:bCs/>
    </w:rPr>
  </w:style>
  <w:style w:type="character" w:customStyle="1" w:styleId="CommentSubjectChar">
    <w:name w:val="Comment Subject Char"/>
    <w:basedOn w:val="CommentTextChar"/>
    <w:link w:val="CommentSubject"/>
    <w:uiPriority w:val="99"/>
    <w:semiHidden/>
    <w:rsid w:val="006F529E"/>
    <w:rPr>
      <w:b/>
      <w:bCs/>
      <w:kern w:val="2"/>
      <w:sz w:val="20"/>
      <w:szCs w:val="20"/>
      <w:lang w:val="en-US"/>
      <w14:ligatures w14:val="standardContextual"/>
    </w:rPr>
  </w:style>
  <w:style w:type="paragraph" w:styleId="Revision">
    <w:name w:val="Revision"/>
    <w:hidden/>
    <w:uiPriority w:val="99"/>
    <w:semiHidden/>
    <w:rsid w:val="006F529E"/>
    <w:pPr>
      <w:spacing w:after="0" w:line="240" w:lineRule="auto"/>
    </w:pPr>
    <w:rPr>
      <w:kern w:val="2"/>
      <w:sz w:val="24"/>
      <w:szCs w:val="24"/>
      <w:lang w:val="en-US"/>
      <w14:ligatures w14:val="standardContextual"/>
    </w:rPr>
  </w:style>
  <w:style w:type="table" w:styleId="TableGrid">
    <w:name w:val="Table Grid"/>
    <w:basedOn w:val="TableNormal"/>
    <w:uiPriority w:val="39"/>
    <w:rsid w:val="006F529E"/>
    <w:pPr>
      <w:spacing w:after="0" w:line="240" w:lineRule="auto"/>
    </w:pPr>
    <w:rPr>
      <w:rFonts w:eastAsiaTheme="minorEastAsia"/>
      <w:sz w:val="24"/>
      <w:szCs w:val="24"/>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F529E"/>
    <w:rPr>
      <w:color w:val="666666"/>
    </w:rPr>
  </w:style>
  <w:style w:type="table" w:customStyle="1" w:styleId="Tabellenraster1">
    <w:name w:val="Tabellenraster1"/>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529E"/>
    <w:pPr>
      <w:tabs>
        <w:tab w:val="center" w:pos="4536"/>
        <w:tab w:val="right" w:pos="9072"/>
      </w:tabs>
      <w:spacing w:after="0" w:line="240" w:lineRule="auto"/>
    </w:pPr>
    <w:rPr>
      <w:kern w:val="2"/>
      <w:sz w:val="24"/>
      <w:szCs w:val="24"/>
      <w:lang w:val="en-US"/>
      <w14:ligatures w14:val="standardContextual"/>
    </w:rPr>
  </w:style>
  <w:style w:type="character" w:customStyle="1" w:styleId="HeaderChar">
    <w:name w:val="Header Char"/>
    <w:basedOn w:val="DefaultParagraphFont"/>
    <w:link w:val="Header"/>
    <w:uiPriority w:val="99"/>
    <w:rsid w:val="006F529E"/>
    <w:rPr>
      <w:kern w:val="2"/>
      <w:sz w:val="24"/>
      <w:szCs w:val="24"/>
      <w:lang w:val="en-US"/>
      <w14:ligatures w14:val="standardContextual"/>
    </w:rPr>
  </w:style>
  <w:style w:type="paragraph" w:styleId="Footer">
    <w:name w:val="footer"/>
    <w:basedOn w:val="Normal"/>
    <w:link w:val="FooterChar"/>
    <w:uiPriority w:val="99"/>
    <w:unhideWhenUsed/>
    <w:rsid w:val="006F529E"/>
    <w:pPr>
      <w:tabs>
        <w:tab w:val="center" w:pos="4536"/>
        <w:tab w:val="right" w:pos="9072"/>
      </w:tabs>
      <w:spacing w:after="0" w:line="240" w:lineRule="auto"/>
    </w:pPr>
    <w:rPr>
      <w:kern w:val="2"/>
      <w:sz w:val="24"/>
      <w:szCs w:val="24"/>
      <w:lang w:val="en-US"/>
      <w14:ligatures w14:val="standardContextual"/>
    </w:rPr>
  </w:style>
  <w:style w:type="character" w:customStyle="1" w:styleId="FooterChar">
    <w:name w:val="Footer Char"/>
    <w:basedOn w:val="DefaultParagraphFont"/>
    <w:link w:val="Footer"/>
    <w:uiPriority w:val="99"/>
    <w:rsid w:val="006F529E"/>
    <w:rPr>
      <w:kern w:val="2"/>
      <w:sz w:val="24"/>
      <w:szCs w:val="24"/>
      <w:lang w:val="en-US"/>
      <w14:ligatures w14:val="standardContextual"/>
    </w:rPr>
  </w:style>
  <w:style w:type="table" w:customStyle="1" w:styleId="Tabellenraster10">
    <w:name w:val="Tabellenraster10"/>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3">
    <w:name w:val="Tabellenraster13"/>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4">
    <w:name w:val="Tabellenraster14"/>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5">
    <w:name w:val="Tabellenraster15"/>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6">
    <w:name w:val="Tabellenraster16"/>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7">
    <w:name w:val="Tabellenraster17"/>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F529E"/>
    <w:rPr>
      <w:color w:val="605E5C"/>
      <w:shd w:val="clear" w:color="auto" w:fill="E1DFDD"/>
    </w:rPr>
  </w:style>
  <w:style w:type="numbering" w:customStyle="1" w:styleId="KeineListe1">
    <w:name w:val="Keine Liste1"/>
    <w:next w:val="NoList"/>
    <w:uiPriority w:val="99"/>
    <w:semiHidden/>
    <w:unhideWhenUsed/>
    <w:rsid w:val="006F529E"/>
  </w:style>
  <w:style w:type="paragraph" w:customStyle="1" w:styleId="msonormal0">
    <w:name w:val="msonormal"/>
    <w:basedOn w:val="Normal"/>
    <w:rsid w:val="006F529E"/>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FootnoteText">
    <w:name w:val="footnote text"/>
    <w:link w:val="FootnoteTextChar"/>
    <w:uiPriority w:val="99"/>
    <w:semiHidden/>
    <w:unhideWhenUsed/>
    <w:rsid w:val="006F529E"/>
    <w:pPr>
      <w:spacing w:after="0" w:line="240" w:lineRule="auto"/>
    </w:pPr>
    <w:rPr>
      <w:rFonts w:ascii="Arial" w:eastAsia="Arial" w:hAnsi="Arial" w:cs="Arial"/>
      <w:sz w:val="20"/>
      <w:szCs w:val="20"/>
      <w:lang w:val="de-DE" w:eastAsia="de-DE"/>
    </w:rPr>
  </w:style>
  <w:style w:type="character" w:customStyle="1" w:styleId="FootnoteTextChar">
    <w:name w:val="Footnote Text Char"/>
    <w:basedOn w:val="DefaultParagraphFont"/>
    <w:link w:val="FootnoteText"/>
    <w:uiPriority w:val="99"/>
    <w:semiHidden/>
    <w:rsid w:val="006F529E"/>
    <w:rPr>
      <w:rFonts w:ascii="Arial" w:eastAsia="Arial" w:hAnsi="Arial" w:cs="Arial"/>
      <w:sz w:val="20"/>
      <w:szCs w:val="20"/>
      <w:lang w:val="de-DE" w:eastAsia="de-DE"/>
    </w:rPr>
  </w:style>
  <w:style w:type="paragraph" w:styleId="EndnoteText">
    <w:name w:val="endnote text"/>
    <w:link w:val="EndnoteTextChar"/>
    <w:uiPriority w:val="99"/>
    <w:semiHidden/>
    <w:unhideWhenUsed/>
    <w:rsid w:val="006F529E"/>
    <w:pPr>
      <w:spacing w:after="0" w:line="240" w:lineRule="auto"/>
    </w:pPr>
    <w:rPr>
      <w:rFonts w:ascii="Arial" w:eastAsia="Arial" w:hAnsi="Arial" w:cs="Arial"/>
      <w:sz w:val="20"/>
      <w:szCs w:val="20"/>
      <w:lang w:val="de-DE" w:eastAsia="de-DE"/>
    </w:rPr>
  </w:style>
  <w:style w:type="character" w:customStyle="1" w:styleId="EndnoteTextChar">
    <w:name w:val="Endnote Text Char"/>
    <w:basedOn w:val="DefaultParagraphFont"/>
    <w:link w:val="EndnoteText"/>
    <w:uiPriority w:val="99"/>
    <w:semiHidden/>
    <w:rsid w:val="006F529E"/>
    <w:rPr>
      <w:rFonts w:ascii="Arial" w:eastAsia="Arial" w:hAnsi="Arial" w:cs="Arial"/>
      <w:sz w:val="20"/>
      <w:szCs w:val="20"/>
      <w:lang w:val="de-DE" w:eastAsia="de-DE"/>
    </w:rPr>
  </w:style>
  <w:style w:type="paragraph" w:customStyle="1" w:styleId="Fett1">
    <w:name w:val="Fett1"/>
    <w:qFormat/>
    <w:rsid w:val="006F529E"/>
    <w:pPr>
      <w:spacing w:after="0" w:line="240" w:lineRule="auto"/>
    </w:pPr>
    <w:rPr>
      <w:rFonts w:ascii="Arial" w:eastAsia="Arial" w:hAnsi="Arial" w:cs="Arial"/>
      <w:b/>
      <w:bCs/>
      <w:sz w:val="18"/>
      <w:szCs w:val="18"/>
      <w:lang w:val="de-DE" w:eastAsia="de-DE"/>
    </w:rPr>
  </w:style>
  <w:style w:type="character" w:styleId="FootnoteReference">
    <w:name w:val="footnote reference"/>
    <w:uiPriority w:val="99"/>
    <w:semiHidden/>
    <w:unhideWhenUsed/>
    <w:rsid w:val="006F529E"/>
    <w:rPr>
      <w:vertAlign w:val="superscript"/>
    </w:rPr>
  </w:style>
  <w:style w:type="character" w:styleId="EndnoteReference">
    <w:name w:val="endnote reference"/>
    <w:uiPriority w:val="99"/>
    <w:semiHidden/>
    <w:unhideWhenUsed/>
    <w:rsid w:val="006F529E"/>
    <w:rPr>
      <w:vertAlign w:val="superscript"/>
    </w:rPr>
  </w:style>
  <w:style w:type="character" w:styleId="Emphasis">
    <w:name w:val="Emphasis"/>
    <w:basedOn w:val="DefaultParagraphFont"/>
    <w:uiPriority w:val="20"/>
    <w:qFormat/>
    <w:rsid w:val="006F529E"/>
    <w:rPr>
      <w:i/>
      <w:iCs/>
    </w:rPr>
  </w:style>
  <w:style w:type="paragraph" w:customStyle="1" w:styleId="p1">
    <w:name w:val="p1"/>
    <w:basedOn w:val="Normal"/>
    <w:rsid w:val="006F529E"/>
    <w:pPr>
      <w:spacing w:after="0" w:line="240" w:lineRule="auto"/>
    </w:pPr>
    <w:rPr>
      <w:rFonts w:ascii="Helvetica" w:eastAsia="Times New Roman" w:hAnsi="Helvetica" w:cs="Times New Roman"/>
      <w:color w:val="000000"/>
      <w:sz w:val="13"/>
      <w:szCs w:val="13"/>
      <w:lang w:val="fr-FR" w:eastAsia="zh-CN"/>
    </w:rPr>
  </w:style>
  <w:style w:type="character" w:customStyle="1" w:styleId="Hyperlink1">
    <w:name w:val="Hyperlink1"/>
    <w:basedOn w:val="DefaultParagraphFont"/>
    <w:uiPriority w:val="99"/>
    <w:unhideWhenUsed/>
    <w:rsid w:val="006F529E"/>
    <w:rPr>
      <w:color w:val="467886"/>
      <w:u w:val="single"/>
    </w:rPr>
  </w:style>
  <w:style w:type="character" w:customStyle="1" w:styleId="BesuchterLink1">
    <w:name w:val="BesuchterLink1"/>
    <w:basedOn w:val="DefaultParagraphFont"/>
    <w:uiPriority w:val="99"/>
    <w:semiHidden/>
    <w:unhideWhenUsed/>
    <w:rsid w:val="006F529E"/>
    <w:rPr>
      <w:color w:val="96607D"/>
      <w:u w:val="single"/>
    </w:rPr>
  </w:style>
  <w:style w:type="table" w:customStyle="1" w:styleId="Tabellenraster18">
    <w:name w:val="Tabellenraster18"/>
    <w:basedOn w:val="TableNormal"/>
    <w:next w:val="TableGrid"/>
    <w:uiPriority w:val="39"/>
    <w:rsid w:val="006F529E"/>
    <w:pPr>
      <w:spacing w:after="0" w:line="240" w:lineRule="auto"/>
    </w:pPr>
    <w:rPr>
      <w:rFonts w:eastAsia="Yu Mincho"/>
      <w:sz w:val="24"/>
      <w:szCs w:val="24"/>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9">
    <w:name w:val="Tabellenraster19"/>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0">
    <w:name w:val="Tabellenraster20"/>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6F529E"/>
    <w:rPr>
      <w:rFonts w:ascii="Segoe UI" w:hAnsi="Segoe UI" w:cs="Segoe UI" w:hint="default"/>
    </w:rPr>
  </w:style>
  <w:style w:type="character" w:styleId="Strong">
    <w:name w:val="Strong"/>
    <w:basedOn w:val="DefaultParagraphFont"/>
    <w:uiPriority w:val="22"/>
    <w:qFormat/>
    <w:rsid w:val="006F529E"/>
    <w:rPr>
      <w:b/>
      <w:bCs/>
    </w:rPr>
  </w:style>
  <w:style w:type="table" w:customStyle="1" w:styleId="Tabellenraster110">
    <w:name w:val="Tabellenraster110"/>
    <w:basedOn w:val="TableNormal"/>
    <w:next w:val="TableGrid"/>
    <w:uiPriority w:val="39"/>
    <w:rsid w:val="006F529E"/>
    <w:pPr>
      <w:spacing w:after="0" w:line="240" w:lineRule="auto"/>
    </w:pPr>
    <w:rPr>
      <w:rFonts w:eastAsia="Yu Mincho"/>
      <w:sz w:val="24"/>
      <w:szCs w:val="24"/>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TableNormal"/>
    <w:next w:val="TableGrid"/>
    <w:uiPriority w:val="39"/>
    <w:rsid w:val="006F529E"/>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4060</Words>
  <Characters>23145</Characters>
  <Application>Microsoft Office Word</Application>
  <DocSecurity>0</DocSecurity>
  <Lines>192</Lines>
  <Paragraphs>54</Paragraphs>
  <ScaleCrop>false</ScaleCrop>
  <Company/>
  <LinksUpToDate>false</LinksUpToDate>
  <CharactersWithSpaces>27151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Muruganantham</dc:creator>
  <cp:keywords/>
  <dc:description/>
  <cp:lastModifiedBy>Vijay Muruganantham</cp:lastModifiedBy>
  <cp:revision>3</cp:revision>
  <dcterms:created xsi:type="dcterms:W3CDTF">2026-07-17T10:20:00Z</dcterms:created>
  <dcterms:modified xsi:type="dcterms:W3CDTF">2026-07-17T10:24:00Z</dcterms:modified>
</cp:coreProperties>
</file>