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FA1" w:rsidRPr="00A86D59" w:rsidRDefault="00274FA1" w:rsidP="00274FA1">
      <w:pPr>
        <w:spacing w:after="48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86D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Definitions (types of treatment,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ABR</w:t>
      </w:r>
      <w:r w:rsidRPr="00A86D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target joints)</w:t>
      </w:r>
    </w:p>
    <w:p w:rsidR="00274FA1" w:rsidRPr="00A86D59" w:rsidRDefault="00274FA1" w:rsidP="00274FA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86D59">
        <w:rPr>
          <w:rFonts w:ascii="Times New Roman" w:hAnsi="Times New Roman" w:cs="Times New Roman"/>
          <w:sz w:val="24"/>
          <w:szCs w:val="24"/>
          <w:lang w:val="en-US"/>
        </w:rPr>
        <w:t xml:space="preserve">For hemophilia A and B as well as hemophilia-associated/non-hemophilia-associated co-morbidities, we relied on data from medical records including medical history and diagnostic codes assigned by treating physicians. </w:t>
      </w:r>
      <w:proofErr w:type="gramStart"/>
      <w:r w:rsidRPr="00A86D59">
        <w:rPr>
          <w:rFonts w:ascii="Times New Roman" w:hAnsi="Times New Roman" w:cs="Times New Roman"/>
          <w:sz w:val="24"/>
          <w:szCs w:val="24"/>
          <w:lang w:val="en-US"/>
        </w:rPr>
        <w:t>Practice patterns and bleeding events were documented by persons</w:t>
      </w:r>
      <w:proofErr w:type="gramEnd"/>
      <w:r w:rsidRPr="00A86D59">
        <w:rPr>
          <w:rFonts w:ascii="Times New Roman" w:hAnsi="Times New Roman" w:cs="Times New Roman"/>
          <w:sz w:val="24"/>
          <w:szCs w:val="24"/>
          <w:lang w:val="en-US"/>
        </w:rPr>
        <w:t xml:space="preserve"> with hemophilia in their patient diaries, in the Austrian Hemophilia Registry or in medical records of the Hemophilia Center Vienna, Vienna, Austria. </w:t>
      </w:r>
      <w:r w:rsidRPr="00A86D59">
        <w:rPr>
          <w:rFonts w:ascii="Times New Roman" w:hAnsi="Times New Roman" w:cs="Times New Roman"/>
          <w:sz w:val="24"/>
          <w:szCs w:val="24"/>
          <w:lang w:val="en-US"/>
        </w:rPr>
        <w:br/>
        <w:t>Prophylactic treatment (or prophylaxis) of severe hemophilia was defined as the regular intravenous replacement of factor concentrate (VIII or IX) at least once a week to prevent spontaneous bleedings, according to the Austrian Hemophilia Consensus Report</w:t>
      </w:r>
      <w:proofErr w:type="gramStart"/>
      <w:r w:rsidRPr="00A86D5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86D5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</w:t>
      </w:r>
      <w:proofErr w:type="gramEnd"/>
      <w:r w:rsidRPr="00A86D5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2]</w:t>
      </w:r>
      <w:r w:rsidRPr="00A86D59">
        <w:rPr>
          <w:rFonts w:ascii="Times New Roman" w:hAnsi="Times New Roman" w:cs="Times New Roman"/>
          <w:sz w:val="24"/>
          <w:szCs w:val="24"/>
          <w:lang w:val="en-US"/>
        </w:rPr>
        <w:t xml:space="preserve"> The dosage and frequency of application had to be defined before initiating prophylactic treatment. On-demand treatment was defined as having no prescribed prophylactic treatment</w:t>
      </w:r>
      <w:proofErr w:type="gramStart"/>
      <w:r w:rsidRPr="00A86D5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86D5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</w:t>
      </w:r>
      <w:proofErr w:type="gramEnd"/>
      <w:r w:rsidRPr="00A86D5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7,8]</w:t>
      </w:r>
      <w:r w:rsidRPr="00A86D59">
        <w:rPr>
          <w:rFonts w:ascii="Times New Roman" w:hAnsi="Times New Roman" w:cs="Times New Roman"/>
          <w:sz w:val="24"/>
          <w:szCs w:val="24"/>
          <w:lang w:val="en-US"/>
        </w:rPr>
        <w:t xml:space="preserve"> A few subjects switched from on-demand treatment to prophylactic or vice versa during the time period of the study, and these subjects were categorized in a separate group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86D59">
        <w:rPr>
          <w:rFonts w:ascii="Times New Roman" w:hAnsi="Times New Roman" w:cs="Times New Roman"/>
          <w:sz w:val="24"/>
          <w:szCs w:val="24"/>
          <w:lang w:val="en-US"/>
        </w:rPr>
        <w:t>referred to as “switcher group”.</w:t>
      </w:r>
      <w:r w:rsidRPr="00A86D59">
        <w:rPr>
          <w:rFonts w:ascii="Times New Roman" w:hAnsi="Times New Roman" w:cs="Times New Roman"/>
          <w:sz w:val="24"/>
          <w:szCs w:val="24"/>
          <w:lang w:val="en-US"/>
        </w:rPr>
        <w:br/>
        <w:t xml:space="preserve">The ABR was defined 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number of </w:t>
      </w:r>
      <w:r w:rsidRPr="00A86D59">
        <w:rPr>
          <w:rFonts w:ascii="Times New Roman" w:hAnsi="Times New Roman" w:cs="Times New Roman"/>
          <w:sz w:val="24"/>
          <w:szCs w:val="24"/>
          <w:lang w:val="en-US"/>
        </w:rPr>
        <w:t>bleeding events within 12 months</w:t>
      </w:r>
      <w:proofErr w:type="gramStart"/>
      <w:r w:rsidRPr="00A86D5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86D5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</w:t>
      </w:r>
      <w:proofErr w:type="gramEnd"/>
      <w:r w:rsidRPr="00A86D5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7]</w:t>
      </w:r>
      <w:r w:rsidRPr="00A86D59">
        <w:rPr>
          <w:rFonts w:ascii="Times New Roman" w:hAnsi="Times New Roman" w:cs="Times New Roman"/>
          <w:sz w:val="24"/>
          <w:szCs w:val="24"/>
          <w:lang w:val="en-US"/>
        </w:rPr>
        <w:t xml:space="preserve"> If a subject had a shorter observation period than 12 months, the available data was extrapolated to allow the calculation of the ABR.</w:t>
      </w:r>
      <w:r w:rsidRPr="00A86D59">
        <w:rPr>
          <w:rFonts w:ascii="Times New Roman" w:hAnsi="Times New Roman" w:cs="Times New Roman"/>
          <w:sz w:val="24"/>
          <w:szCs w:val="24"/>
          <w:lang w:val="en-US"/>
        </w:rPr>
        <w:br/>
        <w:t>Target joints were defined as joints in which 3 or more spontaneous bleeds had occurred over a time period of 6 consecutive months.</w:t>
      </w:r>
      <w:r w:rsidRPr="00A86D5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[5]</w:t>
      </w:r>
    </w:p>
    <w:p w:rsidR="00181DF3" w:rsidRDefault="00181DF3">
      <w:bookmarkStart w:id="0" w:name="_GoBack"/>
      <w:bookmarkEnd w:id="0"/>
    </w:p>
    <w:sectPr w:rsidR="00181DF3" w:rsidSect="00181DF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FA1"/>
    <w:rsid w:val="00181DF3"/>
    <w:rsid w:val="0027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539996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4FA1"/>
    <w:pPr>
      <w:spacing w:after="160" w:line="259" w:lineRule="auto"/>
    </w:pPr>
    <w:rPr>
      <w:rFonts w:eastAsiaTheme="minorHAnsi"/>
      <w:sz w:val="22"/>
      <w:szCs w:val="22"/>
      <w:lang w:val="de-AT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4FA1"/>
    <w:pPr>
      <w:spacing w:after="160" w:line="259" w:lineRule="auto"/>
    </w:pPr>
    <w:rPr>
      <w:rFonts w:eastAsiaTheme="minorHAnsi"/>
      <w:sz w:val="22"/>
      <w:szCs w:val="22"/>
      <w:lang w:val="de-AT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1282</Characters>
  <Application>Microsoft Macintosh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 Ay</dc:creator>
  <cp:keywords/>
  <dc:description/>
  <cp:lastModifiedBy>Cihan Ay</cp:lastModifiedBy>
  <cp:revision>1</cp:revision>
  <dcterms:created xsi:type="dcterms:W3CDTF">2019-12-26T22:03:00Z</dcterms:created>
  <dcterms:modified xsi:type="dcterms:W3CDTF">2019-12-26T22:03:00Z</dcterms:modified>
</cp:coreProperties>
</file>