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479" w:rsidRPr="00812479" w:rsidRDefault="00812479" w:rsidP="00812479">
      <w:pPr>
        <w:keepNext/>
        <w:outlineLvl w:val="0"/>
        <w:rPr>
          <w:b/>
          <w:bCs/>
          <w:kern w:val="32"/>
          <w:sz w:val="28"/>
          <w:szCs w:val="32"/>
        </w:rPr>
      </w:pPr>
      <w:bookmarkStart w:id="0" w:name="_Hlk40362449"/>
      <w:r w:rsidRPr="00812479">
        <w:rPr>
          <w:b/>
          <w:bCs/>
          <w:kern w:val="32"/>
          <w:sz w:val="28"/>
          <w:szCs w:val="32"/>
        </w:rPr>
        <w:t>Direct comparison of two extended-half-life PEGylated recombinant FVIII products: a randomized, crossover pharmacokinetic study in patients with severe hemophilia A</w:t>
      </w:r>
    </w:p>
    <w:p w:rsidR="00812479" w:rsidRPr="00812479" w:rsidRDefault="00812479" w:rsidP="00812479">
      <w:pPr>
        <w:keepNext/>
        <w:jc w:val="center"/>
        <w:outlineLvl w:val="0"/>
        <w:rPr>
          <w:b/>
          <w:bCs/>
          <w:kern w:val="32"/>
          <w:sz w:val="32"/>
          <w:szCs w:val="32"/>
        </w:rPr>
      </w:pPr>
    </w:p>
    <w:p w:rsidR="00812479" w:rsidRPr="00812479" w:rsidRDefault="00812479" w:rsidP="00812479">
      <w:pPr>
        <w:keepNext/>
        <w:outlineLvl w:val="0"/>
        <w:rPr>
          <w:bCs/>
          <w:kern w:val="32"/>
          <w:sz w:val="28"/>
          <w:szCs w:val="32"/>
        </w:rPr>
      </w:pPr>
      <w:r w:rsidRPr="00812479">
        <w:rPr>
          <w:bCs/>
          <w:kern w:val="32"/>
          <w:sz w:val="28"/>
          <w:szCs w:val="32"/>
        </w:rPr>
        <w:t>Alexander Solms</w:t>
      </w:r>
      <w:r w:rsidRPr="00812479">
        <w:rPr>
          <w:bCs/>
          <w:kern w:val="32"/>
          <w:sz w:val="28"/>
          <w:szCs w:val="32"/>
          <w:vertAlign w:val="superscript"/>
        </w:rPr>
        <w:t>1</w:t>
      </w:r>
      <w:r w:rsidRPr="00812479">
        <w:rPr>
          <w:bCs/>
          <w:kern w:val="32"/>
          <w:sz w:val="28"/>
          <w:szCs w:val="32"/>
        </w:rPr>
        <w:t>,</w:t>
      </w:r>
      <w:r w:rsidRPr="00812479">
        <w:rPr>
          <w:bCs/>
          <w:kern w:val="32"/>
          <w:sz w:val="28"/>
          <w:szCs w:val="32"/>
          <w:vertAlign w:val="superscript"/>
        </w:rPr>
        <w:t xml:space="preserve"> </w:t>
      </w:r>
      <w:r w:rsidRPr="00812479">
        <w:rPr>
          <w:bCs/>
          <w:kern w:val="32"/>
          <w:sz w:val="28"/>
          <w:szCs w:val="32"/>
        </w:rPr>
        <w:t>Anita Shah</w:t>
      </w:r>
      <w:r w:rsidRPr="00812479">
        <w:rPr>
          <w:bCs/>
          <w:kern w:val="32"/>
          <w:sz w:val="28"/>
          <w:szCs w:val="32"/>
          <w:vertAlign w:val="superscript"/>
        </w:rPr>
        <w:t>2</w:t>
      </w:r>
      <w:r w:rsidRPr="00812479">
        <w:rPr>
          <w:bCs/>
          <w:kern w:val="32"/>
          <w:sz w:val="28"/>
          <w:szCs w:val="32"/>
        </w:rPr>
        <w:t>, Erik Berntorp</w:t>
      </w:r>
      <w:r w:rsidRPr="00812479">
        <w:rPr>
          <w:bCs/>
          <w:kern w:val="32"/>
          <w:sz w:val="28"/>
          <w:szCs w:val="32"/>
          <w:vertAlign w:val="superscript"/>
        </w:rPr>
        <w:t>3</w:t>
      </w:r>
      <w:r w:rsidRPr="00812479">
        <w:rPr>
          <w:bCs/>
          <w:kern w:val="32"/>
          <w:sz w:val="28"/>
          <w:szCs w:val="32"/>
        </w:rPr>
        <w:t>, Andreas Tiede</w:t>
      </w:r>
      <w:r w:rsidRPr="00812479">
        <w:rPr>
          <w:bCs/>
          <w:kern w:val="32"/>
          <w:sz w:val="28"/>
          <w:szCs w:val="32"/>
          <w:vertAlign w:val="superscript"/>
        </w:rPr>
        <w:t>4</w:t>
      </w:r>
      <w:r w:rsidRPr="00812479">
        <w:rPr>
          <w:bCs/>
          <w:kern w:val="32"/>
          <w:sz w:val="28"/>
          <w:szCs w:val="32"/>
        </w:rPr>
        <w:t>, Alfonso Iorio</w:t>
      </w:r>
      <w:r w:rsidRPr="00812479">
        <w:rPr>
          <w:bCs/>
          <w:kern w:val="32"/>
          <w:sz w:val="28"/>
          <w:szCs w:val="32"/>
          <w:vertAlign w:val="superscript"/>
        </w:rPr>
        <w:t>5</w:t>
      </w:r>
      <w:r w:rsidRPr="00812479">
        <w:rPr>
          <w:bCs/>
          <w:kern w:val="32"/>
          <w:sz w:val="28"/>
          <w:szCs w:val="32"/>
        </w:rPr>
        <w:t>, Camila Linardi</w:t>
      </w:r>
      <w:r w:rsidRPr="00812479">
        <w:rPr>
          <w:bCs/>
          <w:kern w:val="32"/>
          <w:sz w:val="28"/>
          <w:szCs w:val="32"/>
          <w:vertAlign w:val="superscript"/>
        </w:rPr>
        <w:t>2</w:t>
      </w:r>
      <w:r w:rsidRPr="00812479">
        <w:rPr>
          <w:bCs/>
          <w:kern w:val="32"/>
          <w:sz w:val="28"/>
          <w:szCs w:val="32"/>
        </w:rPr>
        <w:t>,</w:t>
      </w:r>
      <w:r w:rsidRPr="00812479">
        <w:rPr>
          <w:bCs/>
          <w:kern w:val="32"/>
          <w:sz w:val="28"/>
          <w:szCs w:val="32"/>
          <w:vertAlign w:val="superscript"/>
        </w:rPr>
        <w:t xml:space="preserve"> </w:t>
      </w:r>
      <w:r w:rsidRPr="00812479">
        <w:rPr>
          <w:bCs/>
          <w:kern w:val="32"/>
          <w:sz w:val="28"/>
          <w:szCs w:val="32"/>
        </w:rPr>
        <w:t>Maurice Ahsman</w:t>
      </w:r>
      <w:r w:rsidRPr="00812479">
        <w:rPr>
          <w:bCs/>
          <w:kern w:val="32"/>
          <w:sz w:val="28"/>
          <w:szCs w:val="32"/>
          <w:vertAlign w:val="superscript"/>
        </w:rPr>
        <w:t>6</w:t>
      </w:r>
      <w:r w:rsidRPr="00812479">
        <w:rPr>
          <w:bCs/>
          <w:kern w:val="32"/>
          <w:sz w:val="28"/>
          <w:szCs w:val="32"/>
        </w:rPr>
        <w:t>, Maria Elisa Mancuso</w:t>
      </w:r>
      <w:r w:rsidRPr="00812479">
        <w:rPr>
          <w:bCs/>
          <w:kern w:val="32"/>
          <w:sz w:val="28"/>
          <w:szCs w:val="32"/>
          <w:vertAlign w:val="superscript"/>
        </w:rPr>
        <w:t>7</w:t>
      </w:r>
      <w:r w:rsidRPr="00812479">
        <w:rPr>
          <w:bCs/>
          <w:kern w:val="32"/>
          <w:sz w:val="28"/>
          <w:szCs w:val="32"/>
        </w:rPr>
        <w:t xml:space="preserve">, </w:t>
      </w:r>
      <w:proofErr w:type="spellStart"/>
      <w:r w:rsidRPr="00812479">
        <w:rPr>
          <w:bCs/>
          <w:kern w:val="32"/>
          <w:sz w:val="28"/>
          <w:szCs w:val="32"/>
        </w:rPr>
        <w:t>Tihomir</w:t>
      </w:r>
      <w:proofErr w:type="spellEnd"/>
      <w:r w:rsidRPr="00812479">
        <w:rPr>
          <w:bCs/>
          <w:kern w:val="32"/>
          <w:sz w:val="28"/>
          <w:szCs w:val="32"/>
        </w:rPr>
        <w:t xml:space="preserve"> Zhivkov</w:t>
      </w:r>
      <w:r w:rsidRPr="00812479">
        <w:rPr>
          <w:bCs/>
          <w:kern w:val="32"/>
          <w:sz w:val="28"/>
          <w:szCs w:val="32"/>
          <w:vertAlign w:val="superscript"/>
        </w:rPr>
        <w:t>8</w:t>
      </w:r>
      <w:r w:rsidRPr="00812479">
        <w:rPr>
          <w:bCs/>
          <w:kern w:val="32"/>
          <w:sz w:val="28"/>
          <w:szCs w:val="32"/>
        </w:rPr>
        <w:t>, Toshko Lissitchkov</w:t>
      </w:r>
      <w:r w:rsidRPr="00812479">
        <w:rPr>
          <w:bCs/>
          <w:kern w:val="32"/>
          <w:sz w:val="28"/>
          <w:szCs w:val="32"/>
          <w:vertAlign w:val="superscript"/>
        </w:rPr>
        <w:t>8</w:t>
      </w:r>
    </w:p>
    <w:bookmarkEnd w:id="0"/>
    <w:p w:rsidR="00812479" w:rsidRPr="00812479" w:rsidRDefault="00812479" w:rsidP="00812479">
      <w:pPr>
        <w:keepNext/>
        <w:outlineLvl w:val="0"/>
        <w:rPr>
          <w:bCs/>
          <w:kern w:val="32"/>
          <w:sz w:val="28"/>
          <w:szCs w:val="32"/>
          <w:vertAlign w:val="superscript"/>
        </w:rPr>
      </w:pPr>
      <w:r w:rsidRPr="00812479">
        <w:rPr>
          <w:bCs/>
          <w:color w:val="FF0000"/>
          <w:kern w:val="32"/>
          <w:sz w:val="28"/>
          <w:szCs w:val="32"/>
        </w:rPr>
        <w:t xml:space="preserve"> </w:t>
      </w:r>
    </w:p>
    <w:p w:rsidR="00812479" w:rsidRPr="00812479" w:rsidRDefault="00812479" w:rsidP="00812479">
      <w:pPr>
        <w:rPr>
          <w:lang w:val="en-GB"/>
        </w:rPr>
      </w:pPr>
      <w:r w:rsidRPr="00812479">
        <w:rPr>
          <w:vertAlign w:val="superscript"/>
        </w:rPr>
        <w:t>1</w:t>
      </w:r>
      <w:r w:rsidRPr="00812479">
        <w:t xml:space="preserve">Bayer, Berlin, Germany; </w:t>
      </w:r>
      <w:r w:rsidRPr="00812479">
        <w:rPr>
          <w:vertAlign w:val="superscript"/>
        </w:rPr>
        <w:t>2</w:t>
      </w:r>
      <w:r w:rsidRPr="00812479">
        <w:t>Bayer, Whippany, USA;</w:t>
      </w:r>
      <w:r w:rsidRPr="00812479">
        <w:rPr>
          <w:vertAlign w:val="superscript"/>
        </w:rPr>
        <w:t xml:space="preserve"> 3</w:t>
      </w:r>
      <w:r w:rsidRPr="00812479">
        <w:t xml:space="preserve">Centre for Thrombosis and </w:t>
      </w:r>
      <w:proofErr w:type="spellStart"/>
      <w:r w:rsidRPr="00812479">
        <w:t>Haemostasis</w:t>
      </w:r>
      <w:proofErr w:type="spellEnd"/>
      <w:r w:rsidRPr="00812479">
        <w:t xml:space="preserve">, Lund University, </w:t>
      </w:r>
      <w:proofErr w:type="spellStart"/>
      <w:r w:rsidRPr="00812479">
        <w:t>Skåne</w:t>
      </w:r>
      <w:proofErr w:type="spellEnd"/>
      <w:r w:rsidRPr="00812479">
        <w:t xml:space="preserve"> University Hospital, Malmö, Sweden; </w:t>
      </w:r>
      <w:r w:rsidRPr="00812479">
        <w:rPr>
          <w:vertAlign w:val="superscript"/>
        </w:rPr>
        <w:t>4</w:t>
      </w:r>
      <w:r w:rsidRPr="00812479">
        <w:t xml:space="preserve">Department of Hematology, Hemostasis, Oncology and Stem Cell Transplantation, Hannover Medical School, Hannover, Germany; </w:t>
      </w:r>
      <w:r w:rsidRPr="00812479">
        <w:rPr>
          <w:vertAlign w:val="superscript"/>
        </w:rPr>
        <w:t>5</w:t>
      </w:r>
      <w:r w:rsidRPr="00812479">
        <w:t xml:space="preserve">McMaster-Bayer Endowed Research Chair in Clinical Epidemiology of Congenital Bleeding Disorders, Department of Medicine, and Department of Health Research Methods, Evidence and Impact, McMaster University, Hamilton, Canada; </w:t>
      </w:r>
      <w:r w:rsidRPr="00812479">
        <w:rPr>
          <w:vertAlign w:val="superscript"/>
        </w:rPr>
        <w:t>6</w:t>
      </w:r>
      <w:r w:rsidRPr="00812479">
        <w:t xml:space="preserve">LAP&amp;P Consultants BV, Leiden, the Netherlands; </w:t>
      </w:r>
      <w:r w:rsidRPr="00812479">
        <w:rPr>
          <w:vertAlign w:val="superscript"/>
        </w:rPr>
        <w:t>7</w:t>
      </w:r>
      <w:proofErr w:type="spellStart"/>
      <w:r w:rsidRPr="00812479">
        <w:rPr>
          <w:lang w:val="en-GB"/>
        </w:rPr>
        <w:t>Center</w:t>
      </w:r>
      <w:proofErr w:type="spellEnd"/>
      <w:r w:rsidRPr="00812479">
        <w:rPr>
          <w:lang w:val="en-GB"/>
        </w:rPr>
        <w:t xml:space="preserve"> for Thrombosis and </w:t>
      </w:r>
      <w:proofErr w:type="spellStart"/>
      <w:r w:rsidRPr="00812479">
        <w:rPr>
          <w:lang w:val="en-GB"/>
        </w:rPr>
        <w:t>Hemorrhagic</w:t>
      </w:r>
      <w:proofErr w:type="spellEnd"/>
      <w:r w:rsidRPr="00812479">
        <w:rPr>
          <w:lang w:val="en-GB"/>
        </w:rPr>
        <w:t xml:space="preserve"> Diseases, </w:t>
      </w:r>
      <w:proofErr w:type="spellStart"/>
      <w:r w:rsidRPr="00812479">
        <w:rPr>
          <w:lang w:val="en-GB"/>
        </w:rPr>
        <w:t>Humanitas</w:t>
      </w:r>
      <w:proofErr w:type="spellEnd"/>
      <w:r w:rsidRPr="00812479">
        <w:rPr>
          <w:lang w:val="en-GB"/>
        </w:rPr>
        <w:t xml:space="preserve"> Clinical and Research </w:t>
      </w:r>
      <w:proofErr w:type="spellStart"/>
      <w:r w:rsidRPr="00812479">
        <w:rPr>
          <w:lang w:val="en-GB"/>
        </w:rPr>
        <w:t>Center</w:t>
      </w:r>
      <w:proofErr w:type="spellEnd"/>
      <w:r w:rsidRPr="00812479">
        <w:rPr>
          <w:lang w:val="en-GB"/>
        </w:rPr>
        <w:t xml:space="preserve"> </w:t>
      </w:r>
      <w:r w:rsidRPr="00812479">
        <w:rPr>
          <w:rFonts w:hint="eastAsia"/>
          <w:lang w:val="en-GB"/>
        </w:rPr>
        <w:t>–</w:t>
      </w:r>
      <w:r w:rsidRPr="00812479">
        <w:rPr>
          <w:lang w:val="en-GB"/>
        </w:rPr>
        <w:t xml:space="preserve"> IRCCS, </w:t>
      </w:r>
      <w:proofErr w:type="spellStart"/>
      <w:r w:rsidRPr="00812479">
        <w:rPr>
          <w:lang w:val="en-GB"/>
        </w:rPr>
        <w:t>Rozzano</w:t>
      </w:r>
      <w:proofErr w:type="spellEnd"/>
      <w:r w:rsidRPr="00812479">
        <w:rPr>
          <w:lang w:val="en-GB"/>
        </w:rPr>
        <w:t xml:space="preserve">, </w:t>
      </w:r>
      <w:r w:rsidRPr="00812479">
        <w:t xml:space="preserve">Milan, Italy; </w:t>
      </w:r>
      <w:r w:rsidRPr="00812479">
        <w:rPr>
          <w:vertAlign w:val="superscript"/>
        </w:rPr>
        <w:t>8</w:t>
      </w:r>
      <w:r w:rsidRPr="00812479">
        <w:t>Specialized Hospital for Active Treatment, Sofia, Bulgaria</w:t>
      </w:r>
    </w:p>
    <w:p w:rsidR="00812479" w:rsidRPr="00812479" w:rsidRDefault="00812479" w:rsidP="00812479"/>
    <w:p w:rsidR="00812479" w:rsidRPr="00812479" w:rsidRDefault="00812479" w:rsidP="00812479"/>
    <w:p w:rsidR="00812479" w:rsidRPr="00812479" w:rsidRDefault="00812479" w:rsidP="00812479">
      <w:r w:rsidRPr="00812479">
        <w:t>Correspondence:</w:t>
      </w:r>
      <w:r w:rsidRPr="00812479">
        <w:tab/>
      </w:r>
    </w:p>
    <w:p w:rsidR="00812479" w:rsidRPr="00812479" w:rsidRDefault="00812479" w:rsidP="00812479">
      <w:r w:rsidRPr="00812479">
        <w:t>Name:</w:t>
      </w:r>
      <w:r w:rsidRPr="00812479">
        <w:tab/>
        <w:t xml:space="preserve"> Alexander </w:t>
      </w:r>
      <w:proofErr w:type="spellStart"/>
      <w:r w:rsidRPr="00812479">
        <w:t>Solms</w:t>
      </w:r>
      <w:proofErr w:type="spellEnd"/>
    </w:p>
    <w:p w:rsidR="00812479" w:rsidRPr="00812479" w:rsidRDefault="00812479" w:rsidP="00812479">
      <w:r w:rsidRPr="00812479">
        <w:t xml:space="preserve">Address: Bayer AG, </w:t>
      </w:r>
    </w:p>
    <w:p w:rsidR="00812479" w:rsidRPr="00812479" w:rsidRDefault="00812479" w:rsidP="00812479">
      <w:pPr>
        <w:ind w:firstLine="993"/>
      </w:pPr>
      <w:r w:rsidRPr="00812479">
        <w:t xml:space="preserve">Pharmaceuticals Research &amp; Development, </w:t>
      </w:r>
    </w:p>
    <w:p w:rsidR="00812479" w:rsidRPr="00812479" w:rsidRDefault="00812479" w:rsidP="00812479">
      <w:pPr>
        <w:ind w:firstLine="993"/>
      </w:pPr>
      <w:r w:rsidRPr="00812479">
        <w:t xml:space="preserve">Clinical </w:t>
      </w:r>
      <w:proofErr w:type="spellStart"/>
      <w:r w:rsidRPr="00812479">
        <w:t>Pharmacometrics</w:t>
      </w:r>
      <w:proofErr w:type="spellEnd"/>
    </w:p>
    <w:p w:rsidR="00812479" w:rsidRPr="00812479" w:rsidRDefault="00812479" w:rsidP="00812479">
      <w:pPr>
        <w:ind w:firstLine="993"/>
      </w:pPr>
      <w:r w:rsidRPr="00812479">
        <w:t xml:space="preserve">13353 Berlin, </w:t>
      </w:r>
    </w:p>
    <w:p w:rsidR="00812479" w:rsidRPr="00812479" w:rsidRDefault="00812479" w:rsidP="00812479">
      <w:r w:rsidRPr="00812479">
        <w:t xml:space="preserve">               Germany</w:t>
      </w:r>
      <w:r w:rsidRPr="00812479">
        <w:tab/>
      </w:r>
      <w:r w:rsidRPr="00812479">
        <w:tab/>
      </w:r>
    </w:p>
    <w:p w:rsidR="00812479" w:rsidRPr="00812479" w:rsidRDefault="00812479" w:rsidP="00812479">
      <w:r w:rsidRPr="00812479">
        <w:t>Email:</w:t>
      </w:r>
      <w:r w:rsidRPr="00812479">
        <w:tab/>
      </w:r>
      <w:hyperlink r:id="rId6" w:history="1">
        <w:r w:rsidRPr="00812479">
          <w:rPr>
            <w:color w:val="0000FF"/>
            <w:u w:val="single"/>
          </w:rPr>
          <w:t>alexander.solms@bayer.com</w:t>
        </w:r>
      </w:hyperlink>
    </w:p>
    <w:p w:rsidR="00812479" w:rsidRDefault="00812479" w:rsidP="00812479">
      <w:pPr>
        <w:rPr>
          <w:shd w:val="clear" w:color="auto" w:fill="FFFFFF"/>
        </w:rPr>
      </w:pPr>
      <w:r w:rsidRPr="00812479">
        <w:t xml:space="preserve">ORCID: </w:t>
      </w:r>
      <w:r w:rsidRPr="00812479">
        <w:rPr>
          <w:shd w:val="clear" w:color="auto" w:fill="FFFFFF"/>
        </w:rPr>
        <w:t>0000-0002-0945-2543</w:t>
      </w:r>
    </w:p>
    <w:p w:rsidR="00812479" w:rsidRDefault="00812479" w:rsidP="00812479">
      <w:pPr>
        <w:rPr>
          <w:shd w:val="clear" w:color="auto" w:fill="FFFFFF"/>
        </w:rPr>
      </w:pPr>
    </w:p>
    <w:p w:rsidR="00812479" w:rsidRPr="00812479" w:rsidRDefault="00812479" w:rsidP="00812479">
      <w:r>
        <w:rPr>
          <w:shd w:val="clear" w:color="auto" w:fill="FFFFFF"/>
        </w:rPr>
        <w:t xml:space="preserve">Journal: </w:t>
      </w:r>
      <w:r w:rsidRPr="005C55A3">
        <w:rPr>
          <w:i/>
          <w:shd w:val="clear" w:color="auto" w:fill="FFFFFF"/>
        </w:rPr>
        <w:t>Annals of Hematology</w:t>
      </w:r>
    </w:p>
    <w:p w:rsidR="00812479" w:rsidRDefault="00812479" w:rsidP="00812479">
      <w:pPr>
        <w:pStyle w:val="Heading2"/>
      </w:pPr>
    </w:p>
    <w:p w:rsidR="005C55A3" w:rsidRPr="00CA6076" w:rsidRDefault="005C55A3" w:rsidP="005C55A3">
      <w:pPr>
        <w:pStyle w:val="Heading2"/>
      </w:pPr>
      <w:r>
        <w:t xml:space="preserve">Online resource </w:t>
      </w:r>
      <w:r w:rsidR="00093BCD">
        <w:t>3</w:t>
      </w:r>
      <w:bookmarkStart w:id="1" w:name="_GoBack"/>
      <w:bookmarkEnd w:id="1"/>
      <w:r>
        <w:t xml:space="preserve">: </w:t>
      </w:r>
      <w:r w:rsidRPr="00150C2A">
        <w:t xml:space="preserve">Sensitivity analysis for time to threshold data generated using </w:t>
      </w:r>
      <w:r>
        <w:t xml:space="preserve">different </w:t>
      </w:r>
      <w:r w:rsidRPr="00150C2A">
        <w:t>population PK (</w:t>
      </w:r>
      <w:proofErr w:type="spellStart"/>
      <w:r w:rsidRPr="00150C2A">
        <w:t>popPK</w:t>
      </w:r>
      <w:proofErr w:type="spellEnd"/>
      <w:r w:rsidRPr="00150C2A">
        <w:t>) model</w:t>
      </w:r>
      <w:r>
        <w:t>s</w:t>
      </w:r>
    </w:p>
    <w:p w:rsidR="005C55A3" w:rsidRDefault="005C55A3" w:rsidP="005C55A3">
      <w:bookmarkStart w:id="2" w:name="_Hlk41471840"/>
    </w:p>
    <w:p w:rsidR="005C55A3" w:rsidRDefault="005C55A3" w:rsidP="005C55A3">
      <w:r w:rsidRPr="00CA6076">
        <w:t>A sensitivity analysis was performed to</w:t>
      </w:r>
      <w:r>
        <w:t xml:space="preserve"> assess the impact of the choice of the population PK model employed to </w:t>
      </w:r>
      <w:r w:rsidRPr="00CA6076">
        <w:t xml:space="preserve">determine </w:t>
      </w:r>
      <w:r>
        <w:t xml:space="preserve">the </w:t>
      </w:r>
      <w:r w:rsidRPr="00CA6076">
        <w:t>time to threshold</w:t>
      </w:r>
      <w:r>
        <w:t xml:space="preserve">. To this aim, referring to the Bayesian forecasting approach by the WAPPS </w:t>
      </w:r>
      <w:proofErr w:type="spellStart"/>
      <w:r>
        <w:t>Hemo</w:t>
      </w:r>
      <w:proofErr w:type="spellEnd"/>
      <w:r>
        <w:t xml:space="preserve"> PK tool (</w:t>
      </w:r>
      <w:proofErr w:type="spellStart"/>
      <w:r>
        <w:t>Iorio</w:t>
      </w:r>
      <w:proofErr w:type="spellEnd"/>
      <w:r>
        <w:t xml:space="preserve"> et al 2016, </w:t>
      </w:r>
      <w:proofErr w:type="spellStart"/>
      <w:r w:rsidRPr="006B4609">
        <w:rPr>
          <w:bCs/>
        </w:rPr>
        <w:t>Hajducek</w:t>
      </w:r>
      <w:proofErr w:type="spellEnd"/>
      <w:r w:rsidRPr="006B4609">
        <w:t xml:space="preserve"> </w:t>
      </w:r>
      <w:r>
        <w:t xml:space="preserve">2020), the population PK models for </w:t>
      </w:r>
      <w:proofErr w:type="spellStart"/>
      <w:r w:rsidRPr="00CA6076">
        <w:t>damoctocog</w:t>
      </w:r>
      <w:proofErr w:type="spellEnd"/>
      <w:r w:rsidRPr="00CA6076">
        <w:t xml:space="preserve"> alfa pegol</w:t>
      </w:r>
      <w:r>
        <w:t xml:space="preserve"> (</w:t>
      </w:r>
      <w:proofErr w:type="spellStart"/>
      <w:r>
        <w:t>Solms</w:t>
      </w:r>
      <w:proofErr w:type="spellEnd"/>
      <w:r>
        <w:t xml:space="preserve"> et al 2019, based on n=198 patients) and </w:t>
      </w:r>
      <w:proofErr w:type="spellStart"/>
      <w:r w:rsidRPr="00CA6076">
        <w:t>rurioctocog</w:t>
      </w:r>
      <w:proofErr w:type="spellEnd"/>
      <w:r w:rsidRPr="00CA6076">
        <w:t xml:space="preserve"> alfa pegol</w:t>
      </w:r>
      <w:r>
        <w:t xml:space="preserve"> (</w:t>
      </w:r>
      <w:proofErr w:type="spellStart"/>
      <w:r>
        <w:t>Chelle</w:t>
      </w:r>
      <w:proofErr w:type="spellEnd"/>
      <w:r>
        <w:t xml:space="preserve"> et al 2020, based on n=154 patients), for one-stage assay data, were used to derive individual </w:t>
      </w:r>
      <w:proofErr w:type="spellStart"/>
      <w:r>
        <w:t>posthoc</w:t>
      </w:r>
      <w:proofErr w:type="spellEnd"/>
      <w:r>
        <w:t xml:space="preserve"> estimates. Single profiles of </w:t>
      </w:r>
      <w:proofErr w:type="spellStart"/>
      <w:r w:rsidRPr="00CA6076">
        <w:t>damoctocog</w:t>
      </w:r>
      <w:proofErr w:type="spellEnd"/>
      <w:r w:rsidRPr="00CA6076">
        <w:t xml:space="preserve"> alfa pegol</w:t>
      </w:r>
      <w:r>
        <w:t xml:space="preserve"> and </w:t>
      </w:r>
      <w:proofErr w:type="spellStart"/>
      <w:r w:rsidRPr="00CA6076">
        <w:t>rurioctocog</w:t>
      </w:r>
      <w:proofErr w:type="spellEnd"/>
      <w:r w:rsidRPr="00CA6076">
        <w:t xml:space="preserve"> alfa pegol</w:t>
      </w:r>
      <w:r>
        <w:t xml:space="preserve"> for each patient from this study were used for this </w:t>
      </w:r>
      <w:proofErr w:type="spellStart"/>
      <w:r>
        <w:t>posthoc</w:t>
      </w:r>
      <w:proofErr w:type="spellEnd"/>
      <w:r>
        <w:t xml:space="preserve"> estimation. The </w:t>
      </w:r>
      <w:proofErr w:type="spellStart"/>
      <w:r>
        <w:t>posthoc</w:t>
      </w:r>
      <w:proofErr w:type="spellEnd"/>
      <w:r>
        <w:t xml:space="preserve"> estimates were used to predict the time-to-threshold for different thresholds concentrations of 1, 3, 5 and 10 IU/dL for a dose of 50 IU/kg. </w:t>
      </w:r>
      <w:r>
        <w:br/>
      </w:r>
      <w:bookmarkEnd w:id="2"/>
      <w:r>
        <w:t xml:space="preserve"> </w:t>
      </w:r>
    </w:p>
    <w:p w:rsidR="002C6A2E" w:rsidRDefault="005C55A3" w:rsidP="005C55A3">
      <w:r>
        <w:t xml:space="preserve">For both products, using the published models lead to nearly identical individual time to threshold estimates as the newly developed H2H model across patients, as indicated by a close to 1 </w:t>
      </w:r>
      <w:r w:rsidRPr="00CA6076">
        <w:t>coefficient of determination (R</w:t>
      </w:r>
      <w:r w:rsidRPr="00CA6076">
        <w:rPr>
          <w:vertAlign w:val="superscript"/>
        </w:rPr>
        <w:t>2</w:t>
      </w:r>
      <w:r w:rsidRPr="00CA6076">
        <w:t>).</w:t>
      </w:r>
      <w:r>
        <w:t xml:space="preserve"> As a result, also only minor </w:t>
      </w:r>
      <w:r w:rsidRPr="00CA6076">
        <w:t xml:space="preserve">differences in median time to threshold </w:t>
      </w:r>
      <w:r>
        <w:t xml:space="preserve">were observed depending on which model was used. </w:t>
      </w:r>
    </w:p>
    <w:p w:rsidR="002C6A2E" w:rsidRDefault="002C6A2E" w:rsidP="002C6A2E">
      <w:pPr>
        <w:spacing w:after="160" w:line="259" w:lineRule="auto"/>
      </w:pPr>
      <w:r>
        <w:br w:type="page"/>
      </w:r>
    </w:p>
    <w:p w:rsidR="002C6A2E" w:rsidRPr="002C6A2E" w:rsidRDefault="002C6A2E" w:rsidP="002C6A2E">
      <w:pPr>
        <w:keepNext/>
        <w:spacing w:before="240" w:after="60"/>
        <w:outlineLvl w:val="1"/>
        <w:rPr>
          <w:b/>
          <w:bCs/>
          <w:iCs/>
          <w:szCs w:val="28"/>
        </w:rPr>
      </w:pPr>
      <w:r w:rsidRPr="002C6A2E">
        <w:rPr>
          <w:b/>
          <w:bCs/>
          <w:iCs/>
          <w:szCs w:val="28"/>
        </w:rPr>
        <w:lastRenderedPageBreak/>
        <w:t>Supplementary Table 1: Sensitivity analysis of time to threshold levels using different population PK modeling approaches.</w:t>
      </w:r>
    </w:p>
    <w:p w:rsidR="002C6A2E" w:rsidRDefault="002C6A2E" w:rsidP="005C55A3">
      <w:r w:rsidRPr="00C71047">
        <w:rPr>
          <w:noProof/>
        </w:rPr>
        <w:drawing>
          <wp:inline distT="0" distB="0" distL="0" distR="0" wp14:anchorId="2D3988FE" wp14:editId="1349514B">
            <wp:extent cx="5731510" cy="2584078"/>
            <wp:effectExtent l="0" t="0" r="2540" b="6985"/>
            <wp:docPr id="819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D134C43-72BC-44D8-B39A-423D416BF6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>
                      <a:extLst>
                        <a:ext uri="{FF2B5EF4-FFF2-40B4-BE49-F238E27FC236}">
                          <a16:creationId xmlns:a16="http://schemas.microsoft.com/office/drawing/2014/main" id="{FD134C43-72BC-44D8-B39A-423D416BF6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96BB1" w:rsidRDefault="00C96BB1"/>
    <w:p w:rsidR="005C55A3" w:rsidRDefault="005C55A3"/>
    <w:p w:rsidR="005C55A3" w:rsidRDefault="005C55A3"/>
    <w:p w:rsidR="005C55A3" w:rsidRDefault="005C55A3"/>
    <w:p w:rsidR="005C55A3" w:rsidRDefault="005C55A3"/>
    <w:p w:rsidR="00812479" w:rsidRDefault="00812479"/>
    <w:p w:rsidR="00812479" w:rsidRDefault="00812479"/>
    <w:p w:rsidR="00812479" w:rsidRDefault="00812479"/>
    <w:p w:rsidR="00812479" w:rsidRDefault="00812479"/>
    <w:p w:rsidR="00812479" w:rsidRDefault="00812479" w:rsidP="00812479">
      <w:pPr>
        <w:pStyle w:val="Heading2"/>
      </w:pPr>
      <w:r>
        <w:t xml:space="preserve">References </w:t>
      </w:r>
    </w:p>
    <w:p w:rsidR="005C55A3" w:rsidRDefault="005C55A3" w:rsidP="005C55A3">
      <w:proofErr w:type="spellStart"/>
      <w:r w:rsidRPr="0035796E">
        <w:t>Iorio</w:t>
      </w:r>
      <w:proofErr w:type="spellEnd"/>
      <w:r w:rsidRPr="0035796E">
        <w:t xml:space="preserve"> A, </w:t>
      </w:r>
      <w:proofErr w:type="spellStart"/>
      <w:r w:rsidRPr="0035796E">
        <w:t>Keepanasseril</w:t>
      </w:r>
      <w:proofErr w:type="spellEnd"/>
      <w:r w:rsidRPr="0035796E">
        <w:t xml:space="preserve"> A, Foster G, et al. Development of a Web-Accessible Population Pharmacokinetic Service-Hemophilia (WAPPS-</w:t>
      </w:r>
      <w:proofErr w:type="spellStart"/>
      <w:r w:rsidRPr="0035796E">
        <w:t>Hemo</w:t>
      </w:r>
      <w:proofErr w:type="spellEnd"/>
      <w:r w:rsidRPr="0035796E">
        <w:t>): Study Protocol. </w:t>
      </w:r>
      <w:r w:rsidRPr="0035796E">
        <w:rPr>
          <w:i/>
          <w:iCs/>
        </w:rPr>
        <w:t xml:space="preserve">JMIR Res </w:t>
      </w:r>
      <w:proofErr w:type="spellStart"/>
      <w:r w:rsidRPr="0035796E">
        <w:rPr>
          <w:i/>
          <w:iCs/>
        </w:rPr>
        <w:t>Protoc</w:t>
      </w:r>
      <w:proofErr w:type="spellEnd"/>
      <w:r w:rsidRPr="0035796E">
        <w:t>. 2016;5(4):e239. </w:t>
      </w:r>
      <w:r w:rsidRPr="006B4609">
        <w:t>doi:10.2196/resprot.6558</w:t>
      </w:r>
    </w:p>
    <w:p w:rsidR="005C55A3" w:rsidRPr="00D210D9" w:rsidRDefault="005C55A3" w:rsidP="005C55A3"/>
    <w:p w:rsidR="005C55A3" w:rsidRDefault="005C55A3" w:rsidP="005C55A3">
      <w:proofErr w:type="spellStart"/>
      <w:r w:rsidRPr="005C55A3">
        <w:rPr>
          <w:lang w:val="en-GB"/>
        </w:rPr>
        <w:t>Hajducek</w:t>
      </w:r>
      <w:proofErr w:type="spellEnd"/>
      <w:r w:rsidRPr="005C55A3">
        <w:rPr>
          <w:lang w:val="en-GB"/>
        </w:rPr>
        <w:t xml:space="preserve"> DM, </w:t>
      </w:r>
      <w:proofErr w:type="spellStart"/>
      <w:r w:rsidRPr="005C55A3">
        <w:rPr>
          <w:lang w:val="en-GB"/>
        </w:rPr>
        <w:t>Chelle</w:t>
      </w:r>
      <w:proofErr w:type="spellEnd"/>
      <w:r w:rsidRPr="005C55A3">
        <w:rPr>
          <w:lang w:val="en-GB"/>
        </w:rPr>
        <w:t xml:space="preserve"> P, </w:t>
      </w:r>
      <w:proofErr w:type="spellStart"/>
      <w:r w:rsidRPr="005C55A3">
        <w:rPr>
          <w:lang w:val="en-GB"/>
        </w:rPr>
        <w:t>Hermans</w:t>
      </w:r>
      <w:proofErr w:type="spellEnd"/>
      <w:r w:rsidRPr="005C55A3">
        <w:rPr>
          <w:lang w:val="en-GB"/>
        </w:rPr>
        <w:t xml:space="preserve"> C, et al. </w:t>
      </w:r>
      <w:r w:rsidRPr="0035796E">
        <w:t>Development and evaluation of the population pharmacokinetic models for FVIII and FIX concentrates of the WAPPS-</w:t>
      </w:r>
      <w:proofErr w:type="spellStart"/>
      <w:r w:rsidRPr="0035796E">
        <w:t>Hemo</w:t>
      </w:r>
      <w:proofErr w:type="spellEnd"/>
      <w:r w:rsidRPr="0035796E">
        <w:t xml:space="preserve"> project. </w:t>
      </w:r>
      <w:proofErr w:type="spellStart"/>
      <w:r w:rsidRPr="0035796E">
        <w:rPr>
          <w:i/>
          <w:iCs/>
        </w:rPr>
        <w:t>Haemophilia</w:t>
      </w:r>
      <w:proofErr w:type="spellEnd"/>
      <w:r w:rsidRPr="0035796E">
        <w:t>. 2020;26(3):384</w:t>
      </w:r>
      <w:r w:rsidRPr="0035796E">
        <w:rPr>
          <w:rFonts w:ascii="Cambria Math" w:hAnsi="Cambria Math" w:cs="Cambria Math"/>
        </w:rPr>
        <w:t>‐</w:t>
      </w:r>
      <w:r w:rsidRPr="0035796E">
        <w:t>400. doi:10.1111/hae.13977</w:t>
      </w:r>
    </w:p>
    <w:p w:rsidR="005C55A3" w:rsidRDefault="005C55A3" w:rsidP="005C55A3"/>
    <w:p w:rsidR="005C55A3" w:rsidRPr="00D210D9" w:rsidRDefault="005C55A3" w:rsidP="005C55A3">
      <w:pPr>
        <w:rPr>
          <w:lang w:val="fr-FR"/>
        </w:rPr>
      </w:pPr>
      <w:proofErr w:type="spellStart"/>
      <w:r w:rsidRPr="00D210D9">
        <w:t>Solms</w:t>
      </w:r>
      <w:proofErr w:type="spellEnd"/>
      <w:r w:rsidRPr="00D210D9">
        <w:t xml:space="preserve">, A., A. </w:t>
      </w:r>
      <w:proofErr w:type="spellStart"/>
      <w:r w:rsidRPr="00D210D9">
        <w:t>Iorio</w:t>
      </w:r>
      <w:proofErr w:type="spellEnd"/>
      <w:r w:rsidRPr="00D210D9">
        <w:t xml:space="preserve">, M. J. </w:t>
      </w:r>
      <w:proofErr w:type="spellStart"/>
      <w:r w:rsidRPr="00D210D9">
        <w:t>Ahsman</w:t>
      </w:r>
      <w:proofErr w:type="spellEnd"/>
      <w:r w:rsidRPr="00D210D9">
        <w:t xml:space="preserve">, P. Vis, A. Shah, E. </w:t>
      </w:r>
      <w:proofErr w:type="spellStart"/>
      <w:r w:rsidRPr="00D210D9">
        <w:t>Berntorp</w:t>
      </w:r>
      <w:proofErr w:type="spellEnd"/>
      <w:r w:rsidRPr="00D210D9">
        <w:t xml:space="preserve"> and D. </w:t>
      </w:r>
      <w:proofErr w:type="spellStart"/>
      <w:r w:rsidRPr="00D210D9">
        <w:t>Garmann</w:t>
      </w:r>
      <w:proofErr w:type="spellEnd"/>
      <w:r w:rsidRPr="00D210D9">
        <w:t xml:space="preserve"> (2020). "Favorable Pharmacokinetic Characteristics of Extended-Half-Life </w:t>
      </w:r>
      <w:r w:rsidRPr="00D210D9">
        <w:lastRenderedPageBreak/>
        <w:t xml:space="preserve">Recombinant Factor VIII BAY 94-9027 Enable Robust Individual Profiling Using a Population Pharmacokinetic Approach." </w:t>
      </w:r>
      <w:proofErr w:type="spellStart"/>
      <w:r w:rsidRPr="00D210D9">
        <w:rPr>
          <w:lang w:val="fr-FR"/>
        </w:rPr>
        <w:t>Clinical</w:t>
      </w:r>
      <w:proofErr w:type="spellEnd"/>
      <w:r w:rsidRPr="00D210D9">
        <w:rPr>
          <w:lang w:val="fr-FR"/>
        </w:rPr>
        <w:t xml:space="preserve"> </w:t>
      </w:r>
      <w:proofErr w:type="spellStart"/>
      <w:r w:rsidRPr="00D210D9">
        <w:rPr>
          <w:lang w:val="fr-FR"/>
        </w:rPr>
        <w:t>Pharmacokinetics</w:t>
      </w:r>
      <w:proofErr w:type="spellEnd"/>
      <w:r w:rsidRPr="00D210D9">
        <w:rPr>
          <w:lang w:val="fr-FR"/>
        </w:rPr>
        <w:t xml:space="preserve"> 59(5): 605-616.</w:t>
      </w:r>
    </w:p>
    <w:p w:rsidR="005C55A3" w:rsidRDefault="005C55A3" w:rsidP="005C55A3">
      <w:pPr>
        <w:rPr>
          <w:lang w:val="fr-FR"/>
        </w:rPr>
      </w:pPr>
    </w:p>
    <w:p w:rsidR="005C55A3" w:rsidRPr="00AC7591" w:rsidRDefault="005C55A3" w:rsidP="005C55A3">
      <w:pPr>
        <w:rPr>
          <w:b/>
        </w:rPr>
      </w:pPr>
      <w:proofErr w:type="spellStart"/>
      <w:r w:rsidRPr="00D210D9">
        <w:rPr>
          <w:lang w:val="fr-FR"/>
        </w:rPr>
        <w:t>Chelle</w:t>
      </w:r>
      <w:proofErr w:type="spellEnd"/>
      <w:r w:rsidRPr="00D210D9">
        <w:rPr>
          <w:lang w:val="fr-FR"/>
        </w:rPr>
        <w:t xml:space="preserve"> P, Yeung CHT, Croteau SE, et al. </w:t>
      </w:r>
      <w:r w:rsidRPr="00D210D9">
        <w:t xml:space="preserve">Development and Validation of a Population-Pharmacokinetic Model for </w:t>
      </w:r>
      <w:proofErr w:type="spellStart"/>
      <w:r w:rsidRPr="00D210D9">
        <w:t>Rurioctacog</w:t>
      </w:r>
      <w:proofErr w:type="spellEnd"/>
      <w:r w:rsidRPr="00D210D9">
        <w:t xml:space="preserve"> Alfa Pegol (</w:t>
      </w:r>
      <w:proofErr w:type="spellStart"/>
      <w:r w:rsidRPr="00D210D9">
        <w:t>Adynovate</w:t>
      </w:r>
      <w:proofErr w:type="spellEnd"/>
      <w:r w:rsidRPr="005C55A3">
        <w:rPr>
          <w:vertAlign w:val="superscript"/>
        </w:rPr>
        <w:t>®</w:t>
      </w:r>
      <w:r w:rsidRPr="00D210D9">
        <w:t>): A Report on Behalf of the WAPPS-</w:t>
      </w:r>
      <w:proofErr w:type="spellStart"/>
      <w:r w:rsidRPr="00D210D9">
        <w:t>Hemo</w:t>
      </w:r>
      <w:proofErr w:type="spellEnd"/>
      <w:r w:rsidRPr="00D210D9">
        <w:t xml:space="preserve"> Investigators Ad Hoc Subgroup. Clin </w:t>
      </w:r>
      <w:proofErr w:type="spellStart"/>
      <w:r w:rsidRPr="00D210D9">
        <w:t>Pharmacokinet</w:t>
      </w:r>
      <w:proofErr w:type="spellEnd"/>
      <w:r w:rsidRPr="00D210D9">
        <w:t>. 2020;59(2):245</w:t>
      </w:r>
      <w:r w:rsidRPr="00D210D9">
        <w:rPr>
          <w:rFonts w:ascii="Cambria Math" w:hAnsi="Cambria Math" w:cs="Cambria Math"/>
        </w:rPr>
        <w:t>‐</w:t>
      </w:r>
      <w:r w:rsidRPr="00D210D9">
        <w:t xml:space="preserve">256. </w:t>
      </w:r>
    </w:p>
    <w:p w:rsidR="00812479" w:rsidRPr="00812479" w:rsidRDefault="00812479"/>
    <w:sectPr w:rsidR="00812479" w:rsidRPr="0081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479" w:rsidRDefault="00812479" w:rsidP="00812479">
      <w:pPr>
        <w:spacing w:line="240" w:lineRule="auto"/>
      </w:pPr>
      <w:r>
        <w:separator/>
      </w:r>
    </w:p>
  </w:endnote>
  <w:endnote w:type="continuationSeparator" w:id="0">
    <w:p w:rsidR="00812479" w:rsidRDefault="00812479" w:rsidP="00812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479" w:rsidRDefault="00812479" w:rsidP="00812479">
      <w:pPr>
        <w:spacing w:line="240" w:lineRule="auto"/>
      </w:pPr>
      <w:r>
        <w:separator/>
      </w:r>
    </w:p>
  </w:footnote>
  <w:footnote w:type="continuationSeparator" w:id="0">
    <w:p w:rsidR="00812479" w:rsidRDefault="00812479" w:rsidP="008124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51"/>
    <w:rsid w:val="00093BCD"/>
    <w:rsid w:val="002C6A2E"/>
    <w:rsid w:val="005C55A3"/>
    <w:rsid w:val="00812479"/>
    <w:rsid w:val="00C30651"/>
    <w:rsid w:val="00C9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4F50B"/>
  <w15:chartTrackingRefBased/>
  <w15:docId w15:val="{587F8B45-D6DB-4AD2-BD84-9BCB5A08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479"/>
    <w:pPr>
      <w:spacing w:after="0" w:line="360" w:lineRule="auto"/>
    </w:pPr>
    <w:rPr>
      <w:rFonts w:ascii="Arial" w:eastAsia="DengXian Light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4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12479"/>
    <w:pPr>
      <w:keepNext/>
      <w:spacing w:before="240" w:after="60"/>
      <w:outlineLvl w:val="1"/>
    </w:pPr>
    <w:rPr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2479"/>
    <w:pPr>
      <w:tabs>
        <w:tab w:val="center" w:pos="4513"/>
        <w:tab w:val="right" w:pos="9026"/>
      </w:tabs>
      <w:spacing w:line="24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12479"/>
  </w:style>
  <w:style w:type="paragraph" w:styleId="Footer">
    <w:name w:val="footer"/>
    <w:basedOn w:val="Normal"/>
    <w:link w:val="FooterChar"/>
    <w:uiPriority w:val="99"/>
    <w:unhideWhenUsed/>
    <w:rsid w:val="00812479"/>
    <w:pPr>
      <w:tabs>
        <w:tab w:val="center" w:pos="4513"/>
        <w:tab w:val="right" w:pos="9026"/>
      </w:tabs>
      <w:spacing w:line="24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12479"/>
  </w:style>
  <w:style w:type="character" w:customStyle="1" w:styleId="Heading2Char">
    <w:name w:val="Heading 2 Char"/>
    <w:basedOn w:val="DefaultParagraphFont"/>
    <w:link w:val="Heading2"/>
    <w:rsid w:val="00812479"/>
    <w:rPr>
      <w:rFonts w:ascii="Arial" w:eastAsia="DengXian Light" w:hAnsi="Arial" w:cs="Arial"/>
      <w:b/>
      <w:bCs/>
      <w:iCs/>
      <w:sz w:val="24"/>
      <w:szCs w:val="2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124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er.solms@bay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Sreerekha Pillai</dc:creator>
  <cp:keywords/>
  <dc:description/>
  <cp:lastModifiedBy>Syed, Anila</cp:lastModifiedBy>
  <cp:revision>5</cp:revision>
  <dcterms:created xsi:type="dcterms:W3CDTF">2020-07-10T09:44:00Z</dcterms:created>
  <dcterms:modified xsi:type="dcterms:W3CDTF">2020-07-10T16:58:00Z</dcterms:modified>
</cp:coreProperties>
</file>