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jc w:val="center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Supplements</w:t>
      </w: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Legend to the suppl. Table</w:t>
      </w:r>
    </w:p>
    <w:p w:rsidR="00C62955" w:rsidRDefault="00C62955" w:rsidP="00C62955">
      <w:pPr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Suppl. Table S1:</w:t>
      </w:r>
      <w:r>
        <w:rPr>
          <w:rFonts w:ascii="Arial" w:hAnsi="Arial" w:cs="Arial"/>
          <w:b/>
          <w:sz w:val="24"/>
          <w:szCs w:val="24"/>
          <w:lang w:val="en-US"/>
        </w:rPr>
        <w:tab/>
      </w:r>
      <w:r w:rsidRPr="0019599F">
        <w:rPr>
          <w:rFonts w:ascii="Arial" w:hAnsi="Arial" w:cs="Arial"/>
          <w:b/>
          <w:noProof/>
          <w:sz w:val="24"/>
          <w:szCs w:val="24"/>
          <w:lang w:val="en-US"/>
        </w:rPr>
        <w:t>Multivariate logistic regression for CR/CRi</w:t>
      </w: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Legend to the suppl. Figures</w:t>
      </w:r>
    </w:p>
    <w:p w:rsidR="00C62955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</w:p>
    <w:p w:rsidR="00C62955" w:rsidRDefault="00C62955" w:rsidP="00C62955">
      <w:pPr>
        <w:spacing w:after="0" w:line="480" w:lineRule="auto"/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 xml:space="preserve">Suppl. Figure S1: </w:t>
      </w:r>
      <w:r>
        <w:rPr>
          <w:rFonts w:ascii="Arial" w:hAnsi="Arial" w:cs="Arial"/>
          <w:b/>
          <w:noProof/>
          <w:sz w:val="24"/>
          <w:szCs w:val="24"/>
          <w:lang w:val="en-US"/>
        </w:rPr>
        <w:tab/>
        <w:t>Design of the studies and treatment characteristics</w:t>
      </w:r>
    </w:p>
    <w:p w:rsidR="00C62955" w:rsidRDefault="00C62955" w:rsidP="00C62955">
      <w:pPr>
        <w:spacing w:after="0" w:line="240" w:lineRule="auto"/>
        <w:ind w:left="2127" w:hanging="2127"/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>Suppl. Figure S2</w:t>
      </w:r>
      <w:r w:rsidRPr="0049583A">
        <w:rPr>
          <w:rFonts w:ascii="Arial" w:hAnsi="Arial" w:cs="Arial"/>
          <w:b/>
          <w:noProof/>
          <w:sz w:val="24"/>
          <w:szCs w:val="24"/>
          <w:lang w:val="en-US"/>
        </w:rPr>
        <w:t xml:space="preserve"> : </w:t>
      </w:r>
      <w:r>
        <w:rPr>
          <w:rFonts w:ascii="Arial" w:hAnsi="Arial" w:cs="Arial"/>
          <w:b/>
          <w:noProof/>
          <w:sz w:val="24"/>
          <w:szCs w:val="24"/>
          <w:lang w:val="en-US"/>
        </w:rPr>
        <w:tab/>
        <w:t>Standardize</w:t>
      </w:r>
      <w:r w:rsidRPr="0049583A">
        <w:rPr>
          <w:rFonts w:ascii="Arial" w:hAnsi="Arial" w:cs="Arial"/>
          <w:b/>
          <w:noProof/>
          <w:sz w:val="24"/>
          <w:szCs w:val="24"/>
          <w:lang w:val="en-US"/>
        </w:rPr>
        <w:t xml:space="preserve">d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event-free survival (EFS) of the three arms: common standard arm (CSA), study group A and study group B</w:t>
      </w:r>
    </w:p>
    <w:p w:rsidR="00C62955" w:rsidRPr="0049583A" w:rsidRDefault="00C62955" w:rsidP="00C62955">
      <w:pPr>
        <w:spacing w:after="0" w:line="240" w:lineRule="auto"/>
        <w:ind w:left="2127" w:hanging="2127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C62955" w:rsidRDefault="00C62955" w:rsidP="00C62955">
      <w:pPr>
        <w:spacing w:after="0" w:line="240" w:lineRule="auto"/>
        <w:ind w:left="2127" w:hanging="2127"/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>Suppl. Figure S3</w:t>
      </w:r>
      <w:r w:rsidRPr="0049583A">
        <w:rPr>
          <w:rFonts w:ascii="Arial" w:hAnsi="Arial" w:cs="Arial"/>
          <w:b/>
          <w:noProof/>
          <w:sz w:val="24"/>
          <w:szCs w:val="24"/>
          <w:lang w:val="en-US"/>
        </w:rPr>
        <w:t xml:space="preserve"> :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Standardiz</w:t>
      </w:r>
      <w:r w:rsidRPr="0049583A">
        <w:rPr>
          <w:rFonts w:ascii="Arial" w:hAnsi="Arial" w:cs="Arial"/>
          <w:b/>
          <w:noProof/>
          <w:sz w:val="24"/>
          <w:szCs w:val="24"/>
          <w:lang w:val="en-US"/>
        </w:rPr>
        <w:t xml:space="preserve">ed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Overall survival (OS) of the three arms: common standard arm (CSA), study group A and study group B</w:t>
      </w:r>
    </w:p>
    <w:p w:rsidR="00C62955" w:rsidRPr="0049583A" w:rsidRDefault="00C62955" w:rsidP="00C62955">
      <w:pPr>
        <w:spacing w:after="0" w:line="240" w:lineRule="auto"/>
        <w:ind w:left="2127" w:hanging="2127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C62955" w:rsidRDefault="00C62955" w:rsidP="00C62955">
      <w:pPr>
        <w:spacing w:after="0" w:line="240" w:lineRule="auto"/>
        <w:ind w:left="2127" w:hanging="2127"/>
        <w:rPr>
          <w:rFonts w:ascii="Arial" w:hAnsi="Arial" w:cs="Arial"/>
          <w:b/>
          <w:noProof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t>Suppl. Figure S4</w:t>
      </w:r>
      <w:r w:rsidRPr="00734987">
        <w:rPr>
          <w:rFonts w:ascii="Arial" w:hAnsi="Arial" w:cs="Arial"/>
          <w:b/>
          <w:noProof/>
          <w:sz w:val="24"/>
          <w:szCs w:val="24"/>
          <w:lang w:val="en-US"/>
        </w:rPr>
        <w:t xml:space="preserve"> :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Standardiz</w:t>
      </w:r>
      <w:r w:rsidRPr="0049583A">
        <w:rPr>
          <w:rFonts w:ascii="Arial" w:hAnsi="Arial" w:cs="Arial"/>
          <w:b/>
          <w:noProof/>
          <w:sz w:val="24"/>
          <w:szCs w:val="24"/>
          <w:lang w:val="en-US"/>
        </w:rPr>
        <w:t xml:space="preserve">ed </w:t>
      </w:r>
      <w:r>
        <w:rPr>
          <w:rFonts w:ascii="Arial" w:hAnsi="Arial" w:cs="Arial"/>
          <w:b/>
          <w:noProof/>
          <w:sz w:val="24"/>
          <w:szCs w:val="24"/>
          <w:lang w:val="en-US"/>
        </w:rPr>
        <w:t>relapsed-free survival (RFS) of the three arms: common standard arm (CSA), study group A and study group B</w:t>
      </w:r>
    </w:p>
    <w:p w:rsidR="00C62955" w:rsidRPr="0049583A" w:rsidRDefault="00C62955" w:rsidP="00C62955">
      <w:pPr>
        <w:spacing w:after="0" w:line="240" w:lineRule="auto"/>
        <w:ind w:left="2127" w:hanging="2127"/>
        <w:rPr>
          <w:rFonts w:ascii="Arial" w:hAnsi="Arial" w:cs="Arial"/>
          <w:b/>
          <w:noProof/>
          <w:sz w:val="24"/>
          <w:szCs w:val="24"/>
          <w:lang w:val="en-US"/>
        </w:rPr>
      </w:pPr>
    </w:p>
    <w:p w:rsidR="00C62955" w:rsidRDefault="00C62955" w:rsidP="00C62955">
      <w:pPr>
        <w:spacing w:after="160" w:line="259" w:lineRule="auto"/>
        <w:rPr>
          <w:color w:val="000000"/>
          <w:sz w:val="20"/>
          <w:szCs w:val="20"/>
          <w:lang w:val="en-US"/>
        </w:rPr>
      </w:pPr>
      <w:r>
        <w:rPr>
          <w:color w:val="000000"/>
          <w:sz w:val="20"/>
          <w:szCs w:val="20"/>
          <w:lang w:val="en-US"/>
        </w:rPr>
        <w:br w:type="page"/>
      </w:r>
    </w:p>
    <w:tbl>
      <w:tblPr>
        <w:tblW w:w="865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09"/>
        <w:gridCol w:w="850"/>
        <w:gridCol w:w="2126"/>
        <w:gridCol w:w="1704"/>
        <w:gridCol w:w="851"/>
      </w:tblGrid>
      <w:tr w:rsidR="00C62955" w:rsidRPr="004C3049" w:rsidTr="00C03535">
        <w:trPr>
          <w:trHeight w:val="415"/>
          <w:jc w:val="center"/>
        </w:trPr>
        <w:tc>
          <w:tcPr>
            <w:tcW w:w="8650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2955" w:rsidRDefault="00C62955" w:rsidP="00C0353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lastRenderedPageBreak/>
              <w:t>suppl. Table 1: Multivariate logistic regression for CR/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CRi</w:t>
            </w:r>
            <w:proofErr w:type="spellEnd"/>
          </w:p>
        </w:tc>
      </w:tr>
      <w:tr w:rsidR="00C62955" w:rsidRPr="00255F77" w:rsidTr="00C03535">
        <w:trPr>
          <w:trHeight w:val="41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03394E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de-DE"/>
              </w:rPr>
            </w:pP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CR/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CRi</w:t>
            </w:r>
            <w:proofErr w:type="spellEnd"/>
          </w:p>
        </w:tc>
      </w:tr>
      <w:tr w:rsidR="00C62955" w:rsidRPr="00255F77" w:rsidTr="00C03535">
        <w:trPr>
          <w:trHeight w:val="576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Variable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val="en-US" w:eastAsia="de-DE"/>
              </w:rPr>
              <w:t>events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Estimated </w:t>
            </w:r>
            <w:proofErr w:type="spellStart"/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Coeff</w:t>
            </w:r>
            <w:proofErr w:type="spellEnd"/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. ± 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 xml:space="preserve">Estimated </w:t>
            </w:r>
          </w:p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O</w:t>
            </w:r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R 95% CI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p-value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/>
              <w:rPr>
                <w:sz w:val="20"/>
                <w:szCs w:val="2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Treatment group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CSA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Baseline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Default="00C62955" w:rsidP="00C0353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Study group 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0.002 </w:t>
            </w: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0.26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1.00 (0.60-1.67)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.99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Study group 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650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393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0.24 </w:t>
            </w: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0.23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1.27 (0.81-1.97)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.29</w:t>
            </w:r>
          </w:p>
        </w:tc>
      </w:tr>
      <w:tr w:rsidR="00C62955" w:rsidRPr="004C3049" w:rsidTr="00C03535">
        <w:trPr>
          <w:trHeight w:val="288"/>
          <w:jc w:val="center"/>
        </w:trPr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Default="00C62955" w:rsidP="00C035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de-DE"/>
              </w:rPr>
              <w:t>Significant variables in the final model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  <w:t>Age, years / 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931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548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-0.48 </w:t>
            </w: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0.14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0.62 (0.48-0.81)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  <w:t>.0004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/>
              <w:rPr>
                <w:sz w:val="20"/>
                <w:szCs w:val="2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  <w:t>Type of disease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De novo AML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564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360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Baseline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Secondary AML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367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-0.59 </w:t>
            </w: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0.14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0.55 (0.42-0.73)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  <w:r w:rsidRPr="0003394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&lt;.0001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77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  <w:t>Cytogenetic risk group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255F77" w:rsidRDefault="00C62955" w:rsidP="00C035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</w:p>
        </w:tc>
      </w:tr>
      <w:tr w:rsidR="00C62955" w:rsidRPr="00777890" w:rsidTr="00C03535">
        <w:trPr>
          <w:trHeight w:val="290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Favorable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Baseline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/>
              <w:jc w:val="center"/>
              <w:rPr>
                <w:sz w:val="20"/>
                <w:szCs w:val="20"/>
                <w:lang w:val="en-US" w:eastAsia="de-DE"/>
              </w:rPr>
            </w:pP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Intermediate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587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341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-0.91 </w:t>
            </w: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0.24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0.40 (0.25-0.65)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  <w:r w:rsidRPr="0003394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.0002</w:t>
            </w:r>
          </w:p>
        </w:tc>
      </w:tr>
      <w:tr w:rsidR="00C62955" w:rsidRPr="00777890" w:rsidTr="00C03535">
        <w:trPr>
          <w:trHeight w:val="2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Adverse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229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-1.21 </w:t>
            </w: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0.27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255F77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0.29 (0.17-0.50)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03394E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 w:eastAsia="de-DE"/>
              </w:rPr>
            </w:pPr>
            <w:r w:rsidRPr="0003394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&lt;.0001</w:t>
            </w:r>
          </w:p>
        </w:tc>
      </w:tr>
      <w:tr w:rsidR="00C62955" w:rsidRPr="00777890" w:rsidTr="00C03535">
        <w:trPr>
          <w:trHeight w:val="70"/>
          <w:jc w:val="center"/>
        </w:trPr>
        <w:tc>
          <w:tcPr>
            <w:tcW w:w="8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4025C3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</w:pPr>
          </w:p>
        </w:tc>
      </w:tr>
      <w:tr w:rsidR="00C62955" w:rsidRPr="00777890" w:rsidTr="00C03535">
        <w:trPr>
          <w:trHeight w:val="324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2955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  <w:t>Log [(WBC in 10</w:t>
            </w:r>
            <w:r>
              <w:rPr>
                <w:rFonts w:ascii="Calibri" w:eastAsia="Times New Roman" w:hAnsi="Calibri" w:cs="Calibri"/>
                <w:b/>
                <w:color w:val="000000"/>
                <w:vertAlign w:val="superscript"/>
                <w:lang w:val="en-US" w:eastAsia="de-DE"/>
              </w:rPr>
              <w:t>9</w:t>
            </w:r>
            <w:r>
              <w:rPr>
                <w:rFonts w:ascii="Calibri" w:eastAsia="Times New Roman" w:hAnsi="Calibri" w:cs="Calibri"/>
                <w:b/>
                <w:color w:val="000000"/>
                <w:lang w:val="en-US" w:eastAsia="de-DE"/>
              </w:rPr>
              <w:t>/L) / 10]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03394E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de-DE"/>
              </w:rPr>
              <w:t>931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03394E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de-DE"/>
              </w:rPr>
              <w:t>548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03394E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-0.19 </w:t>
            </w:r>
            <w:r w:rsidRPr="00255F77">
              <w:rPr>
                <w:rFonts w:ascii="Calibri" w:eastAsia="Times New Roman" w:hAnsi="Calibri" w:cs="Calibri"/>
                <w:color w:val="000000"/>
                <w:lang w:val="en-US" w:eastAsia="de-DE"/>
              </w:rPr>
              <w:t>±</w:t>
            </w: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 xml:space="preserve"> 0.04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2955" w:rsidRPr="0003394E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val="en-US" w:eastAsia="de-DE"/>
              </w:rPr>
              <w:t>0.82 (0.75-0.89)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955" w:rsidRPr="0003394E" w:rsidRDefault="00C62955" w:rsidP="00C035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</w:pPr>
            <w:r w:rsidRPr="0003394E"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  <w:t>&lt;.0001</w:t>
            </w:r>
          </w:p>
        </w:tc>
      </w:tr>
      <w:tr w:rsidR="00C62955" w:rsidRPr="00777890" w:rsidTr="00C03535">
        <w:trPr>
          <w:trHeight w:val="324"/>
          <w:jc w:val="center"/>
        </w:trPr>
        <w:tc>
          <w:tcPr>
            <w:tcW w:w="8650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C62955" w:rsidRPr="00576AB3" w:rsidRDefault="00C62955" w:rsidP="00C03535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lang w:val="en-GB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CSA, common standard arm; CR/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CRi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, Complete or incomplete remission;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Coeff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coefficient; SD, standard deviation; OR, odds ratio; EFS, event free survival; OS, overall survival; RFS, relapse free survival. For age and WBC, the same variable transformations as identified 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Büchner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 xml:space="preserve"> et al. (2012) were chosen.  </w:t>
            </w:r>
          </w:p>
        </w:tc>
      </w:tr>
    </w:tbl>
    <w:p w:rsidR="00C62955" w:rsidRDefault="00C62955" w:rsidP="00C62955">
      <w:pPr>
        <w:tabs>
          <w:tab w:val="left" w:pos="1704"/>
        </w:tabs>
        <w:rPr>
          <w:color w:val="000000"/>
          <w:sz w:val="20"/>
          <w:szCs w:val="20"/>
          <w:lang w:val="en-US"/>
        </w:rPr>
        <w:sectPr w:rsidR="00C62955" w:rsidSect="004D16E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C62955" w:rsidRPr="00F93F24" w:rsidRDefault="00C62955" w:rsidP="00C62955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5BE081A5" wp14:editId="4EDA7B58">
            <wp:simplePos x="0" y="0"/>
            <wp:positionH relativeFrom="column">
              <wp:posOffset>-3810</wp:posOffset>
            </wp:positionH>
            <wp:positionV relativeFrom="page">
              <wp:posOffset>1359290</wp:posOffset>
            </wp:positionV>
            <wp:extent cx="8181340" cy="3084830"/>
            <wp:effectExtent l="0" t="0" r="0" b="1270"/>
            <wp:wrapSquare wrapText="bothSides"/>
            <wp:docPr id="169" name="Grafik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34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rFonts w:ascii="Arial" w:hAnsi="Arial" w:cs="Arial"/>
          <w:b/>
          <w:sz w:val="24"/>
          <w:szCs w:val="24"/>
          <w:lang w:val="en-US"/>
        </w:rPr>
        <w:t>suppl</w:t>
      </w:r>
      <w:proofErr w:type="gramEnd"/>
      <w:r>
        <w:rPr>
          <w:rFonts w:ascii="Arial" w:hAnsi="Arial" w:cs="Arial"/>
          <w:b/>
          <w:sz w:val="24"/>
          <w:szCs w:val="24"/>
          <w:lang w:val="en-US"/>
        </w:rPr>
        <w:t>. Figure 1: Design of the study including common standard arm, study group A and study group B and treatment characteristics</w:t>
      </w: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24"/>
          <w:u w:val="single"/>
          <w:lang w:val="en-US"/>
        </w:rPr>
        <w:t>Common standard ar</w:t>
      </w:r>
      <w:bookmarkStart w:id="0" w:name="_GoBack"/>
      <w:bookmarkEnd w:id="0"/>
      <w:r>
        <w:rPr>
          <w:rFonts w:ascii="Arial" w:hAnsi="Arial" w:cs="Arial"/>
          <w:b/>
          <w:bCs/>
          <w:sz w:val="16"/>
          <w:szCs w:val="24"/>
          <w:u w:val="single"/>
          <w:lang w:val="en-US"/>
        </w:rPr>
        <w:t>m (CSA):</w:t>
      </w:r>
      <w:r>
        <w:rPr>
          <w:rFonts w:ascii="Arial" w:hAnsi="Arial" w:cs="Arial"/>
          <w:bCs/>
          <w:sz w:val="16"/>
          <w:szCs w:val="24"/>
          <w:lang w:val="en-US"/>
        </w:rPr>
        <w:t xml:space="preserve"> </w:t>
      </w:r>
      <w:r>
        <w:rPr>
          <w:rFonts w:ascii="Arial" w:hAnsi="Arial" w:cs="Arial"/>
          <w:bCs/>
          <w:sz w:val="16"/>
          <w:szCs w:val="24"/>
          <w:lang w:val="en-US"/>
        </w:rPr>
        <w:tab/>
        <w:t xml:space="preserve">1-2 x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araC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100 mg/m2/d C.I. d 1-7 +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daunorubicin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dauno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) 60 mg/m2/d IV d 3-5; 2 consolidations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araC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1 g/m2/d BID IV d 1, 3 and 5 (Mayer RJ et al, NEJM 1994).</w:t>
      </w:r>
    </w:p>
    <w:p w:rsidR="00C62955" w:rsidRDefault="00C62955" w:rsidP="00C62955">
      <w:pPr>
        <w:ind w:left="2835" w:hanging="2835"/>
        <w:rPr>
          <w:rFonts w:ascii="Arial" w:hAnsi="Arial" w:cs="Arial"/>
          <w:sz w:val="16"/>
          <w:szCs w:val="24"/>
          <w:lang w:val="en-US"/>
        </w:rPr>
      </w:pPr>
      <w:r>
        <w:rPr>
          <w:rFonts w:ascii="Arial" w:hAnsi="Arial" w:cs="Arial"/>
          <w:b/>
          <w:bCs/>
          <w:sz w:val="16"/>
          <w:szCs w:val="24"/>
          <w:u w:val="single"/>
          <w:lang w:val="en-US"/>
        </w:rPr>
        <w:t>Group A:</w:t>
      </w:r>
      <w:r>
        <w:rPr>
          <w:rFonts w:ascii="Arial" w:hAnsi="Arial" w:cs="Arial"/>
          <w:b/>
          <w:bCs/>
          <w:sz w:val="16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sz w:val="16"/>
          <w:szCs w:val="24"/>
          <w:lang w:val="en-US"/>
        </w:rPr>
        <w:tab/>
      </w:r>
      <w:r>
        <w:rPr>
          <w:rFonts w:ascii="Arial" w:hAnsi="Arial" w:cs="Arial"/>
          <w:bCs/>
          <w:sz w:val="16"/>
          <w:szCs w:val="24"/>
          <w:lang w:val="en-US"/>
        </w:rPr>
        <w:t xml:space="preserve">TAD (HAM) – HAM vs. HAM (HAM) - HAM ± G-CSF. TAD were given as consolidation followed by maintenance AD-AT-AC-AT over 3 a. </w:t>
      </w:r>
    </w:p>
    <w:p w:rsidR="00C62955" w:rsidRDefault="00C62955" w:rsidP="00C62955">
      <w:pPr>
        <w:tabs>
          <w:tab w:val="left" w:pos="1701"/>
        </w:tabs>
        <w:ind w:left="2832" w:hanging="2832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24"/>
          <w:u w:val="single"/>
          <w:lang w:val="en-US"/>
        </w:rPr>
        <w:t>Group B:</w:t>
      </w:r>
      <w:r>
        <w:rPr>
          <w:rFonts w:ascii="Arial" w:hAnsi="Arial" w:cs="Arial"/>
          <w:bCs/>
          <w:sz w:val="16"/>
          <w:szCs w:val="24"/>
          <w:lang w:val="en-US"/>
        </w:rPr>
        <w:tab/>
      </w:r>
      <w:r>
        <w:rPr>
          <w:rFonts w:ascii="Arial" w:hAnsi="Arial" w:cs="Arial"/>
          <w:bCs/>
          <w:sz w:val="16"/>
          <w:szCs w:val="24"/>
          <w:lang w:val="en-US"/>
        </w:rPr>
        <w:tab/>
        <w:t xml:space="preserve">1-(2) x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araC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1</w:t>
      </w:r>
      <w:proofErr w:type="gramStart"/>
      <w:r>
        <w:rPr>
          <w:rFonts w:ascii="Arial" w:hAnsi="Arial" w:cs="Arial"/>
          <w:bCs/>
          <w:sz w:val="16"/>
          <w:szCs w:val="24"/>
          <w:lang w:val="en-US"/>
        </w:rPr>
        <w:t>  g</w:t>
      </w:r>
      <w:proofErr w:type="gramEnd"/>
      <w:r>
        <w:rPr>
          <w:rFonts w:ascii="Arial" w:hAnsi="Arial" w:cs="Arial"/>
          <w:bCs/>
          <w:sz w:val="16"/>
          <w:szCs w:val="24"/>
          <w:lang w:val="en-US"/>
        </w:rPr>
        <w:t xml:space="preserve">/m²/d BID IV d 1 + 3 + 5 + 7 and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mitoxantrone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(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mito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) 10 mg/m2/d IV  d 1 – 3; 2 x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ara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-C 500 mg/m² BID 1h IV d 1 + 3 + 5 in combination with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mito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10 mg/m2/d IV d 1 + 2 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Pegfilgrastim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6 mg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s.c.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on day 10 of induction and on d 8 of consolidation.</w:t>
      </w:r>
      <w:r>
        <w:rPr>
          <w:rFonts w:ascii="Arial" w:hAnsi="Arial" w:cs="Arial"/>
          <w:b/>
          <w:bCs/>
          <w:sz w:val="16"/>
          <w:szCs w:val="24"/>
          <w:u w:val="single"/>
          <w:lang w:val="en-US"/>
        </w:rPr>
        <w:t xml:space="preserve"> </w:t>
      </w:r>
    </w:p>
    <w:p w:rsidR="00C62955" w:rsidRDefault="00C62955" w:rsidP="00C62955">
      <w:pPr>
        <w:ind w:left="2835" w:hanging="2835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  <w:r w:rsidRPr="00972A85">
        <w:rPr>
          <w:rFonts w:ascii="Arial" w:hAnsi="Arial" w:cs="Arial"/>
          <w:b/>
          <w:bCs/>
          <w:sz w:val="16"/>
          <w:szCs w:val="24"/>
          <w:lang w:val="en-US"/>
        </w:rPr>
        <w:t xml:space="preserve">Abbreviations: </w:t>
      </w:r>
      <w:r w:rsidRPr="00972A85">
        <w:rPr>
          <w:rFonts w:ascii="Arial" w:hAnsi="Arial" w:cs="Arial"/>
          <w:b/>
          <w:bCs/>
          <w:sz w:val="16"/>
          <w:szCs w:val="24"/>
          <w:lang w:val="en-US"/>
        </w:rPr>
        <w:tab/>
      </w:r>
      <w:r>
        <w:rPr>
          <w:rFonts w:ascii="Arial" w:hAnsi="Arial" w:cs="Arial"/>
          <w:bCs/>
          <w:sz w:val="16"/>
          <w:szCs w:val="24"/>
          <w:lang w:val="en-US"/>
        </w:rPr>
        <w:t>TAD (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araC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100 mg/m2/d C.I. d1-2, BID d 3-8 +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daunorubicin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60 mg/m2/d IV d 3-5 + 6-thioguanine 100 mg/m2/d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po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BID d 3-9); HAM (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araC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1 g/m2/d IV BID d 1-3 and </w:t>
      </w:r>
      <w:proofErr w:type="spellStart"/>
      <w:r>
        <w:rPr>
          <w:rFonts w:ascii="Arial" w:hAnsi="Arial" w:cs="Arial"/>
          <w:bCs/>
          <w:sz w:val="16"/>
          <w:szCs w:val="24"/>
          <w:lang w:val="en-US"/>
        </w:rPr>
        <w:t>mitoxantrone</w:t>
      </w:r>
      <w:proofErr w:type="spellEnd"/>
      <w:r>
        <w:rPr>
          <w:rFonts w:ascii="Arial" w:hAnsi="Arial" w:cs="Arial"/>
          <w:bCs/>
          <w:sz w:val="16"/>
          <w:szCs w:val="24"/>
          <w:lang w:val="en-US"/>
        </w:rPr>
        <w:t xml:space="preserve"> 10 mg/m2/d IV d 3-5)</w:t>
      </w:r>
      <w:r>
        <w:rPr>
          <w:rFonts w:ascii="Arial" w:hAnsi="Arial" w:cs="Arial"/>
          <w:b/>
          <w:bCs/>
          <w:sz w:val="16"/>
          <w:szCs w:val="24"/>
          <w:u w:val="single"/>
          <w:lang w:val="en-US"/>
        </w:rPr>
        <w:t xml:space="preserve"> </w:t>
      </w:r>
    </w:p>
    <w:p w:rsidR="00C62955" w:rsidRPr="005C31C1" w:rsidRDefault="00C62955" w:rsidP="00C62955">
      <w:pPr>
        <w:spacing w:after="160" w:line="259" w:lineRule="auto"/>
        <w:rPr>
          <w:rFonts w:ascii="Arial" w:hAnsi="Arial" w:cs="Arial"/>
          <w:b/>
          <w:bCs/>
          <w:sz w:val="16"/>
          <w:szCs w:val="24"/>
          <w:u w:val="single"/>
          <w:lang w:val="en-US"/>
        </w:rPr>
      </w:pPr>
      <w:r>
        <w:rPr>
          <w:rFonts w:ascii="Arial" w:hAnsi="Arial" w:cs="Arial"/>
          <w:b/>
          <w:bCs/>
          <w:sz w:val="16"/>
          <w:szCs w:val="24"/>
          <w:u w:val="single"/>
          <w:lang w:val="en-US"/>
        </w:rPr>
        <w:br w:type="page"/>
      </w:r>
    </w:p>
    <w:p w:rsidR="00C62955" w:rsidRDefault="00C62955" w:rsidP="00C62955">
      <w:pPr>
        <w:tabs>
          <w:tab w:val="left" w:pos="1704"/>
        </w:tabs>
        <w:rPr>
          <w:rFonts w:ascii="Arial" w:hAnsi="Arial" w:cs="Arial"/>
          <w:noProof/>
          <w:sz w:val="24"/>
          <w:szCs w:val="24"/>
          <w:lang w:val="en-US" w:eastAsia="de-DE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BAC818" wp14:editId="4E9B147D">
                <wp:simplePos x="0" y="0"/>
                <wp:positionH relativeFrom="column">
                  <wp:posOffset>3905885</wp:posOffset>
                </wp:positionH>
                <wp:positionV relativeFrom="paragraph">
                  <wp:posOffset>5231765</wp:posOffset>
                </wp:positionV>
                <wp:extent cx="914400" cy="334107"/>
                <wp:effectExtent l="0" t="0" r="9525" b="8890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4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62955" w:rsidRDefault="00C62955" w:rsidP="00C62955">
                            <w:r>
                              <w:t>Months from 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EBAC818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margin-left:307.55pt;margin-top:411.95pt;width:1in;height:26.3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" fillcolor="white [3201]" stroked="f" strokeweight=".5pt">
                <v:textbox>
                  <w:txbxContent>
                    <w:p w:rsidR="00C62955" w:rsidRDefault="00C62955" w:rsidP="00C62955">
                      <w:r>
                        <w:t>Months from Treatment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 wp14:anchorId="2E6DDC19" wp14:editId="47A17902">
            <wp:simplePos x="0" y="0"/>
            <wp:positionH relativeFrom="column">
              <wp:posOffset>-80010</wp:posOffset>
            </wp:positionH>
            <wp:positionV relativeFrom="page">
              <wp:posOffset>1339850</wp:posOffset>
            </wp:positionV>
            <wp:extent cx="9075420" cy="5120640"/>
            <wp:effectExtent l="0" t="0" r="0" b="3810"/>
            <wp:wrapSquare wrapText="bothSides"/>
            <wp:docPr id="31" name="Grafi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42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gramStart"/>
      <w:r>
        <w:rPr>
          <w:rFonts w:ascii="Arial" w:hAnsi="Arial" w:cs="Arial"/>
          <w:sz w:val="24"/>
          <w:szCs w:val="24"/>
          <w:lang w:val="en-US"/>
        </w:rPr>
        <w:t>suppl</w:t>
      </w:r>
      <w:proofErr w:type="gramEnd"/>
      <w:r>
        <w:rPr>
          <w:rFonts w:ascii="Arial" w:hAnsi="Arial" w:cs="Arial"/>
          <w:sz w:val="24"/>
          <w:szCs w:val="24"/>
          <w:lang w:val="en-US"/>
        </w:rPr>
        <w:t>. Figure S2: EFS adjusted</w:t>
      </w:r>
      <w:r>
        <w:rPr>
          <w:rFonts w:ascii="Arial" w:hAnsi="Arial" w:cs="Arial"/>
          <w:noProof/>
          <w:sz w:val="24"/>
          <w:szCs w:val="24"/>
          <w:lang w:val="en-US" w:eastAsia="de-DE"/>
        </w:rPr>
        <w:t xml:space="preserve">  </w:t>
      </w:r>
    </w:p>
    <w:p w:rsidR="00C62955" w:rsidRDefault="00C62955" w:rsidP="00C62955">
      <w:pPr>
        <w:spacing w:after="160" w:line="259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br w:type="page"/>
      </w:r>
    </w:p>
    <w:p w:rsidR="00C62955" w:rsidRDefault="00C62955" w:rsidP="00C62955">
      <w:pPr>
        <w:tabs>
          <w:tab w:val="left" w:pos="1704"/>
        </w:tabs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lastRenderedPageBreak/>
        <w:t>suppl</w:t>
      </w:r>
      <w:proofErr w:type="gramEnd"/>
      <w:r>
        <w:rPr>
          <w:rFonts w:ascii="Arial" w:hAnsi="Arial" w:cs="Arial"/>
          <w:sz w:val="24"/>
          <w:szCs w:val="24"/>
          <w:lang w:val="en-US"/>
        </w:rPr>
        <w:t>. Figure S3: OS adjusted</w:t>
      </w:r>
    </w:p>
    <w:p w:rsidR="00C62955" w:rsidRDefault="00C62955" w:rsidP="00C62955">
      <w:pPr>
        <w:tabs>
          <w:tab w:val="left" w:pos="1704"/>
        </w:tabs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AC17F9" wp14:editId="1D20618F">
                <wp:simplePos x="0" y="0"/>
                <wp:positionH relativeFrom="column">
                  <wp:posOffset>3886200</wp:posOffset>
                </wp:positionH>
                <wp:positionV relativeFrom="paragraph">
                  <wp:posOffset>4953000</wp:posOffset>
                </wp:positionV>
                <wp:extent cx="914400" cy="334107"/>
                <wp:effectExtent l="0" t="0" r="9525" b="889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4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62955" w:rsidRDefault="00C62955" w:rsidP="00C62955">
                            <w:r>
                              <w:t xml:space="preserve">Months </w:t>
                            </w:r>
                            <w:r>
                              <w:t>from 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AC17F9" id="Textfeld 3" o:spid="_x0000_s1027" type="#_x0000_t202" style="position:absolute;margin-left:306pt;margin-top:390pt;width:1in;height:26.3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" fillcolor="white [3201]" stroked="f" strokeweight=".5pt">
                <v:textbox>
                  <w:txbxContent>
                    <w:p w:rsidR="00C62955" w:rsidRDefault="00C62955" w:rsidP="00C62955">
                      <w:r>
                        <w:t>Months from Treatment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E4B63F7" wp14:editId="2D4703B3">
            <wp:extent cx="9075420" cy="5204460"/>
            <wp:effectExtent l="0" t="0" r="0" b="0"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42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n-US"/>
        </w:rPr>
        <w:br w:type="page"/>
      </w:r>
    </w:p>
    <w:p w:rsidR="00C62955" w:rsidRDefault="00C62955" w:rsidP="00C62955">
      <w:pPr>
        <w:tabs>
          <w:tab w:val="left" w:pos="1704"/>
        </w:tabs>
        <w:rPr>
          <w:rFonts w:ascii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  <w:szCs w:val="24"/>
          <w:lang w:val="en-US"/>
        </w:rPr>
        <w:lastRenderedPageBreak/>
        <w:t>suppl</w:t>
      </w:r>
      <w:proofErr w:type="gramEnd"/>
      <w:r>
        <w:rPr>
          <w:rFonts w:ascii="Arial" w:hAnsi="Arial" w:cs="Arial"/>
          <w:sz w:val="24"/>
          <w:szCs w:val="24"/>
          <w:lang w:val="en-US"/>
        </w:rPr>
        <w:t>. Figure S4: RFS adjusted</w:t>
      </w:r>
    </w:p>
    <w:p w:rsidR="00E55C08" w:rsidRPr="00C62955" w:rsidRDefault="00C62955" w:rsidP="00C62955">
      <w:pPr>
        <w:tabs>
          <w:tab w:val="left" w:pos="1704"/>
        </w:tabs>
        <w:rPr>
          <w:color w:val="000000"/>
          <w:sz w:val="20"/>
          <w:szCs w:val="20"/>
        </w:rPr>
      </w:pP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65C55E" wp14:editId="13516ABD">
                <wp:simplePos x="0" y="0"/>
                <wp:positionH relativeFrom="column">
                  <wp:posOffset>3979333</wp:posOffset>
                </wp:positionH>
                <wp:positionV relativeFrom="paragraph">
                  <wp:posOffset>4978400</wp:posOffset>
                </wp:positionV>
                <wp:extent cx="914400" cy="334107"/>
                <wp:effectExtent l="0" t="0" r="0" b="889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4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62955" w:rsidRDefault="00C62955" w:rsidP="00C62955">
                            <w:r>
                              <w:t xml:space="preserve">Months </w:t>
                            </w:r>
                            <w:r>
                              <w:t>from CR/CRi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65C55E" id="Textfeld 4" o:spid="_x0000_s1028" type="#_x0000_t202" style="position:absolute;margin-left:313.35pt;margin-top:392pt;width:1in;height:26.3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" fillcolor="white [3201]" stroked="f" strokeweight=".5pt">
                <v:textbox>
                  <w:txbxContent>
                    <w:p w:rsidR="00C62955" w:rsidRDefault="00C62955" w:rsidP="00C62955">
                      <w:r>
                        <w:t>Months from CR/CRi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357881FE" wp14:editId="6B1FC2FD">
            <wp:extent cx="9075420" cy="520446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542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85C52" wp14:editId="564A8BBB">
                <wp:simplePos x="0" y="0"/>
                <wp:positionH relativeFrom="column">
                  <wp:posOffset>4644243</wp:posOffset>
                </wp:positionH>
                <wp:positionV relativeFrom="paragraph">
                  <wp:posOffset>2037080</wp:posOffset>
                </wp:positionV>
                <wp:extent cx="474785" cy="134815"/>
                <wp:effectExtent l="0" t="0" r="1905" b="0"/>
                <wp:wrapNone/>
                <wp:docPr id="7" name="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85" cy="134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935A90C" id="Rechteck 7" o:spid="_x0000_s1026" style="position:absolute;margin-left:365.7pt;margin-top:160.4pt;width:37.4pt;height:10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" fillcolor="white [3212]" stroked="f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DF6BE4" wp14:editId="0A3AACF9">
                <wp:simplePos x="0" y="0"/>
                <wp:positionH relativeFrom="column">
                  <wp:posOffset>3979333</wp:posOffset>
                </wp:positionH>
                <wp:positionV relativeFrom="paragraph">
                  <wp:posOffset>4978400</wp:posOffset>
                </wp:positionV>
                <wp:extent cx="914400" cy="334107"/>
                <wp:effectExtent l="0" t="0" r="0" b="8890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341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62955" w:rsidRDefault="00C62955" w:rsidP="00C62955">
                            <w:r>
                              <w:t xml:space="preserve">Months </w:t>
                            </w:r>
                            <w:r>
                              <w:t>from CR/CRi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DF6BE4" id="Textfeld 24" o:spid="_x0000_s1029" type="#_x0000_t202" style="position:absolute;margin-left:313.35pt;margin-top:392pt;width:1in;height:26.3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" fillcolor="white [3201]" stroked="f" strokeweight=".5pt">
                <v:textbox>
                  <w:txbxContent>
                    <w:p w:rsidR="00C62955" w:rsidRDefault="00C62955" w:rsidP="00C62955">
                      <w:r>
                        <w:t>Months from CR/CRi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IDX"/>
      <w:bookmarkStart w:id="2" w:name="IDX13"/>
      <w:bookmarkStart w:id="3" w:name="IDX14"/>
      <w:bookmarkStart w:id="4" w:name="IDX15"/>
      <w:bookmarkStart w:id="5" w:name="IDX34"/>
      <w:bookmarkStart w:id="6" w:name="IDX35"/>
      <w:bookmarkStart w:id="7" w:name="IDX37"/>
      <w:bookmarkStart w:id="8" w:name="IDX41"/>
      <w:bookmarkStart w:id="9" w:name="IDX42"/>
      <w:bookmarkStart w:id="10" w:name="IDX44"/>
      <w:bookmarkStart w:id="11" w:name="IDX45"/>
      <w:bookmarkStart w:id="12" w:name="IDX47"/>
      <w:bookmarkStart w:id="13" w:name="IDX48"/>
      <w:bookmarkStart w:id="14" w:name="IDX49"/>
      <w:bookmarkStart w:id="15" w:name="IDX5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>
        <w:rPr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A8734" wp14:editId="16F198F4">
                <wp:simplePos x="0" y="0"/>
                <wp:positionH relativeFrom="column">
                  <wp:posOffset>4644243</wp:posOffset>
                </wp:positionH>
                <wp:positionV relativeFrom="paragraph">
                  <wp:posOffset>2037080</wp:posOffset>
                </wp:positionV>
                <wp:extent cx="474785" cy="134815"/>
                <wp:effectExtent l="0" t="0" r="1905" b="0"/>
                <wp:wrapNone/>
                <wp:docPr id="57" name="Rechteck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785" cy="134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04DB746" id="Rechteck 57" o:spid="_x0000_s1026" style="position:absolute;margin-left:365.7pt;margin-top:160.4pt;width:37.4pt;height:1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" fillcolor="white [3212]" stroked="f" strokeweight="1pt"/>
            </w:pict>
          </mc:Fallback>
        </mc:AlternateContent>
      </w:r>
    </w:p>
    <w:sectPr w:rsidR="00E55C08" w:rsidRPr="00C62955" w:rsidSect="00C029B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1A5" w:rsidRDefault="00A951A5">
      <w:pPr>
        <w:spacing w:after="0" w:line="240" w:lineRule="auto"/>
      </w:pPr>
      <w:r>
        <w:separator/>
      </w:r>
    </w:p>
  </w:endnote>
  <w:endnote w:type="continuationSeparator" w:id="0">
    <w:p w:rsidR="00A951A5" w:rsidRDefault="00A95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6EA" w:rsidRDefault="00CC3B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015494"/>
      <w:docPartObj>
        <w:docPartGallery w:val="Page Numbers (Bottom of Page)"/>
        <w:docPartUnique/>
      </w:docPartObj>
    </w:sdtPr>
    <w:sdtEndPr/>
    <w:sdtContent>
      <w:p w:rsidR="004D16EA" w:rsidRDefault="00C6295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BC7">
          <w:rPr>
            <w:noProof/>
          </w:rPr>
          <w:t>4</w:t>
        </w:r>
        <w:r>
          <w:fldChar w:fldCharType="end"/>
        </w:r>
      </w:p>
    </w:sdtContent>
  </w:sdt>
  <w:p w:rsidR="004D16EA" w:rsidRDefault="00CC3B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6EA" w:rsidRDefault="00CC3B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1A5" w:rsidRDefault="00A951A5">
      <w:pPr>
        <w:spacing w:after="0" w:line="240" w:lineRule="auto"/>
      </w:pPr>
      <w:r>
        <w:separator/>
      </w:r>
    </w:p>
  </w:footnote>
  <w:footnote w:type="continuationSeparator" w:id="0">
    <w:p w:rsidR="00A951A5" w:rsidRDefault="00A95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6EA" w:rsidRDefault="00CC3BC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6EA" w:rsidRDefault="00CC3BC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6EA" w:rsidRDefault="00CC3BC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Niederwieser, Dietger">
    <w15:presenceInfo w15:providerId="AD" w15:userId="S-1-5-21-838274382-224547350-620655208-15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55"/>
    <w:rsid w:val="000F3D33"/>
    <w:rsid w:val="00234228"/>
    <w:rsid w:val="004C3049"/>
    <w:rsid w:val="00681CA1"/>
    <w:rsid w:val="00A951A5"/>
    <w:rsid w:val="00C62955"/>
    <w:rsid w:val="00CC3BC7"/>
    <w:rsid w:val="00E5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95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3D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D3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Zchn"/>
    <w:rsid w:val="000F3D33"/>
    <w:pPr>
      <w:spacing w:after="0"/>
    </w:pPr>
  </w:style>
  <w:style w:type="character" w:customStyle="1" w:styleId="CitaviBibliographyEntryZchn">
    <w:name w:val="Citavi Bibliography Entry Zchn"/>
    <w:basedOn w:val="DefaultParagraphFont"/>
    <w:link w:val="CitaviBibliographyEntry"/>
    <w:rsid w:val="000F3D33"/>
  </w:style>
  <w:style w:type="paragraph" w:customStyle="1" w:styleId="CitaviBibliographyHeading">
    <w:name w:val="Citavi Bibliography Heading"/>
    <w:basedOn w:val="Heading1"/>
    <w:link w:val="CitaviBibliographyHeadingZchn"/>
    <w:rsid w:val="000F3D33"/>
    <w:pPr>
      <w:spacing w:line="276" w:lineRule="auto"/>
    </w:pPr>
  </w:style>
  <w:style w:type="character" w:customStyle="1" w:styleId="CitaviBibliographyHeadingZchn">
    <w:name w:val="Citavi Bibliography Heading Zchn"/>
    <w:basedOn w:val="DefaultParagraphFont"/>
    <w:link w:val="CitaviBibliographyHeading"/>
    <w:rsid w:val="000F3D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F3D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0F3D33"/>
    <w:pPr>
      <w:spacing w:line="276" w:lineRule="auto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0F3D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D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62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955"/>
  </w:style>
  <w:style w:type="paragraph" w:styleId="Footer">
    <w:name w:val="footer"/>
    <w:basedOn w:val="Normal"/>
    <w:link w:val="FooterChar"/>
    <w:uiPriority w:val="99"/>
    <w:unhideWhenUsed/>
    <w:rsid w:val="00C62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955"/>
  </w:style>
  <w:style w:type="paragraph" w:styleId="BalloonText">
    <w:name w:val="Balloon Text"/>
    <w:basedOn w:val="Normal"/>
    <w:link w:val="BalloonTextChar"/>
    <w:uiPriority w:val="99"/>
    <w:semiHidden/>
    <w:unhideWhenUsed/>
    <w:rsid w:val="004C3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95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F3D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D33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viBibliographyEntry">
    <w:name w:val="Citavi Bibliography Entry"/>
    <w:basedOn w:val="Normal"/>
    <w:link w:val="CitaviBibliographyEntryZchn"/>
    <w:rsid w:val="000F3D33"/>
    <w:pPr>
      <w:spacing w:after="0"/>
    </w:pPr>
  </w:style>
  <w:style w:type="character" w:customStyle="1" w:styleId="CitaviBibliographyEntryZchn">
    <w:name w:val="Citavi Bibliography Entry Zchn"/>
    <w:basedOn w:val="DefaultParagraphFont"/>
    <w:link w:val="CitaviBibliographyEntry"/>
    <w:rsid w:val="000F3D33"/>
  </w:style>
  <w:style w:type="paragraph" w:customStyle="1" w:styleId="CitaviBibliographyHeading">
    <w:name w:val="Citavi Bibliography Heading"/>
    <w:basedOn w:val="Heading1"/>
    <w:link w:val="CitaviBibliographyHeadingZchn"/>
    <w:rsid w:val="000F3D33"/>
    <w:pPr>
      <w:spacing w:line="276" w:lineRule="auto"/>
    </w:pPr>
  </w:style>
  <w:style w:type="character" w:customStyle="1" w:styleId="CitaviBibliographyHeadingZchn">
    <w:name w:val="Citavi Bibliography Heading Zchn"/>
    <w:basedOn w:val="DefaultParagraphFont"/>
    <w:link w:val="CitaviBibliographyHeading"/>
    <w:rsid w:val="000F3D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0F3D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Zchn"/>
    <w:uiPriority w:val="99"/>
    <w:rsid w:val="000F3D33"/>
    <w:pPr>
      <w:spacing w:line="276" w:lineRule="auto"/>
    </w:pPr>
  </w:style>
  <w:style w:type="character" w:customStyle="1" w:styleId="CitaviChapterBibliographyHeadingZchn">
    <w:name w:val="Citavi Chapter Bibliography Heading Zchn"/>
    <w:basedOn w:val="DefaultParagraphFont"/>
    <w:link w:val="CitaviChapterBibliographyHeading"/>
    <w:uiPriority w:val="99"/>
    <w:rsid w:val="000F3D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D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62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955"/>
  </w:style>
  <w:style w:type="paragraph" w:styleId="Footer">
    <w:name w:val="footer"/>
    <w:basedOn w:val="Normal"/>
    <w:link w:val="FooterChar"/>
    <w:uiPriority w:val="99"/>
    <w:unhideWhenUsed/>
    <w:rsid w:val="00C62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955"/>
  </w:style>
  <w:style w:type="paragraph" w:styleId="BalloonText">
    <w:name w:val="Balloon Text"/>
    <w:basedOn w:val="Normal"/>
    <w:link w:val="BalloonTextChar"/>
    <w:uiPriority w:val="99"/>
    <w:semiHidden/>
    <w:unhideWhenUsed/>
    <w:rsid w:val="004C3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6D1EE-EF4D-4D8A-B3ED-B954B270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Niederwieser, Dietger</dc:creator>
  <cp:keywords/>
  <dc:description/>
  <cp:lastModifiedBy>Jay Espinosa</cp:lastModifiedBy>
  <cp:revision>3</cp:revision>
  <dcterms:created xsi:type="dcterms:W3CDTF">2023-01-19T09:48:00Z</dcterms:created>
  <dcterms:modified xsi:type="dcterms:W3CDTF">2023-01-20T12:09:00Z</dcterms:modified>
</cp:coreProperties>
</file>