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8A0AB" w14:textId="77777777" w:rsidR="00DF4BCC" w:rsidRPr="002B2CB2" w:rsidRDefault="00DF4BCC" w:rsidP="00DF4BCC">
      <w:pPr>
        <w:spacing w:line="259" w:lineRule="auto"/>
        <w:outlineLvl w:val="1"/>
        <w:rPr>
          <w:rFonts w:asciiTheme="minorHAnsi" w:hAnsiTheme="minorHAnsi" w:cstheme="minorHAnsi"/>
          <w:b/>
          <w:bCs/>
          <w:sz w:val="22"/>
        </w:rPr>
      </w:pPr>
      <w:r w:rsidRPr="002B2CB2">
        <w:rPr>
          <w:rFonts w:asciiTheme="minorHAnsi" w:hAnsiTheme="minorHAnsi" w:cstheme="minorHAnsi"/>
          <w:b/>
          <w:bCs/>
          <w:sz w:val="22"/>
        </w:rPr>
        <w:t xml:space="preserve">Supplementary Table 3. RBC Transfusion Rates from Baseline to Last Follow-Up Stratified by Clone Size at </w:t>
      </w:r>
      <w:proofErr w:type="spellStart"/>
      <w:r w:rsidRPr="002B2CB2">
        <w:rPr>
          <w:rFonts w:asciiTheme="minorHAnsi" w:hAnsiTheme="minorHAnsi" w:cstheme="minorHAnsi"/>
          <w:b/>
          <w:bCs/>
          <w:sz w:val="22"/>
        </w:rPr>
        <w:t>Baseline</w:t>
      </w:r>
      <w:r w:rsidRPr="002B2CB2">
        <w:rPr>
          <w:rFonts w:asciiTheme="minorHAnsi" w:hAnsiTheme="minorHAnsi" w:cstheme="minorHAnsi"/>
          <w:b/>
          <w:bCs/>
          <w:sz w:val="22"/>
          <w:vertAlign w:val="superscript"/>
        </w:rPr>
        <w:t>a</w:t>
      </w:r>
      <w:proofErr w:type="spellEnd"/>
    </w:p>
    <w:tbl>
      <w:tblPr>
        <w:tblStyle w:val="TableGrid1"/>
        <w:tblW w:w="435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2"/>
        <w:gridCol w:w="1424"/>
        <w:gridCol w:w="1877"/>
        <w:gridCol w:w="1877"/>
        <w:gridCol w:w="1873"/>
      </w:tblGrid>
      <w:tr w:rsidR="00DF4BCC" w:rsidRPr="002B2CB2" w14:paraId="067ED4B8" w14:textId="77777777" w:rsidTr="00125C2C">
        <w:tc>
          <w:tcPr>
            <w:tcW w:w="1875" w:type="pct"/>
            <w:tcBorders>
              <w:top w:val="single" w:sz="4" w:space="0" w:color="auto"/>
              <w:bottom w:val="single" w:sz="4" w:space="0" w:color="auto"/>
            </w:tcBorders>
          </w:tcPr>
          <w:p w14:paraId="10586AAF" w14:textId="77777777" w:rsidR="00DF4BCC" w:rsidRPr="002B2CB2" w:rsidRDefault="00DF4BCC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</w:tcPr>
          <w:p w14:paraId="2B0175A5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≤5%</w:t>
            </w:r>
          </w:p>
          <w:p w14:paraId="720B0C03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(n=1006)</w:t>
            </w:r>
          </w:p>
        </w:tc>
        <w:tc>
          <w:tcPr>
            <w:tcW w:w="832" w:type="pct"/>
            <w:tcBorders>
              <w:top w:val="single" w:sz="4" w:space="0" w:color="auto"/>
              <w:bottom w:val="single" w:sz="4" w:space="0" w:color="auto"/>
            </w:tcBorders>
          </w:tcPr>
          <w:p w14:paraId="2CD8BD76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&gt;5% to ≤10%</w:t>
            </w:r>
          </w:p>
          <w:p w14:paraId="11E920C7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(n=221)</w:t>
            </w:r>
          </w:p>
        </w:tc>
        <w:tc>
          <w:tcPr>
            <w:tcW w:w="832" w:type="pct"/>
            <w:tcBorders>
              <w:top w:val="single" w:sz="4" w:space="0" w:color="auto"/>
              <w:bottom w:val="single" w:sz="4" w:space="0" w:color="auto"/>
            </w:tcBorders>
          </w:tcPr>
          <w:p w14:paraId="379B1BA7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&gt;10% to ≤30%</w:t>
            </w:r>
          </w:p>
          <w:p w14:paraId="5480B9B2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(n=443)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14:paraId="6960CE4F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 xml:space="preserve">&gt;30% </w:t>
            </w:r>
          </w:p>
          <w:p w14:paraId="41D79513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2B2CB2">
              <w:rPr>
                <w:rFonts w:asciiTheme="minorHAnsi" w:hAnsiTheme="minorHAnsi"/>
                <w:b/>
                <w:bCs/>
                <w:sz w:val="22"/>
              </w:rPr>
              <w:t>(n=1143)</w:t>
            </w:r>
          </w:p>
        </w:tc>
      </w:tr>
      <w:tr w:rsidR="00DF4BCC" w:rsidRPr="002B2CB2" w14:paraId="0403D7E3" w14:textId="77777777" w:rsidTr="00125C2C">
        <w:tc>
          <w:tcPr>
            <w:tcW w:w="1875" w:type="pct"/>
            <w:tcBorders>
              <w:top w:val="single" w:sz="4" w:space="0" w:color="auto"/>
            </w:tcBorders>
          </w:tcPr>
          <w:p w14:paraId="4AB35004" w14:textId="77777777" w:rsidR="00DF4BCC" w:rsidRPr="002B2CB2" w:rsidRDefault="00DF4BCC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  <w:proofErr w:type="spellStart"/>
            <w:r w:rsidRPr="002B2CB2">
              <w:rPr>
                <w:rFonts w:asciiTheme="minorHAnsi" w:hAnsiTheme="minorHAnsi"/>
                <w:sz w:val="22"/>
              </w:rPr>
              <w:t>n</w:t>
            </w:r>
            <w:r w:rsidRPr="002B2CB2">
              <w:rPr>
                <w:rFonts w:asciiTheme="minorHAnsi" w:hAnsiTheme="minorHAnsi"/>
                <w:sz w:val="22"/>
                <w:vertAlign w:val="superscript"/>
              </w:rPr>
              <w:t>b</w:t>
            </w:r>
            <w:proofErr w:type="spellEnd"/>
          </w:p>
        </w:tc>
        <w:tc>
          <w:tcPr>
            <w:tcW w:w="631" w:type="pct"/>
            <w:tcBorders>
              <w:top w:val="single" w:sz="4" w:space="0" w:color="auto"/>
            </w:tcBorders>
          </w:tcPr>
          <w:p w14:paraId="5C1173A1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992</w:t>
            </w:r>
          </w:p>
        </w:tc>
        <w:tc>
          <w:tcPr>
            <w:tcW w:w="832" w:type="pct"/>
            <w:tcBorders>
              <w:top w:val="single" w:sz="4" w:space="0" w:color="auto"/>
            </w:tcBorders>
          </w:tcPr>
          <w:p w14:paraId="248DE0F3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219</w:t>
            </w:r>
          </w:p>
        </w:tc>
        <w:tc>
          <w:tcPr>
            <w:tcW w:w="832" w:type="pct"/>
            <w:tcBorders>
              <w:top w:val="single" w:sz="4" w:space="0" w:color="auto"/>
            </w:tcBorders>
          </w:tcPr>
          <w:p w14:paraId="71FB8E9C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434</w:t>
            </w:r>
          </w:p>
        </w:tc>
        <w:tc>
          <w:tcPr>
            <w:tcW w:w="831" w:type="pct"/>
            <w:tcBorders>
              <w:top w:val="single" w:sz="4" w:space="0" w:color="auto"/>
            </w:tcBorders>
          </w:tcPr>
          <w:p w14:paraId="5A9AE9AF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1121</w:t>
            </w:r>
          </w:p>
        </w:tc>
      </w:tr>
      <w:tr w:rsidR="00DF4BCC" w:rsidRPr="002B2CB2" w14:paraId="4B236B9E" w14:textId="77777777" w:rsidTr="00125C2C">
        <w:tc>
          <w:tcPr>
            <w:tcW w:w="1875" w:type="pct"/>
          </w:tcPr>
          <w:p w14:paraId="227DD5DD" w14:textId="77777777" w:rsidR="00DF4BCC" w:rsidRPr="002B2CB2" w:rsidRDefault="00DF4BCC" w:rsidP="00125C2C">
            <w:pPr>
              <w:spacing w:line="240" w:lineRule="auto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RBC transfusions</w:t>
            </w:r>
          </w:p>
        </w:tc>
        <w:tc>
          <w:tcPr>
            <w:tcW w:w="631" w:type="pct"/>
          </w:tcPr>
          <w:p w14:paraId="5082542E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32" w:type="pct"/>
          </w:tcPr>
          <w:p w14:paraId="32E43AD5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32" w:type="pct"/>
          </w:tcPr>
          <w:p w14:paraId="78B1DA36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831" w:type="pct"/>
          </w:tcPr>
          <w:p w14:paraId="5A0D4BD7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DF4BCC" w:rsidRPr="002B2CB2" w14:paraId="429FC6DE" w14:textId="77777777" w:rsidTr="00125C2C">
        <w:tc>
          <w:tcPr>
            <w:tcW w:w="1875" w:type="pct"/>
          </w:tcPr>
          <w:p w14:paraId="28E4778C" w14:textId="77777777" w:rsidR="00DF4BCC" w:rsidRPr="002B2CB2" w:rsidRDefault="00DF4BCC" w:rsidP="00125C2C">
            <w:pPr>
              <w:spacing w:line="240" w:lineRule="auto"/>
              <w:ind w:left="16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No, n (%)</w:t>
            </w:r>
          </w:p>
        </w:tc>
        <w:tc>
          <w:tcPr>
            <w:tcW w:w="631" w:type="pct"/>
          </w:tcPr>
          <w:p w14:paraId="5FCB05F5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511 (51.5)</w:t>
            </w:r>
          </w:p>
        </w:tc>
        <w:tc>
          <w:tcPr>
            <w:tcW w:w="832" w:type="pct"/>
          </w:tcPr>
          <w:p w14:paraId="0AB06884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135 (61.6)</w:t>
            </w:r>
          </w:p>
        </w:tc>
        <w:tc>
          <w:tcPr>
            <w:tcW w:w="832" w:type="pct"/>
          </w:tcPr>
          <w:p w14:paraId="2CA641A2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259 (59.7)</w:t>
            </w:r>
          </w:p>
        </w:tc>
        <w:tc>
          <w:tcPr>
            <w:tcW w:w="831" w:type="pct"/>
          </w:tcPr>
          <w:p w14:paraId="0130A7BE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545 (48.6)</w:t>
            </w:r>
          </w:p>
        </w:tc>
      </w:tr>
      <w:tr w:rsidR="00DF4BCC" w:rsidRPr="002B2CB2" w14:paraId="3C2928EA" w14:textId="77777777" w:rsidTr="00125C2C">
        <w:tc>
          <w:tcPr>
            <w:tcW w:w="1875" w:type="pct"/>
          </w:tcPr>
          <w:p w14:paraId="069CF7E3" w14:textId="77777777" w:rsidR="00DF4BCC" w:rsidRPr="002B2CB2" w:rsidRDefault="00DF4BCC" w:rsidP="00125C2C">
            <w:pPr>
              <w:spacing w:line="240" w:lineRule="auto"/>
              <w:ind w:left="16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Yes, n (%)</w:t>
            </w:r>
          </w:p>
        </w:tc>
        <w:tc>
          <w:tcPr>
            <w:tcW w:w="631" w:type="pct"/>
          </w:tcPr>
          <w:p w14:paraId="4EDE781C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481 (48.5)</w:t>
            </w:r>
          </w:p>
        </w:tc>
        <w:tc>
          <w:tcPr>
            <w:tcW w:w="832" w:type="pct"/>
          </w:tcPr>
          <w:p w14:paraId="47B2B04D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84 (38.4)</w:t>
            </w:r>
          </w:p>
        </w:tc>
        <w:tc>
          <w:tcPr>
            <w:tcW w:w="832" w:type="pct"/>
          </w:tcPr>
          <w:p w14:paraId="2D22438E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175 (40.3)</w:t>
            </w:r>
          </w:p>
        </w:tc>
        <w:tc>
          <w:tcPr>
            <w:tcW w:w="831" w:type="pct"/>
          </w:tcPr>
          <w:p w14:paraId="1686604D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576 (51.4)</w:t>
            </w:r>
          </w:p>
        </w:tc>
      </w:tr>
      <w:tr w:rsidR="00DF4BCC" w:rsidRPr="002B2CB2" w14:paraId="73EA302E" w14:textId="77777777" w:rsidTr="00125C2C">
        <w:tc>
          <w:tcPr>
            <w:tcW w:w="1875" w:type="pct"/>
          </w:tcPr>
          <w:p w14:paraId="121362AA" w14:textId="77777777" w:rsidR="00DF4BCC" w:rsidRPr="002B2CB2" w:rsidRDefault="00DF4BCC" w:rsidP="00125C2C">
            <w:pPr>
              <w:spacing w:after="120" w:line="240" w:lineRule="auto"/>
              <w:ind w:left="432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RBC units transfused,</w:t>
            </w:r>
            <w:r w:rsidRPr="002B2CB2">
              <w:rPr>
                <w:rFonts w:asciiTheme="minorHAnsi" w:hAnsiTheme="minorHAnsi"/>
                <w:sz w:val="22"/>
                <w:vertAlign w:val="superscript"/>
              </w:rPr>
              <w:t>‡</w:t>
            </w:r>
            <w:r w:rsidRPr="002B2CB2">
              <w:rPr>
                <w:rFonts w:asciiTheme="minorHAnsi" w:hAnsiTheme="minorHAnsi"/>
                <w:sz w:val="22"/>
              </w:rPr>
              <w:t xml:space="preserve"> mean ± SD</w:t>
            </w:r>
          </w:p>
        </w:tc>
        <w:tc>
          <w:tcPr>
            <w:tcW w:w="631" w:type="pct"/>
          </w:tcPr>
          <w:p w14:paraId="0CBCDC71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21.9±37.3</w:t>
            </w:r>
          </w:p>
        </w:tc>
        <w:tc>
          <w:tcPr>
            <w:tcW w:w="832" w:type="pct"/>
          </w:tcPr>
          <w:p w14:paraId="446195DF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14.7±17.9</w:t>
            </w:r>
          </w:p>
        </w:tc>
        <w:tc>
          <w:tcPr>
            <w:tcW w:w="832" w:type="pct"/>
          </w:tcPr>
          <w:p w14:paraId="6EBF560A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19.4±29.4</w:t>
            </w:r>
          </w:p>
        </w:tc>
        <w:tc>
          <w:tcPr>
            <w:tcW w:w="831" w:type="pct"/>
          </w:tcPr>
          <w:p w14:paraId="3D54A928" w14:textId="77777777" w:rsidR="00DF4BCC" w:rsidRPr="002B2CB2" w:rsidRDefault="00DF4BCC" w:rsidP="00125C2C">
            <w:pPr>
              <w:spacing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20.2±28.5</w:t>
            </w:r>
          </w:p>
        </w:tc>
      </w:tr>
      <w:tr w:rsidR="00DF4BCC" w:rsidRPr="002B2CB2" w14:paraId="58351A47" w14:textId="77777777" w:rsidTr="00125C2C">
        <w:tc>
          <w:tcPr>
            <w:tcW w:w="1875" w:type="pct"/>
            <w:tcBorders>
              <w:bottom w:val="single" w:sz="4" w:space="0" w:color="auto"/>
            </w:tcBorders>
          </w:tcPr>
          <w:p w14:paraId="7A474DF1" w14:textId="77777777" w:rsidR="00DF4BCC" w:rsidRPr="002B2CB2" w:rsidRDefault="00DF4BCC" w:rsidP="00125C2C">
            <w:pPr>
              <w:spacing w:after="120" w:line="240" w:lineRule="auto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Estimated rate of RBC transfusions (95% CI)</w:t>
            </w:r>
          </w:p>
        </w:tc>
        <w:tc>
          <w:tcPr>
            <w:tcW w:w="631" w:type="pct"/>
            <w:tcBorders>
              <w:bottom w:val="single" w:sz="4" w:space="0" w:color="auto"/>
            </w:tcBorders>
          </w:tcPr>
          <w:p w14:paraId="1C8612DC" w14:textId="77777777" w:rsidR="00DF4BCC" w:rsidRPr="002B2CB2" w:rsidRDefault="00DF4BCC" w:rsidP="00125C2C">
            <w:pPr>
              <w:spacing w:after="120"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1.8 (1.7–1.8)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14:paraId="5E8E4295" w14:textId="77777777" w:rsidR="00DF4BCC" w:rsidRPr="002B2CB2" w:rsidRDefault="00DF4BCC" w:rsidP="00125C2C">
            <w:pPr>
              <w:spacing w:after="120"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0.8 (0.7–0.8)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14:paraId="129D44F8" w14:textId="77777777" w:rsidR="00DF4BCC" w:rsidRPr="002B2CB2" w:rsidRDefault="00DF4BCC" w:rsidP="00125C2C">
            <w:pPr>
              <w:spacing w:after="120"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1.0 (1.0–1.0)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14:paraId="366B94B8" w14:textId="77777777" w:rsidR="00DF4BCC" w:rsidRPr="002B2CB2" w:rsidRDefault="00DF4BCC" w:rsidP="00125C2C">
            <w:pPr>
              <w:spacing w:after="120" w:line="240" w:lineRule="auto"/>
              <w:jc w:val="center"/>
              <w:rPr>
                <w:rFonts w:asciiTheme="minorHAnsi" w:hAnsiTheme="minorHAnsi"/>
                <w:sz w:val="22"/>
              </w:rPr>
            </w:pPr>
            <w:r w:rsidRPr="002B2CB2">
              <w:rPr>
                <w:rFonts w:asciiTheme="minorHAnsi" w:hAnsiTheme="minorHAnsi"/>
                <w:sz w:val="22"/>
              </w:rPr>
              <w:t>1.1 (1.0–1.1)</w:t>
            </w:r>
          </w:p>
        </w:tc>
      </w:tr>
    </w:tbl>
    <w:p w14:paraId="083E01EB" w14:textId="77777777" w:rsidR="00DF4BCC" w:rsidRPr="002B2CB2" w:rsidRDefault="00DF4BCC" w:rsidP="00DF4BCC">
      <w:pPr>
        <w:spacing w:line="259" w:lineRule="auto"/>
        <w:rPr>
          <w:rFonts w:asciiTheme="minorHAnsi" w:eastAsia="Calibri" w:hAnsiTheme="minorHAnsi" w:cstheme="minorHAnsi"/>
          <w:bCs/>
          <w:sz w:val="22"/>
        </w:rPr>
      </w:pPr>
      <w:r w:rsidRPr="002B2CB2">
        <w:rPr>
          <w:rFonts w:asciiTheme="minorHAnsi" w:eastAsia="Calibri" w:hAnsiTheme="minorHAnsi" w:cstheme="minorHAnsi"/>
          <w:bCs/>
          <w:sz w:val="22"/>
        </w:rPr>
        <w:t>GPI,</w:t>
      </w:r>
      <w:r w:rsidRPr="002B2CB2">
        <w:t xml:space="preserve"> </w:t>
      </w:r>
      <w:r w:rsidRPr="002B2CB2">
        <w:rPr>
          <w:rFonts w:asciiTheme="minorHAnsi" w:eastAsia="Calibri" w:hAnsiTheme="minorHAnsi" w:cstheme="minorHAnsi"/>
          <w:bCs/>
          <w:sz w:val="22"/>
        </w:rPr>
        <w:t>glycophosphatidylinositol;</w:t>
      </w:r>
      <w:r w:rsidRPr="002B2CB2">
        <w:rPr>
          <w:rFonts w:asciiTheme="minorHAnsi" w:hAnsiTheme="minorHAnsi" w:cstheme="minorHAnsi"/>
          <w:sz w:val="22"/>
        </w:rPr>
        <w:t xml:space="preserve"> PNH, paroxysmal nocturnal hemoglobinuria; </w:t>
      </w:r>
      <w:r w:rsidRPr="002B2CB2">
        <w:rPr>
          <w:rFonts w:asciiTheme="minorHAnsi" w:eastAsia="Calibri" w:hAnsiTheme="minorHAnsi" w:cstheme="minorHAnsi"/>
          <w:bCs/>
          <w:sz w:val="22"/>
        </w:rPr>
        <w:t>RBC, red blood cell.</w:t>
      </w:r>
    </w:p>
    <w:p w14:paraId="4DDC4BF8" w14:textId="77777777" w:rsidR="00DF4BCC" w:rsidRPr="002B2CB2" w:rsidRDefault="00DF4BCC" w:rsidP="00DF4BCC">
      <w:pPr>
        <w:spacing w:line="259" w:lineRule="auto"/>
        <w:rPr>
          <w:rFonts w:asciiTheme="minorHAnsi" w:hAnsiTheme="minorHAnsi" w:cstheme="minorHAnsi"/>
          <w:sz w:val="22"/>
        </w:rPr>
      </w:pPr>
      <w:proofErr w:type="spellStart"/>
      <w:r w:rsidRPr="002B2CB2">
        <w:rPr>
          <w:rFonts w:asciiTheme="minorHAnsi" w:eastAsia="Calibri" w:hAnsiTheme="minorHAnsi" w:cstheme="minorHAnsi"/>
          <w:bCs/>
          <w:sz w:val="22"/>
          <w:vertAlign w:val="superscript"/>
        </w:rPr>
        <w:t>a</w:t>
      </w:r>
      <w:r w:rsidRPr="002B2CB2">
        <w:rPr>
          <w:rFonts w:asciiTheme="minorHAnsi" w:hAnsiTheme="minorHAnsi" w:cstheme="minorHAnsi"/>
          <w:sz w:val="22"/>
        </w:rPr>
        <w:t>Baseline</w:t>
      </w:r>
      <w:proofErr w:type="spellEnd"/>
      <w:r w:rsidRPr="002B2CB2">
        <w:rPr>
          <w:rFonts w:asciiTheme="minorHAnsi" w:hAnsiTheme="minorHAnsi" w:cstheme="minorHAnsi"/>
          <w:sz w:val="22"/>
        </w:rPr>
        <w:t xml:space="preserve"> was defined as PNH onset (ie, disease start date) </w:t>
      </w:r>
      <w:r w:rsidRPr="002B2CB2">
        <w:rPr>
          <w:rFonts w:asciiTheme="minorHAnsi" w:eastAsia="Calibri" w:hAnsiTheme="minorHAnsi" w:cstheme="minorHAnsi"/>
          <w:bCs/>
          <w:sz w:val="22"/>
        </w:rPr>
        <w:t>at the earliest reported GPI-deficient clone, date of PNH diagnosis, or PNH symptom</w:t>
      </w:r>
      <w:r w:rsidRPr="002B2CB2">
        <w:rPr>
          <w:rFonts w:asciiTheme="minorHAnsi" w:hAnsiTheme="minorHAnsi" w:cstheme="minorHAnsi"/>
          <w:sz w:val="22"/>
        </w:rPr>
        <w:t>.</w:t>
      </w:r>
    </w:p>
    <w:p w14:paraId="175B3A65" w14:textId="77777777" w:rsidR="00DF4BCC" w:rsidRPr="002B2CB2" w:rsidRDefault="00DF4BCC" w:rsidP="00DF4BCC">
      <w:pPr>
        <w:spacing w:line="259" w:lineRule="auto"/>
        <w:rPr>
          <w:rFonts w:asciiTheme="minorHAnsi" w:eastAsia="Calibri" w:hAnsiTheme="minorHAnsi" w:cstheme="minorHAnsi"/>
          <w:bCs/>
          <w:sz w:val="22"/>
        </w:rPr>
      </w:pPr>
      <w:r w:rsidRPr="002B2CB2">
        <w:rPr>
          <w:rFonts w:asciiTheme="minorHAnsi" w:hAnsiTheme="minorHAnsi" w:cstheme="minorHAnsi"/>
          <w:sz w:val="22"/>
          <w:vertAlign w:val="superscript"/>
        </w:rPr>
        <w:t>b</w:t>
      </w:r>
      <w:r w:rsidRPr="002B2CB2">
        <w:rPr>
          <w:rFonts w:asciiTheme="minorHAnsi" w:eastAsia="Calibri" w:hAnsiTheme="minorHAnsi" w:cstheme="minorHAnsi"/>
          <w:bCs/>
          <w:sz w:val="22"/>
        </w:rPr>
        <w:t>n indicates total number of patients at risk.</w:t>
      </w:r>
    </w:p>
    <w:p w14:paraId="536D314D" w14:textId="77777777" w:rsidR="00A23D24" w:rsidRDefault="00A23D24"/>
    <w:sectPr w:rsidR="00A23D24" w:rsidSect="00DF4BC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CC"/>
    <w:rsid w:val="00A23D24"/>
    <w:rsid w:val="00DF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F0AD5"/>
  <w15:chartTrackingRefBased/>
  <w15:docId w15:val="{F9B98F12-1367-4F7C-9C6A-96F0CAFA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BCC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DF4BCC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F4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24D9AA838BF843AFE48A49F7D96E44" ma:contentTypeVersion="4" ma:contentTypeDescription="Create a new document." ma:contentTypeScope="" ma:versionID="e4d3d85f1526f7c6857b173c31ffb020">
  <xsd:schema xmlns:xsd="http://www.w3.org/2001/XMLSchema" xmlns:xs="http://www.w3.org/2001/XMLSchema" xmlns:p="http://schemas.microsoft.com/office/2006/metadata/properties" xmlns:ns2="a593dd95-a947-47d2-ae90-133b3ce32b4f" targetNamespace="http://schemas.microsoft.com/office/2006/metadata/properties" ma:root="true" ma:fieldsID="d60486c9745655b4db850e650ae2aaf3" ns2:_="">
    <xsd:import namespace="a593dd95-a947-47d2-ae90-133b3ce32b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3dd95-a947-47d2-ae90-133b3ce32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7AB3C5-32B7-4BC1-80BA-C67D07C80E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93dd95-a947-47d2-ae90-133b3ce32b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148979-B3EA-4441-9C30-65DF710429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1051A4-FF13-49DD-A5CA-8B8A0C4D63C3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a593dd95-a947-47d2-ae90-133b3ce32b4f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Fetting</dc:creator>
  <cp:keywords/>
  <dc:description/>
  <cp:lastModifiedBy>Jennifer Fetting</cp:lastModifiedBy>
  <cp:revision>1</cp:revision>
  <dcterms:created xsi:type="dcterms:W3CDTF">2022-12-19T21:30:00Z</dcterms:created>
  <dcterms:modified xsi:type="dcterms:W3CDTF">2022-12-19T21:31:00Z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0x0101009C24D9AA838BF843AFE48A49F7D96E44</vt:lpwstr>
  </property>
</Properties>
</file>