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360" w:lineRule="auto"/>
        <w:rPr>
          <w:rFonts w:hint="eastAsia" w:ascii="Arial" w:hAnsi="Arial" w:cs="Arial"/>
          <w:b/>
          <w:bCs/>
          <w:sz w:val="20"/>
          <w:szCs w:val="20"/>
          <w:lang w:bidi="ar"/>
        </w:rPr>
      </w:pPr>
      <w:bookmarkStart w:id="2" w:name="_GoBack"/>
      <w:bookmarkEnd w:id="2"/>
      <w:bookmarkStart w:id="0" w:name="_Hlk81607681"/>
      <w:r>
        <w:rPr>
          <w:rFonts w:ascii="Arial" w:hAnsi="Arial" w:cs="Arial"/>
          <w:b/>
          <w:bCs/>
          <w:sz w:val="20"/>
          <w:szCs w:val="20"/>
          <w:lang w:bidi="ar"/>
        </w:rPr>
        <w:t>Supplementary material</w:t>
      </w:r>
    </w:p>
    <w:p>
      <w:pPr>
        <w:spacing w:before="120" w:after="120" w:line="360" w:lineRule="auto"/>
        <w:jc w:val="left"/>
        <w:rPr>
          <w:rFonts w:ascii="Arial" w:hAnsi="Arial" w:cs="Arial"/>
          <w:sz w:val="20"/>
          <w:szCs w:val="20"/>
          <w:lang w:bidi="ar"/>
        </w:rPr>
      </w:pPr>
      <w:r>
        <w:rPr>
          <w:rFonts w:ascii="Arial" w:hAnsi="Arial" w:cs="Arial"/>
          <w:sz w:val="20"/>
          <w:szCs w:val="20"/>
          <w:lang w:bidi="ar"/>
        </w:rPr>
        <w:t>Table S1. The</w:t>
      </w:r>
      <w:r>
        <w:rPr>
          <w:rFonts w:ascii="Arial" w:hAnsi="Arial" w:cs="Arial"/>
          <w:sz w:val="20"/>
          <w:szCs w:val="20"/>
        </w:rPr>
        <w:t xml:space="preserve"> coagulation disorders</w:t>
      </w:r>
      <w:r>
        <w:rPr>
          <w:rFonts w:ascii="Arial" w:hAnsi="Arial" w:cs="Arial"/>
          <w:sz w:val="20"/>
          <w:szCs w:val="20"/>
          <w:lang w:bidi="ar"/>
        </w:rPr>
        <w:t xml:space="preserve"> between the LAHS and non-LAHS groups.</w:t>
      </w:r>
    </w:p>
    <w:tbl>
      <w:tblPr>
        <w:tblStyle w:val="7"/>
        <w:tblW w:w="8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360"/>
        <w:gridCol w:w="2390"/>
        <w:gridCol w:w="1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Parameter</w:t>
            </w:r>
          </w:p>
        </w:tc>
        <w:tc>
          <w:tcPr>
            <w:tcW w:w="23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LAHS group</w:t>
            </w:r>
          </w:p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(n = 68)</w:t>
            </w:r>
          </w:p>
        </w:tc>
        <w:tc>
          <w:tcPr>
            <w:tcW w:w="239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Non-LAHS group</w:t>
            </w:r>
          </w:p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(n = 73)</w:t>
            </w:r>
          </w:p>
        </w:tc>
        <w:tc>
          <w:tcPr>
            <w:tcW w:w="10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-value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 [s,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14.10 (9.70-25.70)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13.10 (9.70-26.00)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PTA [%,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68.00 (32.30-119.50)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74.25 (23.40-163.70)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INR [M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1.22 (0.90-1.82)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1.17 (0.81-2.31)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APTT [s,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43.90 (20.10-116.30)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40.00 (23.70-117.10)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FIB [g/L,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1.45(0.49-8.35)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1.90 (0.50-7.13)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TT [s,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19.40 (13.10-37.00)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19.75 (13.40-62.20)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D-Dimer (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mg/L)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5.50 (0.73-203.68)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6.10 (0.05-131.50)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0.755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Hemorrhagic events (cases, Y/N)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31/37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29/44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ISTH score ≥ 5 (cases, Y/N)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44/24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32/41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ISTH score [M (range) ]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5 (1-8)</w:t>
            </w:r>
          </w:p>
        </w:tc>
        <w:tc>
          <w:tcPr>
            <w:tcW w:w="23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4 (0-8)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0.027</w:t>
            </w:r>
          </w:p>
        </w:tc>
      </w:tr>
    </w:tbl>
    <w:p>
      <w:pPr>
        <w:spacing w:before="120" w:after="120" w:line="360" w:lineRule="auto"/>
        <w:rPr>
          <w:rFonts w:ascii="Arial" w:hAnsi="Arial" w:cs="Arial"/>
          <w:sz w:val="18"/>
          <w:szCs w:val="18"/>
          <w:lang w:bidi="ar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  <w:lang w:bidi="ar"/>
        </w:rPr>
        <w:t xml:space="preserve">LAHS: </w:t>
      </w:r>
      <w:r>
        <w:rPr>
          <w:rFonts w:ascii="Arial" w:hAnsi="Arial" w:cs="Arial"/>
          <w:sz w:val="18"/>
          <w:szCs w:val="18"/>
          <w:lang w:bidi="ar"/>
        </w:rPr>
        <w:t>l</w:t>
      </w:r>
      <w:r>
        <w:rPr>
          <w:rFonts w:ascii="Arial" w:hAnsi="Arial" w:cs="Arial"/>
          <w:bCs/>
          <w:iCs/>
          <w:sz w:val="18"/>
          <w:szCs w:val="18"/>
        </w:rPr>
        <w:t>ymphoma-associated hemophagocytic syndrome</w:t>
      </w:r>
      <w:r>
        <w:rPr>
          <w:rFonts w:ascii="Arial" w:hAnsi="Arial" w:cs="Arial"/>
          <w:sz w:val="18"/>
          <w:szCs w:val="18"/>
          <w:lang w:bidi="ar"/>
        </w:rPr>
        <w:t xml:space="preserve">. PT: 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prothrombin time. </w:t>
      </w:r>
      <w:r>
        <w:rPr>
          <w:rFonts w:ascii="Arial" w:hAnsi="Arial" w:cs="Arial"/>
          <w:sz w:val="18"/>
          <w:szCs w:val="18"/>
          <w:lang w:bidi="ar"/>
        </w:rPr>
        <w:t>PTA: prothrombin activity. INR: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international normalized ratio</w:t>
      </w:r>
      <w:r>
        <w:rPr>
          <w:rFonts w:ascii="Arial" w:hAnsi="Arial" w:cs="Arial"/>
          <w:sz w:val="18"/>
          <w:szCs w:val="18"/>
          <w:lang w:bidi="ar"/>
        </w:rPr>
        <w:t xml:space="preserve">. KPTT: 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kaolin partial thromboplastin time. </w:t>
      </w:r>
      <w:r>
        <w:rPr>
          <w:rFonts w:ascii="Arial" w:hAnsi="Arial" w:cs="Arial"/>
          <w:sz w:val="18"/>
          <w:szCs w:val="18"/>
          <w:shd w:val="clear" w:color="auto" w:fill="FFFFFF"/>
          <w:lang w:bidi="ar"/>
        </w:rPr>
        <w:t>FIB: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  <w:lang w:bidi="ar"/>
        </w:rPr>
        <w:t xml:space="preserve"> fibrinogen.</w:t>
      </w:r>
      <w:r>
        <w:rPr>
          <w:rFonts w:ascii="Arial" w:hAnsi="Arial" w:cs="Arial"/>
          <w:sz w:val="18"/>
          <w:szCs w:val="18"/>
          <w:shd w:val="clear" w:color="auto" w:fill="FFFFFF"/>
          <w:lang w:bidi="ar"/>
        </w:rPr>
        <w:t xml:space="preserve"> TT: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Thrombin time. </w:t>
      </w:r>
      <w:r>
        <w:rPr>
          <w:rFonts w:ascii="Arial" w:hAnsi="Arial" w:cs="Arial"/>
          <w:color w:val="212121"/>
          <w:sz w:val="18"/>
          <w:szCs w:val="18"/>
          <w:shd w:val="clear" w:color="auto" w:fill="FFFFFF"/>
        </w:rPr>
        <w:t>ISTH: International Society on Thrombosis and Haemostasis.</w:t>
      </w:r>
    </w:p>
    <w:p>
      <w:pPr>
        <w:spacing w:before="120" w:after="120" w:line="360" w:lineRule="auto"/>
        <w:jc w:val="left"/>
        <w:rPr>
          <w:rFonts w:ascii="Times New Roman" w:hAnsi="Times New Roman" w:cs="宋体"/>
          <w:szCs w:val="21"/>
          <w:lang w:bidi="ar"/>
        </w:rPr>
      </w:pPr>
    </w:p>
    <w:p>
      <w:pPr>
        <w:spacing w:before="120" w:after="120" w:line="360" w:lineRule="auto"/>
        <w:jc w:val="left"/>
        <w:rPr>
          <w:rFonts w:ascii="Times New Roman" w:hAnsi="Times New Roman" w:cs="宋体"/>
          <w:szCs w:val="21"/>
          <w:lang w:bidi="ar"/>
        </w:rPr>
      </w:pPr>
    </w:p>
    <w:p>
      <w:pPr>
        <w:spacing w:before="120" w:after="120" w:line="360" w:lineRule="auto"/>
        <w:jc w:val="left"/>
        <w:rPr>
          <w:rFonts w:ascii="Arial" w:hAnsi="Arial" w:cs="Arial"/>
          <w:sz w:val="20"/>
          <w:szCs w:val="20"/>
          <w:lang w:bidi="ar"/>
        </w:rPr>
      </w:pPr>
      <w:r>
        <w:rPr>
          <w:rFonts w:ascii="Arial" w:hAnsi="Arial" w:cs="Arial"/>
          <w:sz w:val="20"/>
          <w:szCs w:val="20"/>
          <w:lang w:bidi="ar"/>
        </w:rPr>
        <w:t>Table S2. The</w:t>
      </w:r>
      <w:r>
        <w:rPr>
          <w:rFonts w:ascii="Arial" w:hAnsi="Arial" w:cs="Arial"/>
          <w:sz w:val="20"/>
          <w:szCs w:val="20"/>
        </w:rPr>
        <w:t xml:space="preserve"> coagulation disorders</w:t>
      </w:r>
      <w:r>
        <w:rPr>
          <w:rFonts w:ascii="Arial" w:hAnsi="Arial" w:cs="Arial"/>
          <w:sz w:val="20"/>
          <w:szCs w:val="20"/>
          <w:lang w:bidi="ar"/>
        </w:rPr>
        <w:t xml:space="preserve"> between the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bidi="ar"/>
        </w:rPr>
        <w:t xml:space="preserve">EBV positive </w:t>
      </w:r>
      <w:r>
        <w:rPr>
          <w:rFonts w:ascii="Arial" w:hAnsi="Arial" w:cs="Arial"/>
          <w:sz w:val="20"/>
          <w:szCs w:val="20"/>
          <w:lang w:bidi="ar"/>
        </w:rPr>
        <w:t xml:space="preserve">and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bidi="ar"/>
        </w:rPr>
        <w:t xml:space="preserve">EBV negative </w:t>
      </w:r>
      <w:r>
        <w:rPr>
          <w:rFonts w:ascii="Arial" w:hAnsi="Arial" w:cs="Arial"/>
          <w:sz w:val="20"/>
          <w:szCs w:val="20"/>
          <w:lang w:bidi="ar"/>
        </w:rPr>
        <w:t>groups.</w:t>
      </w:r>
    </w:p>
    <w:tbl>
      <w:tblPr>
        <w:tblStyle w:val="7"/>
        <w:tblW w:w="8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360"/>
        <w:gridCol w:w="2390"/>
        <w:gridCol w:w="1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Parameter</w:t>
            </w:r>
          </w:p>
        </w:tc>
        <w:tc>
          <w:tcPr>
            <w:tcW w:w="23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EBV positive group</w:t>
            </w:r>
          </w:p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(n = 76)</w:t>
            </w:r>
          </w:p>
        </w:tc>
        <w:tc>
          <w:tcPr>
            <w:tcW w:w="239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EBV negative group</w:t>
            </w:r>
          </w:p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(n = 59)</w:t>
            </w:r>
          </w:p>
        </w:tc>
        <w:tc>
          <w:tcPr>
            <w:tcW w:w="10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-value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 [s,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13.65 (9.70-26.00)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13.40 (10.00-24.20)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PTA [%,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71.50 (23.4-163.70)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71.90 (32.20-142.90)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INR [M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1.18 (0.81-2.31)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1.19 (0.86-2.22)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0.960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APTT [s,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44.95 (21.70-117.10)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37.20 (20.10-116.30)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FIB [g/L,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1.48(0.49-8.35)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2.33 (0.60-7.13)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TT [s, M (range) ]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19.90 (13.10-62.20)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17.80 (13.40-37.30)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D-Dimer (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mg/L)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5.72 (0.05-71.01)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6.02(0.19-203.68)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Hemorrhagic events (cases, Y/N)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31/45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24/35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ISTH score ≥ 5 (cases, Y/N) 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45/31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27/32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5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ISTH score [M (range) ]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5 (0-8)</w:t>
            </w:r>
          </w:p>
        </w:tc>
        <w:tc>
          <w:tcPr>
            <w:tcW w:w="23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4 (0-8)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0.059</w:t>
            </w:r>
          </w:p>
        </w:tc>
      </w:tr>
    </w:tbl>
    <w:p>
      <w:pPr>
        <w:spacing w:before="120" w:after="120" w:line="360" w:lineRule="auto"/>
        <w:jc w:val="left"/>
        <w:rPr>
          <w:rFonts w:ascii="Arial" w:hAnsi="Arial" w:cs="Arial"/>
          <w:sz w:val="20"/>
          <w:szCs w:val="20"/>
          <w:lang w:bidi="ar"/>
        </w:rPr>
      </w:pPr>
      <w:r>
        <w:rPr>
          <w:rFonts w:ascii="Times New Roman" w:hAnsi="Times New Roman" w:cs="宋体"/>
          <w:szCs w:val="21"/>
          <w:lang w:bidi="ar"/>
        </w:rPr>
        <w:br w:type="page"/>
      </w:r>
      <w:r>
        <w:rPr>
          <w:rFonts w:ascii="Arial" w:hAnsi="Arial" w:cs="Arial"/>
          <w:sz w:val="20"/>
          <w:szCs w:val="20"/>
          <w:lang w:bidi="ar"/>
        </w:rPr>
        <w:t>Table S3. The</w:t>
      </w:r>
      <w:r>
        <w:rPr>
          <w:rFonts w:ascii="Arial" w:hAnsi="Arial" w:cs="Arial"/>
          <w:sz w:val="20"/>
          <w:szCs w:val="20"/>
        </w:rPr>
        <w:t xml:space="preserve"> coagulation disorders</w:t>
      </w:r>
      <w:r>
        <w:rPr>
          <w:rFonts w:ascii="Arial" w:hAnsi="Arial" w:cs="Arial"/>
          <w:sz w:val="20"/>
          <w:szCs w:val="20"/>
          <w:lang w:bidi="ar"/>
        </w:rPr>
        <w:t xml:space="preserve"> between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bidi="ar"/>
        </w:rPr>
        <w:t xml:space="preserve"> the EBV positive or negative LAHS patients.</w:t>
      </w:r>
    </w:p>
    <w:tbl>
      <w:tblPr>
        <w:tblStyle w:val="7"/>
        <w:tblW w:w="8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6"/>
        <w:gridCol w:w="2169"/>
        <w:gridCol w:w="2390"/>
        <w:gridCol w:w="1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Parameter</w:t>
            </w:r>
          </w:p>
        </w:tc>
        <w:tc>
          <w:tcPr>
            <w:tcW w:w="216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LAHS with EBV positive  (n = 36)</w:t>
            </w:r>
          </w:p>
        </w:tc>
        <w:tc>
          <w:tcPr>
            <w:tcW w:w="239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LAHS with EBV negative</w:t>
            </w:r>
          </w:p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(n =29)</w:t>
            </w:r>
          </w:p>
        </w:tc>
        <w:tc>
          <w:tcPr>
            <w:tcW w:w="10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-value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 [s, M (range) ]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14.75(9.70-25.70)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13.60(11.10-19.80)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PTA [%, M (range) ]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68.40(37.20-119.50)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71.90 (32.30-104.70)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0.839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INR [M (range) ]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1.21(0.90-1.82)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1.20 (0.99-1.77)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0.917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APTT [s, M (range) ]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46.95 (21.70-75.80)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37.60 (20.10-116.30)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FIB [g/L, M (range) ]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1.41(0.49-8.35)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2.08 (0.60-6.97)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TT [s, M (range) ]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19.70 (13.10-35.00)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17.60 (14.10-37.00)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D-Dimer (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mg/L)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4.48 (0.73-41.89)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6.22 (1.44-203.68)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Hemorrhagic events (cases, Y/N)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15/21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13/16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0.798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ISTH score ≥ 5 (cases, Y/N)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24/12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17/12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0.504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left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ISTH score [M (range) ]</w:t>
            </w:r>
          </w:p>
        </w:tc>
        <w:tc>
          <w:tcPr>
            <w:tcW w:w="2169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6 (1-8)</w:t>
            </w:r>
          </w:p>
        </w:tc>
        <w:tc>
          <w:tcPr>
            <w:tcW w:w="239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bidi="ar"/>
              </w:rPr>
              <w:t>5 (2-8)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0.163</w:t>
            </w:r>
          </w:p>
        </w:tc>
      </w:tr>
    </w:tbl>
    <w:p>
      <w:pPr>
        <w:spacing w:before="120" w:after="120" w:line="360" w:lineRule="auto"/>
        <w:rPr>
          <w:rFonts w:ascii="Arial" w:hAnsi="Arial" w:cs="Arial"/>
          <w:sz w:val="18"/>
          <w:szCs w:val="18"/>
          <w:lang w:bidi="ar"/>
        </w:rPr>
      </w:pPr>
      <w:r>
        <w:rPr>
          <w:rFonts w:ascii="Times New Roman" w:hAnsi="Times New Roman" w:cs="宋体"/>
          <w:szCs w:val="21"/>
          <w:lang w:bidi="ar"/>
        </w:rPr>
        <w:t xml:space="preserve"> </w:t>
      </w:r>
      <w:bookmarkStart w:id="1" w:name="_Hlk81593752"/>
    </w:p>
    <w:p>
      <w:pPr>
        <w:widowControl/>
        <w:spacing w:before="120" w:after="120" w:line="360" w:lineRule="auto"/>
        <w:rPr>
          <w:rFonts w:ascii="Times New Roman" w:hAnsi="Times New Roman"/>
          <w:szCs w:val="21"/>
          <w:lang w:bidi="ar"/>
        </w:rPr>
      </w:pPr>
    </w:p>
    <w:p>
      <w:pPr>
        <w:widowControl/>
        <w:spacing w:before="120" w:after="120" w:line="360" w:lineRule="auto"/>
        <w:jc w:val="left"/>
        <w:rPr>
          <w:rFonts w:ascii="Arial" w:hAnsi="Arial" w:cs="Arial"/>
          <w:sz w:val="18"/>
          <w:szCs w:val="18"/>
          <w:lang w:bidi="ar"/>
        </w:rPr>
      </w:pPr>
    </w:p>
    <w:p>
      <w:pPr>
        <w:rPr>
          <w:rFonts w:hint="eastAsia"/>
          <w:szCs w:val="21"/>
          <w:highlight w:val="cyan"/>
        </w:rPr>
      </w:pPr>
    </w:p>
    <w:p>
      <w:pPr>
        <w:rPr>
          <w:rFonts w:hint="eastAsia"/>
          <w:highlight w:val="cyan"/>
        </w:rPr>
      </w:pPr>
    </w:p>
    <w:p>
      <w:pPr>
        <w:spacing w:before="120" w:after="120" w:line="360" w:lineRule="auto"/>
        <w:rPr>
          <w:rFonts w:hint="eastAsia" w:ascii="Arial" w:hAnsi="Arial" w:cs="Arial"/>
          <w:sz w:val="20"/>
          <w:szCs w:val="20"/>
        </w:rPr>
      </w:pPr>
      <w:r>
        <w:rPr>
          <w:rFonts w:ascii="Times New Roman" w:hAnsi="Times New Roman" w:cs="宋体"/>
          <w:szCs w:val="21"/>
          <w:lang w:bidi="ar"/>
        </w:rPr>
        <w:br w:type="page"/>
      </w:r>
      <w:r>
        <w:rPr>
          <w:rFonts w:ascii="Arial" w:hAnsi="Arial" w:cs="Arial"/>
          <w:sz w:val="20"/>
          <w:szCs w:val="20"/>
          <w:lang w:bidi="ar"/>
        </w:rPr>
        <w:t>Table S4. The comparison of clinical parameters between the early death group and survival groups.</w:t>
      </w:r>
    </w:p>
    <w:tbl>
      <w:tblPr>
        <w:tblStyle w:val="7"/>
        <w:tblW w:w="934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0"/>
        <w:gridCol w:w="2456"/>
        <w:gridCol w:w="2808"/>
        <w:gridCol w:w="113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Parameter</w:t>
            </w:r>
          </w:p>
        </w:tc>
        <w:tc>
          <w:tcPr>
            <w:tcW w:w="2456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 within 30 days</w:t>
            </w:r>
          </w:p>
          <w:p>
            <w:pPr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n=47)</w:t>
            </w:r>
          </w:p>
        </w:tc>
        <w:tc>
          <w:tcPr>
            <w:tcW w:w="2808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Survival within 30 days</w:t>
            </w:r>
          </w:p>
          <w:p>
            <w:pPr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n=94)</w:t>
            </w:r>
          </w:p>
        </w:tc>
        <w:tc>
          <w:tcPr>
            <w:tcW w:w="1134" w:type="dxa"/>
            <w:tcBorders>
              <w:left w:val="nil"/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-value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Age [years, M (range) ]</w:t>
            </w:r>
          </w:p>
        </w:tc>
        <w:tc>
          <w:tcPr>
            <w:tcW w:w="2456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53.0 (13.0-89.0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46.5 (9.0-76.0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left w:val="nil"/>
              <w:bottom w:val="nil"/>
            </w:tcBorders>
            <w:noWrap w:val="0"/>
            <w:vAlign w:val="top"/>
          </w:tcPr>
          <w:tbl>
            <w:tblPr>
              <w:tblStyle w:val="7"/>
              <w:tblW w:w="890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90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9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>
                  <w:pPr>
                    <w:shd w:val="clear" w:color="auto" w:fill="FFFFFF"/>
                    <w:tabs>
                      <w:tab w:val="center" w:pos="4342"/>
                    </w:tabs>
                    <w:spacing w:line="320" w:lineRule="exact"/>
                    <w:rPr>
                      <w:rFonts w:ascii="Arial" w:hAnsi="Arial" w:cs="Arial"/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shd w:val="clear" w:color="auto" w:fill="FFFFFF"/>
                      <w:lang w:bidi="ar"/>
                    </w:rPr>
                    <w:t xml:space="preserve">     0.004</w:t>
                  </w:r>
                  <w:r>
                    <w:rPr>
                      <w:rFonts w:ascii="Arial" w:hAnsi="Arial" w:cs="Arial"/>
                      <w:sz w:val="18"/>
                      <w:szCs w:val="18"/>
                      <w:shd w:val="clear" w:color="auto" w:fill="FFFFFF"/>
                      <w:lang w:bidi="ar"/>
                    </w:rPr>
                    <w:tab/>
                  </w:r>
                  <w:r>
                    <w:rPr>
                      <w:rFonts w:ascii="Arial" w:hAnsi="Arial" w:cs="Arial"/>
                      <w:sz w:val="18"/>
                      <w:szCs w:val="18"/>
                      <w:shd w:val="clear" w:color="auto" w:fill="FFFFFF"/>
                      <w:lang w:bidi="ar"/>
                    </w:rPr>
                    <w:t xml:space="preserve">  0.004</w:t>
                  </w:r>
                </w:p>
              </w:tc>
            </w:tr>
          </w:tbl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Sex (cases, M/F) 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28/19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54/40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0.809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 [s,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15.10 (10.10-26.00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13.10 (9.70-19.80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PTA [%,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64.75 (23.40-163.70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73.35 (32.90-142.90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INR [M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1.22 (0.81-2.31)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1.17 (0.86-1.77)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APTT [s,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47.80 (28.90-117.10)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40.15 (20.10-94.80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FIB [g/L,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1.19 (0.49-8.35）6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2.09 (0.53-7.62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TT [s,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20.00 (13.60-62.20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18.80 (13.10-37.30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D-Dimer (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mg/L) 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5.86 (0.38-71.01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4.75 (0.05-203.68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0.153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WBC [×10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vertAlign w:val="superscript"/>
                <w:lang w:bidi="ar"/>
              </w:rPr>
              <w:t>9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1.66 (0.04-15.99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2.60 (0.18-25.19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hint="eastAsia"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Arial" w:hAnsi="Arial" w:cs="Arial"/>
                <w:sz w:val="18"/>
                <w:szCs w:val="18"/>
                <w:shd w:val="clear" w:color="auto" w:fill="FFFFFF"/>
              </w:rPr>
              <w:t>0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.016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Hemoglobin [g/L,M(range)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hint="eastAsia"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87.00 (37.00-136.00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88.00 (52.00-152.00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0.326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Platelet [×10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vertAlign w:val="superscript"/>
                <w:lang w:bidi="ar"/>
              </w:rPr>
              <w:t>9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39.00 (6.00-290.00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50.00 (4.00-317.00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0.208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ANC [×10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vertAlign w:val="superscript"/>
                <w:lang w:bidi="ar"/>
              </w:rPr>
              <w:t>9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0.90 (0-13.77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1.53 (0.-17.38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tbl>
            <w:tblPr>
              <w:tblStyle w:val="7"/>
              <w:tblW w:w="8901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901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top"/>
                </w:tcPr>
                <w:p>
                  <w:pPr>
                    <w:shd w:val="clear" w:color="auto" w:fill="FFFFFF"/>
                    <w:spacing w:line="320" w:lineRule="exact"/>
                    <w:jc w:val="center"/>
                    <w:rPr>
                      <w:rFonts w:ascii="Arial" w:hAnsi="Arial" w:cs="Arial"/>
                      <w:sz w:val="18"/>
                      <w:szCs w:val="18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shd w:val="clear" w:color="auto" w:fill="FFFFFF"/>
                      <w:lang w:bidi="ar"/>
                    </w:rPr>
                    <w:t>0.016</w:t>
                  </w:r>
                </w:p>
              </w:tc>
            </w:tr>
          </w:tbl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ALT [U/L,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63.00 (9.00-646.00）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51.50 (6.00-787.00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0.673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AST [U/L,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109.00 (16.00-1376.00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84.00 (8.00-3763.00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0.267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DBIL [mmol/L,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9.70 (2.50-273.00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6.60 (0.50-191.40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Albumin [g/L,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26.80 (16.70-35.40）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28.20 (18.80-38.50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LDH [U/L, M (range) 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826.00 (215.00-6013.00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720.00 (171.00-4589.00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0.173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Triglyceride [mmol/L,M (range)]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2.32 (0.36-6.24）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2.30 (0.51-9.50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0.866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Hemorrhagic events (cases, Y/N) 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32/15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28/66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lang w:bidi="ar"/>
              </w:rPr>
              <w:t>&lt;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ISTH score ≥ 5 (cases, Y/N) 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33/14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43/51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 0.006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0" w:type="dxa"/>
            <w:tcBorders>
              <w:top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ISTH score [M (range) ]</w:t>
            </w:r>
          </w:p>
        </w:tc>
        <w:tc>
          <w:tcPr>
            <w:tcW w:w="2456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6 (2-8）</w:t>
            </w:r>
          </w:p>
        </w:tc>
        <w:tc>
          <w:tcPr>
            <w:tcW w:w="2808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4 (0-8）</w:t>
            </w:r>
          </w:p>
        </w:tc>
        <w:tc>
          <w:tcPr>
            <w:tcW w:w="1134" w:type="dxa"/>
            <w:tcBorders>
              <w:top w:val="nil"/>
              <w:left w:val="nil"/>
            </w:tcBorders>
            <w:noWrap w:val="0"/>
            <w:vAlign w:val="top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bidi="ar"/>
              </w:rPr>
              <w:t>&lt;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  <w:lang w:bidi="ar"/>
              </w:rPr>
              <w:t>0.001</w:t>
            </w:r>
          </w:p>
        </w:tc>
      </w:tr>
    </w:tbl>
    <w:p/>
    <w:p/>
    <w:p/>
    <w:p/>
    <w:p/>
    <w:p/>
    <w:p/>
    <w:p/>
    <w:p/>
    <w:p/>
    <w:p/>
    <w:p/>
    <w:p/>
    <w:p/>
    <w:p/>
    <w:p/>
    <w:bookmarkEnd w:id="0"/>
    <w:bookmarkEnd w:id="1"/>
    <w:p>
      <w:pPr>
        <w:spacing w:before="120" w:after="120" w:line="360" w:lineRule="auto"/>
        <w:jc w:val="left"/>
        <w:rPr>
          <w:rFonts w:hint="eastAsia" w:ascii="Times New Roman" w:hAnsi="Times New Roman" w:cs="宋体"/>
          <w:sz w:val="24"/>
          <w:lang w:bidi="ar"/>
        </w:rPr>
      </w:pPr>
    </w:p>
    <w:sectPr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removePersonalInformation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zNDcxtbQwNTI1NDVW0lEKTi0uzszPAykwrAUAGHyuuiwAAAA="/>
    <w:docVar w:name="KY_MEDREF_DOCUID" w:val="{36721ADB-5D78-4414-BDB5-80B6181CBBC6}"/>
    <w:docVar w:name="KY_MEDREF_VERSION" w:val="3"/>
  </w:docVars>
  <w:rsids>
    <w:rsidRoot w:val="00D6327D"/>
    <w:rsid w:val="000002F1"/>
    <w:rsid w:val="00010920"/>
    <w:rsid w:val="00022C00"/>
    <w:rsid w:val="000504C2"/>
    <w:rsid w:val="00066476"/>
    <w:rsid w:val="0006708E"/>
    <w:rsid w:val="00067161"/>
    <w:rsid w:val="00071664"/>
    <w:rsid w:val="00071BD8"/>
    <w:rsid w:val="00090B79"/>
    <w:rsid w:val="00091BA5"/>
    <w:rsid w:val="00094A75"/>
    <w:rsid w:val="000B2619"/>
    <w:rsid w:val="000D4844"/>
    <w:rsid w:val="000E1A67"/>
    <w:rsid w:val="000F3719"/>
    <w:rsid w:val="00103D0B"/>
    <w:rsid w:val="001040AC"/>
    <w:rsid w:val="001253B4"/>
    <w:rsid w:val="001258D8"/>
    <w:rsid w:val="001273F1"/>
    <w:rsid w:val="001303A8"/>
    <w:rsid w:val="00131DD6"/>
    <w:rsid w:val="00132132"/>
    <w:rsid w:val="00135312"/>
    <w:rsid w:val="001360A3"/>
    <w:rsid w:val="00142A32"/>
    <w:rsid w:val="00143B44"/>
    <w:rsid w:val="001458ED"/>
    <w:rsid w:val="001524E3"/>
    <w:rsid w:val="00181D42"/>
    <w:rsid w:val="001901DB"/>
    <w:rsid w:val="0019175A"/>
    <w:rsid w:val="001924BD"/>
    <w:rsid w:val="001955E8"/>
    <w:rsid w:val="001A222C"/>
    <w:rsid w:val="001A3AF3"/>
    <w:rsid w:val="001B13B4"/>
    <w:rsid w:val="001B703D"/>
    <w:rsid w:val="001D426B"/>
    <w:rsid w:val="001D5C2A"/>
    <w:rsid w:val="001D774C"/>
    <w:rsid w:val="001F4766"/>
    <w:rsid w:val="00203DAF"/>
    <w:rsid w:val="002069AD"/>
    <w:rsid w:val="00210B4C"/>
    <w:rsid w:val="00213A1C"/>
    <w:rsid w:val="00214419"/>
    <w:rsid w:val="00260B50"/>
    <w:rsid w:val="00266380"/>
    <w:rsid w:val="002672FB"/>
    <w:rsid w:val="00274BBF"/>
    <w:rsid w:val="0028076B"/>
    <w:rsid w:val="00281950"/>
    <w:rsid w:val="00297D38"/>
    <w:rsid w:val="002B6C67"/>
    <w:rsid w:val="002D504C"/>
    <w:rsid w:val="002E3A09"/>
    <w:rsid w:val="002F3C63"/>
    <w:rsid w:val="002F7C2D"/>
    <w:rsid w:val="003039B1"/>
    <w:rsid w:val="00303D82"/>
    <w:rsid w:val="00311019"/>
    <w:rsid w:val="0031135B"/>
    <w:rsid w:val="00311CBE"/>
    <w:rsid w:val="00323CE4"/>
    <w:rsid w:val="00331231"/>
    <w:rsid w:val="00333525"/>
    <w:rsid w:val="00336F32"/>
    <w:rsid w:val="0033719B"/>
    <w:rsid w:val="003408E5"/>
    <w:rsid w:val="00345794"/>
    <w:rsid w:val="003475C8"/>
    <w:rsid w:val="00362CC2"/>
    <w:rsid w:val="003837E3"/>
    <w:rsid w:val="003946B3"/>
    <w:rsid w:val="00397A9B"/>
    <w:rsid w:val="003C30BB"/>
    <w:rsid w:val="003C46FE"/>
    <w:rsid w:val="003C605C"/>
    <w:rsid w:val="003D0E0B"/>
    <w:rsid w:val="003D3937"/>
    <w:rsid w:val="003D5208"/>
    <w:rsid w:val="003E21BF"/>
    <w:rsid w:val="003F5FBD"/>
    <w:rsid w:val="0040090F"/>
    <w:rsid w:val="004042F7"/>
    <w:rsid w:val="00412790"/>
    <w:rsid w:val="00416F8B"/>
    <w:rsid w:val="00421068"/>
    <w:rsid w:val="0042229B"/>
    <w:rsid w:val="00450AD2"/>
    <w:rsid w:val="004514D2"/>
    <w:rsid w:val="00461D6E"/>
    <w:rsid w:val="004917E3"/>
    <w:rsid w:val="004B44A4"/>
    <w:rsid w:val="004D7DE0"/>
    <w:rsid w:val="004E0016"/>
    <w:rsid w:val="004E3C75"/>
    <w:rsid w:val="004E6A27"/>
    <w:rsid w:val="004F4A62"/>
    <w:rsid w:val="004F72E2"/>
    <w:rsid w:val="00500805"/>
    <w:rsid w:val="00504AAE"/>
    <w:rsid w:val="0050510C"/>
    <w:rsid w:val="0054481D"/>
    <w:rsid w:val="00551ED2"/>
    <w:rsid w:val="00564822"/>
    <w:rsid w:val="0056612E"/>
    <w:rsid w:val="00571240"/>
    <w:rsid w:val="00581352"/>
    <w:rsid w:val="00593C17"/>
    <w:rsid w:val="00596A52"/>
    <w:rsid w:val="005A63A7"/>
    <w:rsid w:val="005A7065"/>
    <w:rsid w:val="005A765A"/>
    <w:rsid w:val="005B34C2"/>
    <w:rsid w:val="005B5464"/>
    <w:rsid w:val="005D4683"/>
    <w:rsid w:val="005D57B9"/>
    <w:rsid w:val="005D6E3F"/>
    <w:rsid w:val="005E72E5"/>
    <w:rsid w:val="005F22AD"/>
    <w:rsid w:val="005F2534"/>
    <w:rsid w:val="005F6090"/>
    <w:rsid w:val="006107D7"/>
    <w:rsid w:val="00620F7F"/>
    <w:rsid w:val="00621A57"/>
    <w:rsid w:val="00621AAA"/>
    <w:rsid w:val="00622C49"/>
    <w:rsid w:val="006371B9"/>
    <w:rsid w:val="00657C71"/>
    <w:rsid w:val="00662EFB"/>
    <w:rsid w:val="0066752F"/>
    <w:rsid w:val="00670B89"/>
    <w:rsid w:val="0067218A"/>
    <w:rsid w:val="00693FF0"/>
    <w:rsid w:val="00697CCF"/>
    <w:rsid w:val="006A0054"/>
    <w:rsid w:val="006D449A"/>
    <w:rsid w:val="006E1DB2"/>
    <w:rsid w:val="006E4148"/>
    <w:rsid w:val="00706371"/>
    <w:rsid w:val="00710F58"/>
    <w:rsid w:val="007144E9"/>
    <w:rsid w:val="00715DBB"/>
    <w:rsid w:val="00720029"/>
    <w:rsid w:val="00734B7E"/>
    <w:rsid w:val="00742AF7"/>
    <w:rsid w:val="007637CC"/>
    <w:rsid w:val="00767138"/>
    <w:rsid w:val="007823D7"/>
    <w:rsid w:val="00787A8D"/>
    <w:rsid w:val="007B19B5"/>
    <w:rsid w:val="007C006E"/>
    <w:rsid w:val="007C65F4"/>
    <w:rsid w:val="007D1140"/>
    <w:rsid w:val="007E795F"/>
    <w:rsid w:val="007F2D6C"/>
    <w:rsid w:val="00802036"/>
    <w:rsid w:val="0080440B"/>
    <w:rsid w:val="00810CA9"/>
    <w:rsid w:val="0083057C"/>
    <w:rsid w:val="00836A43"/>
    <w:rsid w:val="008417CA"/>
    <w:rsid w:val="00846623"/>
    <w:rsid w:val="00862038"/>
    <w:rsid w:val="00877270"/>
    <w:rsid w:val="008776E2"/>
    <w:rsid w:val="008B5596"/>
    <w:rsid w:val="008C17D6"/>
    <w:rsid w:val="008C3BD4"/>
    <w:rsid w:val="008C496D"/>
    <w:rsid w:val="008E7C1A"/>
    <w:rsid w:val="008F2A6F"/>
    <w:rsid w:val="008F73C0"/>
    <w:rsid w:val="00902A9F"/>
    <w:rsid w:val="00915E30"/>
    <w:rsid w:val="009227A6"/>
    <w:rsid w:val="00930A8C"/>
    <w:rsid w:val="00933231"/>
    <w:rsid w:val="009450EE"/>
    <w:rsid w:val="00947193"/>
    <w:rsid w:val="00956A41"/>
    <w:rsid w:val="00957885"/>
    <w:rsid w:val="0096580A"/>
    <w:rsid w:val="00983E46"/>
    <w:rsid w:val="009919C2"/>
    <w:rsid w:val="00997487"/>
    <w:rsid w:val="009A5EFE"/>
    <w:rsid w:val="009A7F2E"/>
    <w:rsid w:val="009B32A1"/>
    <w:rsid w:val="009B565F"/>
    <w:rsid w:val="009C0534"/>
    <w:rsid w:val="009C4A7A"/>
    <w:rsid w:val="009C5F6F"/>
    <w:rsid w:val="009D439F"/>
    <w:rsid w:val="009E415D"/>
    <w:rsid w:val="00A0112B"/>
    <w:rsid w:val="00A17473"/>
    <w:rsid w:val="00A20D0F"/>
    <w:rsid w:val="00A325F6"/>
    <w:rsid w:val="00A50407"/>
    <w:rsid w:val="00A50FC7"/>
    <w:rsid w:val="00A563E0"/>
    <w:rsid w:val="00A65DC6"/>
    <w:rsid w:val="00A80DA2"/>
    <w:rsid w:val="00AA4D83"/>
    <w:rsid w:val="00AB47FB"/>
    <w:rsid w:val="00AD1ED8"/>
    <w:rsid w:val="00AD2489"/>
    <w:rsid w:val="00AD5BB5"/>
    <w:rsid w:val="00AE40E7"/>
    <w:rsid w:val="00B065CC"/>
    <w:rsid w:val="00B20417"/>
    <w:rsid w:val="00B21868"/>
    <w:rsid w:val="00B221B1"/>
    <w:rsid w:val="00B23727"/>
    <w:rsid w:val="00B254D9"/>
    <w:rsid w:val="00B36F89"/>
    <w:rsid w:val="00B416F8"/>
    <w:rsid w:val="00B55BF8"/>
    <w:rsid w:val="00BB5FDB"/>
    <w:rsid w:val="00BC2802"/>
    <w:rsid w:val="00BD2475"/>
    <w:rsid w:val="00BE0243"/>
    <w:rsid w:val="00C02904"/>
    <w:rsid w:val="00C11C0C"/>
    <w:rsid w:val="00C2433C"/>
    <w:rsid w:val="00C31F75"/>
    <w:rsid w:val="00C40B95"/>
    <w:rsid w:val="00C64829"/>
    <w:rsid w:val="00C72663"/>
    <w:rsid w:val="00C73417"/>
    <w:rsid w:val="00C84BB9"/>
    <w:rsid w:val="00C95A77"/>
    <w:rsid w:val="00CA6CE1"/>
    <w:rsid w:val="00CB47DC"/>
    <w:rsid w:val="00CC5FAA"/>
    <w:rsid w:val="00CD2CED"/>
    <w:rsid w:val="00CE189E"/>
    <w:rsid w:val="00D1768C"/>
    <w:rsid w:val="00D233B7"/>
    <w:rsid w:val="00D30A61"/>
    <w:rsid w:val="00D33285"/>
    <w:rsid w:val="00D46099"/>
    <w:rsid w:val="00D503A1"/>
    <w:rsid w:val="00D51FC1"/>
    <w:rsid w:val="00D529BD"/>
    <w:rsid w:val="00D6327D"/>
    <w:rsid w:val="00D74B94"/>
    <w:rsid w:val="00D81003"/>
    <w:rsid w:val="00DA7472"/>
    <w:rsid w:val="00DC1748"/>
    <w:rsid w:val="00DD1A4A"/>
    <w:rsid w:val="00DE0C1C"/>
    <w:rsid w:val="00DE1FD8"/>
    <w:rsid w:val="00DE6202"/>
    <w:rsid w:val="00DE631E"/>
    <w:rsid w:val="00DE6F9A"/>
    <w:rsid w:val="00E005B2"/>
    <w:rsid w:val="00E017FE"/>
    <w:rsid w:val="00E032BD"/>
    <w:rsid w:val="00E036BE"/>
    <w:rsid w:val="00E03BD3"/>
    <w:rsid w:val="00E1220C"/>
    <w:rsid w:val="00E303C5"/>
    <w:rsid w:val="00E41175"/>
    <w:rsid w:val="00E4471B"/>
    <w:rsid w:val="00E502F9"/>
    <w:rsid w:val="00E67A1F"/>
    <w:rsid w:val="00E81A19"/>
    <w:rsid w:val="00ED1B43"/>
    <w:rsid w:val="00ED5199"/>
    <w:rsid w:val="00EF331D"/>
    <w:rsid w:val="00EF361F"/>
    <w:rsid w:val="00EF76C2"/>
    <w:rsid w:val="00F01BD6"/>
    <w:rsid w:val="00F24FDE"/>
    <w:rsid w:val="00F30CF6"/>
    <w:rsid w:val="00F34748"/>
    <w:rsid w:val="00F53473"/>
    <w:rsid w:val="00F620D0"/>
    <w:rsid w:val="00F7055F"/>
    <w:rsid w:val="00F72494"/>
    <w:rsid w:val="00F72A82"/>
    <w:rsid w:val="00F95078"/>
    <w:rsid w:val="00FC6855"/>
    <w:rsid w:val="00FD0A96"/>
    <w:rsid w:val="00FE0AC6"/>
    <w:rsid w:val="00FE4BA2"/>
    <w:rsid w:val="00FE6692"/>
    <w:rsid w:val="00FF449F"/>
    <w:rsid w:val="014902FA"/>
    <w:rsid w:val="0190794F"/>
    <w:rsid w:val="020328D2"/>
    <w:rsid w:val="02706D67"/>
    <w:rsid w:val="02C312E3"/>
    <w:rsid w:val="02C4647A"/>
    <w:rsid w:val="02FD7D44"/>
    <w:rsid w:val="03591A89"/>
    <w:rsid w:val="03923326"/>
    <w:rsid w:val="03C262E8"/>
    <w:rsid w:val="03C91D80"/>
    <w:rsid w:val="03CB7363"/>
    <w:rsid w:val="05D84D83"/>
    <w:rsid w:val="061959C7"/>
    <w:rsid w:val="065C6278"/>
    <w:rsid w:val="067C3B69"/>
    <w:rsid w:val="071D21BC"/>
    <w:rsid w:val="07772AF3"/>
    <w:rsid w:val="0789446B"/>
    <w:rsid w:val="07E27DE9"/>
    <w:rsid w:val="0841015F"/>
    <w:rsid w:val="095308F1"/>
    <w:rsid w:val="09D9289B"/>
    <w:rsid w:val="09FE25CE"/>
    <w:rsid w:val="0CB2254E"/>
    <w:rsid w:val="0CF13715"/>
    <w:rsid w:val="0D0C5C01"/>
    <w:rsid w:val="0F323E7B"/>
    <w:rsid w:val="0FBC2522"/>
    <w:rsid w:val="0FC07250"/>
    <w:rsid w:val="10296B42"/>
    <w:rsid w:val="10604E32"/>
    <w:rsid w:val="10E12784"/>
    <w:rsid w:val="119D19FC"/>
    <w:rsid w:val="1235501D"/>
    <w:rsid w:val="12827561"/>
    <w:rsid w:val="13142F9E"/>
    <w:rsid w:val="133825DB"/>
    <w:rsid w:val="13495301"/>
    <w:rsid w:val="13514F89"/>
    <w:rsid w:val="135A1BDE"/>
    <w:rsid w:val="13897C10"/>
    <w:rsid w:val="13D96BA1"/>
    <w:rsid w:val="13E05AE5"/>
    <w:rsid w:val="14DE3384"/>
    <w:rsid w:val="14EC0DCC"/>
    <w:rsid w:val="15353ADD"/>
    <w:rsid w:val="15655121"/>
    <w:rsid w:val="159560B4"/>
    <w:rsid w:val="16BF2CE7"/>
    <w:rsid w:val="16E266F9"/>
    <w:rsid w:val="172B24E9"/>
    <w:rsid w:val="17D64155"/>
    <w:rsid w:val="18BA1AC9"/>
    <w:rsid w:val="18D17976"/>
    <w:rsid w:val="18DC3DD6"/>
    <w:rsid w:val="19061C2A"/>
    <w:rsid w:val="191F0624"/>
    <w:rsid w:val="198A5F21"/>
    <w:rsid w:val="1A061536"/>
    <w:rsid w:val="1A2B0EBD"/>
    <w:rsid w:val="1A4C276F"/>
    <w:rsid w:val="1A59356C"/>
    <w:rsid w:val="1B1933FD"/>
    <w:rsid w:val="1B696FFF"/>
    <w:rsid w:val="1CCF3BC5"/>
    <w:rsid w:val="1D2D1864"/>
    <w:rsid w:val="1D402CD8"/>
    <w:rsid w:val="1DA86C73"/>
    <w:rsid w:val="1E8B3A08"/>
    <w:rsid w:val="1EC46BF0"/>
    <w:rsid w:val="208D2BFC"/>
    <w:rsid w:val="20A12FDE"/>
    <w:rsid w:val="22EB78E2"/>
    <w:rsid w:val="238A0822"/>
    <w:rsid w:val="23C429DC"/>
    <w:rsid w:val="240633CE"/>
    <w:rsid w:val="24616539"/>
    <w:rsid w:val="25332B77"/>
    <w:rsid w:val="256F5226"/>
    <w:rsid w:val="25AA6262"/>
    <w:rsid w:val="25AB43BC"/>
    <w:rsid w:val="25EF7D4A"/>
    <w:rsid w:val="267D1775"/>
    <w:rsid w:val="2689001E"/>
    <w:rsid w:val="26C60E8C"/>
    <w:rsid w:val="2760136C"/>
    <w:rsid w:val="27673CA1"/>
    <w:rsid w:val="276D20C9"/>
    <w:rsid w:val="27A756A5"/>
    <w:rsid w:val="27CB17E2"/>
    <w:rsid w:val="28DC3A67"/>
    <w:rsid w:val="292159FE"/>
    <w:rsid w:val="29FA7734"/>
    <w:rsid w:val="2C474B96"/>
    <w:rsid w:val="2C7B44AC"/>
    <w:rsid w:val="2D6667E9"/>
    <w:rsid w:val="2DBA2BA9"/>
    <w:rsid w:val="2E252B3B"/>
    <w:rsid w:val="2E7A73BD"/>
    <w:rsid w:val="2F4D18CE"/>
    <w:rsid w:val="31023666"/>
    <w:rsid w:val="31D83BE4"/>
    <w:rsid w:val="3298031B"/>
    <w:rsid w:val="32A1023A"/>
    <w:rsid w:val="331E1468"/>
    <w:rsid w:val="33C864F7"/>
    <w:rsid w:val="342440BA"/>
    <w:rsid w:val="350C7D72"/>
    <w:rsid w:val="3527536A"/>
    <w:rsid w:val="355E49CA"/>
    <w:rsid w:val="35716D32"/>
    <w:rsid w:val="358A13B8"/>
    <w:rsid w:val="362C1F03"/>
    <w:rsid w:val="36C334EB"/>
    <w:rsid w:val="374E366E"/>
    <w:rsid w:val="379A7675"/>
    <w:rsid w:val="38080C4C"/>
    <w:rsid w:val="38843E6B"/>
    <w:rsid w:val="38852CE2"/>
    <w:rsid w:val="38C067FB"/>
    <w:rsid w:val="39266B64"/>
    <w:rsid w:val="395126A8"/>
    <w:rsid w:val="39E53B63"/>
    <w:rsid w:val="3A277979"/>
    <w:rsid w:val="3AE77721"/>
    <w:rsid w:val="3B481C0A"/>
    <w:rsid w:val="3C152314"/>
    <w:rsid w:val="3CDB6BEB"/>
    <w:rsid w:val="3D0D72A1"/>
    <w:rsid w:val="3D11278A"/>
    <w:rsid w:val="3EC60D6A"/>
    <w:rsid w:val="3EEA3097"/>
    <w:rsid w:val="3F06487C"/>
    <w:rsid w:val="3F9F3E1E"/>
    <w:rsid w:val="3FFA5C7E"/>
    <w:rsid w:val="400623AC"/>
    <w:rsid w:val="4026299D"/>
    <w:rsid w:val="403E4439"/>
    <w:rsid w:val="403E6626"/>
    <w:rsid w:val="4075339F"/>
    <w:rsid w:val="41685539"/>
    <w:rsid w:val="41E75EE8"/>
    <w:rsid w:val="42114B2B"/>
    <w:rsid w:val="43102BE3"/>
    <w:rsid w:val="439A1432"/>
    <w:rsid w:val="43A50AA9"/>
    <w:rsid w:val="442B730B"/>
    <w:rsid w:val="44416937"/>
    <w:rsid w:val="44FB4260"/>
    <w:rsid w:val="45400140"/>
    <w:rsid w:val="46235F63"/>
    <w:rsid w:val="46FE4FF0"/>
    <w:rsid w:val="47592AE9"/>
    <w:rsid w:val="47BD208F"/>
    <w:rsid w:val="48217C84"/>
    <w:rsid w:val="4AD85D26"/>
    <w:rsid w:val="4CD20407"/>
    <w:rsid w:val="4CE04AF8"/>
    <w:rsid w:val="4D3F6DD5"/>
    <w:rsid w:val="4DF52B8C"/>
    <w:rsid w:val="4E32006B"/>
    <w:rsid w:val="4FA21078"/>
    <w:rsid w:val="505328B4"/>
    <w:rsid w:val="513452DD"/>
    <w:rsid w:val="513B0C32"/>
    <w:rsid w:val="51731F2F"/>
    <w:rsid w:val="518C3B97"/>
    <w:rsid w:val="519271BD"/>
    <w:rsid w:val="51F71B91"/>
    <w:rsid w:val="524C536A"/>
    <w:rsid w:val="52B21F6B"/>
    <w:rsid w:val="530A79A5"/>
    <w:rsid w:val="53163563"/>
    <w:rsid w:val="53E038B2"/>
    <w:rsid w:val="53EA78F9"/>
    <w:rsid w:val="549E2812"/>
    <w:rsid w:val="54F159C1"/>
    <w:rsid w:val="54FC3BAE"/>
    <w:rsid w:val="55405D21"/>
    <w:rsid w:val="5675247E"/>
    <w:rsid w:val="56AB1EA8"/>
    <w:rsid w:val="56D247CF"/>
    <w:rsid w:val="579B35CD"/>
    <w:rsid w:val="57B75561"/>
    <w:rsid w:val="58300BF0"/>
    <w:rsid w:val="59382B2A"/>
    <w:rsid w:val="5A0F7251"/>
    <w:rsid w:val="5AC20DCB"/>
    <w:rsid w:val="5B1B3475"/>
    <w:rsid w:val="5BE0122B"/>
    <w:rsid w:val="5C386E21"/>
    <w:rsid w:val="5C991863"/>
    <w:rsid w:val="5D6D7A4B"/>
    <w:rsid w:val="5E622685"/>
    <w:rsid w:val="5EB61509"/>
    <w:rsid w:val="5F280CF3"/>
    <w:rsid w:val="601C1ABF"/>
    <w:rsid w:val="60412C3D"/>
    <w:rsid w:val="607A01A9"/>
    <w:rsid w:val="61932F0C"/>
    <w:rsid w:val="62210CFE"/>
    <w:rsid w:val="623B6698"/>
    <w:rsid w:val="62663F0F"/>
    <w:rsid w:val="62C53CB4"/>
    <w:rsid w:val="63B5282B"/>
    <w:rsid w:val="63CD6DEA"/>
    <w:rsid w:val="63DA778E"/>
    <w:rsid w:val="648E3ACA"/>
    <w:rsid w:val="64FD5737"/>
    <w:rsid w:val="650156A4"/>
    <w:rsid w:val="65AC7F91"/>
    <w:rsid w:val="672D021D"/>
    <w:rsid w:val="6753622A"/>
    <w:rsid w:val="67D8532C"/>
    <w:rsid w:val="67E5316F"/>
    <w:rsid w:val="67E90D06"/>
    <w:rsid w:val="67FB1B3C"/>
    <w:rsid w:val="6807628D"/>
    <w:rsid w:val="68192C45"/>
    <w:rsid w:val="683D14A0"/>
    <w:rsid w:val="68514338"/>
    <w:rsid w:val="68651A03"/>
    <w:rsid w:val="68AB0859"/>
    <w:rsid w:val="69445EAD"/>
    <w:rsid w:val="696E1FD2"/>
    <w:rsid w:val="69AE2958"/>
    <w:rsid w:val="69B2071A"/>
    <w:rsid w:val="69F37E34"/>
    <w:rsid w:val="6A380E3B"/>
    <w:rsid w:val="6B503187"/>
    <w:rsid w:val="6BAC47C4"/>
    <w:rsid w:val="6D595CAF"/>
    <w:rsid w:val="6DDB1B1E"/>
    <w:rsid w:val="6DE85FC3"/>
    <w:rsid w:val="6E012959"/>
    <w:rsid w:val="6E113221"/>
    <w:rsid w:val="6E3D0330"/>
    <w:rsid w:val="6EB3159E"/>
    <w:rsid w:val="6ED528E2"/>
    <w:rsid w:val="70063231"/>
    <w:rsid w:val="703C6E14"/>
    <w:rsid w:val="70A032BB"/>
    <w:rsid w:val="730B1129"/>
    <w:rsid w:val="73206AB4"/>
    <w:rsid w:val="73604EFA"/>
    <w:rsid w:val="74C74D4B"/>
    <w:rsid w:val="75222736"/>
    <w:rsid w:val="7859284B"/>
    <w:rsid w:val="78BD714F"/>
    <w:rsid w:val="798E7F7A"/>
    <w:rsid w:val="7A6D2B93"/>
    <w:rsid w:val="7B466EA6"/>
    <w:rsid w:val="7B9179FB"/>
    <w:rsid w:val="7BB55D54"/>
    <w:rsid w:val="7BC5674E"/>
    <w:rsid w:val="7C1C0666"/>
    <w:rsid w:val="7CB96B31"/>
    <w:rsid w:val="7CD61118"/>
    <w:rsid w:val="7CE43568"/>
    <w:rsid w:val="7D212F8A"/>
    <w:rsid w:val="7D3C5790"/>
    <w:rsid w:val="7DF168C5"/>
    <w:rsid w:val="7E972739"/>
    <w:rsid w:val="7EA97A27"/>
    <w:rsid w:val="7F77188B"/>
    <w:rsid w:val="7F987B83"/>
    <w:rsid w:val="7FC66D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footer"/>
    <w:basedOn w:val="1"/>
    <w:semiHidden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3"/>
    <w:qFormat/>
    <w:uiPriority w:val="0"/>
    <w:pPr>
      <w:tabs>
        <w:tab w:val="center" w:pos="4680"/>
        <w:tab w:val="right" w:pos="9360"/>
      </w:tabs>
    </w:p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">
    <w:name w:val="annotation subject"/>
    <w:basedOn w:val="2"/>
    <w:next w:val="2"/>
    <w:link w:val="14"/>
    <w:qFormat/>
    <w:uiPriority w:val="0"/>
    <w:pPr>
      <w:jc w:val="both"/>
    </w:pPr>
    <w:rPr>
      <w:b/>
      <w:bCs/>
    </w:rPr>
  </w:style>
  <w:style w:type="table" w:styleId="8">
    <w:name w:val="Table Grid"/>
    <w:basedOn w:val="7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qFormat/>
    <w:uiPriority w:val="0"/>
    <w:rPr>
      <w:sz w:val="16"/>
      <w:szCs w:val="16"/>
    </w:rPr>
  </w:style>
  <w:style w:type="character" w:styleId="11">
    <w:name w:val="footnote reference"/>
    <w:qFormat/>
    <w:uiPriority w:val="0"/>
    <w:rPr>
      <w:vertAlign w:val="superscript"/>
    </w:rPr>
  </w:style>
  <w:style w:type="character" w:customStyle="1" w:styleId="12">
    <w:name w:val="批注文字 字符"/>
    <w:link w:val="2"/>
    <w:qFormat/>
    <w:uiPriority w:val="0"/>
    <w:rPr>
      <w:rFonts w:ascii="Calibri" w:hAnsi="Calibri"/>
      <w:kern w:val="2"/>
      <w:sz w:val="21"/>
      <w:szCs w:val="24"/>
      <w:lang w:eastAsia="zh-CN"/>
    </w:rPr>
  </w:style>
  <w:style w:type="character" w:customStyle="1" w:styleId="13">
    <w:name w:val="页眉 字符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4">
    <w:name w:val="批注主题 字符"/>
    <w:link w:val="6"/>
    <w:uiPriority w:val="0"/>
    <w:rPr>
      <w:rFonts w:ascii="Calibri" w:hAnsi="Calibri"/>
      <w:b/>
      <w:bCs/>
      <w:kern w:val="2"/>
      <w:sz w:val="21"/>
      <w:szCs w:val="24"/>
      <w:lang w:eastAsia="zh-CN"/>
    </w:rPr>
  </w:style>
  <w:style w:type="paragraph" w:customStyle="1" w:styleId="15">
    <w:name w:val="样式2"/>
    <w:basedOn w:val="1"/>
    <w:qFormat/>
    <w:uiPriority w:val="0"/>
    <w:pPr>
      <w:spacing w:before="480" w:after="120"/>
      <w:outlineLvl w:val="1"/>
    </w:pPr>
    <w:rPr>
      <w:rFonts w:eastAsia="黑体"/>
      <w:b/>
      <w:sz w:val="28"/>
      <w:szCs w:val="28"/>
    </w:rPr>
  </w:style>
  <w:style w:type="paragraph" w:customStyle="1" w:styleId="16">
    <w:name w:val="_Style 15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618</Words>
  <Characters>3471</Characters>
  <Lines>29</Lines>
  <Paragraphs>8</Paragraphs>
  <TotalTime>8</TotalTime>
  <ScaleCrop>false</ScaleCrop>
  <LinksUpToDate>false</LinksUpToDate>
  <CharactersWithSpaces>3867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2022-05-09T12:51:00Z</dcterms:created>
  <dcterms:modified xsi:type="dcterms:W3CDTF">2022-12-30T09:10:49Z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E564830CC1D54A54BA10881D90C208A0</vt:lpwstr>
  </property>
</Properties>
</file>