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522DA" w14:textId="77777777" w:rsidR="00590B1C" w:rsidRPr="00B758DD" w:rsidRDefault="00590B1C" w:rsidP="00590B1C">
      <w:pPr>
        <w:pStyle w:val="Heading1"/>
        <w:spacing w:before="0"/>
        <w:jc w:val="center"/>
      </w:pPr>
      <w:r w:rsidRPr="00B758DD">
        <w:t>Supplementary Appendix</w:t>
      </w:r>
    </w:p>
    <w:p w14:paraId="2FE70CAB" w14:textId="77777777" w:rsidR="00590B1C" w:rsidRPr="00B758DD" w:rsidRDefault="00590B1C" w:rsidP="00590B1C"/>
    <w:p w14:paraId="4DDDBF2E" w14:textId="77777777" w:rsidR="00590B1C" w:rsidRPr="00B758DD" w:rsidRDefault="00590B1C" w:rsidP="00590B1C">
      <w:pPr>
        <w:spacing w:before="0"/>
        <w:rPr>
          <w:rFonts w:cs="Times New Roman"/>
          <w:bCs/>
          <w:szCs w:val="24"/>
        </w:rPr>
      </w:pPr>
      <w:r w:rsidRPr="00B758DD">
        <w:rPr>
          <w:rFonts w:cs="Times New Roman"/>
          <w:bCs/>
          <w:szCs w:val="24"/>
        </w:rPr>
        <w:t>Daratumumab, Bortezomib, Melphalan, and Prednisone Versus Bortezomib, Melphalan, and Prednisone Alone in Transplant-ineligible Asian Patients With Newly Diagnosed Multiple Myeloma: Final Analysis of the Phase 3 OCTANS Study</w:t>
      </w:r>
    </w:p>
    <w:p w14:paraId="4EFC375A" w14:textId="77777777" w:rsidR="00590B1C" w:rsidRDefault="00590B1C" w:rsidP="00590B1C">
      <w:pPr>
        <w:spacing w:before="0"/>
        <w:rPr>
          <w:rFonts w:cs="Times New Roman"/>
          <w:bCs/>
          <w:szCs w:val="24"/>
        </w:rPr>
      </w:pPr>
    </w:p>
    <w:p w14:paraId="3CE46A43" w14:textId="77777777" w:rsidR="00590B1C" w:rsidRDefault="00590B1C" w:rsidP="00590B1C">
      <w:pPr>
        <w:spacing w:before="0"/>
        <w:rPr>
          <w:rFonts w:cs="Times New Roman"/>
          <w:bCs/>
          <w:i/>
          <w:iCs/>
          <w:szCs w:val="24"/>
        </w:rPr>
      </w:pPr>
      <w:r w:rsidRPr="00D443FE">
        <w:rPr>
          <w:rFonts w:cs="Times New Roman"/>
          <w:bCs/>
          <w:i/>
          <w:iCs/>
          <w:szCs w:val="24"/>
        </w:rPr>
        <w:t>Annals of Hematology</w:t>
      </w:r>
    </w:p>
    <w:p w14:paraId="21CD5BC4" w14:textId="77777777" w:rsidR="00590B1C" w:rsidRPr="00D443FE" w:rsidRDefault="00590B1C" w:rsidP="00590B1C">
      <w:pPr>
        <w:spacing w:before="0"/>
        <w:rPr>
          <w:rFonts w:cs="Times New Roman"/>
          <w:bCs/>
          <w:i/>
          <w:iCs/>
          <w:szCs w:val="24"/>
        </w:rPr>
      </w:pPr>
    </w:p>
    <w:p w14:paraId="5E46365C" w14:textId="77777777" w:rsidR="00590B1C" w:rsidRDefault="00590B1C" w:rsidP="00590B1C">
      <w:pPr>
        <w:spacing w:before="0"/>
        <w:rPr>
          <w:rFonts w:cs="Times New Roman"/>
          <w:bCs/>
          <w:szCs w:val="24"/>
        </w:rPr>
      </w:pPr>
      <w:r w:rsidRPr="00B758DD">
        <w:rPr>
          <w:rFonts w:cs="Times New Roman"/>
          <w:bCs/>
          <w:szCs w:val="24"/>
        </w:rPr>
        <w:t>Weijun Fu, Soo-Mee Bang, Honghui Huang, Kihyun Kim, Wei Li, Gang An, Je-Jung Lee, Zhen Cai</w:t>
      </w:r>
      <w:r>
        <w:rPr>
          <w:rFonts w:cs="Times New Roman"/>
          <w:bCs/>
          <w:szCs w:val="24"/>
        </w:rPr>
        <w:t>,</w:t>
      </w:r>
      <w:r w:rsidRPr="00B758DD">
        <w:rPr>
          <w:rFonts w:cs="Times New Roman"/>
          <w:bCs/>
          <w:szCs w:val="24"/>
        </w:rPr>
        <w:t xml:space="preserve"> Jie Jin, Yafei Wang, Chor Sang Chim, Robin Carson, Rui Liu, Lingling Wang, Man Zhao, Xi Chen</w:t>
      </w:r>
      <w:r w:rsidRPr="00FA6B95">
        <w:rPr>
          <w:rFonts w:cs="Times New Roman"/>
          <w:bCs/>
          <w:szCs w:val="24"/>
        </w:rPr>
        <w:t>,</w:t>
      </w:r>
      <w:r w:rsidRPr="00B758DD">
        <w:rPr>
          <w:rFonts w:cs="Times New Roman"/>
          <w:bCs/>
          <w:szCs w:val="24"/>
        </w:rPr>
        <w:t xml:space="preserve"> Canchan Cui, Jian Hou, Jianxiang Wang</w:t>
      </w:r>
    </w:p>
    <w:p w14:paraId="46A03E30" w14:textId="77777777" w:rsidR="00590B1C" w:rsidRDefault="00590B1C" w:rsidP="00590B1C">
      <w:pPr>
        <w:spacing w:before="0"/>
        <w:rPr>
          <w:rFonts w:cs="Times New Roman"/>
          <w:bCs/>
          <w:szCs w:val="24"/>
        </w:rPr>
      </w:pPr>
    </w:p>
    <w:p w14:paraId="0C7E9E51" w14:textId="77777777" w:rsidR="00590B1C" w:rsidRPr="00B758DD" w:rsidRDefault="00590B1C" w:rsidP="00590B1C">
      <w:pPr>
        <w:spacing w:before="0"/>
        <w:rPr>
          <w:rFonts w:cs="Times New Roman"/>
          <w:b/>
          <w:szCs w:val="24"/>
        </w:rPr>
      </w:pPr>
      <w:r w:rsidRPr="00B758DD">
        <w:rPr>
          <w:rFonts w:cs="Times New Roman"/>
          <w:b/>
          <w:szCs w:val="24"/>
        </w:rPr>
        <w:t>Corresponding author</w:t>
      </w:r>
      <w:r>
        <w:rPr>
          <w:rFonts w:cs="Times New Roman"/>
          <w:b/>
          <w:szCs w:val="24"/>
        </w:rPr>
        <w:t>s</w:t>
      </w:r>
      <w:r w:rsidRPr="00B758DD">
        <w:rPr>
          <w:rFonts w:cs="Times New Roman"/>
          <w:b/>
          <w:szCs w:val="24"/>
        </w:rPr>
        <w:t>:</w:t>
      </w:r>
    </w:p>
    <w:p w14:paraId="708C4BF6" w14:textId="77777777" w:rsidR="00590B1C" w:rsidRPr="00B758DD" w:rsidRDefault="00590B1C" w:rsidP="00590B1C">
      <w:pPr>
        <w:spacing w:before="0"/>
        <w:rPr>
          <w:rFonts w:cs="Times New Roman"/>
          <w:szCs w:val="24"/>
        </w:rPr>
      </w:pPr>
      <w:r w:rsidRPr="00B758DD">
        <w:rPr>
          <w:rFonts w:cs="Times New Roman"/>
          <w:szCs w:val="24"/>
        </w:rPr>
        <w:t>Prof. Jianxiang Wang</w:t>
      </w:r>
    </w:p>
    <w:p w14:paraId="514B0198" w14:textId="77777777" w:rsidR="00590B1C" w:rsidRPr="00B758DD" w:rsidRDefault="00590B1C" w:rsidP="00590B1C">
      <w:pPr>
        <w:spacing w:before="0"/>
        <w:rPr>
          <w:rFonts w:cs="Times New Roman"/>
          <w:szCs w:val="24"/>
        </w:rPr>
      </w:pPr>
      <w:r w:rsidRPr="00B758DD">
        <w:rPr>
          <w:rFonts w:cs="Times New Roman"/>
          <w:szCs w:val="24"/>
        </w:rPr>
        <w:t>Chinese Academy of Medical Sciences &amp; Peking Union Medical College, Tianjin, China</w:t>
      </w:r>
    </w:p>
    <w:p w14:paraId="45890D58" w14:textId="77777777" w:rsidR="00590B1C" w:rsidRPr="00B758DD" w:rsidRDefault="00590B1C" w:rsidP="00590B1C">
      <w:pPr>
        <w:spacing w:before="0"/>
        <w:rPr>
          <w:rFonts w:cs="Times New Roman"/>
          <w:szCs w:val="24"/>
        </w:rPr>
      </w:pPr>
      <w:r w:rsidRPr="00B758DD">
        <w:rPr>
          <w:rFonts w:cs="Times New Roman"/>
          <w:szCs w:val="24"/>
        </w:rPr>
        <w:t>Email: wangjx@ihcams.ac.cn</w:t>
      </w:r>
    </w:p>
    <w:p w14:paraId="35D1BCBD" w14:textId="77777777" w:rsidR="00590B1C" w:rsidRDefault="00590B1C" w:rsidP="00590B1C">
      <w:pPr>
        <w:spacing w:before="0"/>
        <w:rPr>
          <w:rFonts w:cs="Times New Roman"/>
          <w:bCs/>
          <w:szCs w:val="24"/>
        </w:rPr>
      </w:pPr>
    </w:p>
    <w:p w14:paraId="4A427B59" w14:textId="77777777" w:rsidR="00590B1C" w:rsidRDefault="00590B1C" w:rsidP="00590B1C">
      <w:pPr>
        <w:spacing w:before="0"/>
        <w:rPr>
          <w:rFonts w:cs="Times New Roman"/>
          <w:szCs w:val="24"/>
        </w:rPr>
      </w:pPr>
      <w:r>
        <w:rPr>
          <w:rFonts w:cs="Times New Roman"/>
          <w:szCs w:val="24"/>
        </w:rPr>
        <w:t xml:space="preserve">Prof. </w:t>
      </w:r>
      <w:r w:rsidRPr="00B758DD">
        <w:rPr>
          <w:rFonts w:cs="Times New Roman"/>
          <w:szCs w:val="24"/>
        </w:rPr>
        <w:t>Jian Hou</w:t>
      </w:r>
    </w:p>
    <w:p w14:paraId="7382D341" w14:textId="77777777" w:rsidR="00590B1C" w:rsidRDefault="00590B1C" w:rsidP="00590B1C">
      <w:pPr>
        <w:spacing w:before="0"/>
        <w:rPr>
          <w:rFonts w:cs="Times New Roman"/>
          <w:szCs w:val="24"/>
        </w:rPr>
      </w:pPr>
      <w:r w:rsidRPr="00B758DD">
        <w:rPr>
          <w:rFonts w:cs="Times New Roman"/>
          <w:szCs w:val="24"/>
        </w:rPr>
        <w:t>Renji Hospital, Shanghai Jiao</w:t>
      </w:r>
      <w:r>
        <w:rPr>
          <w:rFonts w:cs="Times New Roman"/>
          <w:szCs w:val="24"/>
        </w:rPr>
        <w:t xml:space="preserve"> T</w:t>
      </w:r>
      <w:r w:rsidRPr="00B758DD">
        <w:rPr>
          <w:rFonts w:cs="Times New Roman"/>
          <w:szCs w:val="24"/>
        </w:rPr>
        <w:t>ong University School of Medicine, Shanghai, China</w:t>
      </w:r>
    </w:p>
    <w:p w14:paraId="7CEF6137" w14:textId="77777777" w:rsidR="00590B1C" w:rsidRPr="007E4434" w:rsidRDefault="00590B1C" w:rsidP="00590B1C">
      <w:pPr>
        <w:spacing w:before="0"/>
        <w:rPr>
          <w:rFonts w:cs="Times New Roman"/>
          <w:szCs w:val="24"/>
        </w:rPr>
      </w:pPr>
      <w:r>
        <w:rPr>
          <w:rFonts w:cs="Times New Roman"/>
          <w:szCs w:val="24"/>
        </w:rPr>
        <w:t>Email: houjian@medmail.com.cn</w:t>
      </w:r>
      <w:r w:rsidRPr="00B758DD">
        <w:br w:type="page"/>
      </w:r>
    </w:p>
    <w:p w14:paraId="06717DE2" w14:textId="77777777" w:rsidR="00590B1C" w:rsidRPr="00B758DD" w:rsidRDefault="00590B1C" w:rsidP="00590B1C">
      <w:pPr>
        <w:spacing w:before="0"/>
        <w:rPr>
          <w:b/>
          <w:bCs/>
        </w:rPr>
      </w:pPr>
      <w:r w:rsidRPr="00B758DD">
        <w:rPr>
          <w:b/>
          <w:bCs/>
        </w:rPr>
        <w:t>Supplementary Methods</w:t>
      </w:r>
    </w:p>
    <w:p w14:paraId="4AF7072A" w14:textId="77777777" w:rsidR="00590B1C" w:rsidRPr="00B758DD" w:rsidRDefault="00590B1C" w:rsidP="00590B1C">
      <w:pPr>
        <w:pStyle w:val="Heading2"/>
        <w:spacing w:before="0"/>
      </w:pPr>
      <w:r w:rsidRPr="00B758DD">
        <w:t>Pre- and post-dose medications</w:t>
      </w:r>
    </w:p>
    <w:p w14:paraId="01DABBB7" w14:textId="77777777" w:rsidR="00590B1C" w:rsidRPr="00B758DD" w:rsidRDefault="00590B1C" w:rsidP="00590B1C">
      <w:pPr>
        <w:spacing w:before="0"/>
      </w:pPr>
      <w:r w:rsidRPr="00B758DD">
        <w:t>In an effort to mitigate the incidence of infusion</w:t>
      </w:r>
      <w:r>
        <w:t>-</w:t>
      </w:r>
      <w:r w:rsidRPr="00B758DD">
        <w:t xml:space="preserve">related reactions, patients in the daratumumab plus bortezomib/melphalan/prednisone </w:t>
      </w:r>
      <w:r>
        <w:t>(</w:t>
      </w:r>
      <w:r w:rsidRPr="00B758DD">
        <w:t>D-VMP</w:t>
      </w:r>
      <w:r>
        <w:t>)</w:t>
      </w:r>
      <w:r w:rsidRPr="00B758DD">
        <w:t xml:space="preserve"> group were provided with the following medications 1 to 3 hours prior to each study drug administration:</w:t>
      </w:r>
    </w:p>
    <w:p w14:paraId="3F600CB5" w14:textId="77777777" w:rsidR="00590B1C" w:rsidRPr="00B758DD" w:rsidRDefault="00590B1C" w:rsidP="00590B1C">
      <w:pPr>
        <w:pStyle w:val="ListParagraph"/>
        <w:numPr>
          <w:ilvl w:val="0"/>
          <w:numId w:val="3"/>
        </w:numPr>
        <w:spacing w:before="0"/>
      </w:pPr>
      <w:r w:rsidRPr="00B758DD">
        <w:t>An antipyretic, such as paracetamol/acetaminophen 650 to 1000 mg intravenously (IV) or orally (PO)</w:t>
      </w:r>
    </w:p>
    <w:p w14:paraId="62D4628E" w14:textId="77777777" w:rsidR="00590B1C" w:rsidRPr="00B758DD" w:rsidRDefault="00590B1C" w:rsidP="00590B1C">
      <w:pPr>
        <w:pStyle w:val="ListParagraph"/>
        <w:numPr>
          <w:ilvl w:val="0"/>
          <w:numId w:val="3"/>
        </w:numPr>
        <w:spacing w:before="0"/>
      </w:pPr>
      <w:r w:rsidRPr="00B758DD">
        <w:t>An antihistamine, such as diphenhydramine 25</w:t>
      </w:r>
      <w:r>
        <w:t xml:space="preserve"> to </w:t>
      </w:r>
      <w:r w:rsidRPr="00B758DD">
        <w:t>50 mg IV or PO, or equivalent. Patients were to avoid IV use of promethazine</w:t>
      </w:r>
    </w:p>
    <w:p w14:paraId="08D5DA86" w14:textId="77777777" w:rsidR="00590B1C" w:rsidRPr="00B758DD" w:rsidRDefault="00590B1C" w:rsidP="00590B1C">
      <w:pPr>
        <w:pStyle w:val="ListParagraph"/>
        <w:numPr>
          <w:ilvl w:val="0"/>
          <w:numId w:val="3"/>
        </w:numPr>
        <w:spacing w:before="0"/>
      </w:pPr>
      <w:r w:rsidRPr="00B758DD">
        <w:t>Dexamethasone 20 mg IV or PO, or equivalent. On days when patients received this dose of dexamethasone in the clinic, prednisone was not permitted to be self-administered at home</w:t>
      </w:r>
    </w:p>
    <w:p w14:paraId="0F2D009A" w14:textId="77777777" w:rsidR="00590B1C" w:rsidRPr="00B758DD" w:rsidRDefault="00590B1C" w:rsidP="00590B1C">
      <w:pPr>
        <w:pStyle w:val="ListParagraph"/>
        <w:numPr>
          <w:ilvl w:val="0"/>
          <w:numId w:val="3"/>
        </w:numPr>
        <w:spacing w:before="0"/>
      </w:pPr>
      <w:r w:rsidRPr="00B758DD">
        <w:t>A leukotriene inhibitor, such as montelukast 10 mg PO or equivalent, was optional on Cycle 1 Day 1 and could be administered up to 24 hours before study treatment administration as per investigator discretion</w:t>
      </w:r>
    </w:p>
    <w:p w14:paraId="4C7CD715" w14:textId="77777777" w:rsidR="00590B1C" w:rsidRPr="00B758DD" w:rsidRDefault="00590B1C" w:rsidP="00590B1C">
      <w:pPr>
        <w:spacing w:before="0"/>
      </w:pPr>
      <w:r w:rsidRPr="00B758DD">
        <w:t>If it was deemed necessary, all oral pre-dose medications could be administered outside of the clinic on the day of the infusion, provided they were taken within 3 hours before the study treatment administration.</w:t>
      </w:r>
    </w:p>
    <w:p w14:paraId="6C5410E0" w14:textId="77777777" w:rsidR="00590B1C" w:rsidRPr="00B758DD" w:rsidRDefault="00590B1C" w:rsidP="00590B1C">
      <w:pPr>
        <w:spacing w:before="0"/>
      </w:pPr>
    </w:p>
    <w:p w14:paraId="70184FD1" w14:textId="77777777" w:rsidR="00590B1C" w:rsidRPr="00B758DD" w:rsidRDefault="00590B1C" w:rsidP="00590B1C">
      <w:pPr>
        <w:spacing w:before="0"/>
      </w:pPr>
      <w:r w:rsidRPr="00B758DD">
        <w:t>For patients who presented with a high risk of respiratory complications, such as those with mild asthma or with chronic obstructive pulmonary disorders and an forced expiratory volume in 1 second of &lt;80% at screening, the following post-dose medications were to be considered:</w:t>
      </w:r>
    </w:p>
    <w:p w14:paraId="6FBAFB3C" w14:textId="77777777" w:rsidR="00590B1C" w:rsidRPr="00B758DD" w:rsidRDefault="00590B1C" w:rsidP="00590B1C">
      <w:pPr>
        <w:pStyle w:val="ListParagraph"/>
        <w:numPr>
          <w:ilvl w:val="0"/>
          <w:numId w:val="3"/>
        </w:numPr>
        <w:spacing w:before="0"/>
      </w:pPr>
      <w:r w:rsidRPr="00B758DD">
        <w:t>Antihistamine, such as diphenhydramine or equivalent</w:t>
      </w:r>
    </w:p>
    <w:p w14:paraId="734525CE" w14:textId="77777777" w:rsidR="00590B1C" w:rsidRPr="00B758DD" w:rsidRDefault="00590B1C" w:rsidP="00590B1C">
      <w:pPr>
        <w:pStyle w:val="ListParagraph"/>
        <w:numPr>
          <w:ilvl w:val="0"/>
          <w:numId w:val="3"/>
        </w:numPr>
        <w:spacing w:before="0"/>
      </w:pPr>
      <w:r w:rsidRPr="00B758DD">
        <w:t>Leukotriene inhibitor, such as montelukast or equivalent</w:t>
      </w:r>
    </w:p>
    <w:p w14:paraId="3EC8372A" w14:textId="77777777" w:rsidR="00590B1C" w:rsidRPr="00B758DD" w:rsidRDefault="00590B1C" w:rsidP="00590B1C">
      <w:pPr>
        <w:pStyle w:val="ListParagraph"/>
        <w:numPr>
          <w:ilvl w:val="0"/>
          <w:numId w:val="3"/>
        </w:numPr>
        <w:spacing w:before="0"/>
      </w:pPr>
      <w:r w:rsidRPr="00B758DD">
        <w:t>Short-acting β</w:t>
      </w:r>
      <w:r w:rsidRPr="00B758DD">
        <w:rPr>
          <w:vertAlign w:val="subscript"/>
        </w:rPr>
        <w:t>2</w:t>
      </w:r>
      <w:r w:rsidRPr="00B758DD">
        <w:t xml:space="preserve"> adrenergic receptor agonist, such as salbutamol aerosol</w:t>
      </w:r>
    </w:p>
    <w:p w14:paraId="21F90C51" w14:textId="77777777" w:rsidR="00590B1C" w:rsidRPr="00B758DD" w:rsidRDefault="00590B1C" w:rsidP="00590B1C">
      <w:pPr>
        <w:pStyle w:val="ListParagraph"/>
        <w:numPr>
          <w:ilvl w:val="0"/>
          <w:numId w:val="3"/>
        </w:numPr>
        <w:spacing w:before="0"/>
      </w:pPr>
      <w:r w:rsidRPr="00B758DD">
        <w:t>Control medications for lung disease, such as inhaled corticosteroids ± long-acting β</w:t>
      </w:r>
      <w:r w:rsidRPr="00B758DD">
        <w:rPr>
          <w:vertAlign w:val="subscript"/>
        </w:rPr>
        <w:t>2</w:t>
      </w:r>
      <w:r w:rsidRPr="00B758DD">
        <w:t xml:space="preserve"> adrenergic receptor agonists for patients with asthma and long-acting bronchodilators (eg, tiotropium or salmeterol) ± inhaled corticosteroids for patients with chronic obstructive pulmonary disorder</w:t>
      </w:r>
    </w:p>
    <w:p w14:paraId="6A5A52E5" w14:textId="77777777" w:rsidR="00590B1C" w:rsidRPr="00B758DD" w:rsidRDefault="00590B1C" w:rsidP="00590B1C">
      <w:pPr>
        <w:spacing w:before="0"/>
      </w:pPr>
      <w:r w:rsidRPr="00B758DD">
        <w:t>Any post-dose medication was administered after the study treatment administration had been completed. For patients previously treated with daratumumab IV who switched to daratumumab subcutaneous (SC) on Day 1 of any cycle, post-dose medications were offered after ≥1 doses of daratumumab SC per investigator discretion.</w:t>
      </w:r>
    </w:p>
    <w:p w14:paraId="262B025F" w14:textId="77777777" w:rsidR="00590B1C" w:rsidRPr="00B758DD" w:rsidRDefault="00590B1C" w:rsidP="00590B1C">
      <w:pPr>
        <w:spacing w:before="0"/>
      </w:pPr>
    </w:p>
    <w:p w14:paraId="5B06AE8F" w14:textId="77777777" w:rsidR="00590B1C" w:rsidRPr="00B758DD" w:rsidRDefault="00590B1C" w:rsidP="00590B1C">
      <w:pPr>
        <w:pStyle w:val="Heading2"/>
        <w:spacing w:before="0"/>
      </w:pPr>
      <w:r w:rsidRPr="00B758DD">
        <w:t>Overview of ALCYONE study design</w:t>
      </w:r>
    </w:p>
    <w:p w14:paraId="2A6378B2" w14:textId="77777777" w:rsidR="00590B1C" w:rsidRPr="00B758DD" w:rsidRDefault="00590B1C" w:rsidP="00590B1C">
      <w:pPr>
        <w:spacing w:before="0"/>
      </w:pPr>
      <w:r w:rsidRPr="00B758DD">
        <w:t xml:space="preserve">Complete study design has been published previously (Mateos MV, et al. </w:t>
      </w:r>
      <w:r w:rsidRPr="00B758DD">
        <w:rPr>
          <w:i/>
          <w:iCs/>
        </w:rPr>
        <w:t>Lancet</w:t>
      </w:r>
      <w:r w:rsidRPr="00B758DD">
        <w:t xml:space="preserve">. 2020;395(10218):132-141). Briefly, ALCYONE (ClinicalTrials.gov </w:t>
      </w:r>
      <w:r>
        <w:t>i</w:t>
      </w:r>
      <w:r w:rsidRPr="00B758DD">
        <w:t>dentifier: NCT02195479) was a phase 3, multicenter, randomized</w:t>
      </w:r>
      <w:r>
        <w:t>,</w:t>
      </w:r>
      <w:r w:rsidRPr="00B758DD">
        <w:t xml:space="preserve"> open-label clinical trial that enrolled patients between February 9, 2015, and July 14, 2016, across 162 sites in 25 countries (North America, South America, Europe, and the Asia-Pacific regions). Eligible patients were aged ≥18 years with newly diagnosed multiple myeloma who were ineligible for high-dose chemotherapy with autologous stem</w:t>
      </w:r>
      <w:r>
        <w:t xml:space="preserve"> </w:t>
      </w:r>
      <w:r w:rsidRPr="00B758DD">
        <w:t xml:space="preserve">cell transplant due to age ≥65 years or due to the presence of substantial comorbidities. Patients were randomized 1:1 to receive D-VMP or </w:t>
      </w:r>
      <w:r w:rsidRPr="00B758DD">
        <w:rPr>
          <w:rFonts w:cs="Times New Roman"/>
          <w:szCs w:val="24"/>
        </w:rPr>
        <w:t xml:space="preserve">bortezomib/melphalan/prednisone </w:t>
      </w:r>
      <w:r>
        <w:rPr>
          <w:rFonts w:cs="Times New Roman"/>
          <w:szCs w:val="24"/>
        </w:rPr>
        <w:t>(</w:t>
      </w:r>
      <w:r w:rsidRPr="00B758DD">
        <w:t>VMP</w:t>
      </w:r>
      <w:r>
        <w:t>)</w:t>
      </w:r>
      <w:r w:rsidRPr="00B758DD">
        <w:t>, stratified by International Staging System (I, II, or III), geographical region (Europe or other), and age (&lt;75 or ≥75 years). All patients received up to nine 6-week cycles of bortezomib (1.3 mg/m</w:t>
      </w:r>
      <w:r w:rsidRPr="00B758DD">
        <w:rPr>
          <w:vertAlign w:val="superscript"/>
        </w:rPr>
        <w:t>2</w:t>
      </w:r>
      <w:r w:rsidRPr="00B758DD">
        <w:t xml:space="preserve"> SC on Days 1, 4, 8, 11, 22, 29, and 32 of Cycle 1 and Days 1, 8, 22, and 29 of Cycles 2</w:t>
      </w:r>
      <w:r>
        <w:rPr>
          <w:rFonts w:cs="Times New Roman"/>
        </w:rPr>
        <w:t>–</w:t>
      </w:r>
      <w:r w:rsidRPr="00B758DD">
        <w:t>9) and melphalan (9 mg/m</w:t>
      </w:r>
      <w:r w:rsidRPr="00B758DD">
        <w:rPr>
          <w:vertAlign w:val="superscript"/>
        </w:rPr>
        <w:t>2</w:t>
      </w:r>
      <w:r w:rsidRPr="00B758DD">
        <w:t xml:space="preserve"> PO once daily on Days 1–4 of each cycle) and prednisone (60 mg/m</w:t>
      </w:r>
      <w:r w:rsidRPr="00B758DD">
        <w:rPr>
          <w:vertAlign w:val="superscript"/>
        </w:rPr>
        <w:t>2</w:t>
      </w:r>
      <w:r w:rsidRPr="00B758DD">
        <w:t xml:space="preserve"> PO once daily on Days 1–4 of each cycle). Patients allocated to the D-VMP group also received daratumumab (16 mg/kg IV once weekly during Cycle 1, once every 3 weeks in Cycles 2</w:t>
      </w:r>
      <w:r w:rsidRPr="00B758DD">
        <w:rPr>
          <w:rFonts w:cs="Times New Roman"/>
        </w:rPr>
        <w:t>‒</w:t>
      </w:r>
      <w:r w:rsidRPr="00B758DD">
        <w:t xml:space="preserve">9, and once every 4 weeks thereafter [Cycles </w:t>
      </w:r>
      <w:r w:rsidRPr="00B758DD">
        <w:rPr>
          <w:rFonts w:cs="Times New Roman"/>
        </w:rPr>
        <w:t>≥</w:t>
      </w:r>
      <w:r w:rsidRPr="00B758DD">
        <w:t xml:space="preserve">10]) until disease progression or unacceptable toxicity. To mitigate the incidence of infusion-related reactions in the D-VMP group, dexamethasone 20 mg was substituted for prednisone on Day 1 of Cycles 1 </w:t>
      </w:r>
      <w:r>
        <w:t>through</w:t>
      </w:r>
      <w:r w:rsidRPr="00B758DD">
        <w:t xml:space="preserve"> 9 as pre-infusion therapy.</w:t>
      </w:r>
    </w:p>
    <w:p w14:paraId="451A08D9" w14:textId="77777777" w:rsidR="00590B1C" w:rsidRPr="00B758DD" w:rsidRDefault="00590B1C" w:rsidP="00590B1C">
      <w:pPr>
        <w:spacing w:before="0"/>
      </w:pPr>
    </w:p>
    <w:p w14:paraId="12D251EA" w14:textId="77777777" w:rsidR="00590B1C" w:rsidRPr="00B758DD" w:rsidRDefault="00590B1C" w:rsidP="00590B1C">
      <w:pPr>
        <w:spacing w:before="0"/>
      </w:pPr>
      <w:r w:rsidRPr="00B758DD">
        <w:t>The primary endpoint of ALCYONE was progression-free survival. Minimal residual disease (MRD)</w:t>
      </w:r>
      <w:r>
        <w:t xml:space="preserve"> </w:t>
      </w:r>
      <w:r w:rsidRPr="00B758DD">
        <w:t>negativity was a secondary endpoint. MRD was assessed in bone marrow aspirate via next-generation sequencing at a sensitivity threshold of 10</w:t>
      </w:r>
      <w:r w:rsidRPr="00B758DD">
        <w:rPr>
          <w:rFonts w:cs="Times New Roman"/>
          <w:vertAlign w:val="superscript"/>
        </w:rPr>
        <w:t>–</w:t>
      </w:r>
      <w:r w:rsidRPr="00B758DD">
        <w:rPr>
          <w:vertAlign w:val="superscript"/>
        </w:rPr>
        <w:t>5</w:t>
      </w:r>
      <w:r w:rsidRPr="00B758DD">
        <w:t xml:space="preserve">, measured at confirmation or complete response or stringent complete response and at 12, 18, 24, and 30 months after the first dose of study treatment to assess the durability of MRD negativity in patients who maintained </w:t>
      </w:r>
      <w:r>
        <w:t>complete response</w:t>
      </w:r>
      <w:r w:rsidRPr="00B758DD">
        <w:t xml:space="preserve">/stringent complete response. </w:t>
      </w:r>
    </w:p>
    <w:p w14:paraId="299D32C2" w14:textId="77777777" w:rsidR="00590B1C" w:rsidRPr="00B758DD" w:rsidRDefault="00590B1C" w:rsidP="00590B1C">
      <w:pPr>
        <w:spacing w:before="0"/>
      </w:pPr>
    </w:p>
    <w:p w14:paraId="0EB11186" w14:textId="77777777" w:rsidR="00590B1C" w:rsidRPr="00B758DD" w:rsidRDefault="00590B1C" w:rsidP="00590B1C">
      <w:pPr>
        <w:pStyle w:val="Heading2"/>
        <w:spacing w:before="0"/>
      </w:pPr>
      <w:r w:rsidRPr="00B758DD">
        <w:t>Exploratory subgroup analyses of the OCTANS and ALCYONE studies</w:t>
      </w:r>
    </w:p>
    <w:p w14:paraId="39F9FB60" w14:textId="77777777" w:rsidR="00590B1C" w:rsidRPr="00B758DD" w:rsidRDefault="00590B1C" w:rsidP="00590B1C">
      <w:pPr>
        <w:spacing w:before="0"/>
        <w:rPr>
          <w:rFonts w:cs="Times New Roman"/>
          <w:szCs w:val="24"/>
        </w:rPr>
      </w:pPr>
      <w:r w:rsidRPr="00B758DD">
        <w:rPr>
          <w:rFonts w:cs="Times New Roman"/>
          <w:szCs w:val="24"/>
        </w:rPr>
        <w:t>A total of 220 Asian patients (D-VMP, n = 146; VMP, n = 74) were randomized in the OCTANS study and 706 global patients (D-VMP, n = 350; VMP, n = 356) were randomized in the ALCYONE study. The OCTANS and ALCYONE studies enrolled similar patient populations, except that OCTANS enrolled patients from sites specifically within the Asia-Pacific region whereas ALCYONE enrolled patients from sites across North America, South America, Europe, and the Asia-Pacific region. Study treatment regimens were similar between studies. The data cutoff date for the OCTANS analyses was December 23, 2022 (median [range] follow-up of 41.2 [0</w:t>
      </w:r>
      <w:r w:rsidRPr="00B758DD">
        <w:t>–</w:t>
      </w:r>
      <w:r w:rsidRPr="00B758DD">
        <w:rPr>
          <w:rFonts w:cs="Times New Roman"/>
          <w:szCs w:val="24"/>
        </w:rPr>
        <w:t>59.9] months), and the data cutoff date for the ALCYONE analyses was June 24, 2019 (median [range] follow-up of 40.1 [0</w:t>
      </w:r>
      <w:r w:rsidRPr="00B758DD">
        <w:t>–</w:t>
      </w:r>
      <w:r w:rsidRPr="00B758DD">
        <w:rPr>
          <w:rFonts w:cs="Times New Roman"/>
          <w:szCs w:val="24"/>
        </w:rPr>
        <w:t>52.1] months).</w:t>
      </w:r>
    </w:p>
    <w:p w14:paraId="462D6678" w14:textId="77777777" w:rsidR="00590B1C" w:rsidRPr="00B758DD" w:rsidRDefault="00590B1C" w:rsidP="00590B1C">
      <w:pPr>
        <w:spacing w:before="0"/>
        <w:rPr>
          <w:rFonts w:cs="Times New Roman"/>
          <w:szCs w:val="24"/>
        </w:rPr>
      </w:pPr>
    </w:p>
    <w:p w14:paraId="56C0E634" w14:textId="77777777" w:rsidR="00590B1C" w:rsidRPr="00B758DD" w:rsidRDefault="00590B1C" w:rsidP="00590B1C">
      <w:pPr>
        <w:spacing w:before="0"/>
      </w:pPr>
      <w:r w:rsidRPr="00B758DD">
        <w:t>MRD negativity was measured at a sensitivity threshold of 10</w:t>
      </w:r>
      <w:r w:rsidRPr="00B758DD">
        <w:rPr>
          <w:rFonts w:cs="Times New Roman"/>
          <w:vertAlign w:val="superscript"/>
        </w:rPr>
        <w:t>–</w:t>
      </w:r>
      <w:r w:rsidRPr="00B758DD">
        <w:rPr>
          <w:vertAlign w:val="superscript"/>
        </w:rPr>
        <w:t>5</w:t>
      </w:r>
      <w:r w:rsidRPr="00B758DD">
        <w:t xml:space="preserve"> and assessed by multiparameter flow cytometry in OCTANS and next-generation sequencing in ALCYONE; due to differences in the study methodology, no pooling of ALCYONE and OCTANS MRD data was performed. Sustained MRD negativity was defined as MRD negative and confirmed 12 months or 18 months later without an MRD-positive result in between. </w:t>
      </w:r>
      <w:r w:rsidRPr="00B758DD">
        <w:rPr>
          <w:i/>
          <w:iCs/>
        </w:rPr>
        <w:t>P</w:t>
      </w:r>
      <w:r w:rsidRPr="00B758DD">
        <w:t xml:space="preserve"> values for MRD status were calculated via Fisher’s exact test. In both studies, cytogenetic risk was assessed by fluorescence in situ hybridization or karyotype testing, with high cytogenetic risk defined by the presence of del</w:t>
      </w:r>
      <w:r>
        <w:t>(</w:t>
      </w:r>
      <w:r w:rsidRPr="00B758DD">
        <w:t>17p</w:t>
      </w:r>
      <w:r>
        <w:t>)</w:t>
      </w:r>
      <w:r w:rsidRPr="00B758DD">
        <w:t xml:space="preserve">, t(4;14), and/or t(14;16) abnormalities. For </w:t>
      </w:r>
      <w:r>
        <w:t>progression-free survival</w:t>
      </w:r>
      <w:r w:rsidRPr="00B758DD">
        <w:t xml:space="preserve"> analyses, hazard ratios and 95% confidence intervals were calculated using a stratified Cox proportional hazards model with treatment as the sole explanatory variable; </w:t>
      </w:r>
      <w:r w:rsidRPr="00B758DD">
        <w:rPr>
          <w:i/>
          <w:iCs/>
        </w:rPr>
        <w:t>P</w:t>
      </w:r>
      <w:r w:rsidRPr="00B758DD">
        <w:t xml:space="preserve"> values were calculated via a stratified log-rank test.</w:t>
      </w:r>
    </w:p>
    <w:p w14:paraId="414C4636" w14:textId="77777777" w:rsidR="00590B1C" w:rsidRPr="00B758DD" w:rsidRDefault="00590B1C" w:rsidP="00590B1C">
      <w:pPr>
        <w:spacing w:before="0"/>
        <w:rPr>
          <w:rFonts w:cs="Times New Roman"/>
          <w:szCs w:val="24"/>
        </w:rPr>
        <w:sectPr w:rsidR="00590B1C" w:rsidRPr="00B758DD" w:rsidSect="00590B1C">
          <w:footerReference w:type="default" r:id="rId8"/>
          <w:pgSz w:w="12240" w:h="15840"/>
          <w:pgMar w:top="1440" w:right="1440" w:bottom="1440" w:left="1440" w:header="720" w:footer="720" w:gutter="0"/>
          <w:pgNumType w:start="1"/>
          <w:cols w:space="720"/>
          <w:docGrid w:linePitch="360"/>
        </w:sectPr>
      </w:pPr>
    </w:p>
    <w:p w14:paraId="0C1CAB3B" w14:textId="77777777" w:rsidR="00590B1C" w:rsidRDefault="00590B1C" w:rsidP="00590B1C">
      <w:pPr>
        <w:pStyle w:val="Heading1"/>
        <w:spacing w:before="0"/>
        <w:rPr>
          <w:b w:val="0"/>
          <w:bCs/>
        </w:rPr>
      </w:pPr>
      <w:r>
        <w:t xml:space="preserve">Supplemental Table S1 </w:t>
      </w:r>
      <w:r w:rsidRPr="001A405B">
        <w:rPr>
          <w:b w:val="0"/>
          <w:bCs/>
        </w:rPr>
        <w:t xml:space="preserve">Patient </w:t>
      </w:r>
      <w:r>
        <w:rPr>
          <w:b w:val="0"/>
          <w:bCs/>
        </w:rPr>
        <w:t>E</w:t>
      </w:r>
      <w:r w:rsidRPr="001A405B">
        <w:rPr>
          <w:b w:val="0"/>
          <w:bCs/>
        </w:rPr>
        <w:t xml:space="preserve">nrollment </w:t>
      </w:r>
      <w:r>
        <w:rPr>
          <w:b w:val="0"/>
          <w:bCs/>
        </w:rPr>
        <w:t xml:space="preserve">in OCTANS </w:t>
      </w:r>
      <w:r w:rsidRPr="001A405B">
        <w:rPr>
          <w:b w:val="0"/>
          <w:bCs/>
        </w:rPr>
        <w:t xml:space="preserve">by </w:t>
      </w:r>
      <w:r>
        <w:rPr>
          <w:b w:val="0"/>
          <w:bCs/>
        </w:rPr>
        <w:t>S</w:t>
      </w:r>
      <w:r w:rsidRPr="001A405B">
        <w:rPr>
          <w:b w:val="0"/>
          <w:bCs/>
        </w:rPr>
        <w:t xml:space="preserve">tudy </w:t>
      </w:r>
      <w:r>
        <w:rPr>
          <w:b w:val="0"/>
          <w:bCs/>
        </w:rPr>
        <w:t>S</w:t>
      </w:r>
      <w:r w:rsidRPr="001A405B">
        <w:rPr>
          <w:b w:val="0"/>
          <w:bCs/>
        </w:rPr>
        <w:t>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126"/>
        <w:gridCol w:w="2127"/>
        <w:gridCol w:w="2127"/>
      </w:tblGrid>
      <w:tr w:rsidR="00590B1C" w14:paraId="10BAFA10" w14:textId="77777777" w:rsidTr="008A189E">
        <w:tc>
          <w:tcPr>
            <w:tcW w:w="2970" w:type="dxa"/>
            <w:tcBorders>
              <w:top w:val="single" w:sz="4" w:space="0" w:color="auto"/>
              <w:bottom w:val="single" w:sz="4" w:space="0" w:color="auto"/>
            </w:tcBorders>
          </w:tcPr>
          <w:p w14:paraId="42E1AF3B" w14:textId="77777777" w:rsidR="00590B1C" w:rsidRDefault="00590B1C" w:rsidP="008A189E">
            <w:pPr>
              <w:pStyle w:val="Heading1"/>
              <w:keepNext w:val="0"/>
              <w:keepLines w:val="0"/>
              <w:widowControl w:val="0"/>
              <w:spacing w:before="0" w:line="240" w:lineRule="auto"/>
              <w:jc w:val="center"/>
            </w:pPr>
          </w:p>
        </w:tc>
        <w:tc>
          <w:tcPr>
            <w:tcW w:w="2126" w:type="dxa"/>
            <w:tcBorders>
              <w:top w:val="single" w:sz="4" w:space="0" w:color="auto"/>
              <w:bottom w:val="single" w:sz="4" w:space="0" w:color="auto"/>
            </w:tcBorders>
          </w:tcPr>
          <w:p w14:paraId="670C3822" w14:textId="77777777" w:rsidR="00590B1C" w:rsidRDefault="00590B1C" w:rsidP="008A189E">
            <w:pPr>
              <w:pStyle w:val="Heading1"/>
              <w:keepNext w:val="0"/>
              <w:keepLines w:val="0"/>
              <w:widowControl w:val="0"/>
              <w:spacing w:before="0" w:line="240" w:lineRule="auto"/>
              <w:jc w:val="center"/>
            </w:pPr>
            <w:r>
              <w:t>D-VMP</w:t>
            </w:r>
          </w:p>
          <w:p w14:paraId="5AD2580D" w14:textId="77777777" w:rsidR="00590B1C" w:rsidRPr="001A405B" w:rsidRDefault="00590B1C" w:rsidP="008A189E">
            <w:pPr>
              <w:widowControl w:val="0"/>
              <w:spacing w:before="0" w:line="240" w:lineRule="auto"/>
              <w:jc w:val="center"/>
            </w:pPr>
            <w:r>
              <w:t>(n = 146)</w:t>
            </w:r>
          </w:p>
        </w:tc>
        <w:tc>
          <w:tcPr>
            <w:tcW w:w="2127" w:type="dxa"/>
            <w:tcBorders>
              <w:top w:val="single" w:sz="4" w:space="0" w:color="auto"/>
              <w:bottom w:val="single" w:sz="4" w:space="0" w:color="auto"/>
            </w:tcBorders>
          </w:tcPr>
          <w:p w14:paraId="5288D38C" w14:textId="77777777" w:rsidR="00590B1C" w:rsidRDefault="00590B1C" w:rsidP="008A189E">
            <w:pPr>
              <w:pStyle w:val="Heading1"/>
              <w:keepNext w:val="0"/>
              <w:keepLines w:val="0"/>
              <w:widowControl w:val="0"/>
              <w:spacing w:before="0" w:line="240" w:lineRule="auto"/>
              <w:jc w:val="center"/>
            </w:pPr>
            <w:r>
              <w:t>VMP</w:t>
            </w:r>
          </w:p>
          <w:p w14:paraId="6628801E" w14:textId="77777777" w:rsidR="00590B1C" w:rsidRPr="001A405B" w:rsidRDefault="00590B1C" w:rsidP="008A189E">
            <w:pPr>
              <w:widowControl w:val="0"/>
              <w:spacing w:before="0" w:line="240" w:lineRule="auto"/>
              <w:jc w:val="center"/>
            </w:pPr>
            <w:r>
              <w:t>(n = 74)</w:t>
            </w:r>
          </w:p>
        </w:tc>
        <w:tc>
          <w:tcPr>
            <w:tcW w:w="2127" w:type="dxa"/>
            <w:tcBorders>
              <w:top w:val="single" w:sz="4" w:space="0" w:color="auto"/>
              <w:bottom w:val="single" w:sz="4" w:space="0" w:color="auto"/>
            </w:tcBorders>
          </w:tcPr>
          <w:p w14:paraId="3AC7EC12" w14:textId="77777777" w:rsidR="00590B1C" w:rsidRDefault="00590B1C" w:rsidP="008A189E">
            <w:pPr>
              <w:pStyle w:val="Heading1"/>
              <w:keepNext w:val="0"/>
              <w:keepLines w:val="0"/>
              <w:widowControl w:val="0"/>
              <w:spacing w:before="0" w:line="240" w:lineRule="auto"/>
              <w:jc w:val="center"/>
            </w:pPr>
            <w:r>
              <w:t>Total</w:t>
            </w:r>
          </w:p>
          <w:p w14:paraId="22B83AF8" w14:textId="77777777" w:rsidR="00590B1C" w:rsidRPr="001A405B" w:rsidRDefault="00590B1C" w:rsidP="008A189E">
            <w:pPr>
              <w:widowControl w:val="0"/>
              <w:spacing w:before="0" w:line="240" w:lineRule="auto"/>
              <w:jc w:val="center"/>
            </w:pPr>
            <w:r>
              <w:t>(n = 220)</w:t>
            </w:r>
          </w:p>
        </w:tc>
      </w:tr>
      <w:tr w:rsidR="00590B1C" w14:paraId="0FC9F7F7" w14:textId="77777777" w:rsidTr="008A189E">
        <w:tc>
          <w:tcPr>
            <w:tcW w:w="2970" w:type="dxa"/>
            <w:tcBorders>
              <w:top w:val="single" w:sz="4" w:space="0" w:color="auto"/>
            </w:tcBorders>
          </w:tcPr>
          <w:p w14:paraId="7017F39A" w14:textId="77777777" w:rsidR="00590B1C" w:rsidRPr="001A405B" w:rsidRDefault="00590B1C" w:rsidP="008A189E">
            <w:pPr>
              <w:pStyle w:val="Heading1"/>
              <w:keepNext w:val="0"/>
              <w:keepLines w:val="0"/>
              <w:widowControl w:val="0"/>
              <w:spacing w:before="0" w:line="240" w:lineRule="auto"/>
              <w:rPr>
                <w:b w:val="0"/>
                <w:bCs/>
              </w:rPr>
            </w:pPr>
            <w:r w:rsidRPr="001A405B">
              <w:rPr>
                <w:b w:val="0"/>
                <w:bCs/>
              </w:rPr>
              <w:t>Country/</w:t>
            </w:r>
            <w:r>
              <w:rPr>
                <w:b w:val="0"/>
                <w:bCs/>
              </w:rPr>
              <w:t>r</w:t>
            </w:r>
            <w:r w:rsidRPr="001A405B">
              <w:rPr>
                <w:b w:val="0"/>
                <w:bCs/>
              </w:rPr>
              <w:t xml:space="preserve">egion </w:t>
            </w:r>
            <w:r>
              <w:rPr>
                <w:b w:val="0"/>
                <w:bCs/>
              </w:rPr>
              <w:t>s</w:t>
            </w:r>
            <w:r w:rsidRPr="001A405B">
              <w:rPr>
                <w:b w:val="0"/>
                <w:bCs/>
              </w:rPr>
              <w:t>ite</w:t>
            </w:r>
            <w:r>
              <w:rPr>
                <w:b w:val="0"/>
                <w:bCs/>
              </w:rPr>
              <w:t>, n (%)</w:t>
            </w:r>
          </w:p>
        </w:tc>
        <w:tc>
          <w:tcPr>
            <w:tcW w:w="2126" w:type="dxa"/>
            <w:tcBorders>
              <w:top w:val="single" w:sz="4" w:space="0" w:color="auto"/>
            </w:tcBorders>
          </w:tcPr>
          <w:p w14:paraId="61E95933" w14:textId="77777777" w:rsidR="00590B1C" w:rsidRDefault="00590B1C" w:rsidP="008A189E">
            <w:pPr>
              <w:pStyle w:val="Heading1"/>
              <w:keepNext w:val="0"/>
              <w:keepLines w:val="0"/>
              <w:widowControl w:val="0"/>
              <w:spacing w:before="0" w:line="240" w:lineRule="auto"/>
              <w:jc w:val="center"/>
            </w:pPr>
          </w:p>
        </w:tc>
        <w:tc>
          <w:tcPr>
            <w:tcW w:w="2127" w:type="dxa"/>
            <w:tcBorders>
              <w:top w:val="single" w:sz="4" w:space="0" w:color="auto"/>
            </w:tcBorders>
          </w:tcPr>
          <w:p w14:paraId="500FD5EA" w14:textId="77777777" w:rsidR="00590B1C" w:rsidRDefault="00590B1C" w:rsidP="008A189E">
            <w:pPr>
              <w:pStyle w:val="Heading1"/>
              <w:keepNext w:val="0"/>
              <w:keepLines w:val="0"/>
              <w:widowControl w:val="0"/>
              <w:spacing w:before="0" w:line="240" w:lineRule="auto"/>
              <w:jc w:val="center"/>
            </w:pPr>
          </w:p>
        </w:tc>
        <w:tc>
          <w:tcPr>
            <w:tcW w:w="2127" w:type="dxa"/>
            <w:tcBorders>
              <w:top w:val="single" w:sz="4" w:space="0" w:color="auto"/>
            </w:tcBorders>
          </w:tcPr>
          <w:p w14:paraId="0A8E4A6D" w14:textId="77777777" w:rsidR="00590B1C" w:rsidRDefault="00590B1C" w:rsidP="008A189E">
            <w:pPr>
              <w:pStyle w:val="Heading1"/>
              <w:keepNext w:val="0"/>
              <w:keepLines w:val="0"/>
              <w:widowControl w:val="0"/>
              <w:spacing w:before="0" w:line="240" w:lineRule="auto"/>
              <w:jc w:val="center"/>
            </w:pPr>
          </w:p>
        </w:tc>
      </w:tr>
      <w:tr w:rsidR="00590B1C" w14:paraId="028B7D82" w14:textId="77777777" w:rsidTr="008A189E">
        <w:tc>
          <w:tcPr>
            <w:tcW w:w="2970" w:type="dxa"/>
          </w:tcPr>
          <w:p w14:paraId="523A7354" w14:textId="77777777" w:rsidR="00590B1C" w:rsidRPr="001A405B" w:rsidRDefault="00590B1C" w:rsidP="008A189E">
            <w:pPr>
              <w:pStyle w:val="Heading1"/>
              <w:keepNext w:val="0"/>
              <w:keepLines w:val="0"/>
              <w:widowControl w:val="0"/>
              <w:spacing w:before="0" w:line="240" w:lineRule="auto"/>
              <w:ind w:left="288"/>
              <w:rPr>
                <w:b w:val="0"/>
                <w:bCs/>
              </w:rPr>
            </w:pPr>
            <w:r>
              <w:rPr>
                <w:b w:val="0"/>
                <w:bCs/>
              </w:rPr>
              <w:t>China</w:t>
            </w:r>
          </w:p>
        </w:tc>
        <w:tc>
          <w:tcPr>
            <w:tcW w:w="2126" w:type="dxa"/>
          </w:tcPr>
          <w:p w14:paraId="27674AFD" w14:textId="77777777" w:rsidR="00590B1C" w:rsidRPr="00C36DB1" w:rsidRDefault="00590B1C" w:rsidP="008A189E">
            <w:pPr>
              <w:pStyle w:val="Heading1"/>
              <w:keepNext w:val="0"/>
              <w:keepLines w:val="0"/>
              <w:widowControl w:val="0"/>
              <w:spacing w:before="0" w:line="240" w:lineRule="auto"/>
              <w:jc w:val="center"/>
              <w:rPr>
                <w:rFonts w:cs="Times New Roman"/>
                <w:szCs w:val="24"/>
              </w:rPr>
            </w:pPr>
          </w:p>
        </w:tc>
        <w:tc>
          <w:tcPr>
            <w:tcW w:w="2127" w:type="dxa"/>
          </w:tcPr>
          <w:p w14:paraId="40B48DD9" w14:textId="77777777" w:rsidR="00590B1C" w:rsidRPr="00C36DB1" w:rsidRDefault="00590B1C" w:rsidP="008A189E">
            <w:pPr>
              <w:pStyle w:val="Heading1"/>
              <w:keepNext w:val="0"/>
              <w:keepLines w:val="0"/>
              <w:widowControl w:val="0"/>
              <w:spacing w:before="0" w:line="240" w:lineRule="auto"/>
              <w:jc w:val="center"/>
              <w:rPr>
                <w:rFonts w:cs="Times New Roman"/>
                <w:szCs w:val="24"/>
              </w:rPr>
            </w:pPr>
          </w:p>
        </w:tc>
        <w:tc>
          <w:tcPr>
            <w:tcW w:w="2127" w:type="dxa"/>
          </w:tcPr>
          <w:p w14:paraId="69B291AD" w14:textId="77777777" w:rsidR="00590B1C" w:rsidRPr="00C36DB1" w:rsidRDefault="00590B1C" w:rsidP="008A189E">
            <w:pPr>
              <w:pStyle w:val="Heading1"/>
              <w:keepNext w:val="0"/>
              <w:keepLines w:val="0"/>
              <w:widowControl w:val="0"/>
              <w:spacing w:before="0" w:line="240" w:lineRule="auto"/>
              <w:jc w:val="center"/>
              <w:rPr>
                <w:rFonts w:cs="Times New Roman"/>
                <w:szCs w:val="24"/>
              </w:rPr>
            </w:pPr>
          </w:p>
        </w:tc>
      </w:tr>
      <w:tr w:rsidR="00590B1C" w14:paraId="3DD647DC" w14:textId="77777777" w:rsidTr="008A189E">
        <w:tc>
          <w:tcPr>
            <w:tcW w:w="2970" w:type="dxa"/>
          </w:tcPr>
          <w:p w14:paraId="3C5A87AB" w14:textId="77777777" w:rsidR="00590B1C" w:rsidRDefault="00590B1C" w:rsidP="008A189E">
            <w:pPr>
              <w:pStyle w:val="Heading1"/>
              <w:keepNext w:val="0"/>
              <w:keepLines w:val="0"/>
              <w:widowControl w:val="0"/>
              <w:spacing w:before="0" w:line="240" w:lineRule="auto"/>
              <w:ind w:left="576"/>
              <w:rPr>
                <w:b w:val="0"/>
                <w:bCs/>
              </w:rPr>
            </w:pPr>
            <w:r>
              <w:rPr>
                <w:b w:val="0"/>
                <w:bCs/>
              </w:rPr>
              <w:t>CN10001</w:t>
            </w:r>
          </w:p>
        </w:tc>
        <w:tc>
          <w:tcPr>
            <w:tcW w:w="2126" w:type="dxa"/>
          </w:tcPr>
          <w:p w14:paraId="781381BD"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16 (11.0)</w:t>
            </w:r>
          </w:p>
        </w:tc>
        <w:tc>
          <w:tcPr>
            <w:tcW w:w="2127" w:type="dxa"/>
          </w:tcPr>
          <w:p w14:paraId="1F651F9B"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8 (10.8)</w:t>
            </w:r>
          </w:p>
        </w:tc>
        <w:tc>
          <w:tcPr>
            <w:tcW w:w="2127" w:type="dxa"/>
          </w:tcPr>
          <w:p w14:paraId="057A3F2D"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24 (10.9)</w:t>
            </w:r>
          </w:p>
        </w:tc>
      </w:tr>
      <w:tr w:rsidR="00590B1C" w14:paraId="50625088" w14:textId="77777777" w:rsidTr="008A189E">
        <w:tc>
          <w:tcPr>
            <w:tcW w:w="2970" w:type="dxa"/>
          </w:tcPr>
          <w:p w14:paraId="608FAAB2" w14:textId="77777777" w:rsidR="00590B1C" w:rsidRDefault="00590B1C" w:rsidP="008A189E">
            <w:pPr>
              <w:pStyle w:val="Heading1"/>
              <w:keepNext w:val="0"/>
              <w:keepLines w:val="0"/>
              <w:widowControl w:val="0"/>
              <w:spacing w:before="0" w:line="240" w:lineRule="auto"/>
              <w:ind w:left="576"/>
              <w:rPr>
                <w:b w:val="0"/>
                <w:bCs/>
              </w:rPr>
            </w:pPr>
            <w:r>
              <w:rPr>
                <w:b w:val="0"/>
                <w:bCs/>
              </w:rPr>
              <w:t>CN10003</w:t>
            </w:r>
          </w:p>
        </w:tc>
        <w:tc>
          <w:tcPr>
            <w:tcW w:w="2126" w:type="dxa"/>
          </w:tcPr>
          <w:p w14:paraId="02945E7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5 (3.4)</w:t>
            </w:r>
          </w:p>
        </w:tc>
        <w:tc>
          <w:tcPr>
            <w:tcW w:w="2127" w:type="dxa"/>
          </w:tcPr>
          <w:p w14:paraId="10F888A5"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(2.7)</w:t>
            </w:r>
          </w:p>
        </w:tc>
        <w:tc>
          <w:tcPr>
            <w:tcW w:w="2127" w:type="dxa"/>
          </w:tcPr>
          <w:p w14:paraId="299EE92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7 (3.2)</w:t>
            </w:r>
          </w:p>
        </w:tc>
      </w:tr>
      <w:tr w:rsidR="00590B1C" w14:paraId="33477498" w14:textId="77777777" w:rsidTr="008A189E">
        <w:tc>
          <w:tcPr>
            <w:tcW w:w="2970" w:type="dxa"/>
          </w:tcPr>
          <w:p w14:paraId="66B85E6D" w14:textId="77777777" w:rsidR="00590B1C" w:rsidRDefault="00590B1C" w:rsidP="008A189E">
            <w:pPr>
              <w:pStyle w:val="Heading1"/>
              <w:keepNext w:val="0"/>
              <w:keepLines w:val="0"/>
              <w:widowControl w:val="0"/>
              <w:spacing w:before="0" w:line="240" w:lineRule="auto"/>
              <w:ind w:left="576"/>
              <w:rPr>
                <w:b w:val="0"/>
                <w:bCs/>
              </w:rPr>
            </w:pPr>
            <w:r>
              <w:rPr>
                <w:b w:val="0"/>
                <w:bCs/>
              </w:rPr>
              <w:t>CN10004</w:t>
            </w:r>
          </w:p>
        </w:tc>
        <w:tc>
          <w:tcPr>
            <w:tcW w:w="2126" w:type="dxa"/>
          </w:tcPr>
          <w:p w14:paraId="4A0B607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5 (3.4)</w:t>
            </w:r>
          </w:p>
        </w:tc>
        <w:tc>
          <w:tcPr>
            <w:tcW w:w="2127" w:type="dxa"/>
          </w:tcPr>
          <w:p w14:paraId="3180085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(2.7)</w:t>
            </w:r>
          </w:p>
        </w:tc>
        <w:tc>
          <w:tcPr>
            <w:tcW w:w="2127" w:type="dxa"/>
          </w:tcPr>
          <w:p w14:paraId="17CD1FBE"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7 (3.2)</w:t>
            </w:r>
          </w:p>
        </w:tc>
      </w:tr>
      <w:tr w:rsidR="00590B1C" w14:paraId="5089F438" w14:textId="77777777" w:rsidTr="008A189E">
        <w:tc>
          <w:tcPr>
            <w:tcW w:w="2970" w:type="dxa"/>
          </w:tcPr>
          <w:p w14:paraId="5750CA60" w14:textId="77777777" w:rsidR="00590B1C" w:rsidRDefault="00590B1C" w:rsidP="008A189E">
            <w:pPr>
              <w:pStyle w:val="Heading1"/>
              <w:keepNext w:val="0"/>
              <w:keepLines w:val="0"/>
              <w:widowControl w:val="0"/>
              <w:spacing w:before="0" w:line="240" w:lineRule="auto"/>
              <w:ind w:left="576"/>
              <w:rPr>
                <w:b w:val="0"/>
                <w:bCs/>
              </w:rPr>
            </w:pPr>
            <w:r>
              <w:rPr>
                <w:b w:val="0"/>
                <w:bCs/>
              </w:rPr>
              <w:t>CN10005</w:t>
            </w:r>
          </w:p>
        </w:tc>
        <w:tc>
          <w:tcPr>
            <w:tcW w:w="2126" w:type="dxa"/>
          </w:tcPr>
          <w:p w14:paraId="5170B8F0"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Pr>
          <w:p w14:paraId="6C73B6E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Pr>
          <w:p w14:paraId="2E3C0B4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19D06DAA" w14:textId="77777777" w:rsidTr="008A189E">
        <w:tc>
          <w:tcPr>
            <w:tcW w:w="2970" w:type="dxa"/>
          </w:tcPr>
          <w:p w14:paraId="576AD61E" w14:textId="77777777" w:rsidR="00590B1C" w:rsidRDefault="00590B1C" w:rsidP="008A189E">
            <w:pPr>
              <w:pStyle w:val="Heading1"/>
              <w:keepNext w:val="0"/>
              <w:keepLines w:val="0"/>
              <w:widowControl w:val="0"/>
              <w:spacing w:before="0" w:line="240" w:lineRule="auto"/>
              <w:ind w:left="576"/>
              <w:rPr>
                <w:b w:val="0"/>
                <w:bCs/>
              </w:rPr>
            </w:pPr>
            <w:r>
              <w:rPr>
                <w:b w:val="0"/>
                <w:bCs/>
              </w:rPr>
              <w:t>CN10006</w:t>
            </w:r>
          </w:p>
        </w:tc>
        <w:tc>
          <w:tcPr>
            <w:tcW w:w="2126" w:type="dxa"/>
          </w:tcPr>
          <w:p w14:paraId="38A52B9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Pr>
          <w:p w14:paraId="33853E6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(2.7)</w:t>
            </w:r>
          </w:p>
        </w:tc>
        <w:tc>
          <w:tcPr>
            <w:tcW w:w="2127" w:type="dxa"/>
          </w:tcPr>
          <w:p w14:paraId="19B6EDE0"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4 (1.8)</w:t>
            </w:r>
          </w:p>
        </w:tc>
      </w:tr>
      <w:tr w:rsidR="00590B1C" w14:paraId="18A4153D" w14:textId="77777777" w:rsidTr="008A189E">
        <w:tc>
          <w:tcPr>
            <w:tcW w:w="2970" w:type="dxa"/>
          </w:tcPr>
          <w:p w14:paraId="6C0BCA94" w14:textId="77777777" w:rsidR="00590B1C" w:rsidRDefault="00590B1C" w:rsidP="008A189E">
            <w:pPr>
              <w:pStyle w:val="Heading1"/>
              <w:keepNext w:val="0"/>
              <w:keepLines w:val="0"/>
              <w:widowControl w:val="0"/>
              <w:spacing w:before="0" w:line="240" w:lineRule="auto"/>
              <w:ind w:left="576"/>
              <w:rPr>
                <w:b w:val="0"/>
                <w:bCs/>
              </w:rPr>
            </w:pPr>
            <w:r>
              <w:rPr>
                <w:b w:val="0"/>
                <w:bCs/>
              </w:rPr>
              <w:t>CN10007</w:t>
            </w:r>
          </w:p>
        </w:tc>
        <w:tc>
          <w:tcPr>
            <w:tcW w:w="2126" w:type="dxa"/>
          </w:tcPr>
          <w:p w14:paraId="1B6775F8"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6 (4.1)</w:t>
            </w:r>
          </w:p>
        </w:tc>
        <w:tc>
          <w:tcPr>
            <w:tcW w:w="2127" w:type="dxa"/>
          </w:tcPr>
          <w:p w14:paraId="6B257BA4"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5 (6.8)</w:t>
            </w:r>
          </w:p>
        </w:tc>
        <w:tc>
          <w:tcPr>
            <w:tcW w:w="2127" w:type="dxa"/>
          </w:tcPr>
          <w:p w14:paraId="18052689"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11 (5.0)</w:t>
            </w:r>
          </w:p>
        </w:tc>
      </w:tr>
      <w:tr w:rsidR="00590B1C" w14:paraId="2BBE995C" w14:textId="77777777" w:rsidTr="008A189E">
        <w:tc>
          <w:tcPr>
            <w:tcW w:w="2970" w:type="dxa"/>
          </w:tcPr>
          <w:p w14:paraId="69CF72DD" w14:textId="77777777" w:rsidR="00590B1C" w:rsidRDefault="00590B1C" w:rsidP="008A189E">
            <w:pPr>
              <w:pStyle w:val="Heading1"/>
              <w:keepNext w:val="0"/>
              <w:keepLines w:val="0"/>
              <w:widowControl w:val="0"/>
              <w:spacing w:before="0" w:line="240" w:lineRule="auto"/>
              <w:ind w:left="576"/>
              <w:rPr>
                <w:b w:val="0"/>
                <w:bCs/>
              </w:rPr>
            </w:pPr>
            <w:r>
              <w:rPr>
                <w:b w:val="0"/>
                <w:bCs/>
              </w:rPr>
              <w:t>CN10008</w:t>
            </w:r>
          </w:p>
        </w:tc>
        <w:tc>
          <w:tcPr>
            <w:tcW w:w="2126" w:type="dxa"/>
          </w:tcPr>
          <w:p w14:paraId="567680D8"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3 (2.1)</w:t>
            </w:r>
          </w:p>
        </w:tc>
        <w:tc>
          <w:tcPr>
            <w:tcW w:w="2127" w:type="dxa"/>
          </w:tcPr>
          <w:p w14:paraId="1B39C247"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5 (6.8)</w:t>
            </w:r>
          </w:p>
        </w:tc>
        <w:tc>
          <w:tcPr>
            <w:tcW w:w="2127" w:type="dxa"/>
          </w:tcPr>
          <w:p w14:paraId="11DECF2D"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8 (3.6)</w:t>
            </w:r>
          </w:p>
        </w:tc>
      </w:tr>
      <w:tr w:rsidR="00590B1C" w14:paraId="333183A9" w14:textId="77777777" w:rsidTr="008A189E">
        <w:tc>
          <w:tcPr>
            <w:tcW w:w="2970" w:type="dxa"/>
          </w:tcPr>
          <w:p w14:paraId="4A0E381C" w14:textId="77777777" w:rsidR="00590B1C" w:rsidRDefault="00590B1C" w:rsidP="008A189E">
            <w:pPr>
              <w:pStyle w:val="Heading1"/>
              <w:keepNext w:val="0"/>
              <w:keepLines w:val="0"/>
              <w:widowControl w:val="0"/>
              <w:spacing w:before="0" w:line="240" w:lineRule="auto"/>
              <w:ind w:left="576"/>
              <w:rPr>
                <w:b w:val="0"/>
                <w:bCs/>
              </w:rPr>
            </w:pPr>
            <w:r>
              <w:rPr>
                <w:b w:val="0"/>
                <w:bCs/>
              </w:rPr>
              <w:t>CN10009</w:t>
            </w:r>
          </w:p>
        </w:tc>
        <w:tc>
          <w:tcPr>
            <w:tcW w:w="2126" w:type="dxa"/>
          </w:tcPr>
          <w:p w14:paraId="1E8B744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4 (2.7)</w:t>
            </w:r>
          </w:p>
        </w:tc>
        <w:tc>
          <w:tcPr>
            <w:tcW w:w="2127" w:type="dxa"/>
          </w:tcPr>
          <w:p w14:paraId="66F85CB2"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Pr>
          <w:p w14:paraId="61090C80"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5 (2.3)</w:t>
            </w:r>
          </w:p>
        </w:tc>
      </w:tr>
      <w:tr w:rsidR="00590B1C" w14:paraId="08E0FC72" w14:textId="77777777" w:rsidTr="008A189E">
        <w:tc>
          <w:tcPr>
            <w:tcW w:w="2970" w:type="dxa"/>
          </w:tcPr>
          <w:p w14:paraId="0D94B939" w14:textId="77777777" w:rsidR="00590B1C" w:rsidRDefault="00590B1C" w:rsidP="008A189E">
            <w:pPr>
              <w:pStyle w:val="Heading1"/>
              <w:keepNext w:val="0"/>
              <w:keepLines w:val="0"/>
              <w:widowControl w:val="0"/>
              <w:spacing w:before="0" w:line="240" w:lineRule="auto"/>
              <w:ind w:left="576"/>
              <w:rPr>
                <w:b w:val="0"/>
                <w:bCs/>
              </w:rPr>
            </w:pPr>
            <w:r>
              <w:rPr>
                <w:b w:val="0"/>
                <w:bCs/>
              </w:rPr>
              <w:t>CN10010</w:t>
            </w:r>
          </w:p>
        </w:tc>
        <w:tc>
          <w:tcPr>
            <w:tcW w:w="2126" w:type="dxa"/>
          </w:tcPr>
          <w:p w14:paraId="1D92767B"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3 (2.1)</w:t>
            </w:r>
          </w:p>
        </w:tc>
        <w:tc>
          <w:tcPr>
            <w:tcW w:w="2127" w:type="dxa"/>
          </w:tcPr>
          <w:p w14:paraId="16D81E0F"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3 (4.1)</w:t>
            </w:r>
          </w:p>
        </w:tc>
        <w:tc>
          <w:tcPr>
            <w:tcW w:w="2127" w:type="dxa"/>
          </w:tcPr>
          <w:p w14:paraId="7C05E2F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6 (2.7)</w:t>
            </w:r>
          </w:p>
        </w:tc>
      </w:tr>
      <w:tr w:rsidR="00590B1C" w14:paraId="04A63C09" w14:textId="77777777" w:rsidTr="008A189E">
        <w:tc>
          <w:tcPr>
            <w:tcW w:w="2970" w:type="dxa"/>
          </w:tcPr>
          <w:p w14:paraId="3A41454E" w14:textId="77777777" w:rsidR="00590B1C" w:rsidRDefault="00590B1C" w:rsidP="008A189E">
            <w:pPr>
              <w:pStyle w:val="Heading1"/>
              <w:keepNext w:val="0"/>
              <w:keepLines w:val="0"/>
              <w:widowControl w:val="0"/>
              <w:spacing w:before="0" w:line="240" w:lineRule="auto"/>
              <w:ind w:left="576"/>
              <w:rPr>
                <w:b w:val="0"/>
                <w:bCs/>
              </w:rPr>
            </w:pPr>
            <w:r>
              <w:rPr>
                <w:b w:val="0"/>
                <w:bCs/>
              </w:rPr>
              <w:t>CN10011</w:t>
            </w:r>
          </w:p>
        </w:tc>
        <w:tc>
          <w:tcPr>
            <w:tcW w:w="2126" w:type="dxa"/>
          </w:tcPr>
          <w:p w14:paraId="750C9B6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5 (3.4)</w:t>
            </w:r>
          </w:p>
        </w:tc>
        <w:tc>
          <w:tcPr>
            <w:tcW w:w="2127" w:type="dxa"/>
          </w:tcPr>
          <w:p w14:paraId="7FB27EA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Pr>
          <w:p w14:paraId="7DB0D9F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6 (2.7)</w:t>
            </w:r>
          </w:p>
        </w:tc>
      </w:tr>
      <w:tr w:rsidR="00590B1C" w14:paraId="26BDDF8D" w14:textId="77777777" w:rsidTr="008A189E">
        <w:tc>
          <w:tcPr>
            <w:tcW w:w="2970" w:type="dxa"/>
          </w:tcPr>
          <w:p w14:paraId="7859E960" w14:textId="77777777" w:rsidR="00590B1C" w:rsidRDefault="00590B1C" w:rsidP="008A189E">
            <w:pPr>
              <w:pStyle w:val="Heading1"/>
              <w:keepNext w:val="0"/>
              <w:keepLines w:val="0"/>
              <w:widowControl w:val="0"/>
              <w:spacing w:before="0" w:line="240" w:lineRule="auto"/>
              <w:ind w:left="576"/>
              <w:rPr>
                <w:b w:val="0"/>
                <w:bCs/>
              </w:rPr>
            </w:pPr>
            <w:r>
              <w:rPr>
                <w:b w:val="0"/>
                <w:bCs/>
              </w:rPr>
              <w:t>CN10012</w:t>
            </w:r>
          </w:p>
        </w:tc>
        <w:tc>
          <w:tcPr>
            <w:tcW w:w="2126" w:type="dxa"/>
          </w:tcPr>
          <w:p w14:paraId="2C5B0C5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Pr>
          <w:p w14:paraId="3BF5919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Pr>
          <w:p w14:paraId="56DE3C58"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49C4A339" w14:textId="77777777" w:rsidTr="008A189E">
        <w:tc>
          <w:tcPr>
            <w:tcW w:w="2970" w:type="dxa"/>
          </w:tcPr>
          <w:p w14:paraId="5D35E70F" w14:textId="77777777" w:rsidR="00590B1C" w:rsidRDefault="00590B1C" w:rsidP="008A189E">
            <w:pPr>
              <w:pStyle w:val="Heading1"/>
              <w:keepNext w:val="0"/>
              <w:keepLines w:val="0"/>
              <w:widowControl w:val="0"/>
              <w:spacing w:before="0" w:line="240" w:lineRule="auto"/>
              <w:ind w:left="576"/>
              <w:rPr>
                <w:b w:val="0"/>
                <w:bCs/>
              </w:rPr>
            </w:pPr>
            <w:r>
              <w:rPr>
                <w:b w:val="0"/>
                <w:bCs/>
              </w:rPr>
              <w:t>CN10013</w:t>
            </w:r>
          </w:p>
        </w:tc>
        <w:tc>
          <w:tcPr>
            <w:tcW w:w="2126" w:type="dxa"/>
          </w:tcPr>
          <w:p w14:paraId="77EE052F"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6 (4.1)</w:t>
            </w:r>
          </w:p>
        </w:tc>
        <w:tc>
          <w:tcPr>
            <w:tcW w:w="2127" w:type="dxa"/>
          </w:tcPr>
          <w:p w14:paraId="0149DB02"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(2.7)</w:t>
            </w:r>
          </w:p>
        </w:tc>
        <w:tc>
          <w:tcPr>
            <w:tcW w:w="2127" w:type="dxa"/>
          </w:tcPr>
          <w:p w14:paraId="096383D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8 (3.6)</w:t>
            </w:r>
          </w:p>
        </w:tc>
      </w:tr>
      <w:tr w:rsidR="00590B1C" w14:paraId="77AF7816" w14:textId="77777777" w:rsidTr="008A189E">
        <w:tc>
          <w:tcPr>
            <w:tcW w:w="2970" w:type="dxa"/>
          </w:tcPr>
          <w:p w14:paraId="17B68CD3" w14:textId="77777777" w:rsidR="00590B1C" w:rsidRDefault="00590B1C" w:rsidP="008A189E">
            <w:pPr>
              <w:pStyle w:val="Heading1"/>
              <w:keepNext w:val="0"/>
              <w:keepLines w:val="0"/>
              <w:widowControl w:val="0"/>
              <w:spacing w:before="0" w:line="240" w:lineRule="auto"/>
              <w:ind w:left="576"/>
              <w:rPr>
                <w:b w:val="0"/>
                <w:bCs/>
              </w:rPr>
            </w:pPr>
            <w:r>
              <w:rPr>
                <w:b w:val="0"/>
                <w:bCs/>
              </w:rPr>
              <w:t>CN10014</w:t>
            </w:r>
          </w:p>
        </w:tc>
        <w:tc>
          <w:tcPr>
            <w:tcW w:w="2126" w:type="dxa"/>
          </w:tcPr>
          <w:p w14:paraId="514544FB"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8 (5.5)</w:t>
            </w:r>
          </w:p>
        </w:tc>
        <w:tc>
          <w:tcPr>
            <w:tcW w:w="2127" w:type="dxa"/>
          </w:tcPr>
          <w:p w14:paraId="69743237"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(2.7)</w:t>
            </w:r>
          </w:p>
        </w:tc>
        <w:tc>
          <w:tcPr>
            <w:tcW w:w="2127" w:type="dxa"/>
          </w:tcPr>
          <w:p w14:paraId="29B74A70"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10 (4.5)</w:t>
            </w:r>
          </w:p>
        </w:tc>
      </w:tr>
      <w:tr w:rsidR="00590B1C" w14:paraId="789F6783" w14:textId="77777777" w:rsidTr="008A189E">
        <w:tc>
          <w:tcPr>
            <w:tcW w:w="2970" w:type="dxa"/>
          </w:tcPr>
          <w:p w14:paraId="219ED62F" w14:textId="77777777" w:rsidR="00590B1C" w:rsidRDefault="00590B1C" w:rsidP="008A189E">
            <w:pPr>
              <w:pStyle w:val="Heading1"/>
              <w:keepNext w:val="0"/>
              <w:keepLines w:val="0"/>
              <w:widowControl w:val="0"/>
              <w:spacing w:before="0" w:line="240" w:lineRule="auto"/>
              <w:ind w:left="576"/>
              <w:rPr>
                <w:b w:val="0"/>
                <w:bCs/>
              </w:rPr>
            </w:pPr>
            <w:r>
              <w:rPr>
                <w:b w:val="0"/>
                <w:bCs/>
              </w:rPr>
              <w:t>CN10016</w:t>
            </w:r>
          </w:p>
        </w:tc>
        <w:tc>
          <w:tcPr>
            <w:tcW w:w="2126" w:type="dxa"/>
          </w:tcPr>
          <w:p w14:paraId="658B9C05"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3 (2.1)</w:t>
            </w:r>
          </w:p>
        </w:tc>
        <w:tc>
          <w:tcPr>
            <w:tcW w:w="2127" w:type="dxa"/>
          </w:tcPr>
          <w:p w14:paraId="37ED4894"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Pr>
          <w:p w14:paraId="25062AA9"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3 (1.4)</w:t>
            </w:r>
          </w:p>
        </w:tc>
      </w:tr>
      <w:tr w:rsidR="00590B1C" w14:paraId="57956477" w14:textId="77777777" w:rsidTr="008A189E">
        <w:tc>
          <w:tcPr>
            <w:tcW w:w="2970" w:type="dxa"/>
          </w:tcPr>
          <w:p w14:paraId="16530FCB" w14:textId="77777777" w:rsidR="00590B1C" w:rsidRDefault="00590B1C" w:rsidP="008A189E">
            <w:pPr>
              <w:pStyle w:val="Heading1"/>
              <w:keepNext w:val="0"/>
              <w:keepLines w:val="0"/>
              <w:widowControl w:val="0"/>
              <w:spacing w:before="0" w:line="240" w:lineRule="auto"/>
              <w:ind w:left="576"/>
              <w:rPr>
                <w:b w:val="0"/>
                <w:bCs/>
              </w:rPr>
            </w:pPr>
            <w:r>
              <w:rPr>
                <w:b w:val="0"/>
                <w:bCs/>
              </w:rPr>
              <w:t>CN10017</w:t>
            </w:r>
          </w:p>
        </w:tc>
        <w:tc>
          <w:tcPr>
            <w:tcW w:w="2126" w:type="dxa"/>
          </w:tcPr>
          <w:p w14:paraId="0B91945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(0.7)</w:t>
            </w:r>
          </w:p>
        </w:tc>
        <w:tc>
          <w:tcPr>
            <w:tcW w:w="2127" w:type="dxa"/>
          </w:tcPr>
          <w:p w14:paraId="6AF3E2C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(2.7)</w:t>
            </w:r>
          </w:p>
        </w:tc>
        <w:tc>
          <w:tcPr>
            <w:tcW w:w="2127" w:type="dxa"/>
          </w:tcPr>
          <w:p w14:paraId="294F059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3 (1.4)</w:t>
            </w:r>
          </w:p>
        </w:tc>
      </w:tr>
      <w:tr w:rsidR="00590B1C" w14:paraId="37583798" w14:textId="77777777" w:rsidTr="008A189E">
        <w:tc>
          <w:tcPr>
            <w:tcW w:w="2970" w:type="dxa"/>
          </w:tcPr>
          <w:p w14:paraId="193C0C70" w14:textId="77777777" w:rsidR="00590B1C" w:rsidRDefault="00590B1C" w:rsidP="008A189E">
            <w:pPr>
              <w:pStyle w:val="Heading1"/>
              <w:keepNext w:val="0"/>
              <w:keepLines w:val="0"/>
              <w:widowControl w:val="0"/>
              <w:spacing w:before="0" w:line="240" w:lineRule="auto"/>
              <w:ind w:left="576"/>
              <w:rPr>
                <w:b w:val="0"/>
                <w:bCs/>
              </w:rPr>
            </w:pPr>
            <w:r>
              <w:rPr>
                <w:b w:val="0"/>
                <w:bCs/>
              </w:rPr>
              <w:t>CN10018</w:t>
            </w:r>
          </w:p>
        </w:tc>
        <w:tc>
          <w:tcPr>
            <w:tcW w:w="2126" w:type="dxa"/>
          </w:tcPr>
          <w:p w14:paraId="2FB5EB0C"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(0.7)</w:t>
            </w:r>
          </w:p>
        </w:tc>
        <w:tc>
          <w:tcPr>
            <w:tcW w:w="2127" w:type="dxa"/>
          </w:tcPr>
          <w:p w14:paraId="7106F45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Pr>
          <w:p w14:paraId="32D8844C"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5E3D9ECC" w14:textId="77777777" w:rsidTr="008A189E">
        <w:tc>
          <w:tcPr>
            <w:tcW w:w="2970" w:type="dxa"/>
          </w:tcPr>
          <w:p w14:paraId="4E598FD8" w14:textId="77777777" w:rsidR="00590B1C" w:rsidRDefault="00590B1C" w:rsidP="008A189E">
            <w:pPr>
              <w:pStyle w:val="Heading1"/>
              <w:keepNext w:val="0"/>
              <w:keepLines w:val="0"/>
              <w:widowControl w:val="0"/>
              <w:spacing w:before="0" w:line="240" w:lineRule="auto"/>
              <w:ind w:left="576"/>
              <w:rPr>
                <w:b w:val="0"/>
                <w:bCs/>
              </w:rPr>
            </w:pPr>
            <w:r>
              <w:rPr>
                <w:b w:val="0"/>
                <w:bCs/>
              </w:rPr>
              <w:t>CN10019</w:t>
            </w:r>
          </w:p>
        </w:tc>
        <w:tc>
          <w:tcPr>
            <w:tcW w:w="2126" w:type="dxa"/>
          </w:tcPr>
          <w:p w14:paraId="5CF0323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Pr>
          <w:p w14:paraId="05C2BB7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Pr>
          <w:p w14:paraId="1A9EEED8"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 (0.5)</w:t>
            </w:r>
          </w:p>
        </w:tc>
      </w:tr>
      <w:tr w:rsidR="00590B1C" w14:paraId="4307124A" w14:textId="77777777" w:rsidTr="008A189E">
        <w:tc>
          <w:tcPr>
            <w:tcW w:w="2970" w:type="dxa"/>
          </w:tcPr>
          <w:p w14:paraId="7D01D923" w14:textId="77777777" w:rsidR="00590B1C" w:rsidRDefault="00590B1C" w:rsidP="008A189E">
            <w:pPr>
              <w:pStyle w:val="Heading1"/>
              <w:keepNext w:val="0"/>
              <w:keepLines w:val="0"/>
              <w:widowControl w:val="0"/>
              <w:spacing w:before="0" w:line="240" w:lineRule="auto"/>
              <w:ind w:left="576"/>
              <w:rPr>
                <w:b w:val="0"/>
                <w:bCs/>
              </w:rPr>
            </w:pPr>
            <w:r>
              <w:rPr>
                <w:b w:val="0"/>
                <w:bCs/>
              </w:rPr>
              <w:t>CN10020</w:t>
            </w:r>
          </w:p>
        </w:tc>
        <w:tc>
          <w:tcPr>
            <w:tcW w:w="2126" w:type="dxa"/>
          </w:tcPr>
          <w:p w14:paraId="4AF41C89"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Pr>
          <w:p w14:paraId="11F7815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(2.7)</w:t>
            </w:r>
          </w:p>
        </w:tc>
        <w:tc>
          <w:tcPr>
            <w:tcW w:w="2127" w:type="dxa"/>
          </w:tcPr>
          <w:p w14:paraId="5F29008D"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4 (1.8)</w:t>
            </w:r>
          </w:p>
        </w:tc>
      </w:tr>
      <w:tr w:rsidR="00590B1C" w14:paraId="6D9EF406" w14:textId="77777777" w:rsidTr="008A189E">
        <w:tc>
          <w:tcPr>
            <w:tcW w:w="2970" w:type="dxa"/>
          </w:tcPr>
          <w:p w14:paraId="01557E66" w14:textId="77777777" w:rsidR="00590B1C" w:rsidRDefault="00590B1C" w:rsidP="008A189E">
            <w:pPr>
              <w:pStyle w:val="Heading1"/>
              <w:keepNext w:val="0"/>
              <w:keepLines w:val="0"/>
              <w:widowControl w:val="0"/>
              <w:spacing w:before="0" w:line="240" w:lineRule="auto"/>
              <w:ind w:left="576"/>
              <w:rPr>
                <w:b w:val="0"/>
                <w:bCs/>
              </w:rPr>
            </w:pPr>
            <w:r>
              <w:rPr>
                <w:b w:val="0"/>
                <w:bCs/>
              </w:rPr>
              <w:t>CN10021</w:t>
            </w:r>
          </w:p>
        </w:tc>
        <w:tc>
          <w:tcPr>
            <w:tcW w:w="2126" w:type="dxa"/>
          </w:tcPr>
          <w:p w14:paraId="47DEB68B"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4 (2.7)</w:t>
            </w:r>
          </w:p>
        </w:tc>
        <w:tc>
          <w:tcPr>
            <w:tcW w:w="2127" w:type="dxa"/>
          </w:tcPr>
          <w:p w14:paraId="460DC1C5"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3 (4.1)</w:t>
            </w:r>
          </w:p>
        </w:tc>
        <w:tc>
          <w:tcPr>
            <w:tcW w:w="2127" w:type="dxa"/>
          </w:tcPr>
          <w:p w14:paraId="18CF8E9E"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7 (3.2)</w:t>
            </w:r>
          </w:p>
        </w:tc>
      </w:tr>
      <w:tr w:rsidR="00590B1C" w14:paraId="03EAD3AE" w14:textId="77777777" w:rsidTr="008A189E">
        <w:tc>
          <w:tcPr>
            <w:tcW w:w="2970" w:type="dxa"/>
          </w:tcPr>
          <w:p w14:paraId="060485F7" w14:textId="77777777" w:rsidR="00590B1C" w:rsidRDefault="00590B1C" w:rsidP="008A189E">
            <w:pPr>
              <w:pStyle w:val="Heading1"/>
              <w:keepNext w:val="0"/>
              <w:keepLines w:val="0"/>
              <w:widowControl w:val="0"/>
              <w:spacing w:before="0" w:line="240" w:lineRule="auto"/>
              <w:ind w:left="576"/>
              <w:rPr>
                <w:b w:val="0"/>
                <w:bCs/>
              </w:rPr>
            </w:pPr>
            <w:r>
              <w:rPr>
                <w:b w:val="0"/>
                <w:bCs/>
              </w:rPr>
              <w:t>CN10024</w:t>
            </w:r>
          </w:p>
        </w:tc>
        <w:tc>
          <w:tcPr>
            <w:tcW w:w="2126" w:type="dxa"/>
          </w:tcPr>
          <w:p w14:paraId="76940AE7"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Pr>
          <w:p w14:paraId="2873264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Pr>
          <w:p w14:paraId="649003B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 (0.5)</w:t>
            </w:r>
          </w:p>
        </w:tc>
      </w:tr>
      <w:tr w:rsidR="00590B1C" w14:paraId="10B776CA" w14:textId="77777777" w:rsidTr="008A189E">
        <w:tc>
          <w:tcPr>
            <w:tcW w:w="2970" w:type="dxa"/>
          </w:tcPr>
          <w:p w14:paraId="62C77208" w14:textId="77777777" w:rsidR="00590B1C" w:rsidRDefault="00590B1C" w:rsidP="008A189E">
            <w:pPr>
              <w:pStyle w:val="Heading1"/>
              <w:keepNext w:val="0"/>
              <w:keepLines w:val="0"/>
              <w:widowControl w:val="0"/>
              <w:spacing w:before="0" w:line="240" w:lineRule="auto"/>
              <w:ind w:left="576"/>
              <w:rPr>
                <w:b w:val="0"/>
                <w:bCs/>
              </w:rPr>
            </w:pPr>
            <w:r>
              <w:rPr>
                <w:b w:val="0"/>
                <w:bCs/>
              </w:rPr>
              <w:t>CN10025</w:t>
            </w:r>
          </w:p>
        </w:tc>
        <w:tc>
          <w:tcPr>
            <w:tcW w:w="2126" w:type="dxa"/>
          </w:tcPr>
          <w:p w14:paraId="186E831C"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10 (6.8)</w:t>
            </w:r>
          </w:p>
        </w:tc>
        <w:tc>
          <w:tcPr>
            <w:tcW w:w="2127" w:type="dxa"/>
          </w:tcPr>
          <w:p w14:paraId="62A899B8"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3 (4.1)</w:t>
            </w:r>
          </w:p>
        </w:tc>
        <w:tc>
          <w:tcPr>
            <w:tcW w:w="2127" w:type="dxa"/>
          </w:tcPr>
          <w:p w14:paraId="791E0BCC"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13 (5.9)</w:t>
            </w:r>
          </w:p>
        </w:tc>
      </w:tr>
      <w:tr w:rsidR="00590B1C" w14:paraId="239F6E81" w14:textId="77777777" w:rsidTr="008A189E">
        <w:tc>
          <w:tcPr>
            <w:tcW w:w="2970" w:type="dxa"/>
          </w:tcPr>
          <w:p w14:paraId="6954E997" w14:textId="77777777" w:rsidR="00590B1C" w:rsidRDefault="00590B1C" w:rsidP="008A189E">
            <w:pPr>
              <w:pStyle w:val="Heading1"/>
              <w:keepNext w:val="0"/>
              <w:keepLines w:val="0"/>
              <w:widowControl w:val="0"/>
              <w:spacing w:before="0" w:line="240" w:lineRule="auto"/>
              <w:ind w:left="576"/>
              <w:rPr>
                <w:b w:val="0"/>
                <w:bCs/>
              </w:rPr>
            </w:pPr>
            <w:r>
              <w:rPr>
                <w:b w:val="0"/>
                <w:bCs/>
              </w:rPr>
              <w:t>CN10027</w:t>
            </w:r>
          </w:p>
        </w:tc>
        <w:tc>
          <w:tcPr>
            <w:tcW w:w="2126" w:type="dxa"/>
          </w:tcPr>
          <w:p w14:paraId="79922742"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Pr>
          <w:p w14:paraId="76F91445"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Pr>
          <w:p w14:paraId="4C8BA0A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20B29003" w14:textId="77777777" w:rsidTr="008A189E">
        <w:tc>
          <w:tcPr>
            <w:tcW w:w="2970" w:type="dxa"/>
          </w:tcPr>
          <w:p w14:paraId="365F0F0D" w14:textId="77777777" w:rsidR="00590B1C" w:rsidRDefault="00590B1C" w:rsidP="008A189E">
            <w:pPr>
              <w:pStyle w:val="Heading1"/>
              <w:keepNext w:val="0"/>
              <w:keepLines w:val="0"/>
              <w:widowControl w:val="0"/>
              <w:spacing w:before="0" w:line="240" w:lineRule="auto"/>
              <w:ind w:left="576"/>
              <w:rPr>
                <w:b w:val="0"/>
                <w:bCs/>
              </w:rPr>
            </w:pPr>
            <w:r>
              <w:rPr>
                <w:b w:val="0"/>
                <w:bCs/>
              </w:rPr>
              <w:t>CN10028</w:t>
            </w:r>
          </w:p>
        </w:tc>
        <w:tc>
          <w:tcPr>
            <w:tcW w:w="2126" w:type="dxa"/>
          </w:tcPr>
          <w:p w14:paraId="77D1246F"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11 (7.5)</w:t>
            </w:r>
          </w:p>
        </w:tc>
        <w:tc>
          <w:tcPr>
            <w:tcW w:w="2127" w:type="dxa"/>
          </w:tcPr>
          <w:p w14:paraId="2D6FB7CD"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3 (4.1)</w:t>
            </w:r>
          </w:p>
        </w:tc>
        <w:tc>
          <w:tcPr>
            <w:tcW w:w="2127" w:type="dxa"/>
          </w:tcPr>
          <w:p w14:paraId="31EB0884"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14 (6.4)</w:t>
            </w:r>
          </w:p>
        </w:tc>
      </w:tr>
      <w:tr w:rsidR="00590B1C" w14:paraId="6BF84B2C" w14:textId="77777777" w:rsidTr="008A189E">
        <w:tc>
          <w:tcPr>
            <w:tcW w:w="2970" w:type="dxa"/>
          </w:tcPr>
          <w:p w14:paraId="7D4B97AE" w14:textId="77777777" w:rsidR="00590B1C" w:rsidRDefault="00590B1C" w:rsidP="008A189E">
            <w:pPr>
              <w:pStyle w:val="Heading1"/>
              <w:keepNext w:val="0"/>
              <w:keepLines w:val="0"/>
              <w:widowControl w:val="0"/>
              <w:spacing w:before="0" w:line="240" w:lineRule="auto"/>
              <w:ind w:left="576"/>
              <w:rPr>
                <w:b w:val="0"/>
                <w:bCs/>
              </w:rPr>
            </w:pPr>
            <w:r>
              <w:rPr>
                <w:b w:val="0"/>
                <w:bCs/>
              </w:rPr>
              <w:t>CN10029</w:t>
            </w:r>
          </w:p>
        </w:tc>
        <w:tc>
          <w:tcPr>
            <w:tcW w:w="2126" w:type="dxa"/>
          </w:tcPr>
          <w:p w14:paraId="5806F12F"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(0.7)</w:t>
            </w:r>
          </w:p>
        </w:tc>
        <w:tc>
          <w:tcPr>
            <w:tcW w:w="2127" w:type="dxa"/>
          </w:tcPr>
          <w:p w14:paraId="1D5F856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Pr>
          <w:p w14:paraId="748D4E0D"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6BC48341" w14:textId="77777777" w:rsidTr="008A189E">
        <w:tc>
          <w:tcPr>
            <w:tcW w:w="2970" w:type="dxa"/>
          </w:tcPr>
          <w:p w14:paraId="2F68B9F7" w14:textId="77777777" w:rsidR="00590B1C" w:rsidRDefault="00590B1C" w:rsidP="008A189E">
            <w:pPr>
              <w:pStyle w:val="Heading1"/>
              <w:keepNext w:val="0"/>
              <w:keepLines w:val="0"/>
              <w:widowControl w:val="0"/>
              <w:spacing w:before="0" w:line="240" w:lineRule="auto"/>
              <w:ind w:left="576"/>
              <w:rPr>
                <w:b w:val="0"/>
                <w:bCs/>
              </w:rPr>
            </w:pPr>
            <w:r>
              <w:rPr>
                <w:b w:val="0"/>
                <w:bCs/>
              </w:rPr>
              <w:t>CN10030</w:t>
            </w:r>
          </w:p>
        </w:tc>
        <w:tc>
          <w:tcPr>
            <w:tcW w:w="2126" w:type="dxa"/>
          </w:tcPr>
          <w:p w14:paraId="5FB3109F"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Pr>
          <w:p w14:paraId="73918012"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Pr>
          <w:p w14:paraId="2FEB2A5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1BEC98B5" w14:textId="77777777" w:rsidTr="008A189E">
        <w:tc>
          <w:tcPr>
            <w:tcW w:w="2970" w:type="dxa"/>
            <w:tcBorders>
              <w:bottom w:val="single" w:sz="4" w:space="0" w:color="auto"/>
            </w:tcBorders>
          </w:tcPr>
          <w:p w14:paraId="6CEC362B" w14:textId="77777777" w:rsidR="00590B1C" w:rsidRDefault="00590B1C" w:rsidP="008A189E">
            <w:pPr>
              <w:pStyle w:val="Heading1"/>
              <w:keepNext w:val="0"/>
              <w:keepLines w:val="0"/>
              <w:widowControl w:val="0"/>
              <w:spacing w:before="0" w:line="240" w:lineRule="auto"/>
              <w:ind w:left="576"/>
              <w:rPr>
                <w:b w:val="0"/>
                <w:bCs/>
              </w:rPr>
            </w:pPr>
            <w:r>
              <w:rPr>
                <w:b w:val="0"/>
                <w:bCs/>
              </w:rPr>
              <w:t>CN10031</w:t>
            </w:r>
          </w:p>
        </w:tc>
        <w:tc>
          <w:tcPr>
            <w:tcW w:w="2126" w:type="dxa"/>
            <w:tcBorders>
              <w:bottom w:val="single" w:sz="4" w:space="0" w:color="auto"/>
            </w:tcBorders>
          </w:tcPr>
          <w:p w14:paraId="3CE6FCA4"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Borders>
              <w:bottom w:val="single" w:sz="4" w:space="0" w:color="auto"/>
            </w:tcBorders>
          </w:tcPr>
          <w:p w14:paraId="0477048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Borders>
              <w:bottom w:val="single" w:sz="4" w:space="0" w:color="auto"/>
            </w:tcBorders>
          </w:tcPr>
          <w:p w14:paraId="64F4BC67"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2C3AA0E1" w14:textId="77777777" w:rsidTr="008A189E">
        <w:tc>
          <w:tcPr>
            <w:tcW w:w="2970" w:type="dxa"/>
            <w:tcBorders>
              <w:top w:val="single" w:sz="4" w:space="0" w:color="auto"/>
            </w:tcBorders>
          </w:tcPr>
          <w:p w14:paraId="5EAB10B3" w14:textId="77777777" w:rsidR="00590B1C" w:rsidRDefault="00590B1C" w:rsidP="008A189E">
            <w:pPr>
              <w:pStyle w:val="Heading1"/>
              <w:keepNext w:val="0"/>
              <w:keepLines w:val="0"/>
              <w:widowControl w:val="0"/>
              <w:spacing w:before="0" w:line="240" w:lineRule="auto"/>
              <w:ind w:left="288"/>
              <w:rPr>
                <w:b w:val="0"/>
                <w:bCs/>
              </w:rPr>
            </w:pPr>
            <w:r>
              <w:rPr>
                <w:b w:val="0"/>
                <w:bCs/>
              </w:rPr>
              <w:t>Taiwan</w:t>
            </w:r>
          </w:p>
        </w:tc>
        <w:tc>
          <w:tcPr>
            <w:tcW w:w="2126" w:type="dxa"/>
            <w:tcBorders>
              <w:top w:val="single" w:sz="4" w:space="0" w:color="auto"/>
            </w:tcBorders>
          </w:tcPr>
          <w:p w14:paraId="63AC7EA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c>
          <w:tcPr>
            <w:tcW w:w="2127" w:type="dxa"/>
            <w:tcBorders>
              <w:top w:val="single" w:sz="4" w:space="0" w:color="auto"/>
            </w:tcBorders>
          </w:tcPr>
          <w:p w14:paraId="6B841F37"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c>
          <w:tcPr>
            <w:tcW w:w="2127" w:type="dxa"/>
            <w:tcBorders>
              <w:top w:val="single" w:sz="4" w:space="0" w:color="auto"/>
            </w:tcBorders>
          </w:tcPr>
          <w:p w14:paraId="46AE6A8E"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r>
      <w:tr w:rsidR="00590B1C" w14:paraId="032A6A1A" w14:textId="77777777" w:rsidTr="008A189E">
        <w:tc>
          <w:tcPr>
            <w:tcW w:w="2970" w:type="dxa"/>
          </w:tcPr>
          <w:p w14:paraId="603AA2AA" w14:textId="77777777" w:rsidR="00590B1C" w:rsidRDefault="00590B1C" w:rsidP="008A189E">
            <w:pPr>
              <w:pStyle w:val="Heading1"/>
              <w:keepNext w:val="0"/>
              <w:keepLines w:val="0"/>
              <w:widowControl w:val="0"/>
              <w:spacing w:before="0" w:line="240" w:lineRule="auto"/>
              <w:ind w:left="576"/>
              <w:rPr>
                <w:b w:val="0"/>
                <w:bCs/>
              </w:rPr>
            </w:pPr>
            <w:r>
              <w:rPr>
                <w:b w:val="0"/>
                <w:bCs/>
              </w:rPr>
              <w:t>TW10001</w:t>
            </w:r>
          </w:p>
        </w:tc>
        <w:tc>
          <w:tcPr>
            <w:tcW w:w="2126" w:type="dxa"/>
          </w:tcPr>
          <w:p w14:paraId="447F462C"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(0.7)</w:t>
            </w:r>
          </w:p>
        </w:tc>
        <w:tc>
          <w:tcPr>
            <w:tcW w:w="2127" w:type="dxa"/>
          </w:tcPr>
          <w:p w14:paraId="61B3EDD5"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Pr>
          <w:p w14:paraId="4EB7FB24"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195E1296" w14:textId="77777777" w:rsidTr="008A189E">
        <w:tc>
          <w:tcPr>
            <w:tcW w:w="2970" w:type="dxa"/>
          </w:tcPr>
          <w:p w14:paraId="0D3508A4" w14:textId="77777777" w:rsidR="00590B1C" w:rsidRDefault="00590B1C" w:rsidP="008A189E">
            <w:pPr>
              <w:pStyle w:val="Heading1"/>
              <w:keepNext w:val="0"/>
              <w:keepLines w:val="0"/>
              <w:widowControl w:val="0"/>
              <w:spacing w:before="0" w:line="240" w:lineRule="auto"/>
              <w:ind w:left="576"/>
              <w:rPr>
                <w:b w:val="0"/>
                <w:bCs/>
              </w:rPr>
            </w:pPr>
            <w:r>
              <w:rPr>
                <w:b w:val="0"/>
                <w:bCs/>
              </w:rPr>
              <w:t>TW10002</w:t>
            </w:r>
          </w:p>
        </w:tc>
        <w:tc>
          <w:tcPr>
            <w:tcW w:w="2126" w:type="dxa"/>
          </w:tcPr>
          <w:p w14:paraId="469940F7"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3 (2.1)</w:t>
            </w:r>
          </w:p>
        </w:tc>
        <w:tc>
          <w:tcPr>
            <w:tcW w:w="2127" w:type="dxa"/>
          </w:tcPr>
          <w:p w14:paraId="005E15D9"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Pr>
          <w:p w14:paraId="3478CD05"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4 (1.8)</w:t>
            </w:r>
          </w:p>
        </w:tc>
      </w:tr>
      <w:tr w:rsidR="00590B1C" w14:paraId="7594BE58" w14:textId="77777777" w:rsidTr="008A189E">
        <w:tc>
          <w:tcPr>
            <w:tcW w:w="2970" w:type="dxa"/>
            <w:tcBorders>
              <w:bottom w:val="single" w:sz="4" w:space="0" w:color="auto"/>
            </w:tcBorders>
          </w:tcPr>
          <w:p w14:paraId="48FBB738" w14:textId="77777777" w:rsidR="00590B1C" w:rsidRDefault="00590B1C" w:rsidP="008A189E">
            <w:pPr>
              <w:pStyle w:val="Heading1"/>
              <w:keepNext w:val="0"/>
              <w:keepLines w:val="0"/>
              <w:widowControl w:val="0"/>
              <w:spacing w:before="0" w:line="240" w:lineRule="auto"/>
              <w:ind w:left="576"/>
              <w:rPr>
                <w:b w:val="0"/>
                <w:bCs/>
              </w:rPr>
            </w:pPr>
            <w:r>
              <w:rPr>
                <w:b w:val="0"/>
                <w:bCs/>
              </w:rPr>
              <w:t>TW10003</w:t>
            </w:r>
          </w:p>
        </w:tc>
        <w:tc>
          <w:tcPr>
            <w:tcW w:w="2126" w:type="dxa"/>
            <w:tcBorders>
              <w:bottom w:val="single" w:sz="4" w:space="0" w:color="auto"/>
            </w:tcBorders>
          </w:tcPr>
          <w:p w14:paraId="7BB0B80E"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Borders>
              <w:bottom w:val="single" w:sz="4" w:space="0" w:color="auto"/>
            </w:tcBorders>
          </w:tcPr>
          <w:p w14:paraId="4591F3B0"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Borders>
              <w:bottom w:val="single" w:sz="4" w:space="0" w:color="auto"/>
            </w:tcBorders>
          </w:tcPr>
          <w:p w14:paraId="0B3E717F"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3 (1.4)</w:t>
            </w:r>
          </w:p>
        </w:tc>
      </w:tr>
      <w:tr w:rsidR="00590B1C" w14:paraId="77B57C5F" w14:textId="77777777" w:rsidTr="008A189E">
        <w:tc>
          <w:tcPr>
            <w:tcW w:w="2970" w:type="dxa"/>
            <w:tcBorders>
              <w:top w:val="single" w:sz="4" w:space="0" w:color="auto"/>
            </w:tcBorders>
          </w:tcPr>
          <w:p w14:paraId="6657326C" w14:textId="77777777" w:rsidR="00590B1C" w:rsidRDefault="00590B1C" w:rsidP="008A189E">
            <w:pPr>
              <w:pStyle w:val="Heading1"/>
              <w:keepNext w:val="0"/>
              <w:keepLines w:val="0"/>
              <w:widowControl w:val="0"/>
              <w:spacing w:before="0" w:line="240" w:lineRule="auto"/>
              <w:ind w:left="288"/>
              <w:rPr>
                <w:b w:val="0"/>
                <w:bCs/>
              </w:rPr>
            </w:pPr>
            <w:r>
              <w:rPr>
                <w:b w:val="0"/>
                <w:bCs/>
              </w:rPr>
              <w:t>Hong Kong SAR</w:t>
            </w:r>
          </w:p>
        </w:tc>
        <w:tc>
          <w:tcPr>
            <w:tcW w:w="2126" w:type="dxa"/>
            <w:tcBorders>
              <w:top w:val="single" w:sz="4" w:space="0" w:color="auto"/>
            </w:tcBorders>
          </w:tcPr>
          <w:p w14:paraId="3A364E3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c>
          <w:tcPr>
            <w:tcW w:w="2127" w:type="dxa"/>
            <w:tcBorders>
              <w:top w:val="single" w:sz="4" w:space="0" w:color="auto"/>
            </w:tcBorders>
          </w:tcPr>
          <w:p w14:paraId="5062C2C2"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c>
          <w:tcPr>
            <w:tcW w:w="2127" w:type="dxa"/>
            <w:tcBorders>
              <w:top w:val="single" w:sz="4" w:space="0" w:color="auto"/>
            </w:tcBorders>
          </w:tcPr>
          <w:p w14:paraId="77D66A35"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r>
      <w:tr w:rsidR="00590B1C" w14:paraId="57C49CF2" w14:textId="77777777" w:rsidTr="008A189E">
        <w:tc>
          <w:tcPr>
            <w:tcW w:w="2970" w:type="dxa"/>
            <w:tcBorders>
              <w:bottom w:val="single" w:sz="4" w:space="0" w:color="auto"/>
            </w:tcBorders>
          </w:tcPr>
          <w:p w14:paraId="087131F1" w14:textId="77777777" w:rsidR="00590B1C" w:rsidRDefault="00590B1C" w:rsidP="008A189E">
            <w:pPr>
              <w:pStyle w:val="Heading1"/>
              <w:keepNext w:val="0"/>
              <w:keepLines w:val="0"/>
              <w:widowControl w:val="0"/>
              <w:spacing w:before="0" w:line="240" w:lineRule="auto"/>
              <w:ind w:left="576"/>
              <w:rPr>
                <w:b w:val="0"/>
                <w:bCs/>
              </w:rPr>
            </w:pPr>
            <w:r>
              <w:rPr>
                <w:b w:val="0"/>
                <w:bCs/>
              </w:rPr>
              <w:t>HK10001</w:t>
            </w:r>
          </w:p>
        </w:tc>
        <w:tc>
          <w:tcPr>
            <w:tcW w:w="2126" w:type="dxa"/>
            <w:tcBorders>
              <w:bottom w:val="single" w:sz="4" w:space="0" w:color="auto"/>
            </w:tcBorders>
          </w:tcPr>
          <w:p w14:paraId="79958D8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Borders>
              <w:bottom w:val="single" w:sz="4" w:space="0" w:color="auto"/>
            </w:tcBorders>
          </w:tcPr>
          <w:p w14:paraId="7963E0A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Borders>
              <w:bottom w:val="single" w:sz="4" w:space="0" w:color="auto"/>
            </w:tcBorders>
          </w:tcPr>
          <w:p w14:paraId="07AECB94"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3AA25685" w14:textId="77777777" w:rsidTr="008A189E">
        <w:tc>
          <w:tcPr>
            <w:tcW w:w="2970" w:type="dxa"/>
            <w:tcBorders>
              <w:top w:val="single" w:sz="4" w:space="0" w:color="auto"/>
            </w:tcBorders>
          </w:tcPr>
          <w:p w14:paraId="2CC5C1E3" w14:textId="77777777" w:rsidR="00590B1C" w:rsidRDefault="00590B1C" w:rsidP="008A189E">
            <w:pPr>
              <w:pStyle w:val="Heading1"/>
              <w:keepNext w:val="0"/>
              <w:keepLines w:val="0"/>
              <w:widowControl w:val="0"/>
              <w:spacing w:before="0" w:line="240" w:lineRule="auto"/>
              <w:ind w:left="288"/>
              <w:rPr>
                <w:b w:val="0"/>
                <w:bCs/>
              </w:rPr>
            </w:pPr>
            <w:r>
              <w:rPr>
                <w:b w:val="0"/>
                <w:bCs/>
              </w:rPr>
              <w:t>Korea</w:t>
            </w:r>
          </w:p>
        </w:tc>
        <w:tc>
          <w:tcPr>
            <w:tcW w:w="2126" w:type="dxa"/>
            <w:tcBorders>
              <w:top w:val="single" w:sz="4" w:space="0" w:color="auto"/>
            </w:tcBorders>
          </w:tcPr>
          <w:p w14:paraId="39ABF05D"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c>
          <w:tcPr>
            <w:tcW w:w="2127" w:type="dxa"/>
            <w:tcBorders>
              <w:top w:val="single" w:sz="4" w:space="0" w:color="auto"/>
            </w:tcBorders>
          </w:tcPr>
          <w:p w14:paraId="143103E4"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c>
          <w:tcPr>
            <w:tcW w:w="2127" w:type="dxa"/>
            <w:tcBorders>
              <w:top w:val="single" w:sz="4" w:space="0" w:color="auto"/>
            </w:tcBorders>
          </w:tcPr>
          <w:p w14:paraId="376F0F14"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r>
      <w:tr w:rsidR="00590B1C" w14:paraId="3C185E36" w14:textId="77777777" w:rsidTr="008A189E">
        <w:tc>
          <w:tcPr>
            <w:tcW w:w="2970" w:type="dxa"/>
          </w:tcPr>
          <w:p w14:paraId="00DE0782" w14:textId="77777777" w:rsidR="00590B1C" w:rsidRDefault="00590B1C" w:rsidP="008A189E">
            <w:pPr>
              <w:pStyle w:val="Heading1"/>
              <w:keepNext w:val="0"/>
              <w:keepLines w:val="0"/>
              <w:widowControl w:val="0"/>
              <w:spacing w:before="0" w:line="240" w:lineRule="auto"/>
              <w:ind w:left="576"/>
              <w:rPr>
                <w:b w:val="0"/>
                <w:bCs/>
              </w:rPr>
            </w:pPr>
            <w:r>
              <w:rPr>
                <w:b w:val="0"/>
                <w:bCs/>
              </w:rPr>
              <w:t>KR10001</w:t>
            </w:r>
          </w:p>
        </w:tc>
        <w:tc>
          <w:tcPr>
            <w:tcW w:w="2126" w:type="dxa"/>
          </w:tcPr>
          <w:p w14:paraId="60D2BBE0"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9 (6.2)</w:t>
            </w:r>
          </w:p>
        </w:tc>
        <w:tc>
          <w:tcPr>
            <w:tcW w:w="2127" w:type="dxa"/>
          </w:tcPr>
          <w:p w14:paraId="0F7E5C5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7 (9.5)</w:t>
            </w:r>
          </w:p>
        </w:tc>
        <w:tc>
          <w:tcPr>
            <w:tcW w:w="2127" w:type="dxa"/>
          </w:tcPr>
          <w:p w14:paraId="7DA8497E"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16 (7.3)</w:t>
            </w:r>
          </w:p>
        </w:tc>
      </w:tr>
      <w:tr w:rsidR="00590B1C" w14:paraId="5A03FD22" w14:textId="77777777" w:rsidTr="008A189E">
        <w:tc>
          <w:tcPr>
            <w:tcW w:w="2970" w:type="dxa"/>
          </w:tcPr>
          <w:p w14:paraId="0DE305C7" w14:textId="77777777" w:rsidR="00590B1C" w:rsidRDefault="00590B1C" w:rsidP="008A189E">
            <w:pPr>
              <w:pStyle w:val="Heading1"/>
              <w:keepNext w:val="0"/>
              <w:keepLines w:val="0"/>
              <w:widowControl w:val="0"/>
              <w:spacing w:before="0" w:line="240" w:lineRule="auto"/>
              <w:ind w:left="576"/>
              <w:rPr>
                <w:b w:val="0"/>
                <w:bCs/>
              </w:rPr>
            </w:pPr>
            <w:r>
              <w:rPr>
                <w:b w:val="0"/>
                <w:bCs/>
              </w:rPr>
              <w:t>KR10002</w:t>
            </w:r>
          </w:p>
        </w:tc>
        <w:tc>
          <w:tcPr>
            <w:tcW w:w="2126" w:type="dxa"/>
          </w:tcPr>
          <w:p w14:paraId="596153B2"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5 (3.4)</w:t>
            </w:r>
          </w:p>
        </w:tc>
        <w:tc>
          <w:tcPr>
            <w:tcW w:w="2127" w:type="dxa"/>
          </w:tcPr>
          <w:p w14:paraId="05D4BA8B"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5 (6.8)</w:t>
            </w:r>
          </w:p>
        </w:tc>
        <w:tc>
          <w:tcPr>
            <w:tcW w:w="2127" w:type="dxa"/>
          </w:tcPr>
          <w:p w14:paraId="4D052908"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10 (4.5)</w:t>
            </w:r>
          </w:p>
        </w:tc>
      </w:tr>
      <w:tr w:rsidR="00590B1C" w14:paraId="6414C09B" w14:textId="77777777" w:rsidTr="008A189E">
        <w:tc>
          <w:tcPr>
            <w:tcW w:w="2970" w:type="dxa"/>
          </w:tcPr>
          <w:p w14:paraId="6612EA66" w14:textId="77777777" w:rsidR="00590B1C" w:rsidRDefault="00590B1C" w:rsidP="008A189E">
            <w:pPr>
              <w:pStyle w:val="Heading1"/>
              <w:keepNext w:val="0"/>
              <w:keepLines w:val="0"/>
              <w:widowControl w:val="0"/>
              <w:spacing w:before="0" w:line="240" w:lineRule="auto"/>
              <w:ind w:left="576"/>
              <w:rPr>
                <w:b w:val="0"/>
                <w:bCs/>
              </w:rPr>
            </w:pPr>
            <w:r>
              <w:rPr>
                <w:b w:val="0"/>
                <w:bCs/>
              </w:rPr>
              <w:t>KR10003</w:t>
            </w:r>
          </w:p>
        </w:tc>
        <w:tc>
          <w:tcPr>
            <w:tcW w:w="2126" w:type="dxa"/>
          </w:tcPr>
          <w:p w14:paraId="7EB73E37"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4 (2.7)</w:t>
            </w:r>
          </w:p>
        </w:tc>
        <w:tc>
          <w:tcPr>
            <w:tcW w:w="2127" w:type="dxa"/>
          </w:tcPr>
          <w:p w14:paraId="56DACB2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Pr>
          <w:p w14:paraId="22B064B9"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5 (2.3)</w:t>
            </w:r>
          </w:p>
        </w:tc>
      </w:tr>
      <w:tr w:rsidR="00590B1C" w14:paraId="5FA177FB" w14:textId="77777777" w:rsidTr="008A189E">
        <w:tc>
          <w:tcPr>
            <w:tcW w:w="2970" w:type="dxa"/>
          </w:tcPr>
          <w:p w14:paraId="0B2DEB61" w14:textId="77777777" w:rsidR="00590B1C" w:rsidRDefault="00590B1C" w:rsidP="008A189E">
            <w:pPr>
              <w:pStyle w:val="Heading1"/>
              <w:keepNext w:val="0"/>
              <w:keepLines w:val="0"/>
              <w:widowControl w:val="0"/>
              <w:spacing w:before="0" w:line="240" w:lineRule="auto"/>
              <w:ind w:left="576"/>
              <w:rPr>
                <w:b w:val="0"/>
                <w:bCs/>
              </w:rPr>
            </w:pPr>
            <w:r>
              <w:rPr>
                <w:b w:val="0"/>
                <w:bCs/>
              </w:rPr>
              <w:t>KR10004</w:t>
            </w:r>
          </w:p>
        </w:tc>
        <w:tc>
          <w:tcPr>
            <w:tcW w:w="2126" w:type="dxa"/>
          </w:tcPr>
          <w:p w14:paraId="7BAB9F62"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10 (6.8)</w:t>
            </w:r>
          </w:p>
        </w:tc>
        <w:tc>
          <w:tcPr>
            <w:tcW w:w="2127" w:type="dxa"/>
          </w:tcPr>
          <w:p w14:paraId="020E66D2"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3 (4.1)</w:t>
            </w:r>
          </w:p>
        </w:tc>
        <w:tc>
          <w:tcPr>
            <w:tcW w:w="2127" w:type="dxa"/>
          </w:tcPr>
          <w:p w14:paraId="7D8B2F45"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13 (5.9)</w:t>
            </w:r>
          </w:p>
        </w:tc>
      </w:tr>
      <w:tr w:rsidR="00590B1C" w14:paraId="6A58F469" w14:textId="77777777" w:rsidTr="008A189E">
        <w:tc>
          <w:tcPr>
            <w:tcW w:w="2970" w:type="dxa"/>
          </w:tcPr>
          <w:p w14:paraId="5084CA26" w14:textId="77777777" w:rsidR="00590B1C" w:rsidRDefault="00590B1C" w:rsidP="008A189E">
            <w:pPr>
              <w:pStyle w:val="Heading1"/>
              <w:keepNext w:val="0"/>
              <w:keepLines w:val="0"/>
              <w:widowControl w:val="0"/>
              <w:spacing w:before="0" w:line="240" w:lineRule="auto"/>
              <w:ind w:left="576"/>
              <w:rPr>
                <w:b w:val="0"/>
                <w:bCs/>
              </w:rPr>
            </w:pPr>
            <w:r>
              <w:rPr>
                <w:b w:val="0"/>
                <w:bCs/>
              </w:rPr>
              <w:t>KR10005</w:t>
            </w:r>
          </w:p>
        </w:tc>
        <w:tc>
          <w:tcPr>
            <w:tcW w:w="2126" w:type="dxa"/>
          </w:tcPr>
          <w:p w14:paraId="114BF83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(1.4)</w:t>
            </w:r>
          </w:p>
        </w:tc>
        <w:tc>
          <w:tcPr>
            <w:tcW w:w="2127" w:type="dxa"/>
          </w:tcPr>
          <w:p w14:paraId="2A7DF26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(2.7)</w:t>
            </w:r>
          </w:p>
        </w:tc>
        <w:tc>
          <w:tcPr>
            <w:tcW w:w="2127" w:type="dxa"/>
          </w:tcPr>
          <w:p w14:paraId="3CC84702"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4 (1.8)</w:t>
            </w:r>
          </w:p>
        </w:tc>
      </w:tr>
      <w:tr w:rsidR="00590B1C" w14:paraId="521F4C73" w14:textId="77777777" w:rsidTr="008A189E">
        <w:tc>
          <w:tcPr>
            <w:tcW w:w="2970" w:type="dxa"/>
          </w:tcPr>
          <w:p w14:paraId="71A5546E" w14:textId="77777777" w:rsidR="00590B1C" w:rsidRDefault="00590B1C" w:rsidP="008A189E">
            <w:pPr>
              <w:pStyle w:val="Heading1"/>
              <w:keepNext w:val="0"/>
              <w:keepLines w:val="0"/>
              <w:widowControl w:val="0"/>
              <w:spacing w:before="0" w:line="240" w:lineRule="auto"/>
              <w:ind w:left="576"/>
              <w:rPr>
                <w:b w:val="0"/>
                <w:bCs/>
              </w:rPr>
            </w:pPr>
            <w:r>
              <w:rPr>
                <w:b w:val="0"/>
                <w:bCs/>
              </w:rPr>
              <w:t>KR10006</w:t>
            </w:r>
          </w:p>
        </w:tc>
        <w:tc>
          <w:tcPr>
            <w:tcW w:w="2126" w:type="dxa"/>
          </w:tcPr>
          <w:p w14:paraId="6EA4FC90"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Pr>
          <w:p w14:paraId="4A7A2336"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2 (2.7)</w:t>
            </w:r>
          </w:p>
        </w:tc>
        <w:tc>
          <w:tcPr>
            <w:tcW w:w="2127" w:type="dxa"/>
          </w:tcPr>
          <w:p w14:paraId="4AA5B50B"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2 (0.9)</w:t>
            </w:r>
          </w:p>
        </w:tc>
      </w:tr>
      <w:tr w:rsidR="00590B1C" w14:paraId="1546A5A0" w14:textId="77777777" w:rsidTr="008A189E">
        <w:tc>
          <w:tcPr>
            <w:tcW w:w="2970" w:type="dxa"/>
            <w:tcBorders>
              <w:bottom w:val="single" w:sz="4" w:space="0" w:color="auto"/>
            </w:tcBorders>
          </w:tcPr>
          <w:p w14:paraId="15C4AF5F" w14:textId="77777777" w:rsidR="00590B1C" w:rsidRDefault="00590B1C" w:rsidP="008A189E">
            <w:pPr>
              <w:pStyle w:val="Heading1"/>
              <w:keepNext w:val="0"/>
              <w:keepLines w:val="0"/>
              <w:widowControl w:val="0"/>
              <w:spacing w:before="0" w:line="240" w:lineRule="auto"/>
              <w:ind w:left="576"/>
              <w:rPr>
                <w:b w:val="0"/>
                <w:bCs/>
              </w:rPr>
            </w:pPr>
            <w:r>
              <w:rPr>
                <w:b w:val="0"/>
                <w:bCs/>
              </w:rPr>
              <w:t>KR10007</w:t>
            </w:r>
          </w:p>
        </w:tc>
        <w:tc>
          <w:tcPr>
            <w:tcW w:w="2126" w:type="dxa"/>
            <w:tcBorders>
              <w:bottom w:val="single" w:sz="4" w:space="0" w:color="auto"/>
            </w:tcBorders>
          </w:tcPr>
          <w:p w14:paraId="35888FF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(0.7)</w:t>
            </w:r>
          </w:p>
        </w:tc>
        <w:tc>
          <w:tcPr>
            <w:tcW w:w="2127" w:type="dxa"/>
            <w:tcBorders>
              <w:bottom w:val="single" w:sz="4" w:space="0" w:color="auto"/>
            </w:tcBorders>
          </w:tcPr>
          <w:p w14:paraId="53073F35"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Borders>
              <w:bottom w:val="single" w:sz="4" w:space="0" w:color="auto"/>
            </w:tcBorders>
          </w:tcPr>
          <w:p w14:paraId="5810BD9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 (0.5)</w:t>
            </w:r>
          </w:p>
        </w:tc>
      </w:tr>
      <w:tr w:rsidR="00590B1C" w14:paraId="6B26E88F" w14:textId="77777777" w:rsidTr="008A189E">
        <w:tc>
          <w:tcPr>
            <w:tcW w:w="2970" w:type="dxa"/>
            <w:tcBorders>
              <w:top w:val="single" w:sz="4" w:space="0" w:color="auto"/>
            </w:tcBorders>
          </w:tcPr>
          <w:p w14:paraId="524C9516" w14:textId="77777777" w:rsidR="00590B1C" w:rsidRDefault="00590B1C" w:rsidP="008A189E">
            <w:pPr>
              <w:pStyle w:val="Heading1"/>
              <w:keepNext w:val="0"/>
              <w:keepLines w:val="0"/>
              <w:widowControl w:val="0"/>
              <w:spacing w:before="0" w:line="240" w:lineRule="auto"/>
              <w:ind w:left="288"/>
              <w:rPr>
                <w:b w:val="0"/>
                <w:bCs/>
              </w:rPr>
            </w:pPr>
            <w:r>
              <w:rPr>
                <w:b w:val="0"/>
                <w:bCs/>
              </w:rPr>
              <w:t xml:space="preserve">Malaysia </w:t>
            </w:r>
          </w:p>
        </w:tc>
        <w:tc>
          <w:tcPr>
            <w:tcW w:w="2126" w:type="dxa"/>
            <w:tcBorders>
              <w:top w:val="single" w:sz="4" w:space="0" w:color="auto"/>
            </w:tcBorders>
          </w:tcPr>
          <w:p w14:paraId="5F003C0A"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c>
          <w:tcPr>
            <w:tcW w:w="2127" w:type="dxa"/>
            <w:tcBorders>
              <w:top w:val="single" w:sz="4" w:space="0" w:color="auto"/>
            </w:tcBorders>
          </w:tcPr>
          <w:p w14:paraId="270C3DAD"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c>
          <w:tcPr>
            <w:tcW w:w="2127" w:type="dxa"/>
            <w:tcBorders>
              <w:top w:val="single" w:sz="4" w:space="0" w:color="auto"/>
            </w:tcBorders>
          </w:tcPr>
          <w:p w14:paraId="1BA6DADC"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p>
        </w:tc>
      </w:tr>
      <w:tr w:rsidR="00590B1C" w14:paraId="231315C6" w14:textId="77777777" w:rsidTr="008A189E">
        <w:tc>
          <w:tcPr>
            <w:tcW w:w="2970" w:type="dxa"/>
          </w:tcPr>
          <w:p w14:paraId="4EB4B075" w14:textId="77777777" w:rsidR="00590B1C" w:rsidRDefault="00590B1C" w:rsidP="008A189E">
            <w:pPr>
              <w:pStyle w:val="Heading1"/>
              <w:keepNext w:val="0"/>
              <w:keepLines w:val="0"/>
              <w:widowControl w:val="0"/>
              <w:spacing w:before="0" w:line="240" w:lineRule="auto"/>
              <w:ind w:left="576"/>
              <w:rPr>
                <w:b w:val="0"/>
                <w:bCs/>
              </w:rPr>
            </w:pPr>
            <w:r>
              <w:rPr>
                <w:b w:val="0"/>
                <w:bCs/>
              </w:rPr>
              <w:t>MY10003</w:t>
            </w:r>
          </w:p>
        </w:tc>
        <w:tc>
          <w:tcPr>
            <w:tcW w:w="2126" w:type="dxa"/>
          </w:tcPr>
          <w:p w14:paraId="04E251BF"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(0.7)</w:t>
            </w:r>
          </w:p>
        </w:tc>
        <w:tc>
          <w:tcPr>
            <w:tcW w:w="2127" w:type="dxa"/>
          </w:tcPr>
          <w:p w14:paraId="7966CCAC"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0</w:t>
            </w:r>
          </w:p>
        </w:tc>
        <w:tc>
          <w:tcPr>
            <w:tcW w:w="2127" w:type="dxa"/>
          </w:tcPr>
          <w:p w14:paraId="77C6DCD7"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 (0.5)</w:t>
            </w:r>
          </w:p>
        </w:tc>
      </w:tr>
      <w:tr w:rsidR="00590B1C" w14:paraId="4A92B9A9" w14:textId="77777777" w:rsidTr="008A189E">
        <w:tc>
          <w:tcPr>
            <w:tcW w:w="2970" w:type="dxa"/>
            <w:tcBorders>
              <w:bottom w:val="single" w:sz="4" w:space="0" w:color="auto"/>
            </w:tcBorders>
          </w:tcPr>
          <w:p w14:paraId="2E371589" w14:textId="77777777" w:rsidR="00590B1C" w:rsidRDefault="00590B1C" w:rsidP="008A189E">
            <w:pPr>
              <w:pStyle w:val="Heading1"/>
              <w:keepNext w:val="0"/>
              <w:keepLines w:val="0"/>
              <w:widowControl w:val="0"/>
              <w:spacing w:before="0" w:line="240" w:lineRule="auto"/>
              <w:ind w:left="576"/>
              <w:rPr>
                <w:b w:val="0"/>
                <w:bCs/>
              </w:rPr>
            </w:pPr>
            <w:r>
              <w:rPr>
                <w:b w:val="0"/>
                <w:bCs/>
              </w:rPr>
              <w:t>MY10004</w:t>
            </w:r>
          </w:p>
        </w:tc>
        <w:tc>
          <w:tcPr>
            <w:tcW w:w="2126" w:type="dxa"/>
            <w:tcBorders>
              <w:bottom w:val="single" w:sz="4" w:space="0" w:color="auto"/>
            </w:tcBorders>
          </w:tcPr>
          <w:p w14:paraId="124202FC"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0</w:t>
            </w:r>
          </w:p>
        </w:tc>
        <w:tc>
          <w:tcPr>
            <w:tcW w:w="2127" w:type="dxa"/>
            <w:tcBorders>
              <w:bottom w:val="single" w:sz="4" w:space="0" w:color="auto"/>
            </w:tcBorders>
          </w:tcPr>
          <w:p w14:paraId="09794BB3"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Pr>
                <w:rFonts w:cs="Times New Roman"/>
                <w:b w:val="0"/>
                <w:bCs/>
                <w:szCs w:val="24"/>
              </w:rPr>
              <w:t>1 (1.4)</w:t>
            </w:r>
          </w:p>
        </w:tc>
        <w:tc>
          <w:tcPr>
            <w:tcW w:w="2127" w:type="dxa"/>
            <w:tcBorders>
              <w:bottom w:val="single" w:sz="4" w:space="0" w:color="auto"/>
            </w:tcBorders>
          </w:tcPr>
          <w:p w14:paraId="0D59D6D1" w14:textId="77777777" w:rsidR="00590B1C" w:rsidRPr="00C36DB1" w:rsidRDefault="00590B1C" w:rsidP="008A189E">
            <w:pPr>
              <w:pStyle w:val="Heading1"/>
              <w:keepNext w:val="0"/>
              <w:keepLines w:val="0"/>
              <w:widowControl w:val="0"/>
              <w:spacing w:before="0" w:line="240" w:lineRule="auto"/>
              <w:jc w:val="center"/>
              <w:rPr>
                <w:rFonts w:cs="Times New Roman"/>
                <w:b w:val="0"/>
                <w:bCs/>
                <w:szCs w:val="24"/>
              </w:rPr>
            </w:pPr>
            <w:r w:rsidRPr="00C36DB1">
              <w:rPr>
                <w:rFonts w:cs="Times New Roman"/>
                <w:b w:val="0"/>
                <w:bCs/>
                <w:szCs w:val="24"/>
              </w:rPr>
              <w:t>1 (0.5)</w:t>
            </w:r>
          </w:p>
        </w:tc>
      </w:tr>
    </w:tbl>
    <w:p w14:paraId="79E968E6" w14:textId="77777777" w:rsidR="00590B1C" w:rsidRDefault="00590B1C" w:rsidP="00590B1C">
      <w:pPr>
        <w:spacing w:line="276" w:lineRule="auto"/>
      </w:pPr>
      <w:r w:rsidRPr="00B758DD">
        <w:t>D-VMP, daratumumab plus bortezomib/melphalan/prednisone; VMP, bortezomib/melphalan/prednisone</w:t>
      </w:r>
      <w:r>
        <w:t xml:space="preserve">. </w:t>
      </w:r>
    </w:p>
    <w:p w14:paraId="1727AD37" w14:textId="77777777" w:rsidR="00590B1C" w:rsidRDefault="00590B1C" w:rsidP="00590B1C"/>
    <w:p w14:paraId="682CD911" w14:textId="77777777" w:rsidR="00590B1C" w:rsidRDefault="00590B1C" w:rsidP="00590B1C">
      <w:pPr>
        <w:sectPr w:rsidR="00590B1C" w:rsidSect="00590B1C">
          <w:pgSz w:w="12240" w:h="15840"/>
          <w:pgMar w:top="1440" w:right="1440" w:bottom="1440" w:left="1440" w:header="720" w:footer="720" w:gutter="0"/>
          <w:cols w:space="720"/>
          <w:docGrid w:linePitch="360"/>
        </w:sectPr>
      </w:pPr>
    </w:p>
    <w:p w14:paraId="1B9042F6" w14:textId="5AD37CD1" w:rsidR="00590B1C" w:rsidRPr="00B758DD" w:rsidRDefault="00590B1C" w:rsidP="00590B1C">
      <w:pPr>
        <w:pStyle w:val="Heading1"/>
        <w:rPr>
          <w:vertAlign w:val="superscript"/>
        </w:rPr>
      </w:pPr>
      <w:r w:rsidRPr="00B758DD">
        <w:t>Supplemental Table S</w:t>
      </w:r>
      <w:r>
        <w:t>2</w:t>
      </w:r>
      <w:r w:rsidRPr="00B758DD">
        <w:t xml:space="preserve"> </w:t>
      </w:r>
      <w:r w:rsidRPr="00D443FE">
        <w:rPr>
          <w:b w:val="0"/>
          <w:bCs/>
        </w:rPr>
        <w:t xml:space="preserve">Duration of </w:t>
      </w:r>
      <w:r w:rsidRPr="00224578">
        <w:rPr>
          <w:b w:val="0"/>
          <w:bCs/>
        </w:rPr>
        <w:t xml:space="preserve">Study Treatment </w:t>
      </w:r>
      <w:r w:rsidRPr="00D443FE">
        <w:rPr>
          <w:b w:val="0"/>
          <w:bCs/>
        </w:rPr>
        <w:t xml:space="preserve">and </w:t>
      </w:r>
      <w:r w:rsidRPr="00224578">
        <w:rPr>
          <w:b w:val="0"/>
          <w:bCs/>
        </w:rPr>
        <w:t>Treatment Exposure</w:t>
      </w:r>
      <w:r>
        <w:rPr>
          <w:b w:val="0"/>
          <w:bCs/>
          <w:vertAlign w:val="superscript"/>
        </w:rPr>
        <w: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2025"/>
        <w:gridCol w:w="2025"/>
      </w:tblGrid>
      <w:tr w:rsidR="00590B1C" w:rsidRPr="00B758DD" w14:paraId="5C879C02" w14:textId="77777777" w:rsidTr="008A189E">
        <w:tc>
          <w:tcPr>
            <w:tcW w:w="5310" w:type="dxa"/>
            <w:tcBorders>
              <w:bottom w:val="single" w:sz="4" w:space="0" w:color="auto"/>
            </w:tcBorders>
            <w:vAlign w:val="bottom"/>
          </w:tcPr>
          <w:p w14:paraId="08658C6C" w14:textId="77777777" w:rsidR="00590B1C" w:rsidRPr="00B758DD" w:rsidRDefault="00590B1C" w:rsidP="008A189E">
            <w:pPr>
              <w:pStyle w:val="Tableformat"/>
              <w:spacing w:before="0" w:after="0"/>
              <w:rPr>
                <w:b/>
                <w:bCs/>
              </w:rPr>
            </w:pPr>
          </w:p>
        </w:tc>
        <w:tc>
          <w:tcPr>
            <w:tcW w:w="2025" w:type="dxa"/>
            <w:tcBorders>
              <w:bottom w:val="single" w:sz="4" w:space="0" w:color="auto"/>
            </w:tcBorders>
            <w:vAlign w:val="bottom"/>
          </w:tcPr>
          <w:p w14:paraId="3AC8AF6D" w14:textId="77777777" w:rsidR="00590B1C" w:rsidRPr="00B758DD" w:rsidRDefault="00590B1C" w:rsidP="008A189E">
            <w:pPr>
              <w:pStyle w:val="Tableformat"/>
              <w:spacing w:before="0" w:after="0"/>
              <w:jc w:val="center"/>
              <w:rPr>
                <w:b/>
                <w:bCs/>
              </w:rPr>
            </w:pPr>
            <w:r w:rsidRPr="00B758DD">
              <w:rPr>
                <w:b/>
                <w:bCs/>
              </w:rPr>
              <w:t>D-VMP</w:t>
            </w:r>
          </w:p>
          <w:p w14:paraId="3FFEB82C" w14:textId="77777777" w:rsidR="00590B1C" w:rsidRPr="00B758DD" w:rsidRDefault="00590B1C" w:rsidP="008A189E">
            <w:pPr>
              <w:pStyle w:val="Tableformat"/>
              <w:spacing w:before="0" w:after="0"/>
              <w:jc w:val="center"/>
              <w:rPr>
                <w:b/>
                <w:bCs/>
              </w:rPr>
            </w:pPr>
            <w:r w:rsidRPr="00B758DD">
              <w:rPr>
                <w:b/>
                <w:bCs/>
              </w:rPr>
              <w:t>(n = 144)</w:t>
            </w:r>
          </w:p>
        </w:tc>
        <w:tc>
          <w:tcPr>
            <w:tcW w:w="2025" w:type="dxa"/>
            <w:tcBorders>
              <w:bottom w:val="single" w:sz="4" w:space="0" w:color="auto"/>
            </w:tcBorders>
            <w:vAlign w:val="bottom"/>
          </w:tcPr>
          <w:p w14:paraId="29EC4614" w14:textId="77777777" w:rsidR="00590B1C" w:rsidRPr="00B758DD" w:rsidRDefault="00590B1C" w:rsidP="008A189E">
            <w:pPr>
              <w:pStyle w:val="Tableformat"/>
              <w:spacing w:before="0" w:after="0"/>
              <w:jc w:val="center"/>
              <w:rPr>
                <w:b/>
                <w:bCs/>
              </w:rPr>
            </w:pPr>
            <w:r w:rsidRPr="00B758DD">
              <w:rPr>
                <w:b/>
                <w:bCs/>
              </w:rPr>
              <w:t>VMP</w:t>
            </w:r>
          </w:p>
          <w:p w14:paraId="68493BCA" w14:textId="77777777" w:rsidR="00590B1C" w:rsidRPr="00B758DD" w:rsidRDefault="00590B1C" w:rsidP="008A189E">
            <w:pPr>
              <w:pStyle w:val="Tableformat"/>
              <w:spacing w:before="0" w:after="0"/>
              <w:jc w:val="center"/>
              <w:rPr>
                <w:b/>
                <w:bCs/>
              </w:rPr>
            </w:pPr>
            <w:r w:rsidRPr="00B758DD">
              <w:rPr>
                <w:b/>
                <w:bCs/>
              </w:rPr>
              <w:t>(n = 71)</w:t>
            </w:r>
          </w:p>
        </w:tc>
      </w:tr>
      <w:tr w:rsidR="00590B1C" w:rsidRPr="00B758DD" w14:paraId="34732621" w14:textId="77777777" w:rsidTr="008A189E">
        <w:tc>
          <w:tcPr>
            <w:tcW w:w="5310" w:type="dxa"/>
            <w:tcBorders>
              <w:top w:val="single" w:sz="4" w:space="0" w:color="auto"/>
              <w:bottom w:val="nil"/>
            </w:tcBorders>
          </w:tcPr>
          <w:p w14:paraId="5978DA95" w14:textId="77777777" w:rsidR="00590B1C" w:rsidRPr="00B758DD" w:rsidRDefault="00590B1C" w:rsidP="008A189E">
            <w:pPr>
              <w:pStyle w:val="Tableformat"/>
              <w:spacing w:before="0" w:after="0"/>
            </w:pPr>
            <w:r w:rsidRPr="00B758DD">
              <w:t>Duration of study treatment</w:t>
            </w:r>
            <w:r>
              <w:t xml:space="preserve">, </w:t>
            </w:r>
            <w:r w:rsidRPr="00B758DD">
              <w:t>months</w:t>
            </w:r>
          </w:p>
        </w:tc>
        <w:tc>
          <w:tcPr>
            <w:tcW w:w="2025" w:type="dxa"/>
            <w:tcBorders>
              <w:top w:val="single" w:sz="4" w:space="0" w:color="auto"/>
              <w:bottom w:val="nil"/>
            </w:tcBorders>
          </w:tcPr>
          <w:p w14:paraId="0C666883" w14:textId="77777777" w:rsidR="00590B1C" w:rsidRPr="00B758DD" w:rsidRDefault="00590B1C" w:rsidP="008A189E">
            <w:pPr>
              <w:pStyle w:val="Tableformat"/>
              <w:spacing w:before="0" w:after="0"/>
              <w:jc w:val="center"/>
            </w:pPr>
          </w:p>
        </w:tc>
        <w:tc>
          <w:tcPr>
            <w:tcW w:w="2025" w:type="dxa"/>
            <w:tcBorders>
              <w:top w:val="single" w:sz="4" w:space="0" w:color="auto"/>
              <w:bottom w:val="nil"/>
            </w:tcBorders>
          </w:tcPr>
          <w:p w14:paraId="4FC43006" w14:textId="77777777" w:rsidR="00590B1C" w:rsidRPr="00B758DD" w:rsidRDefault="00590B1C" w:rsidP="008A189E">
            <w:pPr>
              <w:pStyle w:val="Tableformat"/>
              <w:spacing w:before="0" w:after="0"/>
              <w:jc w:val="center"/>
            </w:pPr>
          </w:p>
        </w:tc>
      </w:tr>
      <w:tr w:rsidR="00590B1C" w:rsidRPr="00B758DD" w14:paraId="5AE17912" w14:textId="77777777" w:rsidTr="008A189E">
        <w:tc>
          <w:tcPr>
            <w:tcW w:w="5310" w:type="dxa"/>
            <w:tcBorders>
              <w:top w:val="nil"/>
              <w:bottom w:val="single" w:sz="4" w:space="0" w:color="auto"/>
            </w:tcBorders>
          </w:tcPr>
          <w:p w14:paraId="408A928F" w14:textId="77777777" w:rsidR="00590B1C" w:rsidRPr="00B758DD" w:rsidRDefault="00590B1C" w:rsidP="008A189E">
            <w:pPr>
              <w:pStyle w:val="Tableformat"/>
              <w:spacing w:before="0" w:after="0"/>
              <w:ind w:left="288"/>
            </w:pPr>
            <w:r w:rsidRPr="00B758DD">
              <w:t>Median (range)</w:t>
            </w:r>
          </w:p>
        </w:tc>
        <w:tc>
          <w:tcPr>
            <w:tcW w:w="2025" w:type="dxa"/>
            <w:tcBorders>
              <w:top w:val="nil"/>
              <w:bottom w:val="single" w:sz="4" w:space="0" w:color="auto"/>
            </w:tcBorders>
          </w:tcPr>
          <w:p w14:paraId="1F25583C" w14:textId="77777777" w:rsidR="00590B1C" w:rsidRPr="00B758DD" w:rsidRDefault="00590B1C" w:rsidP="008A189E">
            <w:pPr>
              <w:pStyle w:val="Tableformat"/>
              <w:spacing w:before="0" w:after="0"/>
              <w:jc w:val="center"/>
            </w:pPr>
            <w:r w:rsidRPr="00B758DD">
              <w:t>33.8 (0.3–57.7)</w:t>
            </w:r>
          </w:p>
        </w:tc>
        <w:tc>
          <w:tcPr>
            <w:tcW w:w="2025" w:type="dxa"/>
            <w:tcBorders>
              <w:top w:val="nil"/>
              <w:bottom w:val="single" w:sz="4" w:space="0" w:color="auto"/>
            </w:tcBorders>
          </w:tcPr>
          <w:p w14:paraId="76B6B8EE" w14:textId="77777777" w:rsidR="00590B1C" w:rsidRPr="00B758DD" w:rsidRDefault="00590B1C" w:rsidP="008A189E">
            <w:pPr>
              <w:pStyle w:val="Tableformat"/>
              <w:spacing w:before="0" w:after="0"/>
              <w:jc w:val="center"/>
            </w:pPr>
            <w:r w:rsidRPr="00B758DD">
              <w:t>12.0 (0.4–17.3)</w:t>
            </w:r>
          </w:p>
        </w:tc>
      </w:tr>
      <w:tr w:rsidR="00590B1C" w:rsidRPr="00B758DD" w14:paraId="5B230275" w14:textId="77777777" w:rsidTr="008A189E">
        <w:tc>
          <w:tcPr>
            <w:tcW w:w="5310" w:type="dxa"/>
            <w:tcBorders>
              <w:top w:val="single" w:sz="4" w:space="0" w:color="auto"/>
            </w:tcBorders>
          </w:tcPr>
          <w:p w14:paraId="16EE9610" w14:textId="77777777" w:rsidR="00590B1C" w:rsidRPr="00B758DD" w:rsidRDefault="00590B1C" w:rsidP="008A189E">
            <w:pPr>
              <w:pStyle w:val="Tableformat"/>
              <w:spacing w:before="0" w:after="0"/>
            </w:pPr>
            <w:r w:rsidRPr="00B758DD">
              <w:t>Bortezomib dose intensity,</w:t>
            </w:r>
            <w:r>
              <w:rPr>
                <w:rFonts w:cs="Times New Roman"/>
                <w:vertAlign w:val="superscript"/>
              </w:rPr>
              <w:t>b</w:t>
            </w:r>
            <w:r w:rsidRPr="00B758DD">
              <w:t xml:space="preserve"> mg/m</w:t>
            </w:r>
            <w:r w:rsidRPr="00B758DD">
              <w:rPr>
                <w:vertAlign w:val="superscript"/>
              </w:rPr>
              <w:t>2</w:t>
            </w:r>
            <w:r w:rsidRPr="00B758DD">
              <w:t>/cycle</w:t>
            </w:r>
          </w:p>
        </w:tc>
        <w:tc>
          <w:tcPr>
            <w:tcW w:w="2025" w:type="dxa"/>
            <w:tcBorders>
              <w:top w:val="single" w:sz="4" w:space="0" w:color="auto"/>
            </w:tcBorders>
          </w:tcPr>
          <w:p w14:paraId="59FF9437" w14:textId="77777777" w:rsidR="00590B1C" w:rsidRPr="00B758DD" w:rsidRDefault="00590B1C" w:rsidP="008A189E">
            <w:pPr>
              <w:pStyle w:val="Tableformat"/>
              <w:spacing w:before="0" w:after="0"/>
              <w:jc w:val="center"/>
            </w:pPr>
          </w:p>
        </w:tc>
        <w:tc>
          <w:tcPr>
            <w:tcW w:w="2025" w:type="dxa"/>
            <w:tcBorders>
              <w:top w:val="single" w:sz="4" w:space="0" w:color="auto"/>
            </w:tcBorders>
          </w:tcPr>
          <w:p w14:paraId="3CE5E8DC" w14:textId="77777777" w:rsidR="00590B1C" w:rsidRPr="00B758DD" w:rsidRDefault="00590B1C" w:rsidP="008A189E">
            <w:pPr>
              <w:pStyle w:val="Tableformat"/>
              <w:spacing w:before="0" w:after="0"/>
              <w:jc w:val="center"/>
            </w:pPr>
          </w:p>
        </w:tc>
      </w:tr>
      <w:tr w:rsidR="00590B1C" w:rsidRPr="00B758DD" w14:paraId="7BD42823" w14:textId="77777777" w:rsidTr="008A189E">
        <w:tc>
          <w:tcPr>
            <w:tcW w:w="5310" w:type="dxa"/>
          </w:tcPr>
          <w:p w14:paraId="692227BB" w14:textId="77777777" w:rsidR="00590B1C" w:rsidRPr="00B758DD" w:rsidRDefault="00590B1C" w:rsidP="008A189E">
            <w:pPr>
              <w:pStyle w:val="Tableformat"/>
              <w:spacing w:before="0" w:after="0"/>
              <w:ind w:left="288"/>
            </w:pPr>
            <w:r w:rsidRPr="00B758DD">
              <w:t>Median (range)</w:t>
            </w:r>
          </w:p>
        </w:tc>
        <w:tc>
          <w:tcPr>
            <w:tcW w:w="2025" w:type="dxa"/>
          </w:tcPr>
          <w:p w14:paraId="5E5B19FB" w14:textId="77777777" w:rsidR="00590B1C" w:rsidRPr="00B758DD" w:rsidRDefault="00590B1C" w:rsidP="008A189E">
            <w:pPr>
              <w:pStyle w:val="Tableformat"/>
              <w:spacing w:before="0" w:after="0"/>
              <w:jc w:val="center"/>
            </w:pPr>
            <w:r w:rsidRPr="00B758DD">
              <w:t>5.3 (2.9–10.3)</w:t>
            </w:r>
          </w:p>
        </w:tc>
        <w:tc>
          <w:tcPr>
            <w:tcW w:w="2025" w:type="dxa"/>
          </w:tcPr>
          <w:p w14:paraId="6800A559" w14:textId="77777777" w:rsidR="00590B1C" w:rsidRPr="00B758DD" w:rsidRDefault="00590B1C" w:rsidP="008A189E">
            <w:pPr>
              <w:pStyle w:val="Tableformat"/>
              <w:spacing w:before="0" w:after="0"/>
              <w:jc w:val="center"/>
            </w:pPr>
            <w:r w:rsidRPr="00B758DD">
              <w:t>5.3 (3.5–9.3)</w:t>
            </w:r>
          </w:p>
        </w:tc>
      </w:tr>
      <w:tr w:rsidR="00590B1C" w:rsidRPr="00B758DD" w14:paraId="4410BED4" w14:textId="77777777" w:rsidTr="008A189E">
        <w:tc>
          <w:tcPr>
            <w:tcW w:w="5310" w:type="dxa"/>
          </w:tcPr>
          <w:p w14:paraId="1514BAA2" w14:textId="77777777" w:rsidR="00590B1C" w:rsidRPr="00B758DD" w:rsidRDefault="00590B1C" w:rsidP="008A189E">
            <w:pPr>
              <w:pStyle w:val="Tableformat"/>
              <w:spacing w:before="0" w:after="0"/>
            </w:pPr>
            <w:r w:rsidRPr="00B758DD">
              <w:t>Melphalan dose intensity,</w:t>
            </w:r>
            <w:r>
              <w:rPr>
                <w:rFonts w:cs="Times New Roman"/>
                <w:vertAlign w:val="superscript"/>
              </w:rPr>
              <w:t>c</w:t>
            </w:r>
            <w:r w:rsidRPr="00B758DD">
              <w:t xml:space="preserve"> mg/m</w:t>
            </w:r>
            <w:r w:rsidRPr="00B758DD">
              <w:rPr>
                <w:vertAlign w:val="superscript"/>
              </w:rPr>
              <w:t>2</w:t>
            </w:r>
            <w:r w:rsidRPr="00B758DD">
              <w:t>/cycle</w:t>
            </w:r>
          </w:p>
        </w:tc>
        <w:tc>
          <w:tcPr>
            <w:tcW w:w="2025" w:type="dxa"/>
          </w:tcPr>
          <w:p w14:paraId="57488C54" w14:textId="77777777" w:rsidR="00590B1C" w:rsidRPr="00B758DD" w:rsidRDefault="00590B1C" w:rsidP="008A189E">
            <w:pPr>
              <w:pStyle w:val="Tableformat"/>
              <w:spacing w:before="0" w:after="0"/>
              <w:jc w:val="center"/>
            </w:pPr>
          </w:p>
        </w:tc>
        <w:tc>
          <w:tcPr>
            <w:tcW w:w="2025" w:type="dxa"/>
          </w:tcPr>
          <w:p w14:paraId="153C4431" w14:textId="77777777" w:rsidR="00590B1C" w:rsidRPr="00B758DD" w:rsidRDefault="00590B1C" w:rsidP="008A189E">
            <w:pPr>
              <w:pStyle w:val="Tableformat"/>
              <w:spacing w:before="0" w:after="0"/>
              <w:jc w:val="center"/>
            </w:pPr>
          </w:p>
        </w:tc>
      </w:tr>
      <w:tr w:rsidR="00590B1C" w:rsidRPr="00B758DD" w14:paraId="7B90FC72" w14:textId="77777777" w:rsidTr="008A189E">
        <w:tc>
          <w:tcPr>
            <w:tcW w:w="5310" w:type="dxa"/>
          </w:tcPr>
          <w:p w14:paraId="5175993D" w14:textId="77777777" w:rsidR="00590B1C" w:rsidRPr="00B758DD" w:rsidRDefault="00590B1C" w:rsidP="008A189E">
            <w:pPr>
              <w:pStyle w:val="Tableformat"/>
              <w:spacing w:before="0" w:after="0"/>
              <w:ind w:left="288"/>
            </w:pPr>
            <w:r w:rsidRPr="00B758DD">
              <w:t>Median (range)</w:t>
            </w:r>
          </w:p>
        </w:tc>
        <w:tc>
          <w:tcPr>
            <w:tcW w:w="2025" w:type="dxa"/>
          </w:tcPr>
          <w:p w14:paraId="2784AB47" w14:textId="77777777" w:rsidR="00590B1C" w:rsidRPr="00B758DD" w:rsidRDefault="00590B1C" w:rsidP="008A189E">
            <w:pPr>
              <w:pStyle w:val="Tableformat"/>
              <w:spacing w:before="0" w:after="0"/>
              <w:jc w:val="center"/>
            </w:pPr>
            <w:r w:rsidRPr="00B758DD">
              <w:t>33.6 (18.0–45.6)</w:t>
            </w:r>
          </w:p>
        </w:tc>
        <w:tc>
          <w:tcPr>
            <w:tcW w:w="2025" w:type="dxa"/>
          </w:tcPr>
          <w:p w14:paraId="27AB8EC6" w14:textId="77777777" w:rsidR="00590B1C" w:rsidRPr="00B758DD" w:rsidRDefault="00590B1C" w:rsidP="008A189E">
            <w:pPr>
              <w:pStyle w:val="Tableformat"/>
              <w:spacing w:before="0" w:after="0"/>
              <w:jc w:val="center"/>
            </w:pPr>
            <w:r w:rsidRPr="00B758DD">
              <w:t>34.2 (13.0–38.9)</w:t>
            </w:r>
          </w:p>
        </w:tc>
      </w:tr>
      <w:tr w:rsidR="00590B1C" w:rsidRPr="00B758DD" w14:paraId="64789570" w14:textId="77777777" w:rsidTr="008A189E">
        <w:tc>
          <w:tcPr>
            <w:tcW w:w="5310" w:type="dxa"/>
          </w:tcPr>
          <w:p w14:paraId="04319C4D" w14:textId="77777777" w:rsidR="00590B1C" w:rsidRPr="00B758DD" w:rsidRDefault="00590B1C" w:rsidP="008A189E">
            <w:pPr>
              <w:pStyle w:val="Tableformat"/>
              <w:spacing w:before="0" w:after="0"/>
            </w:pPr>
            <w:r w:rsidRPr="00B758DD">
              <w:t>Prednisone equivalent dose intensity,</w:t>
            </w:r>
            <w:r>
              <w:rPr>
                <w:rFonts w:cs="Times New Roman"/>
                <w:vertAlign w:val="superscript"/>
              </w:rPr>
              <w:t>d,e</w:t>
            </w:r>
            <w:r w:rsidRPr="00A955F0">
              <w:t xml:space="preserve"> </w:t>
            </w:r>
            <w:r w:rsidRPr="00B758DD">
              <w:t>mg/m</w:t>
            </w:r>
            <w:r w:rsidRPr="00B758DD">
              <w:rPr>
                <w:vertAlign w:val="superscript"/>
              </w:rPr>
              <w:t>2</w:t>
            </w:r>
            <w:r w:rsidRPr="00B758DD">
              <w:t>/cycle</w:t>
            </w:r>
          </w:p>
        </w:tc>
        <w:tc>
          <w:tcPr>
            <w:tcW w:w="2025" w:type="dxa"/>
          </w:tcPr>
          <w:p w14:paraId="7E45E540" w14:textId="77777777" w:rsidR="00590B1C" w:rsidRPr="00B758DD" w:rsidRDefault="00590B1C" w:rsidP="008A189E">
            <w:pPr>
              <w:pStyle w:val="Tableformat"/>
              <w:spacing w:before="0" w:after="0"/>
              <w:jc w:val="center"/>
            </w:pPr>
          </w:p>
        </w:tc>
        <w:tc>
          <w:tcPr>
            <w:tcW w:w="2025" w:type="dxa"/>
          </w:tcPr>
          <w:p w14:paraId="5A78B9B1" w14:textId="77777777" w:rsidR="00590B1C" w:rsidRPr="00B758DD" w:rsidRDefault="00590B1C" w:rsidP="008A189E">
            <w:pPr>
              <w:pStyle w:val="Tableformat"/>
              <w:spacing w:before="0" w:after="0"/>
              <w:jc w:val="center"/>
            </w:pPr>
          </w:p>
        </w:tc>
      </w:tr>
      <w:tr w:rsidR="00590B1C" w:rsidRPr="00B758DD" w14:paraId="63298C8A" w14:textId="77777777" w:rsidTr="008A189E">
        <w:tc>
          <w:tcPr>
            <w:tcW w:w="5310" w:type="dxa"/>
          </w:tcPr>
          <w:p w14:paraId="0109D73D" w14:textId="77777777" w:rsidR="00590B1C" w:rsidRPr="00B758DD" w:rsidRDefault="00590B1C" w:rsidP="008A189E">
            <w:pPr>
              <w:pStyle w:val="Tableformat"/>
              <w:spacing w:before="0" w:after="0"/>
              <w:ind w:left="288"/>
            </w:pPr>
            <w:r w:rsidRPr="00B758DD">
              <w:t>Median (range)</w:t>
            </w:r>
          </w:p>
        </w:tc>
        <w:tc>
          <w:tcPr>
            <w:tcW w:w="2025" w:type="dxa"/>
          </w:tcPr>
          <w:p w14:paraId="7192E1B3" w14:textId="77777777" w:rsidR="00590B1C" w:rsidRPr="00B758DD" w:rsidRDefault="00590B1C" w:rsidP="008A189E">
            <w:pPr>
              <w:pStyle w:val="Tableformat"/>
              <w:spacing w:before="0" w:after="0"/>
              <w:jc w:val="center"/>
            </w:pPr>
            <w:r w:rsidRPr="00B758DD">
              <w:t xml:space="preserve">257.4 </w:t>
            </w:r>
          </w:p>
          <w:p w14:paraId="2AE9861E" w14:textId="77777777" w:rsidR="00590B1C" w:rsidRPr="00B758DD" w:rsidRDefault="00590B1C" w:rsidP="008A189E">
            <w:pPr>
              <w:pStyle w:val="Tableformat"/>
              <w:spacing w:before="0" w:after="0"/>
              <w:jc w:val="center"/>
            </w:pPr>
            <w:r w:rsidRPr="00B758DD">
              <w:t>(151.9–315.3)</w:t>
            </w:r>
          </w:p>
        </w:tc>
        <w:tc>
          <w:tcPr>
            <w:tcW w:w="2025" w:type="dxa"/>
          </w:tcPr>
          <w:p w14:paraId="5BCAF61A" w14:textId="77777777" w:rsidR="00590B1C" w:rsidRPr="00B758DD" w:rsidRDefault="00590B1C" w:rsidP="008A189E">
            <w:pPr>
              <w:pStyle w:val="Tableformat"/>
              <w:spacing w:before="0" w:after="0"/>
              <w:jc w:val="center"/>
            </w:pPr>
            <w:r w:rsidRPr="00B758DD">
              <w:t xml:space="preserve">238.0 </w:t>
            </w:r>
          </w:p>
          <w:p w14:paraId="14502F0C" w14:textId="77777777" w:rsidR="00590B1C" w:rsidRPr="00B758DD" w:rsidRDefault="00590B1C" w:rsidP="008A189E">
            <w:pPr>
              <w:pStyle w:val="Tableformat"/>
              <w:spacing w:before="0" w:after="0"/>
              <w:jc w:val="center"/>
            </w:pPr>
            <w:r w:rsidRPr="00B758DD">
              <w:t>(148.5–262.1)</w:t>
            </w:r>
          </w:p>
        </w:tc>
      </w:tr>
      <w:tr w:rsidR="00590B1C" w:rsidRPr="00B758DD" w14:paraId="78529E69" w14:textId="77777777" w:rsidTr="008A189E">
        <w:tc>
          <w:tcPr>
            <w:tcW w:w="5310" w:type="dxa"/>
            <w:tcBorders>
              <w:bottom w:val="nil"/>
            </w:tcBorders>
          </w:tcPr>
          <w:p w14:paraId="4C017847" w14:textId="77777777" w:rsidR="00590B1C" w:rsidRPr="00B758DD" w:rsidRDefault="00590B1C" w:rsidP="008A189E">
            <w:pPr>
              <w:pStyle w:val="Tableformat"/>
              <w:spacing w:before="0" w:after="0"/>
            </w:pPr>
            <w:r w:rsidRPr="00B758DD">
              <w:t>Daratumumab IV dose intensity,</w:t>
            </w:r>
            <w:r>
              <w:rPr>
                <w:vertAlign w:val="superscript"/>
              </w:rPr>
              <w:t>f</w:t>
            </w:r>
            <w:r w:rsidRPr="00B758DD">
              <w:t xml:space="preserve"> mg/kg/cycle</w:t>
            </w:r>
          </w:p>
        </w:tc>
        <w:tc>
          <w:tcPr>
            <w:tcW w:w="2025" w:type="dxa"/>
            <w:tcBorders>
              <w:bottom w:val="nil"/>
            </w:tcBorders>
          </w:tcPr>
          <w:p w14:paraId="6F701614" w14:textId="77777777" w:rsidR="00590B1C" w:rsidRPr="00B758DD" w:rsidRDefault="00590B1C" w:rsidP="008A189E">
            <w:pPr>
              <w:pStyle w:val="Tableformat"/>
              <w:spacing w:before="0" w:after="0"/>
              <w:jc w:val="center"/>
            </w:pPr>
          </w:p>
        </w:tc>
        <w:tc>
          <w:tcPr>
            <w:tcW w:w="2025" w:type="dxa"/>
            <w:tcBorders>
              <w:bottom w:val="nil"/>
            </w:tcBorders>
          </w:tcPr>
          <w:p w14:paraId="3A0BF8C0" w14:textId="77777777" w:rsidR="00590B1C" w:rsidRPr="00B758DD" w:rsidRDefault="00590B1C" w:rsidP="008A189E">
            <w:pPr>
              <w:pStyle w:val="Tableformat"/>
              <w:spacing w:before="0" w:after="0"/>
              <w:jc w:val="center"/>
            </w:pPr>
          </w:p>
        </w:tc>
      </w:tr>
      <w:tr w:rsidR="00590B1C" w:rsidRPr="00B758DD" w14:paraId="338C19C6" w14:textId="77777777" w:rsidTr="008A189E">
        <w:tc>
          <w:tcPr>
            <w:tcW w:w="5310" w:type="dxa"/>
            <w:tcBorders>
              <w:top w:val="nil"/>
              <w:bottom w:val="single" w:sz="4" w:space="0" w:color="auto"/>
            </w:tcBorders>
          </w:tcPr>
          <w:p w14:paraId="149418FC" w14:textId="77777777" w:rsidR="00590B1C" w:rsidRPr="00B758DD" w:rsidRDefault="00590B1C" w:rsidP="008A189E">
            <w:pPr>
              <w:pStyle w:val="Tableformat"/>
              <w:spacing w:before="0" w:after="0"/>
              <w:ind w:left="288"/>
            </w:pPr>
            <w:r w:rsidRPr="00B758DD">
              <w:t>Median (range)</w:t>
            </w:r>
          </w:p>
        </w:tc>
        <w:tc>
          <w:tcPr>
            <w:tcW w:w="2025" w:type="dxa"/>
            <w:tcBorders>
              <w:top w:val="nil"/>
              <w:bottom w:val="single" w:sz="4" w:space="0" w:color="auto"/>
            </w:tcBorders>
          </w:tcPr>
          <w:p w14:paraId="108F3253" w14:textId="77777777" w:rsidR="00590B1C" w:rsidRPr="00B758DD" w:rsidRDefault="00590B1C" w:rsidP="008A189E">
            <w:pPr>
              <w:pStyle w:val="Tableformat"/>
              <w:spacing w:before="0" w:after="0"/>
              <w:jc w:val="center"/>
            </w:pPr>
            <w:r w:rsidRPr="00B758DD">
              <w:t>28.0 (1.2–96.0)</w:t>
            </w:r>
          </w:p>
        </w:tc>
        <w:tc>
          <w:tcPr>
            <w:tcW w:w="2025" w:type="dxa"/>
            <w:tcBorders>
              <w:top w:val="nil"/>
              <w:bottom w:val="single" w:sz="4" w:space="0" w:color="auto"/>
            </w:tcBorders>
          </w:tcPr>
          <w:p w14:paraId="608A4529" w14:textId="77777777" w:rsidR="00590B1C" w:rsidRPr="00B758DD" w:rsidRDefault="00590B1C" w:rsidP="008A189E">
            <w:pPr>
              <w:pStyle w:val="Tableformat"/>
              <w:spacing w:before="0" w:after="0"/>
              <w:jc w:val="center"/>
            </w:pPr>
            <w:r w:rsidRPr="00B758DD">
              <w:t>-</w:t>
            </w:r>
          </w:p>
        </w:tc>
      </w:tr>
    </w:tbl>
    <w:p w14:paraId="20C59FA4" w14:textId="77777777" w:rsidR="00590B1C" w:rsidRPr="00B758DD" w:rsidRDefault="00590B1C" w:rsidP="00590B1C">
      <w:pPr>
        <w:spacing w:before="0" w:line="276" w:lineRule="auto"/>
      </w:pPr>
      <w:r w:rsidRPr="00B758DD">
        <w:t>D-VMP, daratumumab plus bortezomib/melphalan/prednisone; VMP, bortezomib/melphalan/prednisone</w:t>
      </w:r>
      <w:r>
        <w:t>; IV, intravenous</w:t>
      </w:r>
    </w:p>
    <w:p w14:paraId="588A20D5" w14:textId="77777777" w:rsidR="00590B1C" w:rsidRPr="00B758DD" w:rsidRDefault="00590B1C" w:rsidP="00590B1C">
      <w:pPr>
        <w:spacing w:before="0" w:line="276" w:lineRule="auto"/>
      </w:pPr>
      <w:r>
        <w:rPr>
          <w:vertAlign w:val="superscript"/>
        </w:rPr>
        <w:t>a</w:t>
      </w:r>
      <w:r w:rsidRPr="00B758DD">
        <w:t>In the safety population</w:t>
      </w:r>
    </w:p>
    <w:p w14:paraId="461A6571" w14:textId="77777777" w:rsidR="00590B1C" w:rsidRPr="00B758DD" w:rsidRDefault="00590B1C" w:rsidP="00590B1C">
      <w:pPr>
        <w:spacing w:before="0" w:line="276" w:lineRule="auto"/>
      </w:pPr>
      <w:r>
        <w:rPr>
          <w:rFonts w:cs="Times New Roman"/>
          <w:vertAlign w:val="superscript"/>
        </w:rPr>
        <w:t>b</w:t>
      </w:r>
      <w:r w:rsidRPr="00B758DD">
        <w:rPr>
          <w:rFonts w:cs="Times New Roman"/>
        </w:rPr>
        <w:t>Dose intensity (mg/m²/cycle) was calculated as the sum of total doses (mg/m²) received in all cycles divided by the number of treatment cycles on bortezomib</w:t>
      </w:r>
    </w:p>
    <w:p w14:paraId="7DB286A0" w14:textId="77777777" w:rsidR="00590B1C" w:rsidRPr="00B758DD" w:rsidRDefault="00590B1C" w:rsidP="00590B1C">
      <w:pPr>
        <w:spacing w:before="0" w:line="276" w:lineRule="auto"/>
      </w:pPr>
      <w:r>
        <w:rPr>
          <w:rFonts w:cs="Times New Roman"/>
          <w:vertAlign w:val="superscript"/>
        </w:rPr>
        <w:t>c</w:t>
      </w:r>
      <w:r w:rsidRPr="00B758DD">
        <w:rPr>
          <w:rFonts w:cs="Times New Roman"/>
        </w:rPr>
        <w:t>Dose intensity (mg/m²/cycle) was calculated as the sum of total doses (mg/m²) received in all cycles divided by the number of treatment cycles on melphalan</w:t>
      </w:r>
    </w:p>
    <w:p w14:paraId="44E39B84" w14:textId="77777777" w:rsidR="00590B1C" w:rsidRPr="00B758DD" w:rsidRDefault="00590B1C" w:rsidP="00590B1C">
      <w:pPr>
        <w:spacing w:before="0" w:line="276" w:lineRule="auto"/>
      </w:pPr>
      <w:r>
        <w:rPr>
          <w:rFonts w:cs="Times New Roman"/>
          <w:vertAlign w:val="superscript"/>
        </w:rPr>
        <w:t>d</w:t>
      </w:r>
      <w:r w:rsidRPr="00B758DD">
        <w:rPr>
          <w:rFonts w:cs="Times New Roman"/>
        </w:rPr>
        <w:t>Dose intensity (mg/m²/cycle) was calculated as the sum of total doses (mg/m²) received in all cycles divided by the number of treatment cycles on steroid</w:t>
      </w:r>
    </w:p>
    <w:p w14:paraId="6AD1E64D" w14:textId="77777777" w:rsidR="00590B1C" w:rsidRPr="00B758DD" w:rsidRDefault="00590B1C" w:rsidP="00590B1C">
      <w:pPr>
        <w:spacing w:before="0" w:line="276" w:lineRule="auto"/>
      </w:pPr>
      <w:r>
        <w:rPr>
          <w:rFonts w:cs="Times New Roman"/>
          <w:vertAlign w:val="superscript"/>
        </w:rPr>
        <w:t>e</w:t>
      </w:r>
      <w:r w:rsidRPr="00B758DD">
        <w:rPr>
          <w:rFonts w:cs="Times New Roman"/>
        </w:rPr>
        <w:t xml:space="preserve">For D-VMP group, other corticosteroids may have been used as substitutes, which were converted to prednisone equivalent doses with the following conversion factor: 1 mg </w:t>
      </w:r>
      <w:r>
        <w:rPr>
          <w:rFonts w:cs="Times New Roman"/>
        </w:rPr>
        <w:t xml:space="preserve">of </w:t>
      </w:r>
      <w:r w:rsidRPr="00B758DD">
        <w:rPr>
          <w:rFonts w:cs="Times New Roman"/>
        </w:rPr>
        <w:t xml:space="preserve">dexamethasone = 6.67 mg </w:t>
      </w:r>
      <w:r>
        <w:rPr>
          <w:rFonts w:cs="Times New Roman"/>
        </w:rPr>
        <w:t xml:space="preserve">of </w:t>
      </w:r>
      <w:r w:rsidRPr="00B758DD">
        <w:rPr>
          <w:rFonts w:cs="Times New Roman"/>
        </w:rPr>
        <w:t xml:space="preserve">prednisone; 1 mg </w:t>
      </w:r>
      <w:r>
        <w:rPr>
          <w:rFonts w:cs="Times New Roman"/>
        </w:rPr>
        <w:t xml:space="preserve">of </w:t>
      </w:r>
      <w:r w:rsidRPr="00B758DD">
        <w:rPr>
          <w:rFonts w:cs="Times New Roman"/>
        </w:rPr>
        <w:t xml:space="preserve">methylprednisolone = 1.25 mg </w:t>
      </w:r>
      <w:r>
        <w:rPr>
          <w:rFonts w:cs="Times New Roman"/>
        </w:rPr>
        <w:t xml:space="preserve">of </w:t>
      </w:r>
      <w:r w:rsidRPr="00B758DD">
        <w:rPr>
          <w:rFonts w:cs="Times New Roman"/>
        </w:rPr>
        <w:t xml:space="preserve">prednisone; 1 mg </w:t>
      </w:r>
      <w:r>
        <w:rPr>
          <w:rFonts w:cs="Times New Roman"/>
        </w:rPr>
        <w:t xml:space="preserve">of </w:t>
      </w:r>
      <w:r w:rsidRPr="00B758DD">
        <w:rPr>
          <w:rFonts w:cs="Times New Roman"/>
        </w:rPr>
        <w:t>triamcinolone = 0.8 mg</w:t>
      </w:r>
      <w:r>
        <w:rPr>
          <w:rFonts w:cs="Times New Roman"/>
        </w:rPr>
        <w:t xml:space="preserve"> of</w:t>
      </w:r>
      <w:r w:rsidRPr="00B758DD">
        <w:rPr>
          <w:rFonts w:cs="Times New Roman"/>
        </w:rPr>
        <w:t xml:space="preserve"> prednisone; 1 mg </w:t>
      </w:r>
      <w:r>
        <w:rPr>
          <w:rFonts w:cs="Times New Roman"/>
        </w:rPr>
        <w:t xml:space="preserve">of </w:t>
      </w:r>
      <w:r w:rsidRPr="00B758DD">
        <w:rPr>
          <w:rFonts w:cs="Times New Roman"/>
        </w:rPr>
        <w:t xml:space="preserve">betamethasone = 8.33 mg </w:t>
      </w:r>
      <w:r>
        <w:rPr>
          <w:rFonts w:cs="Times New Roman"/>
        </w:rPr>
        <w:t xml:space="preserve">of </w:t>
      </w:r>
      <w:r w:rsidRPr="00B758DD">
        <w:rPr>
          <w:rFonts w:cs="Times New Roman"/>
        </w:rPr>
        <w:t>prednisone</w:t>
      </w:r>
    </w:p>
    <w:p w14:paraId="117CFF87" w14:textId="77777777" w:rsidR="00590B1C" w:rsidRPr="00B758DD" w:rsidRDefault="00590B1C" w:rsidP="00590B1C">
      <w:pPr>
        <w:spacing w:before="0" w:line="276" w:lineRule="auto"/>
      </w:pPr>
      <w:r>
        <w:rPr>
          <w:vertAlign w:val="superscript"/>
        </w:rPr>
        <w:t>f</w:t>
      </w:r>
      <w:r w:rsidRPr="00B758DD">
        <w:t>Dose intensity (mg/kg/cycle) was calculated as the sum of total doses (mg/kg) received in all cycles divided by the number of treatment cycles on daratumumab</w:t>
      </w:r>
    </w:p>
    <w:p w14:paraId="036392B9" w14:textId="77777777" w:rsidR="00590B1C" w:rsidRPr="00B758DD" w:rsidRDefault="00590B1C" w:rsidP="00590B1C">
      <w:pPr>
        <w:spacing w:before="0"/>
        <w:sectPr w:rsidR="00590B1C" w:rsidRPr="00B758DD" w:rsidSect="00590B1C">
          <w:pgSz w:w="12240" w:h="15840"/>
          <w:pgMar w:top="1440" w:right="1440" w:bottom="1440" w:left="1440" w:header="720" w:footer="720" w:gutter="0"/>
          <w:cols w:space="720"/>
          <w:docGrid w:linePitch="360"/>
        </w:sectPr>
      </w:pPr>
    </w:p>
    <w:p w14:paraId="1E006AEC" w14:textId="7E684207" w:rsidR="00590B1C" w:rsidRPr="00D443FE" w:rsidRDefault="00590B1C" w:rsidP="00590B1C">
      <w:pPr>
        <w:pStyle w:val="Heading1"/>
        <w:spacing w:before="0"/>
        <w:rPr>
          <w:b w:val="0"/>
          <w:bCs/>
        </w:rPr>
      </w:pPr>
      <w:r w:rsidRPr="00B758DD">
        <w:t>Supplemental Table S</w:t>
      </w:r>
      <w:r>
        <w:t>3</w:t>
      </w:r>
      <w:r w:rsidRPr="00B758DD">
        <w:t xml:space="preserve"> </w:t>
      </w:r>
      <w:r w:rsidRPr="00D443FE">
        <w:rPr>
          <w:b w:val="0"/>
          <w:bCs/>
        </w:rPr>
        <w:t>MRD</w:t>
      </w:r>
      <w:r w:rsidRPr="00224578">
        <w:rPr>
          <w:b w:val="0"/>
          <w:bCs/>
        </w:rPr>
        <w:t xml:space="preserve">-negativity Rates </w:t>
      </w:r>
      <w:r w:rsidRPr="00D443FE">
        <w:rPr>
          <w:b w:val="0"/>
          <w:bCs/>
        </w:rPr>
        <w:t xml:space="preserve">and </w:t>
      </w:r>
      <w:r w:rsidRPr="00224578">
        <w:rPr>
          <w:b w:val="0"/>
          <w:bCs/>
        </w:rPr>
        <w:t xml:space="preserve">Sustained </w:t>
      </w:r>
      <w:r w:rsidRPr="00D443FE">
        <w:rPr>
          <w:b w:val="0"/>
          <w:bCs/>
        </w:rPr>
        <w:t>MRD</w:t>
      </w:r>
      <w:r>
        <w:rPr>
          <w:b w:val="0"/>
          <w:bCs/>
        </w:rPr>
        <w:t>-</w:t>
      </w:r>
      <w:r w:rsidRPr="00224578">
        <w:rPr>
          <w:b w:val="0"/>
          <w:bCs/>
        </w:rPr>
        <w:t xml:space="preserve">negativity Rates </w:t>
      </w:r>
      <w:r w:rsidRPr="00D443FE">
        <w:rPr>
          <w:b w:val="0"/>
          <w:bCs/>
        </w:rPr>
        <w:t xml:space="preserve">in the OCTANS and ALCYONE </w:t>
      </w:r>
      <w:r w:rsidRPr="00224578">
        <w:rPr>
          <w:b w:val="0"/>
          <w:bCs/>
        </w:rPr>
        <w:t>Studies</w:t>
      </w:r>
    </w:p>
    <w:tbl>
      <w:tblPr>
        <w:tblStyle w:val="TableGrid"/>
        <w:tblW w:w="129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395"/>
        <w:gridCol w:w="1395"/>
        <w:gridCol w:w="1395"/>
        <w:gridCol w:w="1395"/>
        <w:gridCol w:w="1395"/>
        <w:gridCol w:w="1395"/>
      </w:tblGrid>
      <w:tr w:rsidR="00590B1C" w:rsidRPr="00B758DD" w14:paraId="533187A3" w14:textId="77777777" w:rsidTr="008A189E">
        <w:tc>
          <w:tcPr>
            <w:tcW w:w="4590" w:type="dxa"/>
            <w:vMerge w:val="restart"/>
            <w:vAlign w:val="bottom"/>
          </w:tcPr>
          <w:p w14:paraId="11129D8E" w14:textId="77777777" w:rsidR="00590B1C" w:rsidRPr="00B758DD" w:rsidRDefault="00590B1C" w:rsidP="008A189E">
            <w:pPr>
              <w:pStyle w:val="Tableformat"/>
              <w:spacing w:before="0" w:after="0"/>
              <w:rPr>
                <w:b/>
                <w:bCs/>
              </w:rPr>
            </w:pPr>
          </w:p>
        </w:tc>
        <w:tc>
          <w:tcPr>
            <w:tcW w:w="4185" w:type="dxa"/>
            <w:gridSpan w:val="3"/>
            <w:tcBorders>
              <w:bottom w:val="single" w:sz="4" w:space="0" w:color="auto"/>
            </w:tcBorders>
            <w:vAlign w:val="bottom"/>
          </w:tcPr>
          <w:p w14:paraId="1232FE72" w14:textId="77777777" w:rsidR="00590B1C" w:rsidRPr="00B758DD" w:rsidRDefault="00590B1C" w:rsidP="008A189E">
            <w:pPr>
              <w:pStyle w:val="Tableformat"/>
              <w:spacing w:before="0" w:after="0"/>
              <w:jc w:val="center"/>
              <w:rPr>
                <w:b/>
                <w:bCs/>
              </w:rPr>
            </w:pPr>
            <w:r w:rsidRPr="00B758DD">
              <w:rPr>
                <w:b/>
                <w:bCs/>
              </w:rPr>
              <w:t>OCTANS</w:t>
            </w:r>
          </w:p>
        </w:tc>
        <w:tc>
          <w:tcPr>
            <w:tcW w:w="4185" w:type="dxa"/>
            <w:gridSpan w:val="3"/>
            <w:tcBorders>
              <w:bottom w:val="single" w:sz="4" w:space="0" w:color="auto"/>
            </w:tcBorders>
          </w:tcPr>
          <w:p w14:paraId="4958152F" w14:textId="77777777" w:rsidR="00590B1C" w:rsidRPr="00B758DD" w:rsidRDefault="00590B1C" w:rsidP="008A189E">
            <w:pPr>
              <w:pStyle w:val="Tableformat"/>
              <w:spacing w:before="0" w:after="0"/>
              <w:jc w:val="center"/>
              <w:rPr>
                <w:b/>
                <w:bCs/>
              </w:rPr>
            </w:pPr>
            <w:r w:rsidRPr="00B758DD">
              <w:rPr>
                <w:b/>
                <w:bCs/>
              </w:rPr>
              <w:t>ALCYONE</w:t>
            </w:r>
          </w:p>
        </w:tc>
      </w:tr>
      <w:tr w:rsidR="00590B1C" w:rsidRPr="00B758DD" w14:paraId="1DE011F1" w14:textId="77777777" w:rsidTr="008A189E">
        <w:tc>
          <w:tcPr>
            <w:tcW w:w="4590" w:type="dxa"/>
            <w:vMerge/>
            <w:tcBorders>
              <w:bottom w:val="single" w:sz="4" w:space="0" w:color="auto"/>
            </w:tcBorders>
            <w:vAlign w:val="bottom"/>
          </w:tcPr>
          <w:p w14:paraId="2E2D50B5" w14:textId="77777777" w:rsidR="00590B1C" w:rsidRPr="00B758DD" w:rsidRDefault="00590B1C" w:rsidP="008A189E">
            <w:pPr>
              <w:pStyle w:val="Tableformat"/>
              <w:spacing w:before="0" w:after="0"/>
              <w:rPr>
                <w:b/>
                <w:bCs/>
              </w:rPr>
            </w:pPr>
          </w:p>
        </w:tc>
        <w:tc>
          <w:tcPr>
            <w:tcW w:w="1395" w:type="dxa"/>
            <w:tcBorders>
              <w:bottom w:val="single" w:sz="4" w:space="0" w:color="auto"/>
            </w:tcBorders>
            <w:vAlign w:val="bottom"/>
          </w:tcPr>
          <w:p w14:paraId="1B7DF717" w14:textId="77777777" w:rsidR="00590B1C" w:rsidRPr="00B758DD" w:rsidRDefault="00590B1C" w:rsidP="008A189E">
            <w:pPr>
              <w:pStyle w:val="Tableformat"/>
              <w:spacing w:before="0" w:after="0"/>
              <w:jc w:val="center"/>
              <w:rPr>
                <w:b/>
                <w:bCs/>
              </w:rPr>
            </w:pPr>
            <w:r w:rsidRPr="00B758DD">
              <w:rPr>
                <w:b/>
                <w:bCs/>
              </w:rPr>
              <w:t>D-VMP</w:t>
            </w:r>
          </w:p>
        </w:tc>
        <w:tc>
          <w:tcPr>
            <w:tcW w:w="1395" w:type="dxa"/>
            <w:tcBorders>
              <w:bottom w:val="single" w:sz="4" w:space="0" w:color="auto"/>
            </w:tcBorders>
            <w:vAlign w:val="bottom"/>
          </w:tcPr>
          <w:p w14:paraId="4A7CDDD5" w14:textId="77777777" w:rsidR="00590B1C" w:rsidRPr="00B758DD" w:rsidRDefault="00590B1C" w:rsidP="008A189E">
            <w:pPr>
              <w:pStyle w:val="Tableformat"/>
              <w:spacing w:before="0" w:after="0"/>
              <w:jc w:val="center"/>
              <w:rPr>
                <w:b/>
                <w:bCs/>
              </w:rPr>
            </w:pPr>
            <w:r w:rsidRPr="00B758DD">
              <w:rPr>
                <w:b/>
                <w:bCs/>
              </w:rPr>
              <w:t>VMP</w:t>
            </w:r>
          </w:p>
        </w:tc>
        <w:tc>
          <w:tcPr>
            <w:tcW w:w="1395" w:type="dxa"/>
            <w:tcBorders>
              <w:bottom w:val="single" w:sz="4" w:space="0" w:color="auto"/>
            </w:tcBorders>
          </w:tcPr>
          <w:p w14:paraId="3357223A" w14:textId="77777777" w:rsidR="00590B1C" w:rsidRPr="00B758DD" w:rsidRDefault="00590B1C" w:rsidP="008A189E">
            <w:pPr>
              <w:pStyle w:val="Tableformat"/>
              <w:spacing w:before="0" w:after="0"/>
              <w:jc w:val="center"/>
              <w:rPr>
                <w:b/>
                <w:bCs/>
                <w:vertAlign w:val="superscript"/>
              </w:rPr>
            </w:pPr>
            <w:r w:rsidRPr="00B758DD">
              <w:rPr>
                <w:b/>
                <w:bCs/>
                <w:i/>
                <w:iCs/>
              </w:rPr>
              <w:t>P</w:t>
            </w:r>
            <w:r w:rsidRPr="00B758DD">
              <w:rPr>
                <w:b/>
                <w:bCs/>
              </w:rPr>
              <w:t xml:space="preserve"> value</w:t>
            </w:r>
            <w:r>
              <w:rPr>
                <w:b/>
                <w:bCs/>
                <w:vertAlign w:val="superscript"/>
              </w:rPr>
              <w:t>a</w:t>
            </w:r>
          </w:p>
        </w:tc>
        <w:tc>
          <w:tcPr>
            <w:tcW w:w="1395" w:type="dxa"/>
            <w:tcBorders>
              <w:bottom w:val="single" w:sz="4" w:space="0" w:color="auto"/>
            </w:tcBorders>
          </w:tcPr>
          <w:p w14:paraId="30C8C97D" w14:textId="77777777" w:rsidR="00590B1C" w:rsidRPr="00B758DD" w:rsidRDefault="00590B1C" w:rsidP="008A189E">
            <w:pPr>
              <w:pStyle w:val="Tableformat"/>
              <w:spacing w:before="0" w:after="0"/>
              <w:jc w:val="center"/>
              <w:rPr>
                <w:b/>
                <w:bCs/>
              </w:rPr>
            </w:pPr>
            <w:r w:rsidRPr="00B758DD">
              <w:rPr>
                <w:b/>
                <w:bCs/>
              </w:rPr>
              <w:t>D-VMP</w:t>
            </w:r>
          </w:p>
        </w:tc>
        <w:tc>
          <w:tcPr>
            <w:tcW w:w="1395" w:type="dxa"/>
            <w:tcBorders>
              <w:bottom w:val="single" w:sz="4" w:space="0" w:color="auto"/>
            </w:tcBorders>
          </w:tcPr>
          <w:p w14:paraId="21E67FA7" w14:textId="77777777" w:rsidR="00590B1C" w:rsidRPr="00B758DD" w:rsidRDefault="00590B1C" w:rsidP="008A189E">
            <w:pPr>
              <w:pStyle w:val="Tableformat"/>
              <w:spacing w:before="0" w:after="0"/>
              <w:jc w:val="center"/>
              <w:rPr>
                <w:b/>
                <w:bCs/>
              </w:rPr>
            </w:pPr>
            <w:r w:rsidRPr="00B758DD">
              <w:rPr>
                <w:b/>
                <w:bCs/>
              </w:rPr>
              <w:t>VMP</w:t>
            </w:r>
          </w:p>
        </w:tc>
        <w:tc>
          <w:tcPr>
            <w:tcW w:w="1395" w:type="dxa"/>
            <w:tcBorders>
              <w:bottom w:val="single" w:sz="4" w:space="0" w:color="auto"/>
            </w:tcBorders>
          </w:tcPr>
          <w:p w14:paraId="22BBE8D6" w14:textId="77777777" w:rsidR="00590B1C" w:rsidRPr="00B758DD" w:rsidRDefault="00590B1C" w:rsidP="008A189E">
            <w:pPr>
              <w:pStyle w:val="Tableformat"/>
              <w:spacing w:before="0" w:after="0"/>
              <w:jc w:val="center"/>
              <w:rPr>
                <w:b/>
                <w:bCs/>
                <w:vertAlign w:val="superscript"/>
              </w:rPr>
            </w:pPr>
            <w:r w:rsidRPr="00B758DD">
              <w:rPr>
                <w:b/>
                <w:bCs/>
                <w:i/>
                <w:iCs/>
              </w:rPr>
              <w:t>P</w:t>
            </w:r>
            <w:r w:rsidRPr="00B758DD">
              <w:rPr>
                <w:b/>
                <w:bCs/>
              </w:rPr>
              <w:t xml:space="preserve"> value</w:t>
            </w:r>
            <w:r>
              <w:rPr>
                <w:b/>
                <w:bCs/>
                <w:vertAlign w:val="superscript"/>
              </w:rPr>
              <w:t>a</w:t>
            </w:r>
          </w:p>
        </w:tc>
      </w:tr>
      <w:tr w:rsidR="00590B1C" w:rsidRPr="00B758DD" w14:paraId="226EE1E9" w14:textId="77777777" w:rsidTr="008A189E">
        <w:tc>
          <w:tcPr>
            <w:tcW w:w="4590" w:type="dxa"/>
            <w:tcBorders>
              <w:bottom w:val="single" w:sz="4" w:space="0" w:color="auto"/>
            </w:tcBorders>
            <w:vAlign w:val="bottom"/>
          </w:tcPr>
          <w:p w14:paraId="381D06DE" w14:textId="77777777" w:rsidR="00590B1C" w:rsidRPr="00B758DD" w:rsidRDefault="00590B1C" w:rsidP="008A189E">
            <w:pPr>
              <w:pStyle w:val="Tableformat"/>
              <w:spacing w:before="0" w:after="0"/>
            </w:pPr>
            <w:r>
              <w:t>ITT analysis set</w:t>
            </w:r>
          </w:p>
        </w:tc>
        <w:tc>
          <w:tcPr>
            <w:tcW w:w="1395" w:type="dxa"/>
            <w:tcBorders>
              <w:bottom w:val="single" w:sz="4" w:space="0" w:color="auto"/>
            </w:tcBorders>
            <w:vAlign w:val="bottom"/>
          </w:tcPr>
          <w:p w14:paraId="4C9D54F4" w14:textId="77777777" w:rsidR="00590B1C" w:rsidRPr="00B758DD" w:rsidRDefault="00590B1C" w:rsidP="008A189E">
            <w:pPr>
              <w:pStyle w:val="Tableformat"/>
              <w:spacing w:before="0" w:after="0"/>
              <w:jc w:val="center"/>
            </w:pPr>
            <w:r w:rsidRPr="00B758DD">
              <w:t>146</w:t>
            </w:r>
          </w:p>
        </w:tc>
        <w:tc>
          <w:tcPr>
            <w:tcW w:w="1395" w:type="dxa"/>
            <w:tcBorders>
              <w:bottom w:val="single" w:sz="4" w:space="0" w:color="auto"/>
            </w:tcBorders>
            <w:vAlign w:val="bottom"/>
          </w:tcPr>
          <w:p w14:paraId="4AD0FA78" w14:textId="77777777" w:rsidR="00590B1C" w:rsidRPr="00B758DD" w:rsidRDefault="00590B1C" w:rsidP="008A189E">
            <w:pPr>
              <w:pStyle w:val="Tableformat"/>
              <w:spacing w:before="0" w:after="0"/>
              <w:jc w:val="center"/>
            </w:pPr>
            <w:r w:rsidRPr="00B758DD">
              <w:t>74</w:t>
            </w:r>
          </w:p>
        </w:tc>
        <w:tc>
          <w:tcPr>
            <w:tcW w:w="1395" w:type="dxa"/>
            <w:tcBorders>
              <w:bottom w:val="single" w:sz="4" w:space="0" w:color="auto"/>
            </w:tcBorders>
          </w:tcPr>
          <w:p w14:paraId="4E25A1AA" w14:textId="77777777" w:rsidR="00590B1C" w:rsidRPr="00B758DD" w:rsidRDefault="00590B1C" w:rsidP="008A189E">
            <w:pPr>
              <w:pStyle w:val="Tableformat"/>
              <w:spacing w:before="0" w:after="0"/>
              <w:jc w:val="center"/>
            </w:pPr>
          </w:p>
        </w:tc>
        <w:tc>
          <w:tcPr>
            <w:tcW w:w="1395" w:type="dxa"/>
            <w:tcBorders>
              <w:bottom w:val="single" w:sz="4" w:space="0" w:color="auto"/>
            </w:tcBorders>
          </w:tcPr>
          <w:p w14:paraId="14B7C8F5" w14:textId="77777777" w:rsidR="00590B1C" w:rsidRPr="00B758DD" w:rsidRDefault="00590B1C" w:rsidP="008A189E">
            <w:pPr>
              <w:pStyle w:val="Tableformat"/>
              <w:spacing w:before="0" w:after="0"/>
              <w:jc w:val="center"/>
            </w:pPr>
            <w:r w:rsidRPr="00B758DD">
              <w:t>350</w:t>
            </w:r>
          </w:p>
        </w:tc>
        <w:tc>
          <w:tcPr>
            <w:tcW w:w="1395" w:type="dxa"/>
            <w:tcBorders>
              <w:bottom w:val="single" w:sz="4" w:space="0" w:color="auto"/>
            </w:tcBorders>
          </w:tcPr>
          <w:p w14:paraId="69A51C71" w14:textId="77777777" w:rsidR="00590B1C" w:rsidRPr="00B758DD" w:rsidRDefault="00590B1C" w:rsidP="008A189E">
            <w:pPr>
              <w:pStyle w:val="Tableformat"/>
              <w:spacing w:before="0" w:after="0"/>
              <w:jc w:val="center"/>
            </w:pPr>
            <w:r w:rsidRPr="00B758DD">
              <w:t>356</w:t>
            </w:r>
          </w:p>
        </w:tc>
        <w:tc>
          <w:tcPr>
            <w:tcW w:w="1395" w:type="dxa"/>
            <w:tcBorders>
              <w:bottom w:val="single" w:sz="4" w:space="0" w:color="auto"/>
            </w:tcBorders>
          </w:tcPr>
          <w:p w14:paraId="7E411927" w14:textId="77777777" w:rsidR="00590B1C" w:rsidRPr="00B758DD" w:rsidRDefault="00590B1C" w:rsidP="008A189E">
            <w:pPr>
              <w:pStyle w:val="Tableformat"/>
              <w:spacing w:before="0" w:after="0"/>
              <w:jc w:val="center"/>
            </w:pPr>
          </w:p>
        </w:tc>
      </w:tr>
      <w:tr w:rsidR="00590B1C" w:rsidRPr="00B758DD" w14:paraId="3BBCF7B1" w14:textId="77777777" w:rsidTr="008A189E">
        <w:tc>
          <w:tcPr>
            <w:tcW w:w="4590" w:type="dxa"/>
            <w:tcBorders>
              <w:bottom w:val="single" w:sz="4" w:space="0" w:color="auto"/>
            </w:tcBorders>
            <w:vAlign w:val="bottom"/>
          </w:tcPr>
          <w:p w14:paraId="12DD5B20" w14:textId="77777777" w:rsidR="00590B1C" w:rsidRPr="00B758DD" w:rsidRDefault="00590B1C" w:rsidP="008A189E">
            <w:pPr>
              <w:pStyle w:val="Tableformat"/>
              <w:spacing w:before="0" w:after="0"/>
            </w:pPr>
            <w:r w:rsidRPr="00B758DD">
              <w:t>MRD-negativity rate (10</w:t>
            </w:r>
            <w:r w:rsidRPr="00B758DD">
              <w:rPr>
                <w:rFonts w:cs="Times New Roman"/>
                <w:vertAlign w:val="superscript"/>
              </w:rPr>
              <w:t>–</w:t>
            </w:r>
            <w:r w:rsidRPr="00B758DD">
              <w:rPr>
                <w:vertAlign w:val="superscript"/>
              </w:rPr>
              <w:t>5</w:t>
            </w:r>
            <w:r w:rsidRPr="00B758DD">
              <w:t>), n (%)</w:t>
            </w:r>
          </w:p>
        </w:tc>
        <w:tc>
          <w:tcPr>
            <w:tcW w:w="1395" w:type="dxa"/>
            <w:tcBorders>
              <w:bottom w:val="single" w:sz="4" w:space="0" w:color="auto"/>
            </w:tcBorders>
            <w:vAlign w:val="bottom"/>
          </w:tcPr>
          <w:p w14:paraId="50FD85EF" w14:textId="77777777" w:rsidR="00590B1C" w:rsidRPr="00B758DD" w:rsidRDefault="00590B1C" w:rsidP="008A189E">
            <w:pPr>
              <w:pStyle w:val="Tableformat"/>
              <w:spacing w:before="0" w:after="0"/>
              <w:jc w:val="center"/>
            </w:pPr>
            <w:r w:rsidRPr="00B758DD">
              <w:t>59 (40.4)</w:t>
            </w:r>
          </w:p>
        </w:tc>
        <w:tc>
          <w:tcPr>
            <w:tcW w:w="1395" w:type="dxa"/>
            <w:tcBorders>
              <w:bottom w:val="single" w:sz="4" w:space="0" w:color="auto"/>
            </w:tcBorders>
            <w:vAlign w:val="bottom"/>
          </w:tcPr>
          <w:p w14:paraId="2907FB37" w14:textId="77777777" w:rsidR="00590B1C" w:rsidRPr="00B758DD" w:rsidRDefault="00590B1C" w:rsidP="008A189E">
            <w:pPr>
              <w:pStyle w:val="Tableformat"/>
              <w:spacing w:before="0" w:after="0"/>
              <w:jc w:val="center"/>
            </w:pPr>
            <w:r w:rsidRPr="00B758DD">
              <w:t>8 (10.8)</w:t>
            </w:r>
          </w:p>
        </w:tc>
        <w:tc>
          <w:tcPr>
            <w:tcW w:w="1395" w:type="dxa"/>
            <w:tcBorders>
              <w:bottom w:val="single" w:sz="4" w:space="0" w:color="auto"/>
            </w:tcBorders>
          </w:tcPr>
          <w:p w14:paraId="323D3B35" w14:textId="77777777" w:rsidR="00590B1C" w:rsidRPr="00B758DD" w:rsidRDefault="00590B1C" w:rsidP="008A189E">
            <w:pPr>
              <w:pStyle w:val="Tableformat"/>
              <w:spacing w:before="0" w:after="0"/>
              <w:jc w:val="center"/>
            </w:pPr>
            <w:r w:rsidRPr="00B758DD">
              <w:t>&lt;0.0001</w:t>
            </w:r>
          </w:p>
        </w:tc>
        <w:tc>
          <w:tcPr>
            <w:tcW w:w="1395" w:type="dxa"/>
            <w:tcBorders>
              <w:bottom w:val="single" w:sz="4" w:space="0" w:color="auto"/>
            </w:tcBorders>
          </w:tcPr>
          <w:p w14:paraId="72152C01" w14:textId="77777777" w:rsidR="00590B1C" w:rsidRPr="00B758DD" w:rsidRDefault="00590B1C" w:rsidP="008A189E">
            <w:pPr>
              <w:pStyle w:val="Tableformat"/>
              <w:spacing w:before="0" w:after="0"/>
              <w:jc w:val="center"/>
            </w:pPr>
            <w:r w:rsidRPr="00B758DD">
              <w:t>99 (28.3)</w:t>
            </w:r>
          </w:p>
        </w:tc>
        <w:tc>
          <w:tcPr>
            <w:tcW w:w="1395" w:type="dxa"/>
            <w:tcBorders>
              <w:bottom w:val="single" w:sz="4" w:space="0" w:color="auto"/>
            </w:tcBorders>
          </w:tcPr>
          <w:p w14:paraId="314614B5" w14:textId="77777777" w:rsidR="00590B1C" w:rsidRPr="00B758DD" w:rsidRDefault="00590B1C" w:rsidP="008A189E">
            <w:pPr>
              <w:pStyle w:val="Tableformat"/>
              <w:spacing w:before="0" w:after="0"/>
              <w:jc w:val="center"/>
            </w:pPr>
            <w:r w:rsidRPr="00B758DD">
              <w:t>25 (7.0)</w:t>
            </w:r>
          </w:p>
        </w:tc>
        <w:tc>
          <w:tcPr>
            <w:tcW w:w="1395" w:type="dxa"/>
            <w:tcBorders>
              <w:bottom w:val="single" w:sz="4" w:space="0" w:color="auto"/>
            </w:tcBorders>
          </w:tcPr>
          <w:p w14:paraId="68951E6C" w14:textId="77777777" w:rsidR="00590B1C" w:rsidRPr="00B758DD" w:rsidRDefault="00590B1C" w:rsidP="008A189E">
            <w:pPr>
              <w:pStyle w:val="Tableformat"/>
              <w:spacing w:before="0" w:after="0"/>
              <w:jc w:val="center"/>
            </w:pPr>
            <w:r w:rsidRPr="00B758DD">
              <w:t>&lt;0.0001</w:t>
            </w:r>
          </w:p>
        </w:tc>
      </w:tr>
      <w:tr w:rsidR="00590B1C" w:rsidRPr="00B758DD" w14:paraId="002C0951" w14:textId="77777777" w:rsidTr="008A189E">
        <w:tc>
          <w:tcPr>
            <w:tcW w:w="4590" w:type="dxa"/>
            <w:tcBorders>
              <w:bottom w:val="nil"/>
            </w:tcBorders>
            <w:vAlign w:val="bottom"/>
          </w:tcPr>
          <w:p w14:paraId="5B770EB3" w14:textId="77777777" w:rsidR="00590B1C" w:rsidRPr="00B758DD" w:rsidRDefault="00590B1C" w:rsidP="008A189E">
            <w:pPr>
              <w:pStyle w:val="Tableformat"/>
              <w:spacing w:before="0" w:after="0"/>
              <w:rPr>
                <w:vertAlign w:val="superscript"/>
              </w:rPr>
            </w:pPr>
            <w:r w:rsidRPr="00B758DD">
              <w:t>Sustained MRD-negativity rate (10</w:t>
            </w:r>
            <w:r w:rsidRPr="00B758DD">
              <w:rPr>
                <w:rFonts w:cs="Times New Roman"/>
                <w:vertAlign w:val="superscript"/>
              </w:rPr>
              <w:t>–</w:t>
            </w:r>
            <w:r w:rsidRPr="00B758DD">
              <w:rPr>
                <w:vertAlign w:val="superscript"/>
              </w:rPr>
              <w:t>5</w:t>
            </w:r>
            <w:r w:rsidRPr="00B758DD">
              <w:t>), n (%)</w:t>
            </w:r>
            <w:r>
              <w:rPr>
                <w:rFonts w:cs="Times New Roman"/>
                <w:vertAlign w:val="superscript"/>
              </w:rPr>
              <w:t>b</w:t>
            </w:r>
          </w:p>
        </w:tc>
        <w:tc>
          <w:tcPr>
            <w:tcW w:w="1395" w:type="dxa"/>
            <w:tcBorders>
              <w:bottom w:val="nil"/>
            </w:tcBorders>
            <w:vAlign w:val="bottom"/>
          </w:tcPr>
          <w:p w14:paraId="017BDB39" w14:textId="77777777" w:rsidR="00590B1C" w:rsidRPr="00B758DD" w:rsidRDefault="00590B1C" w:rsidP="008A189E">
            <w:pPr>
              <w:pStyle w:val="Tableformat"/>
              <w:spacing w:before="0" w:after="0"/>
              <w:jc w:val="center"/>
            </w:pPr>
          </w:p>
        </w:tc>
        <w:tc>
          <w:tcPr>
            <w:tcW w:w="1395" w:type="dxa"/>
            <w:tcBorders>
              <w:bottom w:val="nil"/>
            </w:tcBorders>
            <w:vAlign w:val="bottom"/>
          </w:tcPr>
          <w:p w14:paraId="0795C64B" w14:textId="77777777" w:rsidR="00590B1C" w:rsidRPr="00B758DD" w:rsidRDefault="00590B1C" w:rsidP="008A189E">
            <w:pPr>
              <w:pStyle w:val="Tableformat"/>
              <w:spacing w:before="0" w:after="0"/>
              <w:jc w:val="center"/>
            </w:pPr>
          </w:p>
        </w:tc>
        <w:tc>
          <w:tcPr>
            <w:tcW w:w="1395" w:type="dxa"/>
            <w:tcBorders>
              <w:bottom w:val="nil"/>
            </w:tcBorders>
          </w:tcPr>
          <w:p w14:paraId="17E4E1A6" w14:textId="77777777" w:rsidR="00590B1C" w:rsidRPr="00B758DD" w:rsidRDefault="00590B1C" w:rsidP="008A189E">
            <w:pPr>
              <w:pStyle w:val="Tableformat"/>
              <w:spacing w:before="0" w:after="0"/>
              <w:jc w:val="center"/>
            </w:pPr>
          </w:p>
        </w:tc>
        <w:tc>
          <w:tcPr>
            <w:tcW w:w="1395" w:type="dxa"/>
            <w:tcBorders>
              <w:bottom w:val="nil"/>
            </w:tcBorders>
          </w:tcPr>
          <w:p w14:paraId="42B15756" w14:textId="77777777" w:rsidR="00590B1C" w:rsidRPr="00B758DD" w:rsidRDefault="00590B1C" w:rsidP="008A189E">
            <w:pPr>
              <w:pStyle w:val="Tableformat"/>
              <w:spacing w:before="0" w:after="0"/>
              <w:jc w:val="center"/>
            </w:pPr>
          </w:p>
        </w:tc>
        <w:tc>
          <w:tcPr>
            <w:tcW w:w="1395" w:type="dxa"/>
            <w:tcBorders>
              <w:bottom w:val="nil"/>
            </w:tcBorders>
          </w:tcPr>
          <w:p w14:paraId="28705F04" w14:textId="77777777" w:rsidR="00590B1C" w:rsidRPr="00B758DD" w:rsidRDefault="00590B1C" w:rsidP="008A189E">
            <w:pPr>
              <w:pStyle w:val="Tableformat"/>
              <w:spacing w:before="0" w:after="0"/>
              <w:jc w:val="center"/>
            </w:pPr>
          </w:p>
        </w:tc>
        <w:tc>
          <w:tcPr>
            <w:tcW w:w="1395" w:type="dxa"/>
            <w:tcBorders>
              <w:bottom w:val="nil"/>
            </w:tcBorders>
          </w:tcPr>
          <w:p w14:paraId="79F9D34C" w14:textId="77777777" w:rsidR="00590B1C" w:rsidRPr="00B758DD" w:rsidRDefault="00590B1C" w:rsidP="008A189E">
            <w:pPr>
              <w:pStyle w:val="Tableformat"/>
              <w:spacing w:before="0" w:after="0"/>
              <w:jc w:val="center"/>
            </w:pPr>
          </w:p>
        </w:tc>
      </w:tr>
      <w:tr w:rsidR="00590B1C" w:rsidRPr="00B758DD" w14:paraId="332F76DF" w14:textId="77777777" w:rsidTr="008A189E">
        <w:tc>
          <w:tcPr>
            <w:tcW w:w="4590" w:type="dxa"/>
            <w:tcBorders>
              <w:top w:val="nil"/>
              <w:bottom w:val="nil"/>
            </w:tcBorders>
          </w:tcPr>
          <w:p w14:paraId="346E21E6" w14:textId="77777777" w:rsidR="00590B1C" w:rsidRPr="00B758DD" w:rsidRDefault="00590B1C" w:rsidP="008A189E">
            <w:pPr>
              <w:pStyle w:val="Tableformat"/>
              <w:spacing w:before="0" w:after="0"/>
              <w:ind w:left="288"/>
            </w:pPr>
            <w:r w:rsidRPr="00B758DD">
              <w:t>≥12 months</w:t>
            </w:r>
          </w:p>
        </w:tc>
        <w:tc>
          <w:tcPr>
            <w:tcW w:w="1395" w:type="dxa"/>
            <w:tcBorders>
              <w:top w:val="nil"/>
              <w:bottom w:val="nil"/>
            </w:tcBorders>
          </w:tcPr>
          <w:p w14:paraId="00173440" w14:textId="77777777" w:rsidR="00590B1C" w:rsidRPr="00B758DD" w:rsidRDefault="00590B1C" w:rsidP="008A189E">
            <w:pPr>
              <w:pStyle w:val="Tableformat"/>
              <w:spacing w:before="0" w:after="0"/>
              <w:jc w:val="center"/>
            </w:pPr>
            <w:r w:rsidRPr="00B758DD">
              <w:t>36 (24.7)</w:t>
            </w:r>
          </w:p>
        </w:tc>
        <w:tc>
          <w:tcPr>
            <w:tcW w:w="1395" w:type="dxa"/>
            <w:tcBorders>
              <w:top w:val="nil"/>
              <w:bottom w:val="nil"/>
            </w:tcBorders>
          </w:tcPr>
          <w:p w14:paraId="153C25E3" w14:textId="77777777" w:rsidR="00590B1C" w:rsidRPr="00B758DD" w:rsidRDefault="00590B1C" w:rsidP="008A189E">
            <w:pPr>
              <w:pStyle w:val="Tableformat"/>
              <w:spacing w:before="0" w:after="0"/>
              <w:jc w:val="center"/>
            </w:pPr>
            <w:r w:rsidRPr="00B758DD">
              <w:t>1 (1.4)</w:t>
            </w:r>
          </w:p>
        </w:tc>
        <w:tc>
          <w:tcPr>
            <w:tcW w:w="1395" w:type="dxa"/>
            <w:tcBorders>
              <w:top w:val="nil"/>
              <w:bottom w:val="nil"/>
            </w:tcBorders>
          </w:tcPr>
          <w:p w14:paraId="3F863681" w14:textId="77777777" w:rsidR="00590B1C" w:rsidRPr="00B758DD" w:rsidRDefault="00590B1C" w:rsidP="008A189E">
            <w:pPr>
              <w:pStyle w:val="Tableformat"/>
              <w:spacing w:before="0" w:after="0"/>
              <w:jc w:val="center"/>
            </w:pPr>
            <w:r w:rsidRPr="00B758DD">
              <w:t>&lt;0.0001</w:t>
            </w:r>
          </w:p>
        </w:tc>
        <w:tc>
          <w:tcPr>
            <w:tcW w:w="1395" w:type="dxa"/>
            <w:tcBorders>
              <w:top w:val="nil"/>
              <w:bottom w:val="nil"/>
            </w:tcBorders>
          </w:tcPr>
          <w:p w14:paraId="1AE5CD79" w14:textId="77777777" w:rsidR="00590B1C" w:rsidRPr="00B758DD" w:rsidRDefault="00590B1C" w:rsidP="008A189E">
            <w:pPr>
              <w:pStyle w:val="Tableformat"/>
              <w:spacing w:before="0" w:after="0"/>
              <w:jc w:val="center"/>
            </w:pPr>
            <w:r w:rsidRPr="00B758DD">
              <w:t>49 (14.0)</w:t>
            </w:r>
          </w:p>
        </w:tc>
        <w:tc>
          <w:tcPr>
            <w:tcW w:w="1395" w:type="dxa"/>
            <w:tcBorders>
              <w:top w:val="nil"/>
              <w:bottom w:val="nil"/>
            </w:tcBorders>
          </w:tcPr>
          <w:p w14:paraId="7D085DB7" w14:textId="77777777" w:rsidR="00590B1C" w:rsidRPr="00B758DD" w:rsidRDefault="00590B1C" w:rsidP="008A189E">
            <w:pPr>
              <w:pStyle w:val="Tableformat"/>
              <w:spacing w:before="0" w:after="0"/>
              <w:jc w:val="center"/>
            </w:pPr>
            <w:r w:rsidRPr="00B758DD">
              <w:t>10 (2.8)</w:t>
            </w:r>
          </w:p>
        </w:tc>
        <w:tc>
          <w:tcPr>
            <w:tcW w:w="1395" w:type="dxa"/>
            <w:tcBorders>
              <w:top w:val="nil"/>
              <w:bottom w:val="nil"/>
            </w:tcBorders>
          </w:tcPr>
          <w:p w14:paraId="45002F9D" w14:textId="77777777" w:rsidR="00590B1C" w:rsidRPr="00B758DD" w:rsidRDefault="00590B1C" w:rsidP="008A189E">
            <w:pPr>
              <w:pStyle w:val="Tableformat"/>
              <w:spacing w:before="0" w:after="0"/>
              <w:jc w:val="center"/>
            </w:pPr>
            <w:r w:rsidRPr="00B758DD">
              <w:t>&lt;0.0001</w:t>
            </w:r>
          </w:p>
        </w:tc>
      </w:tr>
      <w:tr w:rsidR="00590B1C" w:rsidRPr="00B758DD" w14:paraId="519E464E" w14:textId="77777777" w:rsidTr="008A189E">
        <w:tc>
          <w:tcPr>
            <w:tcW w:w="4590" w:type="dxa"/>
            <w:tcBorders>
              <w:top w:val="nil"/>
              <w:bottom w:val="single" w:sz="4" w:space="0" w:color="auto"/>
            </w:tcBorders>
          </w:tcPr>
          <w:p w14:paraId="3EF024E0" w14:textId="77777777" w:rsidR="00590B1C" w:rsidRPr="00B758DD" w:rsidRDefault="00590B1C" w:rsidP="008A189E">
            <w:pPr>
              <w:pStyle w:val="Tableformat"/>
              <w:spacing w:before="0" w:after="0"/>
              <w:ind w:left="288"/>
            </w:pPr>
            <w:r w:rsidRPr="00B758DD">
              <w:t>≥18 months</w:t>
            </w:r>
          </w:p>
        </w:tc>
        <w:tc>
          <w:tcPr>
            <w:tcW w:w="1395" w:type="dxa"/>
            <w:tcBorders>
              <w:top w:val="nil"/>
              <w:bottom w:val="single" w:sz="4" w:space="0" w:color="auto"/>
            </w:tcBorders>
          </w:tcPr>
          <w:p w14:paraId="1DC37361" w14:textId="77777777" w:rsidR="00590B1C" w:rsidRPr="00B758DD" w:rsidRDefault="00590B1C" w:rsidP="008A189E">
            <w:pPr>
              <w:pStyle w:val="Tableformat"/>
              <w:spacing w:before="0" w:after="0"/>
              <w:jc w:val="center"/>
            </w:pPr>
            <w:r w:rsidRPr="00B758DD">
              <w:t>22 (15.1)</w:t>
            </w:r>
          </w:p>
        </w:tc>
        <w:tc>
          <w:tcPr>
            <w:tcW w:w="1395" w:type="dxa"/>
            <w:tcBorders>
              <w:top w:val="nil"/>
              <w:bottom w:val="single" w:sz="4" w:space="0" w:color="auto"/>
            </w:tcBorders>
          </w:tcPr>
          <w:p w14:paraId="6E2E0715" w14:textId="77777777" w:rsidR="00590B1C" w:rsidRPr="00B758DD" w:rsidRDefault="00590B1C" w:rsidP="008A189E">
            <w:pPr>
              <w:pStyle w:val="Tableformat"/>
              <w:spacing w:before="0" w:after="0"/>
              <w:jc w:val="center"/>
            </w:pPr>
            <w:r w:rsidRPr="00B758DD">
              <w:t>1 (1.4)</w:t>
            </w:r>
          </w:p>
        </w:tc>
        <w:tc>
          <w:tcPr>
            <w:tcW w:w="1395" w:type="dxa"/>
            <w:tcBorders>
              <w:top w:val="nil"/>
              <w:bottom w:val="single" w:sz="4" w:space="0" w:color="auto"/>
            </w:tcBorders>
          </w:tcPr>
          <w:p w14:paraId="76D2AF54" w14:textId="77777777" w:rsidR="00590B1C" w:rsidRPr="00B758DD" w:rsidRDefault="00590B1C" w:rsidP="008A189E">
            <w:pPr>
              <w:pStyle w:val="Tableformat"/>
              <w:spacing w:before="0" w:after="0"/>
              <w:jc w:val="center"/>
            </w:pPr>
            <w:r w:rsidRPr="00B758DD">
              <w:t>0.0008</w:t>
            </w:r>
          </w:p>
        </w:tc>
        <w:tc>
          <w:tcPr>
            <w:tcW w:w="1395" w:type="dxa"/>
            <w:tcBorders>
              <w:top w:val="nil"/>
              <w:bottom w:val="single" w:sz="4" w:space="0" w:color="auto"/>
            </w:tcBorders>
          </w:tcPr>
          <w:p w14:paraId="0B9D2FB7" w14:textId="77777777" w:rsidR="00590B1C" w:rsidRPr="00B758DD" w:rsidRDefault="00590B1C" w:rsidP="008A189E">
            <w:pPr>
              <w:pStyle w:val="Tableformat"/>
              <w:spacing w:before="0" w:after="0"/>
              <w:jc w:val="center"/>
            </w:pPr>
            <w:r w:rsidRPr="00B758DD">
              <w:t>31 (8.9)</w:t>
            </w:r>
          </w:p>
        </w:tc>
        <w:tc>
          <w:tcPr>
            <w:tcW w:w="1395" w:type="dxa"/>
            <w:tcBorders>
              <w:top w:val="nil"/>
              <w:bottom w:val="single" w:sz="4" w:space="0" w:color="auto"/>
            </w:tcBorders>
          </w:tcPr>
          <w:p w14:paraId="283C3F3F" w14:textId="77777777" w:rsidR="00590B1C" w:rsidRPr="00B758DD" w:rsidRDefault="00590B1C" w:rsidP="008A189E">
            <w:pPr>
              <w:pStyle w:val="Tableformat"/>
              <w:spacing w:before="0" w:after="0"/>
              <w:jc w:val="center"/>
            </w:pPr>
            <w:r w:rsidRPr="00B758DD">
              <w:t>6 (1.7)</w:t>
            </w:r>
          </w:p>
        </w:tc>
        <w:tc>
          <w:tcPr>
            <w:tcW w:w="1395" w:type="dxa"/>
            <w:tcBorders>
              <w:top w:val="nil"/>
              <w:bottom w:val="single" w:sz="4" w:space="0" w:color="auto"/>
            </w:tcBorders>
          </w:tcPr>
          <w:p w14:paraId="2A531D78" w14:textId="77777777" w:rsidR="00590B1C" w:rsidRPr="00B758DD" w:rsidRDefault="00590B1C" w:rsidP="008A189E">
            <w:pPr>
              <w:pStyle w:val="Tableformat"/>
              <w:spacing w:before="0" w:after="0"/>
              <w:jc w:val="center"/>
            </w:pPr>
            <w:r w:rsidRPr="00B758DD">
              <w:t>&lt;0.0001</w:t>
            </w:r>
          </w:p>
        </w:tc>
      </w:tr>
    </w:tbl>
    <w:p w14:paraId="3FFC03A4" w14:textId="77777777" w:rsidR="00590B1C" w:rsidRPr="00B758DD" w:rsidRDefault="00590B1C" w:rsidP="00590B1C">
      <w:pPr>
        <w:spacing w:before="0" w:line="276" w:lineRule="auto"/>
      </w:pPr>
      <w:r w:rsidRPr="00B758DD">
        <w:t>MRD, minimal residual disease; D-VMP, daratumumab plus bortezomib/melphalan/prednisone; VMP, bortezomib/melphalan/prednisone</w:t>
      </w:r>
      <w:r>
        <w:t>; ITT, intent-to-treat</w:t>
      </w:r>
    </w:p>
    <w:p w14:paraId="4224743C" w14:textId="77777777" w:rsidR="00590B1C" w:rsidRPr="00B758DD" w:rsidRDefault="00590B1C" w:rsidP="00590B1C">
      <w:pPr>
        <w:spacing w:before="0" w:line="276" w:lineRule="auto"/>
      </w:pPr>
      <w:r>
        <w:rPr>
          <w:vertAlign w:val="superscript"/>
        </w:rPr>
        <w:t>a</w:t>
      </w:r>
      <w:r w:rsidRPr="00B758DD">
        <w:rPr>
          <w:i/>
          <w:iCs/>
        </w:rPr>
        <w:t>P</w:t>
      </w:r>
      <w:r w:rsidRPr="00B758DD">
        <w:t xml:space="preserve"> values were calculated using Fisher’s exact test</w:t>
      </w:r>
    </w:p>
    <w:p w14:paraId="0B8BEA7B" w14:textId="77777777" w:rsidR="00590B1C" w:rsidRPr="00B758DD" w:rsidRDefault="00590B1C" w:rsidP="00590B1C">
      <w:pPr>
        <w:spacing w:before="0" w:line="276" w:lineRule="auto"/>
        <w:sectPr w:rsidR="00590B1C" w:rsidRPr="00B758DD" w:rsidSect="00590B1C">
          <w:pgSz w:w="15840" w:h="12240" w:orient="landscape"/>
          <w:pgMar w:top="1440" w:right="1440" w:bottom="1440" w:left="1440" w:header="720" w:footer="720" w:gutter="0"/>
          <w:cols w:space="720"/>
          <w:docGrid w:linePitch="360"/>
        </w:sectPr>
      </w:pPr>
      <w:r>
        <w:rPr>
          <w:rFonts w:cs="Times New Roman"/>
          <w:vertAlign w:val="superscript"/>
        </w:rPr>
        <w:t>b</w:t>
      </w:r>
      <w:r w:rsidRPr="00B758DD">
        <w:rPr>
          <w:rFonts w:cs="Times New Roman"/>
        </w:rPr>
        <w:t>Sustained MRD negativity was defined as 2 confirmed MRD</w:t>
      </w:r>
      <w:r>
        <w:rPr>
          <w:rFonts w:cs="Times New Roman"/>
        </w:rPr>
        <w:t>-</w:t>
      </w:r>
      <w:r w:rsidRPr="00B758DD">
        <w:rPr>
          <w:rFonts w:cs="Times New Roman"/>
        </w:rPr>
        <w:t>negative assessments ≥12 months or ≥18 months apart</w:t>
      </w:r>
      <w:r>
        <w:rPr>
          <w:rFonts w:cs="Times New Roman"/>
        </w:rPr>
        <w:t xml:space="preserve"> and</w:t>
      </w:r>
      <w:r w:rsidRPr="00B758DD">
        <w:rPr>
          <w:rFonts w:cs="Times New Roman"/>
        </w:rPr>
        <w:t xml:space="preserve"> without any MRD</w:t>
      </w:r>
      <w:r>
        <w:rPr>
          <w:rFonts w:cs="Times New Roman"/>
        </w:rPr>
        <w:t>-</w:t>
      </w:r>
      <w:r w:rsidRPr="00B758DD">
        <w:rPr>
          <w:rFonts w:cs="Times New Roman"/>
        </w:rPr>
        <w:t>positive assessments in between</w:t>
      </w:r>
    </w:p>
    <w:p w14:paraId="11AF2B81" w14:textId="77777777" w:rsidR="00590B1C" w:rsidRDefault="00590B1C" w:rsidP="00590B1C">
      <w:pPr>
        <w:spacing w:before="0" w:line="276" w:lineRule="auto"/>
      </w:pPr>
      <w:r w:rsidRPr="005B66BC">
        <w:rPr>
          <w:b/>
          <w:bCs/>
        </w:rPr>
        <w:t>Supplemental Fig. S1</w:t>
      </w:r>
      <w:r w:rsidRPr="00B758DD">
        <w:t xml:space="preserve"> </w:t>
      </w:r>
      <w:r w:rsidRPr="00DC2202">
        <w:rPr>
          <w:bCs/>
        </w:rPr>
        <w:t>PFS by MRD (10</w:t>
      </w:r>
      <w:r w:rsidRPr="00DC2202">
        <w:rPr>
          <w:rFonts w:cs="Times New Roman"/>
          <w:bCs/>
          <w:vertAlign w:val="superscript"/>
        </w:rPr>
        <w:t>–</w:t>
      </w:r>
      <w:r w:rsidRPr="00DC2202">
        <w:rPr>
          <w:bCs/>
          <w:vertAlign w:val="superscript"/>
        </w:rPr>
        <w:t>5</w:t>
      </w:r>
      <w:r w:rsidRPr="00DC2202">
        <w:rPr>
          <w:bCs/>
        </w:rPr>
        <w:t>) status</w:t>
      </w:r>
      <w:r>
        <w:rPr>
          <w:bCs/>
        </w:rPr>
        <w:t>*</w:t>
      </w:r>
      <w:r w:rsidRPr="00DC2202">
        <w:rPr>
          <w:bCs/>
        </w:rPr>
        <w:t xml:space="preserve"> in the </w:t>
      </w:r>
      <w:r>
        <w:rPr>
          <w:bCs/>
        </w:rPr>
        <w:t xml:space="preserve">ITT populations of the </w:t>
      </w:r>
      <w:r w:rsidRPr="005B66BC">
        <w:rPr>
          <w:bCs/>
        </w:rPr>
        <w:t>a</w:t>
      </w:r>
      <w:r w:rsidRPr="00DC2202">
        <w:rPr>
          <w:bCs/>
        </w:rPr>
        <w:t xml:space="preserve">) OCTANS study and </w:t>
      </w:r>
      <w:r w:rsidRPr="005B66BC">
        <w:rPr>
          <w:bCs/>
        </w:rPr>
        <w:t>b</w:t>
      </w:r>
      <w:r w:rsidRPr="00DC2202">
        <w:rPr>
          <w:bCs/>
        </w:rPr>
        <w:t>) ALCYONE study</w:t>
      </w:r>
      <w:r>
        <w:rPr>
          <w:bCs/>
        </w:rPr>
        <w:t>.</w:t>
      </w:r>
    </w:p>
    <w:p w14:paraId="0824BDE5" w14:textId="77777777" w:rsidR="00590B1C" w:rsidRPr="00B758DD" w:rsidRDefault="00590B1C" w:rsidP="00590B1C">
      <w:pPr>
        <w:spacing w:before="0" w:line="276" w:lineRule="auto"/>
      </w:pPr>
      <w:r w:rsidRPr="00B758DD">
        <w:t xml:space="preserve">PFS, progression-free survival; MRD, minimal residual disease; </w:t>
      </w:r>
      <w:r>
        <w:t xml:space="preserve">ITT, intent-to-treat; </w:t>
      </w:r>
      <w:r w:rsidRPr="00B758DD">
        <w:t>D-VMP, daratumumab plus bortezomib/melphalan/prednisone; VMP, bortezomib/melphalan/prednisone</w:t>
      </w:r>
    </w:p>
    <w:p w14:paraId="0495BF5B" w14:textId="77777777" w:rsidR="00590B1C" w:rsidRDefault="00590B1C" w:rsidP="00590B1C">
      <w:pPr>
        <w:spacing w:before="0" w:line="276" w:lineRule="auto"/>
        <w:rPr>
          <w:bCs/>
        </w:rPr>
      </w:pPr>
      <w:r w:rsidRPr="00F67559">
        <w:t>*</w:t>
      </w:r>
      <w:r w:rsidRPr="005B66BC">
        <w:rPr>
          <w:bCs/>
        </w:rPr>
        <w:t>MRD</w:t>
      </w:r>
      <w:r>
        <w:rPr>
          <w:bCs/>
        </w:rPr>
        <w:t>-</w:t>
      </w:r>
      <w:r w:rsidRPr="005B66BC">
        <w:rPr>
          <w:bCs/>
        </w:rPr>
        <w:t xml:space="preserve">positive subgroup included patients in the </w:t>
      </w:r>
      <w:r>
        <w:rPr>
          <w:bCs/>
        </w:rPr>
        <w:t>ITT</w:t>
      </w:r>
      <w:r w:rsidRPr="005B66BC">
        <w:rPr>
          <w:bCs/>
        </w:rPr>
        <w:t xml:space="preserve"> population who were not tested and assumed positive or tested and found positive or indeterminate</w:t>
      </w:r>
    </w:p>
    <w:p w14:paraId="7FDAAC45" w14:textId="77777777" w:rsidR="00590B1C" w:rsidRPr="00B758DD" w:rsidRDefault="00590B1C" w:rsidP="00590B1C">
      <w:pPr>
        <w:spacing w:before="0" w:line="276" w:lineRule="auto"/>
      </w:pPr>
      <w:r>
        <w:rPr>
          <w:noProof/>
        </w:rPr>
        <w:drawing>
          <wp:inline distT="0" distB="0" distL="0" distR="0" wp14:anchorId="706293CE" wp14:editId="10CD400D">
            <wp:extent cx="5474525" cy="7201104"/>
            <wp:effectExtent l="0" t="0" r="0" b="0"/>
            <wp:docPr id="1747313926" name="Picture 1"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13926" name="Picture 1" descr="A graph of a number of patients&#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474525" cy="7201104"/>
                    </a:xfrm>
                    <a:prstGeom prst="rect">
                      <a:avLst/>
                    </a:prstGeom>
                  </pic:spPr>
                </pic:pic>
              </a:graphicData>
            </a:graphic>
          </wp:inline>
        </w:drawing>
      </w:r>
      <w:r w:rsidRPr="00B758DD">
        <w:br w:type="page"/>
      </w:r>
    </w:p>
    <w:p w14:paraId="030FC556" w14:textId="77777777" w:rsidR="00590B1C" w:rsidRDefault="00590B1C" w:rsidP="00590B1C">
      <w:pPr>
        <w:spacing w:before="0" w:line="276" w:lineRule="auto"/>
      </w:pPr>
      <w:r w:rsidRPr="005B66BC">
        <w:rPr>
          <w:b/>
          <w:bCs/>
        </w:rPr>
        <w:t>Supplemental Fig. S2</w:t>
      </w:r>
      <w:r w:rsidRPr="00DC2202">
        <w:t xml:space="preserve"> PFS by sustained MRD (10</w:t>
      </w:r>
      <w:r w:rsidRPr="00DC2202">
        <w:rPr>
          <w:rFonts w:cs="Times New Roman"/>
          <w:vertAlign w:val="superscript"/>
        </w:rPr>
        <w:t>–</w:t>
      </w:r>
      <w:r w:rsidRPr="00DC2202">
        <w:rPr>
          <w:vertAlign w:val="superscript"/>
        </w:rPr>
        <w:t>5</w:t>
      </w:r>
      <w:r w:rsidRPr="00DC2202">
        <w:t>; for ≥12 months) status</w:t>
      </w:r>
      <w:r>
        <w:t>*</w:t>
      </w:r>
      <w:r w:rsidRPr="00DC2202">
        <w:t xml:space="preserve"> in </w:t>
      </w:r>
      <w:r>
        <w:t xml:space="preserve">ITT populations of </w:t>
      </w:r>
      <w:r w:rsidRPr="00DC2202">
        <w:t xml:space="preserve">the </w:t>
      </w:r>
      <w:r w:rsidRPr="005B66BC">
        <w:t>a</w:t>
      </w:r>
      <w:r w:rsidRPr="00DC2202">
        <w:t xml:space="preserve">) OCTANS study and </w:t>
      </w:r>
      <w:r w:rsidRPr="005B66BC">
        <w:t>b</w:t>
      </w:r>
      <w:r w:rsidRPr="00DC2202">
        <w:t>) ALCYONE study</w:t>
      </w:r>
      <w:r>
        <w:t>.</w:t>
      </w:r>
    </w:p>
    <w:p w14:paraId="0F1227DF" w14:textId="77777777" w:rsidR="00590B1C" w:rsidRDefault="00590B1C" w:rsidP="00590B1C">
      <w:pPr>
        <w:spacing w:before="0" w:line="276" w:lineRule="auto"/>
      </w:pPr>
      <w:r w:rsidRPr="00DC2202">
        <w:t>PFS, progression-free survival; MRD, minimal residual disease;</w:t>
      </w:r>
      <w:r>
        <w:t xml:space="preserve"> ITT, intent-to-treat;</w:t>
      </w:r>
      <w:r w:rsidRPr="00DC2202">
        <w:t xml:space="preserve"> D-VMP, daratumumab plus bortezomib/melphalan/prednisone; VMP, bortezomib/melphalan/prednisone</w:t>
      </w:r>
    </w:p>
    <w:p w14:paraId="46904F42" w14:textId="77777777" w:rsidR="00590B1C" w:rsidRPr="00B758DD" w:rsidRDefault="00590B1C" w:rsidP="00590B1C">
      <w:pPr>
        <w:spacing w:before="0" w:line="276" w:lineRule="auto"/>
      </w:pPr>
      <w:r>
        <w:t>*</w:t>
      </w:r>
      <w:r w:rsidRPr="00971C55">
        <w:t>MRD</w:t>
      </w:r>
      <w:r>
        <w:t>-</w:t>
      </w:r>
      <w:r w:rsidRPr="00971C55">
        <w:t>positive subgroup included patients in the intent-to-treat population who were not tested and assumed positive or tested and found positive or indeterminate</w:t>
      </w:r>
      <w:r>
        <w:t xml:space="preserve"> </w:t>
      </w:r>
    </w:p>
    <w:p w14:paraId="3742DAE6" w14:textId="61F9A84C" w:rsidR="00590B1C" w:rsidRPr="00B758DD" w:rsidRDefault="00590B1C" w:rsidP="00590B1C">
      <w:pPr>
        <w:spacing w:before="0"/>
        <w:sectPr w:rsidR="00590B1C" w:rsidRPr="00B758DD" w:rsidSect="00590B1C">
          <w:pgSz w:w="12240" w:h="15840"/>
          <w:pgMar w:top="1440" w:right="1440" w:bottom="1152" w:left="1440" w:header="720" w:footer="720" w:gutter="0"/>
          <w:cols w:space="720"/>
          <w:docGrid w:linePitch="360"/>
        </w:sectPr>
      </w:pPr>
      <w:r>
        <w:rPr>
          <w:noProof/>
        </w:rPr>
        <w:drawing>
          <wp:inline distT="0" distB="0" distL="0" distR="0" wp14:anchorId="2D1EE0A8" wp14:editId="149D4DC6">
            <wp:extent cx="6293922" cy="7000643"/>
            <wp:effectExtent l="0" t="0" r="0" b="0"/>
            <wp:docPr id="723965267" name="Picture 4" descr="A graph of a patient's dise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65267" name="Picture 4" descr="A graph of a patient's diseas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6307861" cy="7016147"/>
                    </a:xfrm>
                    <a:prstGeom prst="rect">
                      <a:avLst/>
                    </a:prstGeom>
                  </pic:spPr>
                </pic:pic>
              </a:graphicData>
            </a:graphic>
          </wp:inline>
        </w:drawing>
      </w:r>
    </w:p>
    <w:p w14:paraId="1AD46F17" w14:textId="77777777" w:rsidR="00590B1C" w:rsidRDefault="00590B1C" w:rsidP="00590B1C">
      <w:pPr>
        <w:pStyle w:val="Heading1"/>
        <w:spacing w:before="0" w:line="276" w:lineRule="auto"/>
        <w:rPr>
          <w:b w:val="0"/>
          <w:bCs/>
        </w:rPr>
      </w:pPr>
      <w:r w:rsidRPr="00017B13">
        <w:t>Supplemental Fig. S3</w:t>
      </w:r>
      <w:r w:rsidRPr="00971C55">
        <w:rPr>
          <w:b w:val="0"/>
          <w:bCs/>
        </w:rPr>
        <w:t xml:space="preserve"> Pooled cytogenetic subgroup analysis of PFS in the </w:t>
      </w:r>
      <w:r>
        <w:rPr>
          <w:b w:val="0"/>
          <w:bCs/>
        </w:rPr>
        <w:t>ITT</w:t>
      </w:r>
      <w:r w:rsidRPr="00971C55">
        <w:rPr>
          <w:b w:val="0"/>
          <w:bCs/>
        </w:rPr>
        <w:t xml:space="preserve"> population of the OCTANS and ALCYONE studies. </w:t>
      </w:r>
    </w:p>
    <w:p w14:paraId="62B68E69" w14:textId="77777777" w:rsidR="00590B1C" w:rsidRPr="005B66BC" w:rsidRDefault="00590B1C" w:rsidP="00590B1C">
      <w:pPr>
        <w:pStyle w:val="Heading1"/>
        <w:spacing w:before="0" w:line="276" w:lineRule="auto"/>
        <w:rPr>
          <w:b w:val="0"/>
          <w:bCs/>
        </w:rPr>
      </w:pPr>
      <w:r w:rsidRPr="005B66BC">
        <w:rPr>
          <w:b w:val="0"/>
          <w:bCs/>
        </w:rPr>
        <w:t xml:space="preserve">PFS, progression-free survival; </w:t>
      </w:r>
      <w:r>
        <w:rPr>
          <w:b w:val="0"/>
          <w:bCs/>
        </w:rPr>
        <w:t xml:space="preserve">ITT, intent-to-treat; </w:t>
      </w:r>
      <w:r w:rsidRPr="005B66BC">
        <w:rPr>
          <w:b w:val="0"/>
          <w:bCs/>
        </w:rPr>
        <w:t>D-VMP, daratumumab plus bortezomib/melphalan/prednisone; VMP, bortezomib/melphalan/prednisone; HR, hazard ratio; CI, confidence interval; ISS, International Staging System; HRCA, high-risk cytogenetic abnormality</w:t>
      </w:r>
    </w:p>
    <w:p w14:paraId="10822FCF" w14:textId="77777777" w:rsidR="00590B1C" w:rsidRPr="00017B13" w:rsidRDefault="00590B1C" w:rsidP="00590B1C">
      <w:pPr>
        <w:spacing w:before="0" w:line="276" w:lineRule="auto"/>
        <w:rPr>
          <w:bCs/>
        </w:rPr>
      </w:pPr>
      <w:r w:rsidRPr="00DC1295">
        <w:rPr>
          <w:bCs/>
        </w:rPr>
        <w:t>*</w:t>
      </w:r>
      <w:r w:rsidRPr="00017B13">
        <w:rPr>
          <w:bCs/>
        </w:rPr>
        <w:t>Renal insufficiency defined as baseline creatinine clearance ≤60 mL/min</w:t>
      </w:r>
    </w:p>
    <w:p w14:paraId="6D70CD9F" w14:textId="77777777" w:rsidR="00590B1C" w:rsidRPr="00017B13" w:rsidRDefault="00590B1C" w:rsidP="00590B1C">
      <w:pPr>
        <w:spacing w:before="0" w:line="276" w:lineRule="auto"/>
        <w:rPr>
          <w:rFonts w:cs="Times New Roman"/>
          <w:bCs/>
        </w:rPr>
      </w:pPr>
      <w:r w:rsidRPr="00017B13">
        <w:rPr>
          <w:rFonts w:cs="Times New Roman"/>
          <w:bCs/>
          <w:vertAlign w:val="superscript"/>
        </w:rPr>
        <w:t>†</w:t>
      </w:r>
      <w:r w:rsidRPr="00017B13">
        <w:rPr>
          <w:rFonts w:cs="Times New Roman"/>
          <w:bCs/>
        </w:rPr>
        <w:t>Standard cytogenetic risk</w:t>
      </w:r>
      <w:r w:rsidRPr="00017B13">
        <w:rPr>
          <w:bCs/>
        </w:rPr>
        <w:t xml:space="preserve"> defined as</w:t>
      </w:r>
      <w:r w:rsidRPr="00017B13">
        <w:rPr>
          <w:rFonts w:cs="Times New Roman"/>
          <w:bCs/>
        </w:rPr>
        <w:t xml:space="preserve"> none of the following HRCAs: t(4;14), t(14;16), and del(17p)</w:t>
      </w:r>
    </w:p>
    <w:p w14:paraId="1B8D3A29" w14:textId="77777777" w:rsidR="00590B1C" w:rsidRPr="00017B13" w:rsidRDefault="00590B1C" w:rsidP="00590B1C">
      <w:pPr>
        <w:spacing w:before="0" w:line="276" w:lineRule="auto"/>
        <w:rPr>
          <w:bCs/>
        </w:rPr>
      </w:pPr>
      <w:r w:rsidRPr="00017B13">
        <w:rPr>
          <w:rFonts w:cs="Times New Roman"/>
          <w:bCs/>
          <w:vertAlign w:val="superscript"/>
        </w:rPr>
        <w:t>‡</w:t>
      </w:r>
      <w:r w:rsidRPr="00017B13">
        <w:rPr>
          <w:bCs/>
        </w:rPr>
        <w:t>High cytogenetic risk defined as ≥1 of the following HRCAs: t(4;14), t(14;16), and/or del(17p)</w:t>
      </w:r>
    </w:p>
    <w:p w14:paraId="13FCF1DE" w14:textId="77777777" w:rsidR="00590B1C" w:rsidRPr="00017B13" w:rsidRDefault="00590B1C" w:rsidP="00590B1C">
      <w:pPr>
        <w:spacing w:before="0" w:line="276" w:lineRule="auto"/>
        <w:rPr>
          <w:bCs/>
        </w:rPr>
      </w:pPr>
      <w:r w:rsidRPr="00017B13">
        <w:rPr>
          <w:rFonts w:cs="Times New Roman"/>
          <w:bCs/>
          <w:vertAlign w:val="superscript"/>
        </w:rPr>
        <w:t>§</w:t>
      </w:r>
      <w:r w:rsidRPr="00017B13">
        <w:rPr>
          <w:bCs/>
        </w:rPr>
        <w:t>Revised standard cytogenetic risk defined as none of the following HRCAs: t(4;14), t(14;16), del(17p), t(14;20), gain(1q21), and amp(1q21)</w:t>
      </w:r>
    </w:p>
    <w:p w14:paraId="69D78340" w14:textId="77777777" w:rsidR="00590B1C" w:rsidRPr="00017B13" w:rsidRDefault="00590B1C" w:rsidP="00590B1C">
      <w:pPr>
        <w:spacing w:before="0" w:line="276" w:lineRule="auto"/>
        <w:rPr>
          <w:bCs/>
        </w:rPr>
      </w:pPr>
      <w:r w:rsidRPr="00017B13">
        <w:rPr>
          <w:rFonts w:cs="Times New Roman"/>
          <w:bCs/>
          <w:vertAlign w:val="superscript"/>
        </w:rPr>
        <w:t>¶</w:t>
      </w:r>
      <w:r w:rsidRPr="00017B13">
        <w:rPr>
          <w:bCs/>
        </w:rPr>
        <w:t>Revised high cytogenetic risk defined as ≥1 of the following HRCAs: t(4;14), t(14;16), del(17p), t(14;20), gain(1q21), and/or amp(1q21)</w:t>
      </w:r>
    </w:p>
    <w:p w14:paraId="0BD31189" w14:textId="77777777" w:rsidR="00590B1C" w:rsidRPr="00017B13" w:rsidRDefault="00590B1C" w:rsidP="00590B1C">
      <w:pPr>
        <w:spacing w:before="0" w:line="276" w:lineRule="auto"/>
        <w:rPr>
          <w:bCs/>
        </w:rPr>
      </w:pPr>
      <w:r w:rsidRPr="00017B13">
        <w:rPr>
          <w:bCs/>
          <w:vertAlign w:val="superscript"/>
        </w:rPr>
        <w:t>#</w:t>
      </w:r>
      <w:r w:rsidRPr="00017B13">
        <w:rPr>
          <w:bCs/>
        </w:rPr>
        <w:t>Gain(1q21) defined as 3 copies of chromosome 1q21, with or without other HRCAs</w:t>
      </w:r>
    </w:p>
    <w:p w14:paraId="3B545BBC" w14:textId="77777777" w:rsidR="00590B1C" w:rsidRPr="00017B13" w:rsidRDefault="00590B1C" w:rsidP="00590B1C">
      <w:pPr>
        <w:spacing w:before="0" w:line="276" w:lineRule="auto"/>
        <w:rPr>
          <w:bCs/>
        </w:rPr>
      </w:pPr>
      <w:r w:rsidRPr="00017B13">
        <w:rPr>
          <w:rFonts w:cs="Times New Roman"/>
          <w:bCs/>
          <w:vertAlign w:val="superscript"/>
        </w:rPr>
        <w:t>ǁ</w:t>
      </w:r>
      <w:r w:rsidRPr="00017B13">
        <w:rPr>
          <w:bCs/>
        </w:rPr>
        <w:t>Amp(1q21) defined as ≥4 copies of chromosome 1q21, with or without other HRCAs</w:t>
      </w:r>
    </w:p>
    <w:p w14:paraId="2E500028" w14:textId="77777777" w:rsidR="00590B1C" w:rsidRPr="00017B13" w:rsidRDefault="00590B1C" w:rsidP="00590B1C">
      <w:pPr>
        <w:spacing w:before="0" w:line="276" w:lineRule="auto"/>
        <w:rPr>
          <w:bCs/>
        </w:rPr>
      </w:pPr>
      <w:r w:rsidRPr="00017B13">
        <w:rPr>
          <w:bCs/>
          <w:vertAlign w:val="superscript"/>
        </w:rPr>
        <w:t>**</w:t>
      </w:r>
      <w:r w:rsidRPr="00017B13">
        <w:rPr>
          <w:bCs/>
        </w:rPr>
        <w:t>Gain(1q21) or amp(1q21) defined as ≥3 copies of chromosome 1q21, with or without other HRCAs</w:t>
      </w:r>
    </w:p>
    <w:p w14:paraId="4E22D599" w14:textId="77777777" w:rsidR="00590B1C" w:rsidRPr="00017B13" w:rsidRDefault="00590B1C" w:rsidP="00590B1C">
      <w:pPr>
        <w:spacing w:before="0" w:line="276" w:lineRule="auto"/>
        <w:rPr>
          <w:bCs/>
        </w:rPr>
      </w:pPr>
      <w:r w:rsidRPr="00017B13">
        <w:rPr>
          <w:rFonts w:cs="Times New Roman"/>
          <w:bCs/>
          <w:vertAlign w:val="superscript"/>
        </w:rPr>
        <w:t>††</w:t>
      </w:r>
      <w:r w:rsidRPr="00017B13">
        <w:rPr>
          <w:bCs/>
        </w:rPr>
        <w:t>1 HRCA defined as only 1 of the following HRCAs: t(4;14), t(14;16), del(17p), t(14;20), gain(1q21), or amp(1q21)</w:t>
      </w:r>
    </w:p>
    <w:p w14:paraId="29692AF8" w14:textId="77777777" w:rsidR="00590B1C" w:rsidRPr="00017B13" w:rsidRDefault="00590B1C" w:rsidP="00590B1C">
      <w:pPr>
        <w:spacing w:before="0" w:line="276" w:lineRule="auto"/>
        <w:rPr>
          <w:bCs/>
        </w:rPr>
      </w:pPr>
      <w:r w:rsidRPr="00017B13">
        <w:rPr>
          <w:rFonts w:cs="Times New Roman"/>
          <w:bCs/>
          <w:vertAlign w:val="superscript"/>
        </w:rPr>
        <w:t>‡‡</w:t>
      </w:r>
      <w:r w:rsidRPr="00017B13">
        <w:rPr>
          <w:bCs/>
        </w:rPr>
        <w:t>≥2 HRCAs defined as ≥2 of the following HRCAs t(4;14), t(14;16), del(17p), t(14;20), gain(1q21), and/or amp(1q21)</w:t>
      </w:r>
    </w:p>
    <w:p w14:paraId="42A24482" w14:textId="77777777" w:rsidR="00590B1C" w:rsidRPr="00017B13" w:rsidRDefault="00590B1C" w:rsidP="00590B1C">
      <w:pPr>
        <w:spacing w:before="0" w:line="276" w:lineRule="auto"/>
        <w:rPr>
          <w:bCs/>
        </w:rPr>
      </w:pPr>
      <w:r w:rsidRPr="00017B13">
        <w:rPr>
          <w:rFonts w:cs="Times New Roman"/>
          <w:bCs/>
          <w:vertAlign w:val="superscript"/>
        </w:rPr>
        <w:t>§§</w:t>
      </w:r>
      <w:r w:rsidRPr="00017B13">
        <w:rPr>
          <w:bCs/>
        </w:rPr>
        <w:t>Isolated gain(1q21) defined as 3 copies of chromosome 1q21 without any other HRCAs</w:t>
      </w:r>
    </w:p>
    <w:p w14:paraId="662B15F4" w14:textId="77777777" w:rsidR="00590B1C" w:rsidRPr="00017B13" w:rsidRDefault="00590B1C" w:rsidP="00590B1C">
      <w:pPr>
        <w:spacing w:before="0" w:line="276" w:lineRule="auto"/>
        <w:rPr>
          <w:bCs/>
        </w:rPr>
      </w:pPr>
      <w:r w:rsidRPr="00017B13">
        <w:rPr>
          <w:rFonts w:cs="Times New Roman"/>
          <w:bCs/>
          <w:vertAlign w:val="superscript"/>
        </w:rPr>
        <w:t>¶¶</w:t>
      </w:r>
      <w:r w:rsidRPr="00017B13">
        <w:rPr>
          <w:bCs/>
        </w:rPr>
        <w:t>Isolated amp(1q21) defined as ≥4 copies of chromosome 1q21 without any other HRCAs</w:t>
      </w:r>
    </w:p>
    <w:p w14:paraId="1DF60C9B" w14:textId="77777777" w:rsidR="00590B1C" w:rsidRPr="00017B13" w:rsidRDefault="00590B1C" w:rsidP="00590B1C">
      <w:pPr>
        <w:spacing w:before="0" w:line="276" w:lineRule="auto"/>
        <w:rPr>
          <w:bCs/>
        </w:rPr>
      </w:pPr>
      <w:r w:rsidRPr="00017B13">
        <w:rPr>
          <w:bCs/>
          <w:vertAlign w:val="superscript"/>
        </w:rPr>
        <w:t>##</w:t>
      </w:r>
      <w:r w:rsidRPr="00017B13">
        <w:rPr>
          <w:bCs/>
        </w:rPr>
        <w:t>Isolated gain(1q21) or amp(1q21) defined as ≥3 copies of chromosome 1q21 without any other HRCAs</w:t>
      </w:r>
    </w:p>
    <w:p w14:paraId="034E5D6B" w14:textId="77777777" w:rsidR="00590B1C" w:rsidRPr="00017B13" w:rsidRDefault="00590B1C" w:rsidP="00590B1C">
      <w:pPr>
        <w:spacing w:before="0" w:line="276" w:lineRule="auto"/>
        <w:rPr>
          <w:bCs/>
          <w:noProof/>
        </w:rPr>
      </w:pPr>
      <w:r w:rsidRPr="00017B13">
        <w:rPr>
          <w:rFonts w:cs="Times New Roman"/>
          <w:bCs/>
          <w:vertAlign w:val="superscript"/>
        </w:rPr>
        <w:t>ǁǁ</w:t>
      </w:r>
      <w:r w:rsidRPr="00017B13">
        <w:rPr>
          <w:bCs/>
        </w:rPr>
        <w:t xml:space="preserve">Gain(1q21) or amp1q21 plus ≥1 HRCA defined as ≥3 copies of chromosome 1q21 plus </w:t>
      </w:r>
      <w:r w:rsidRPr="00017B13">
        <w:rPr>
          <w:rFonts w:cs="Times New Roman"/>
          <w:bCs/>
        </w:rPr>
        <w:t>≥</w:t>
      </w:r>
      <w:r w:rsidRPr="00017B13">
        <w:rPr>
          <w:bCs/>
        </w:rPr>
        <w:t>1 of the following HRCAs: t(4;14), t(14;16), del(17p), and/or t(14;20)</w:t>
      </w:r>
      <w:r w:rsidRPr="00017B13">
        <w:rPr>
          <w:bCs/>
          <w:noProof/>
        </w:rPr>
        <w:t xml:space="preserve"> </w:t>
      </w:r>
    </w:p>
    <w:p w14:paraId="4517AB48" w14:textId="4EB28D17" w:rsidR="006E4848" w:rsidRPr="005E663F" w:rsidRDefault="00590B1C" w:rsidP="00955527">
      <w:pPr>
        <w:spacing w:before="0"/>
        <w:rPr>
          <w:rFonts w:cs="Times New Roman"/>
          <w:szCs w:val="24"/>
        </w:rPr>
      </w:pPr>
      <w:r>
        <w:rPr>
          <w:noProof/>
        </w:rPr>
        <w:drawing>
          <wp:inline distT="0" distB="0" distL="0" distR="0" wp14:anchorId="32DB8605" wp14:editId="437E14D3">
            <wp:extent cx="8229600" cy="4302760"/>
            <wp:effectExtent l="0" t="0" r="0" b="2540"/>
            <wp:docPr id="520680793" name="Picture 5" descr="A chart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80793" name="Picture 5" descr="A chart with numbers and lin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229600" cy="4302760"/>
                    </a:xfrm>
                    <a:prstGeom prst="rect">
                      <a:avLst/>
                    </a:prstGeom>
                  </pic:spPr>
                </pic:pic>
              </a:graphicData>
            </a:graphic>
          </wp:inline>
        </w:drawing>
      </w:r>
    </w:p>
    <w:sectPr w:rsidR="006E4848" w:rsidRPr="005E663F" w:rsidSect="00590B1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1191D" w14:textId="77777777" w:rsidR="008E4290" w:rsidRDefault="008E4290" w:rsidP="007A0857">
      <w:pPr>
        <w:spacing w:line="240" w:lineRule="auto"/>
      </w:pPr>
      <w:r>
        <w:separator/>
      </w:r>
    </w:p>
  </w:endnote>
  <w:endnote w:type="continuationSeparator" w:id="0">
    <w:p w14:paraId="419C504E" w14:textId="77777777" w:rsidR="008E4290" w:rsidRDefault="008E4290" w:rsidP="007A08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8605518"/>
      <w:docPartObj>
        <w:docPartGallery w:val="Page Numbers (Bottom of Page)"/>
        <w:docPartUnique/>
      </w:docPartObj>
    </w:sdtPr>
    <w:sdtEndPr>
      <w:rPr>
        <w:rFonts w:cs="Times New Roman"/>
        <w:noProof/>
        <w:szCs w:val="24"/>
      </w:rPr>
    </w:sdtEndPr>
    <w:sdtContent>
      <w:p w14:paraId="228E822E" w14:textId="77777777" w:rsidR="00590B1C" w:rsidRPr="007B2CBC" w:rsidRDefault="00590B1C" w:rsidP="007B2CBC">
        <w:pPr>
          <w:pStyle w:val="Footer"/>
          <w:jc w:val="right"/>
          <w:rPr>
            <w:rFonts w:cs="Times New Roman"/>
            <w:szCs w:val="24"/>
          </w:rPr>
        </w:pPr>
        <w:r w:rsidRPr="007A0857">
          <w:rPr>
            <w:rFonts w:cs="Times New Roman"/>
            <w:szCs w:val="24"/>
          </w:rPr>
          <w:fldChar w:fldCharType="begin"/>
        </w:r>
        <w:r w:rsidRPr="007A0857">
          <w:rPr>
            <w:rFonts w:cs="Times New Roman"/>
            <w:szCs w:val="24"/>
          </w:rPr>
          <w:instrText xml:space="preserve"> PAGE   \* MERGEFORMAT </w:instrText>
        </w:r>
        <w:r w:rsidRPr="007A0857">
          <w:rPr>
            <w:rFonts w:cs="Times New Roman"/>
            <w:szCs w:val="24"/>
          </w:rPr>
          <w:fldChar w:fldCharType="separate"/>
        </w:r>
        <w:r w:rsidRPr="007A0857">
          <w:rPr>
            <w:rFonts w:cs="Times New Roman"/>
            <w:noProof/>
            <w:szCs w:val="24"/>
          </w:rPr>
          <w:t>2</w:t>
        </w:r>
        <w:r w:rsidRPr="007A0857">
          <w:rPr>
            <w:rFonts w:cs="Times New Roman"/>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B09D7" w14:textId="77777777" w:rsidR="008E4290" w:rsidRDefault="008E4290" w:rsidP="007A0857">
      <w:pPr>
        <w:spacing w:line="240" w:lineRule="auto"/>
      </w:pPr>
      <w:r>
        <w:separator/>
      </w:r>
    </w:p>
  </w:footnote>
  <w:footnote w:type="continuationSeparator" w:id="0">
    <w:p w14:paraId="37F3D84D" w14:textId="77777777" w:rsidR="008E4290" w:rsidRDefault="008E4290" w:rsidP="007A08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29E3"/>
    <w:multiLevelType w:val="hybridMultilevel"/>
    <w:tmpl w:val="32762134"/>
    <w:lvl w:ilvl="0" w:tplc="0BDA1FD0">
      <w:start w:val="1"/>
      <w:numFmt w:val="bullet"/>
      <w:lvlText w:val=""/>
      <w:lvlJc w:val="left"/>
      <w:pPr>
        <w:ind w:left="720" w:hanging="360"/>
      </w:pPr>
      <w:rPr>
        <w:rFonts w:ascii="Symbol" w:hAnsi="Symbol"/>
      </w:rPr>
    </w:lvl>
    <w:lvl w:ilvl="1" w:tplc="E9307E08">
      <w:start w:val="1"/>
      <w:numFmt w:val="bullet"/>
      <w:lvlText w:val=""/>
      <w:lvlJc w:val="left"/>
      <w:pPr>
        <w:ind w:left="720" w:hanging="360"/>
      </w:pPr>
      <w:rPr>
        <w:rFonts w:ascii="Symbol" w:hAnsi="Symbol"/>
      </w:rPr>
    </w:lvl>
    <w:lvl w:ilvl="2" w:tplc="66FEB99E">
      <w:start w:val="1"/>
      <w:numFmt w:val="bullet"/>
      <w:lvlText w:val=""/>
      <w:lvlJc w:val="left"/>
      <w:pPr>
        <w:ind w:left="720" w:hanging="360"/>
      </w:pPr>
      <w:rPr>
        <w:rFonts w:ascii="Symbol" w:hAnsi="Symbol"/>
      </w:rPr>
    </w:lvl>
    <w:lvl w:ilvl="3" w:tplc="59EE6306">
      <w:start w:val="1"/>
      <w:numFmt w:val="bullet"/>
      <w:lvlText w:val=""/>
      <w:lvlJc w:val="left"/>
      <w:pPr>
        <w:ind w:left="720" w:hanging="360"/>
      </w:pPr>
      <w:rPr>
        <w:rFonts w:ascii="Symbol" w:hAnsi="Symbol"/>
      </w:rPr>
    </w:lvl>
    <w:lvl w:ilvl="4" w:tplc="69ECDD0C">
      <w:start w:val="1"/>
      <w:numFmt w:val="bullet"/>
      <w:lvlText w:val=""/>
      <w:lvlJc w:val="left"/>
      <w:pPr>
        <w:ind w:left="720" w:hanging="360"/>
      </w:pPr>
      <w:rPr>
        <w:rFonts w:ascii="Symbol" w:hAnsi="Symbol"/>
      </w:rPr>
    </w:lvl>
    <w:lvl w:ilvl="5" w:tplc="98F44BF0">
      <w:start w:val="1"/>
      <w:numFmt w:val="bullet"/>
      <w:lvlText w:val=""/>
      <w:lvlJc w:val="left"/>
      <w:pPr>
        <w:ind w:left="720" w:hanging="360"/>
      </w:pPr>
      <w:rPr>
        <w:rFonts w:ascii="Symbol" w:hAnsi="Symbol"/>
      </w:rPr>
    </w:lvl>
    <w:lvl w:ilvl="6" w:tplc="B76402DE">
      <w:start w:val="1"/>
      <w:numFmt w:val="bullet"/>
      <w:lvlText w:val=""/>
      <w:lvlJc w:val="left"/>
      <w:pPr>
        <w:ind w:left="720" w:hanging="360"/>
      </w:pPr>
      <w:rPr>
        <w:rFonts w:ascii="Symbol" w:hAnsi="Symbol"/>
      </w:rPr>
    </w:lvl>
    <w:lvl w:ilvl="7" w:tplc="3A589E98">
      <w:start w:val="1"/>
      <w:numFmt w:val="bullet"/>
      <w:lvlText w:val=""/>
      <w:lvlJc w:val="left"/>
      <w:pPr>
        <w:ind w:left="720" w:hanging="360"/>
      </w:pPr>
      <w:rPr>
        <w:rFonts w:ascii="Symbol" w:hAnsi="Symbol"/>
      </w:rPr>
    </w:lvl>
    <w:lvl w:ilvl="8" w:tplc="B4860AB2">
      <w:start w:val="1"/>
      <w:numFmt w:val="bullet"/>
      <w:lvlText w:val=""/>
      <w:lvlJc w:val="left"/>
      <w:pPr>
        <w:ind w:left="720" w:hanging="360"/>
      </w:pPr>
      <w:rPr>
        <w:rFonts w:ascii="Symbol" w:hAnsi="Symbol"/>
      </w:rPr>
    </w:lvl>
  </w:abstractNum>
  <w:abstractNum w:abstractNumId="1" w15:restartNumberingAfterBreak="0">
    <w:nsid w:val="09581644"/>
    <w:multiLevelType w:val="hybridMultilevel"/>
    <w:tmpl w:val="CE204540"/>
    <w:lvl w:ilvl="0" w:tplc="0EC621DC">
      <w:start w:val="1"/>
      <w:numFmt w:val="bullet"/>
      <w:lvlText w:val=""/>
      <w:lvlJc w:val="left"/>
      <w:pPr>
        <w:ind w:left="720" w:hanging="360"/>
      </w:pPr>
      <w:rPr>
        <w:rFonts w:ascii="Symbol" w:hAnsi="Symbol"/>
      </w:rPr>
    </w:lvl>
    <w:lvl w:ilvl="1" w:tplc="442EFA62">
      <w:start w:val="1"/>
      <w:numFmt w:val="bullet"/>
      <w:lvlText w:val=""/>
      <w:lvlJc w:val="left"/>
      <w:pPr>
        <w:ind w:left="720" w:hanging="360"/>
      </w:pPr>
      <w:rPr>
        <w:rFonts w:ascii="Symbol" w:hAnsi="Symbol"/>
      </w:rPr>
    </w:lvl>
    <w:lvl w:ilvl="2" w:tplc="087826BE">
      <w:start w:val="1"/>
      <w:numFmt w:val="bullet"/>
      <w:lvlText w:val=""/>
      <w:lvlJc w:val="left"/>
      <w:pPr>
        <w:ind w:left="720" w:hanging="360"/>
      </w:pPr>
      <w:rPr>
        <w:rFonts w:ascii="Symbol" w:hAnsi="Symbol"/>
      </w:rPr>
    </w:lvl>
    <w:lvl w:ilvl="3" w:tplc="BEB0206E">
      <w:start w:val="1"/>
      <w:numFmt w:val="bullet"/>
      <w:lvlText w:val=""/>
      <w:lvlJc w:val="left"/>
      <w:pPr>
        <w:ind w:left="720" w:hanging="360"/>
      </w:pPr>
      <w:rPr>
        <w:rFonts w:ascii="Symbol" w:hAnsi="Symbol"/>
      </w:rPr>
    </w:lvl>
    <w:lvl w:ilvl="4" w:tplc="884A2268">
      <w:start w:val="1"/>
      <w:numFmt w:val="bullet"/>
      <w:lvlText w:val=""/>
      <w:lvlJc w:val="left"/>
      <w:pPr>
        <w:ind w:left="720" w:hanging="360"/>
      </w:pPr>
      <w:rPr>
        <w:rFonts w:ascii="Symbol" w:hAnsi="Symbol"/>
      </w:rPr>
    </w:lvl>
    <w:lvl w:ilvl="5" w:tplc="4404DB5A">
      <w:start w:val="1"/>
      <w:numFmt w:val="bullet"/>
      <w:lvlText w:val=""/>
      <w:lvlJc w:val="left"/>
      <w:pPr>
        <w:ind w:left="720" w:hanging="360"/>
      </w:pPr>
      <w:rPr>
        <w:rFonts w:ascii="Symbol" w:hAnsi="Symbol"/>
      </w:rPr>
    </w:lvl>
    <w:lvl w:ilvl="6" w:tplc="BC72007E">
      <w:start w:val="1"/>
      <w:numFmt w:val="bullet"/>
      <w:lvlText w:val=""/>
      <w:lvlJc w:val="left"/>
      <w:pPr>
        <w:ind w:left="720" w:hanging="360"/>
      </w:pPr>
      <w:rPr>
        <w:rFonts w:ascii="Symbol" w:hAnsi="Symbol"/>
      </w:rPr>
    </w:lvl>
    <w:lvl w:ilvl="7" w:tplc="4F8E89C4">
      <w:start w:val="1"/>
      <w:numFmt w:val="bullet"/>
      <w:lvlText w:val=""/>
      <w:lvlJc w:val="left"/>
      <w:pPr>
        <w:ind w:left="720" w:hanging="360"/>
      </w:pPr>
      <w:rPr>
        <w:rFonts w:ascii="Symbol" w:hAnsi="Symbol"/>
      </w:rPr>
    </w:lvl>
    <w:lvl w:ilvl="8" w:tplc="AC0820FE">
      <w:start w:val="1"/>
      <w:numFmt w:val="bullet"/>
      <w:lvlText w:val=""/>
      <w:lvlJc w:val="left"/>
      <w:pPr>
        <w:ind w:left="720" w:hanging="360"/>
      </w:pPr>
      <w:rPr>
        <w:rFonts w:ascii="Symbol" w:hAnsi="Symbol"/>
      </w:rPr>
    </w:lvl>
  </w:abstractNum>
  <w:abstractNum w:abstractNumId="2" w15:restartNumberingAfterBreak="0">
    <w:nsid w:val="297C3E5A"/>
    <w:multiLevelType w:val="hybridMultilevel"/>
    <w:tmpl w:val="6DC6D0F6"/>
    <w:lvl w:ilvl="0" w:tplc="FD847FB0">
      <w:start w:val="1"/>
      <w:numFmt w:val="bullet"/>
      <w:lvlText w:val=""/>
      <w:lvlJc w:val="left"/>
      <w:pPr>
        <w:ind w:left="720" w:hanging="360"/>
      </w:pPr>
      <w:rPr>
        <w:rFonts w:ascii="Symbol" w:hAnsi="Symbol"/>
      </w:rPr>
    </w:lvl>
    <w:lvl w:ilvl="1" w:tplc="0DFCCA28">
      <w:start w:val="1"/>
      <w:numFmt w:val="bullet"/>
      <w:lvlText w:val=""/>
      <w:lvlJc w:val="left"/>
      <w:pPr>
        <w:ind w:left="720" w:hanging="360"/>
      </w:pPr>
      <w:rPr>
        <w:rFonts w:ascii="Symbol" w:hAnsi="Symbol"/>
      </w:rPr>
    </w:lvl>
    <w:lvl w:ilvl="2" w:tplc="D6D44132">
      <w:start w:val="1"/>
      <w:numFmt w:val="bullet"/>
      <w:lvlText w:val=""/>
      <w:lvlJc w:val="left"/>
      <w:pPr>
        <w:ind w:left="720" w:hanging="360"/>
      </w:pPr>
      <w:rPr>
        <w:rFonts w:ascii="Symbol" w:hAnsi="Symbol"/>
      </w:rPr>
    </w:lvl>
    <w:lvl w:ilvl="3" w:tplc="68249032">
      <w:start w:val="1"/>
      <w:numFmt w:val="bullet"/>
      <w:lvlText w:val=""/>
      <w:lvlJc w:val="left"/>
      <w:pPr>
        <w:ind w:left="720" w:hanging="360"/>
      </w:pPr>
      <w:rPr>
        <w:rFonts w:ascii="Symbol" w:hAnsi="Symbol"/>
      </w:rPr>
    </w:lvl>
    <w:lvl w:ilvl="4" w:tplc="483A375E">
      <w:start w:val="1"/>
      <w:numFmt w:val="bullet"/>
      <w:lvlText w:val=""/>
      <w:lvlJc w:val="left"/>
      <w:pPr>
        <w:ind w:left="720" w:hanging="360"/>
      </w:pPr>
      <w:rPr>
        <w:rFonts w:ascii="Symbol" w:hAnsi="Symbol"/>
      </w:rPr>
    </w:lvl>
    <w:lvl w:ilvl="5" w:tplc="95E865FC">
      <w:start w:val="1"/>
      <w:numFmt w:val="bullet"/>
      <w:lvlText w:val=""/>
      <w:lvlJc w:val="left"/>
      <w:pPr>
        <w:ind w:left="720" w:hanging="360"/>
      </w:pPr>
      <w:rPr>
        <w:rFonts w:ascii="Symbol" w:hAnsi="Symbol"/>
      </w:rPr>
    </w:lvl>
    <w:lvl w:ilvl="6" w:tplc="0018E4CA">
      <w:start w:val="1"/>
      <w:numFmt w:val="bullet"/>
      <w:lvlText w:val=""/>
      <w:lvlJc w:val="left"/>
      <w:pPr>
        <w:ind w:left="720" w:hanging="360"/>
      </w:pPr>
      <w:rPr>
        <w:rFonts w:ascii="Symbol" w:hAnsi="Symbol"/>
      </w:rPr>
    </w:lvl>
    <w:lvl w:ilvl="7" w:tplc="A84E3A74">
      <w:start w:val="1"/>
      <w:numFmt w:val="bullet"/>
      <w:lvlText w:val=""/>
      <w:lvlJc w:val="left"/>
      <w:pPr>
        <w:ind w:left="720" w:hanging="360"/>
      </w:pPr>
      <w:rPr>
        <w:rFonts w:ascii="Symbol" w:hAnsi="Symbol"/>
      </w:rPr>
    </w:lvl>
    <w:lvl w:ilvl="8" w:tplc="FFD2C4B6">
      <w:start w:val="1"/>
      <w:numFmt w:val="bullet"/>
      <w:lvlText w:val=""/>
      <w:lvlJc w:val="left"/>
      <w:pPr>
        <w:ind w:left="720" w:hanging="360"/>
      </w:pPr>
      <w:rPr>
        <w:rFonts w:ascii="Symbol" w:hAnsi="Symbol"/>
      </w:rPr>
    </w:lvl>
  </w:abstractNum>
  <w:abstractNum w:abstractNumId="3" w15:restartNumberingAfterBreak="0">
    <w:nsid w:val="2A471309"/>
    <w:multiLevelType w:val="hybridMultilevel"/>
    <w:tmpl w:val="07F45760"/>
    <w:lvl w:ilvl="0" w:tplc="902C722E">
      <w:start w:val="1"/>
      <w:numFmt w:val="bullet"/>
      <w:lvlText w:val=""/>
      <w:lvlJc w:val="left"/>
      <w:pPr>
        <w:ind w:left="720" w:hanging="360"/>
      </w:pPr>
      <w:rPr>
        <w:rFonts w:ascii="Symbol" w:hAnsi="Symbol"/>
      </w:rPr>
    </w:lvl>
    <w:lvl w:ilvl="1" w:tplc="C7F6BD7E">
      <w:start w:val="1"/>
      <w:numFmt w:val="bullet"/>
      <w:lvlText w:val=""/>
      <w:lvlJc w:val="left"/>
      <w:pPr>
        <w:ind w:left="720" w:hanging="360"/>
      </w:pPr>
      <w:rPr>
        <w:rFonts w:ascii="Symbol" w:hAnsi="Symbol"/>
      </w:rPr>
    </w:lvl>
    <w:lvl w:ilvl="2" w:tplc="077EB588">
      <w:start w:val="1"/>
      <w:numFmt w:val="bullet"/>
      <w:lvlText w:val=""/>
      <w:lvlJc w:val="left"/>
      <w:pPr>
        <w:ind w:left="720" w:hanging="360"/>
      </w:pPr>
      <w:rPr>
        <w:rFonts w:ascii="Symbol" w:hAnsi="Symbol"/>
      </w:rPr>
    </w:lvl>
    <w:lvl w:ilvl="3" w:tplc="A8C8A0A2">
      <w:start w:val="1"/>
      <w:numFmt w:val="bullet"/>
      <w:lvlText w:val=""/>
      <w:lvlJc w:val="left"/>
      <w:pPr>
        <w:ind w:left="720" w:hanging="360"/>
      </w:pPr>
      <w:rPr>
        <w:rFonts w:ascii="Symbol" w:hAnsi="Symbol"/>
      </w:rPr>
    </w:lvl>
    <w:lvl w:ilvl="4" w:tplc="105A9BFC">
      <w:start w:val="1"/>
      <w:numFmt w:val="bullet"/>
      <w:lvlText w:val=""/>
      <w:lvlJc w:val="left"/>
      <w:pPr>
        <w:ind w:left="720" w:hanging="360"/>
      </w:pPr>
      <w:rPr>
        <w:rFonts w:ascii="Symbol" w:hAnsi="Symbol"/>
      </w:rPr>
    </w:lvl>
    <w:lvl w:ilvl="5" w:tplc="94EEF42E">
      <w:start w:val="1"/>
      <w:numFmt w:val="bullet"/>
      <w:lvlText w:val=""/>
      <w:lvlJc w:val="left"/>
      <w:pPr>
        <w:ind w:left="720" w:hanging="360"/>
      </w:pPr>
      <w:rPr>
        <w:rFonts w:ascii="Symbol" w:hAnsi="Symbol"/>
      </w:rPr>
    </w:lvl>
    <w:lvl w:ilvl="6" w:tplc="37E8307E">
      <w:start w:val="1"/>
      <w:numFmt w:val="bullet"/>
      <w:lvlText w:val=""/>
      <w:lvlJc w:val="left"/>
      <w:pPr>
        <w:ind w:left="720" w:hanging="360"/>
      </w:pPr>
      <w:rPr>
        <w:rFonts w:ascii="Symbol" w:hAnsi="Symbol"/>
      </w:rPr>
    </w:lvl>
    <w:lvl w:ilvl="7" w:tplc="ACCC8962">
      <w:start w:val="1"/>
      <w:numFmt w:val="bullet"/>
      <w:lvlText w:val=""/>
      <w:lvlJc w:val="left"/>
      <w:pPr>
        <w:ind w:left="720" w:hanging="360"/>
      </w:pPr>
      <w:rPr>
        <w:rFonts w:ascii="Symbol" w:hAnsi="Symbol"/>
      </w:rPr>
    </w:lvl>
    <w:lvl w:ilvl="8" w:tplc="DADE11C4">
      <w:start w:val="1"/>
      <w:numFmt w:val="bullet"/>
      <w:lvlText w:val=""/>
      <w:lvlJc w:val="left"/>
      <w:pPr>
        <w:ind w:left="720" w:hanging="360"/>
      </w:pPr>
      <w:rPr>
        <w:rFonts w:ascii="Symbol" w:hAnsi="Symbol"/>
      </w:rPr>
    </w:lvl>
  </w:abstractNum>
  <w:abstractNum w:abstractNumId="4" w15:restartNumberingAfterBreak="0">
    <w:nsid w:val="2E4C5858"/>
    <w:multiLevelType w:val="hybridMultilevel"/>
    <w:tmpl w:val="F9F6FE70"/>
    <w:lvl w:ilvl="0" w:tplc="CC3A65E8">
      <w:start w:val="1"/>
      <w:numFmt w:val="bullet"/>
      <w:lvlText w:val=""/>
      <w:lvlJc w:val="left"/>
      <w:pPr>
        <w:ind w:left="720" w:hanging="360"/>
      </w:pPr>
      <w:rPr>
        <w:rFonts w:ascii="Symbol" w:hAnsi="Symbol"/>
      </w:rPr>
    </w:lvl>
    <w:lvl w:ilvl="1" w:tplc="0E228BC6">
      <w:start w:val="1"/>
      <w:numFmt w:val="bullet"/>
      <w:lvlText w:val=""/>
      <w:lvlJc w:val="left"/>
      <w:pPr>
        <w:ind w:left="720" w:hanging="360"/>
      </w:pPr>
      <w:rPr>
        <w:rFonts w:ascii="Symbol" w:hAnsi="Symbol"/>
      </w:rPr>
    </w:lvl>
    <w:lvl w:ilvl="2" w:tplc="AF780ACE">
      <w:start w:val="1"/>
      <w:numFmt w:val="bullet"/>
      <w:lvlText w:val=""/>
      <w:lvlJc w:val="left"/>
      <w:pPr>
        <w:ind w:left="720" w:hanging="360"/>
      </w:pPr>
      <w:rPr>
        <w:rFonts w:ascii="Symbol" w:hAnsi="Symbol"/>
      </w:rPr>
    </w:lvl>
    <w:lvl w:ilvl="3" w:tplc="EA288D36">
      <w:start w:val="1"/>
      <w:numFmt w:val="bullet"/>
      <w:lvlText w:val=""/>
      <w:lvlJc w:val="left"/>
      <w:pPr>
        <w:ind w:left="720" w:hanging="360"/>
      </w:pPr>
      <w:rPr>
        <w:rFonts w:ascii="Symbol" w:hAnsi="Symbol"/>
      </w:rPr>
    </w:lvl>
    <w:lvl w:ilvl="4" w:tplc="F342BC78">
      <w:start w:val="1"/>
      <w:numFmt w:val="bullet"/>
      <w:lvlText w:val=""/>
      <w:lvlJc w:val="left"/>
      <w:pPr>
        <w:ind w:left="720" w:hanging="360"/>
      </w:pPr>
      <w:rPr>
        <w:rFonts w:ascii="Symbol" w:hAnsi="Symbol"/>
      </w:rPr>
    </w:lvl>
    <w:lvl w:ilvl="5" w:tplc="E1BA3604">
      <w:start w:val="1"/>
      <w:numFmt w:val="bullet"/>
      <w:lvlText w:val=""/>
      <w:lvlJc w:val="left"/>
      <w:pPr>
        <w:ind w:left="720" w:hanging="360"/>
      </w:pPr>
      <w:rPr>
        <w:rFonts w:ascii="Symbol" w:hAnsi="Symbol"/>
      </w:rPr>
    </w:lvl>
    <w:lvl w:ilvl="6" w:tplc="7F8200AE">
      <w:start w:val="1"/>
      <w:numFmt w:val="bullet"/>
      <w:lvlText w:val=""/>
      <w:lvlJc w:val="left"/>
      <w:pPr>
        <w:ind w:left="720" w:hanging="360"/>
      </w:pPr>
      <w:rPr>
        <w:rFonts w:ascii="Symbol" w:hAnsi="Symbol"/>
      </w:rPr>
    </w:lvl>
    <w:lvl w:ilvl="7" w:tplc="5EA0B8A4">
      <w:start w:val="1"/>
      <w:numFmt w:val="bullet"/>
      <w:lvlText w:val=""/>
      <w:lvlJc w:val="left"/>
      <w:pPr>
        <w:ind w:left="720" w:hanging="360"/>
      </w:pPr>
      <w:rPr>
        <w:rFonts w:ascii="Symbol" w:hAnsi="Symbol"/>
      </w:rPr>
    </w:lvl>
    <w:lvl w:ilvl="8" w:tplc="1F0207F0">
      <w:start w:val="1"/>
      <w:numFmt w:val="bullet"/>
      <w:lvlText w:val=""/>
      <w:lvlJc w:val="left"/>
      <w:pPr>
        <w:ind w:left="720" w:hanging="360"/>
      </w:pPr>
      <w:rPr>
        <w:rFonts w:ascii="Symbol" w:hAnsi="Symbol"/>
      </w:rPr>
    </w:lvl>
  </w:abstractNum>
  <w:abstractNum w:abstractNumId="5" w15:restartNumberingAfterBreak="0">
    <w:nsid w:val="30E574BF"/>
    <w:multiLevelType w:val="hybridMultilevel"/>
    <w:tmpl w:val="2480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D5024"/>
    <w:multiLevelType w:val="hybridMultilevel"/>
    <w:tmpl w:val="C17A15F8"/>
    <w:lvl w:ilvl="0" w:tplc="DAA45F5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5252F3"/>
    <w:multiLevelType w:val="hybridMultilevel"/>
    <w:tmpl w:val="F9721B60"/>
    <w:lvl w:ilvl="0" w:tplc="7D407E06">
      <w:start w:val="1"/>
      <w:numFmt w:val="bullet"/>
      <w:lvlText w:val=""/>
      <w:lvlJc w:val="left"/>
      <w:pPr>
        <w:ind w:left="720" w:hanging="360"/>
      </w:pPr>
      <w:rPr>
        <w:rFonts w:ascii="Symbol" w:hAnsi="Symbol"/>
      </w:rPr>
    </w:lvl>
    <w:lvl w:ilvl="1" w:tplc="37D69206">
      <w:start w:val="1"/>
      <w:numFmt w:val="bullet"/>
      <w:lvlText w:val=""/>
      <w:lvlJc w:val="left"/>
      <w:pPr>
        <w:ind w:left="720" w:hanging="360"/>
      </w:pPr>
      <w:rPr>
        <w:rFonts w:ascii="Symbol" w:hAnsi="Symbol"/>
      </w:rPr>
    </w:lvl>
    <w:lvl w:ilvl="2" w:tplc="82DEFD0C">
      <w:start w:val="1"/>
      <w:numFmt w:val="bullet"/>
      <w:lvlText w:val=""/>
      <w:lvlJc w:val="left"/>
      <w:pPr>
        <w:ind w:left="720" w:hanging="360"/>
      </w:pPr>
      <w:rPr>
        <w:rFonts w:ascii="Symbol" w:hAnsi="Symbol"/>
      </w:rPr>
    </w:lvl>
    <w:lvl w:ilvl="3" w:tplc="6F188E72">
      <w:start w:val="1"/>
      <w:numFmt w:val="bullet"/>
      <w:lvlText w:val=""/>
      <w:lvlJc w:val="left"/>
      <w:pPr>
        <w:ind w:left="720" w:hanging="360"/>
      </w:pPr>
      <w:rPr>
        <w:rFonts w:ascii="Symbol" w:hAnsi="Symbol"/>
      </w:rPr>
    </w:lvl>
    <w:lvl w:ilvl="4" w:tplc="37C637D4">
      <w:start w:val="1"/>
      <w:numFmt w:val="bullet"/>
      <w:lvlText w:val=""/>
      <w:lvlJc w:val="left"/>
      <w:pPr>
        <w:ind w:left="720" w:hanging="360"/>
      </w:pPr>
      <w:rPr>
        <w:rFonts w:ascii="Symbol" w:hAnsi="Symbol"/>
      </w:rPr>
    </w:lvl>
    <w:lvl w:ilvl="5" w:tplc="07D82EA4">
      <w:start w:val="1"/>
      <w:numFmt w:val="bullet"/>
      <w:lvlText w:val=""/>
      <w:lvlJc w:val="left"/>
      <w:pPr>
        <w:ind w:left="720" w:hanging="360"/>
      </w:pPr>
      <w:rPr>
        <w:rFonts w:ascii="Symbol" w:hAnsi="Symbol"/>
      </w:rPr>
    </w:lvl>
    <w:lvl w:ilvl="6" w:tplc="D53E542A">
      <w:start w:val="1"/>
      <w:numFmt w:val="bullet"/>
      <w:lvlText w:val=""/>
      <w:lvlJc w:val="left"/>
      <w:pPr>
        <w:ind w:left="720" w:hanging="360"/>
      </w:pPr>
      <w:rPr>
        <w:rFonts w:ascii="Symbol" w:hAnsi="Symbol"/>
      </w:rPr>
    </w:lvl>
    <w:lvl w:ilvl="7" w:tplc="438A59AC">
      <w:start w:val="1"/>
      <w:numFmt w:val="bullet"/>
      <w:lvlText w:val=""/>
      <w:lvlJc w:val="left"/>
      <w:pPr>
        <w:ind w:left="720" w:hanging="360"/>
      </w:pPr>
      <w:rPr>
        <w:rFonts w:ascii="Symbol" w:hAnsi="Symbol"/>
      </w:rPr>
    </w:lvl>
    <w:lvl w:ilvl="8" w:tplc="6CEC3146">
      <w:start w:val="1"/>
      <w:numFmt w:val="bullet"/>
      <w:lvlText w:val=""/>
      <w:lvlJc w:val="left"/>
      <w:pPr>
        <w:ind w:left="720" w:hanging="360"/>
      </w:pPr>
      <w:rPr>
        <w:rFonts w:ascii="Symbol" w:hAnsi="Symbol"/>
      </w:rPr>
    </w:lvl>
  </w:abstractNum>
  <w:abstractNum w:abstractNumId="8" w15:restartNumberingAfterBreak="0">
    <w:nsid w:val="514E63F8"/>
    <w:multiLevelType w:val="hybridMultilevel"/>
    <w:tmpl w:val="B464D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FB24FB"/>
    <w:multiLevelType w:val="multilevel"/>
    <w:tmpl w:val="C2C8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EE0BFE"/>
    <w:multiLevelType w:val="hybridMultilevel"/>
    <w:tmpl w:val="5F6E9202"/>
    <w:lvl w:ilvl="0" w:tplc="DB5602E8">
      <w:start w:val="1"/>
      <w:numFmt w:val="bullet"/>
      <w:lvlText w:val=""/>
      <w:lvlJc w:val="left"/>
      <w:pPr>
        <w:ind w:left="720" w:hanging="360"/>
      </w:pPr>
      <w:rPr>
        <w:rFonts w:ascii="Symbol" w:hAnsi="Symbol"/>
      </w:rPr>
    </w:lvl>
    <w:lvl w:ilvl="1" w:tplc="C1B48BD6">
      <w:start w:val="1"/>
      <w:numFmt w:val="bullet"/>
      <w:lvlText w:val=""/>
      <w:lvlJc w:val="left"/>
      <w:pPr>
        <w:ind w:left="720" w:hanging="360"/>
      </w:pPr>
      <w:rPr>
        <w:rFonts w:ascii="Symbol" w:hAnsi="Symbol"/>
      </w:rPr>
    </w:lvl>
    <w:lvl w:ilvl="2" w:tplc="1C72B00C">
      <w:start w:val="1"/>
      <w:numFmt w:val="bullet"/>
      <w:lvlText w:val=""/>
      <w:lvlJc w:val="left"/>
      <w:pPr>
        <w:ind w:left="720" w:hanging="360"/>
      </w:pPr>
      <w:rPr>
        <w:rFonts w:ascii="Symbol" w:hAnsi="Symbol"/>
      </w:rPr>
    </w:lvl>
    <w:lvl w:ilvl="3" w:tplc="3E0E2A5A">
      <w:start w:val="1"/>
      <w:numFmt w:val="bullet"/>
      <w:lvlText w:val=""/>
      <w:lvlJc w:val="left"/>
      <w:pPr>
        <w:ind w:left="720" w:hanging="360"/>
      </w:pPr>
      <w:rPr>
        <w:rFonts w:ascii="Symbol" w:hAnsi="Symbol"/>
      </w:rPr>
    </w:lvl>
    <w:lvl w:ilvl="4" w:tplc="48846B72">
      <w:start w:val="1"/>
      <w:numFmt w:val="bullet"/>
      <w:lvlText w:val=""/>
      <w:lvlJc w:val="left"/>
      <w:pPr>
        <w:ind w:left="720" w:hanging="360"/>
      </w:pPr>
      <w:rPr>
        <w:rFonts w:ascii="Symbol" w:hAnsi="Symbol"/>
      </w:rPr>
    </w:lvl>
    <w:lvl w:ilvl="5" w:tplc="8394600C">
      <w:start w:val="1"/>
      <w:numFmt w:val="bullet"/>
      <w:lvlText w:val=""/>
      <w:lvlJc w:val="left"/>
      <w:pPr>
        <w:ind w:left="720" w:hanging="360"/>
      </w:pPr>
      <w:rPr>
        <w:rFonts w:ascii="Symbol" w:hAnsi="Symbol"/>
      </w:rPr>
    </w:lvl>
    <w:lvl w:ilvl="6" w:tplc="11A68B34">
      <w:start w:val="1"/>
      <w:numFmt w:val="bullet"/>
      <w:lvlText w:val=""/>
      <w:lvlJc w:val="left"/>
      <w:pPr>
        <w:ind w:left="720" w:hanging="360"/>
      </w:pPr>
      <w:rPr>
        <w:rFonts w:ascii="Symbol" w:hAnsi="Symbol"/>
      </w:rPr>
    </w:lvl>
    <w:lvl w:ilvl="7" w:tplc="E86409B0">
      <w:start w:val="1"/>
      <w:numFmt w:val="bullet"/>
      <w:lvlText w:val=""/>
      <w:lvlJc w:val="left"/>
      <w:pPr>
        <w:ind w:left="720" w:hanging="360"/>
      </w:pPr>
      <w:rPr>
        <w:rFonts w:ascii="Symbol" w:hAnsi="Symbol"/>
      </w:rPr>
    </w:lvl>
    <w:lvl w:ilvl="8" w:tplc="DE168590">
      <w:start w:val="1"/>
      <w:numFmt w:val="bullet"/>
      <w:lvlText w:val=""/>
      <w:lvlJc w:val="left"/>
      <w:pPr>
        <w:ind w:left="720" w:hanging="360"/>
      </w:pPr>
      <w:rPr>
        <w:rFonts w:ascii="Symbol" w:hAnsi="Symbol"/>
      </w:rPr>
    </w:lvl>
  </w:abstractNum>
  <w:abstractNum w:abstractNumId="11" w15:restartNumberingAfterBreak="0">
    <w:nsid w:val="67A02835"/>
    <w:multiLevelType w:val="hybridMultilevel"/>
    <w:tmpl w:val="D36C4F18"/>
    <w:lvl w:ilvl="0" w:tplc="808E2FD2">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F14567"/>
    <w:multiLevelType w:val="hybridMultilevel"/>
    <w:tmpl w:val="969A2A7A"/>
    <w:lvl w:ilvl="0" w:tplc="13BA4D22">
      <w:start w:val="1"/>
      <w:numFmt w:val="bullet"/>
      <w:lvlText w:val=""/>
      <w:lvlJc w:val="left"/>
      <w:pPr>
        <w:ind w:left="720" w:hanging="360"/>
      </w:pPr>
      <w:rPr>
        <w:rFonts w:ascii="Symbol" w:hAnsi="Symbol"/>
      </w:rPr>
    </w:lvl>
    <w:lvl w:ilvl="1" w:tplc="821E46A2">
      <w:start w:val="1"/>
      <w:numFmt w:val="bullet"/>
      <w:lvlText w:val=""/>
      <w:lvlJc w:val="left"/>
      <w:pPr>
        <w:ind w:left="720" w:hanging="360"/>
      </w:pPr>
      <w:rPr>
        <w:rFonts w:ascii="Symbol" w:hAnsi="Symbol"/>
      </w:rPr>
    </w:lvl>
    <w:lvl w:ilvl="2" w:tplc="429CCC56">
      <w:start w:val="1"/>
      <w:numFmt w:val="bullet"/>
      <w:lvlText w:val=""/>
      <w:lvlJc w:val="left"/>
      <w:pPr>
        <w:ind w:left="720" w:hanging="360"/>
      </w:pPr>
      <w:rPr>
        <w:rFonts w:ascii="Symbol" w:hAnsi="Symbol"/>
      </w:rPr>
    </w:lvl>
    <w:lvl w:ilvl="3" w:tplc="9D540846">
      <w:start w:val="1"/>
      <w:numFmt w:val="bullet"/>
      <w:lvlText w:val=""/>
      <w:lvlJc w:val="left"/>
      <w:pPr>
        <w:ind w:left="720" w:hanging="360"/>
      </w:pPr>
      <w:rPr>
        <w:rFonts w:ascii="Symbol" w:hAnsi="Symbol"/>
      </w:rPr>
    </w:lvl>
    <w:lvl w:ilvl="4" w:tplc="E65E5CB8">
      <w:start w:val="1"/>
      <w:numFmt w:val="bullet"/>
      <w:lvlText w:val=""/>
      <w:lvlJc w:val="left"/>
      <w:pPr>
        <w:ind w:left="720" w:hanging="360"/>
      </w:pPr>
      <w:rPr>
        <w:rFonts w:ascii="Symbol" w:hAnsi="Symbol"/>
      </w:rPr>
    </w:lvl>
    <w:lvl w:ilvl="5" w:tplc="6468837C">
      <w:start w:val="1"/>
      <w:numFmt w:val="bullet"/>
      <w:lvlText w:val=""/>
      <w:lvlJc w:val="left"/>
      <w:pPr>
        <w:ind w:left="720" w:hanging="360"/>
      </w:pPr>
      <w:rPr>
        <w:rFonts w:ascii="Symbol" w:hAnsi="Symbol"/>
      </w:rPr>
    </w:lvl>
    <w:lvl w:ilvl="6" w:tplc="AB14981A">
      <w:start w:val="1"/>
      <w:numFmt w:val="bullet"/>
      <w:lvlText w:val=""/>
      <w:lvlJc w:val="left"/>
      <w:pPr>
        <w:ind w:left="720" w:hanging="360"/>
      </w:pPr>
      <w:rPr>
        <w:rFonts w:ascii="Symbol" w:hAnsi="Symbol"/>
      </w:rPr>
    </w:lvl>
    <w:lvl w:ilvl="7" w:tplc="8728AEAC">
      <w:start w:val="1"/>
      <w:numFmt w:val="bullet"/>
      <w:lvlText w:val=""/>
      <w:lvlJc w:val="left"/>
      <w:pPr>
        <w:ind w:left="720" w:hanging="360"/>
      </w:pPr>
      <w:rPr>
        <w:rFonts w:ascii="Symbol" w:hAnsi="Symbol"/>
      </w:rPr>
    </w:lvl>
    <w:lvl w:ilvl="8" w:tplc="67826730">
      <w:start w:val="1"/>
      <w:numFmt w:val="bullet"/>
      <w:lvlText w:val=""/>
      <w:lvlJc w:val="left"/>
      <w:pPr>
        <w:ind w:left="720" w:hanging="360"/>
      </w:pPr>
      <w:rPr>
        <w:rFonts w:ascii="Symbol" w:hAnsi="Symbol"/>
      </w:rPr>
    </w:lvl>
  </w:abstractNum>
  <w:num w:numId="1" w16cid:durableId="875435759">
    <w:abstractNumId w:val="5"/>
  </w:num>
  <w:num w:numId="2" w16cid:durableId="966354274">
    <w:abstractNumId w:val="8"/>
  </w:num>
  <w:num w:numId="3" w16cid:durableId="907422421">
    <w:abstractNumId w:val="6"/>
  </w:num>
  <w:num w:numId="4" w16cid:durableId="2010712794">
    <w:abstractNumId w:val="9"/>
  </w:num>
  <w:num w:numId="5" w16cid:durableId="1308169902">
    <w:abstractNumId w:val="11"/>
  </w:num>
  <w:num w:numId="6" w16cid:durableId="1424573934">
    <w:abstractNumId w:val="7"/>
  </w:num>
  <w:num w:numId="7" w16cid:durableId="446584931">
    <w:abstractNumId w:val="12"/>
  </w:num>
  <w:num w:numId="8" w16cid:durableId="1680305605">
    <w:abstractNumId w:val="4"/>
  </w:num>
  <w:num w:numId="9" w16cid:durableId="951983047">
    <w:abstractNumId w:val="10"/>
  </w:num>
  <w:num w:numId="10" w16cid:durableId="96603092">
    <w:abstractNumId w:val="3"/>
  </w:num>
  <w:num w:numId="11" w16cid:durableId="1588079779">
    <w:abstractNumId w:val="0"/>
  </w:num>
  <w:num w:numId="12" w16cid:durableId="2019381912">
    <w:abstractNumId w:val="2"/>
  </w:num>
  <w:num w:numId="13" w16cid:durableId="429476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nn Hemato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55dep0cvv0a2erf5s52vsrd2fvxx9tf22s&quot;&gt;ONC&lt;record-ids&gt;&lt;item&gt;3197&lt;/item&gt;&lt;item&gt;13308&lt;/item&gt;&lt;item&gt;13569&lt;/item&gt;&lt;item&gt;13910&lt;/item&gt;&lt;item&gt;14584&lt;/item&gt;&lt;item&gt;14735&lt;/item&gt;&lt;item&gt;16194&lt;/item&gt;&lt;item&gt;16640&lt;/item&gt;&lt;item&gt;16875&lt;/item&gt;&lt;item&gt;18876&lt;/item&gt;&lt;item&gt;18900&lt;/item&gt;&lt;item&gt;21392&lt;/item&gt;&lt;item&gt;21827&lt;/item&gt;&lt;item&gt;21842&lt;/item&gt;&lt;item&gt;22149&lt;/item&gt;&lt;item&gt;22467&lt;/item&gt;&lt;item&gt;22479&lt;/item&gt;&lt;item&gt;22480&lt;/item&gt;&lt;item&gt;22702&lt;/item&gt;&lt;item&gt;22706&lt;/item&gt;&lt;item&gt;22874&lt;/item&gt;&lt;/record-ids&gt;&lt;/item&gt;&lt;/Libraries&gt;"/>
  </w:docVars>
  <w:rsids>
    <w:rsidRoot w:val="00540ABD"/>
    <w:rsid w:val="00002914"/>
    <w:rsid w:val="0000407F"/>
    <w:rsid w:val="000102D6"/>
    <w:rsid w:val="00013AFF"/>
    <w:rsid w:val="00017B13"/>
    <w:rsid w:val="000223E6"/>
    <w:rsid w:val="00024B4B"/>
    <w:rsid w:val="00031984"/>
    <w:rsid w:val="00044DCF"/>
    <w:rsid w:val="0005099E"/>
    <w:rsid w:val="00052072"/>
    <w:rsid w:val="000539A0"/>
    <w:rsid w:val="000562CE"/>
    <w:rsid w:val="00062EB1"/>
    <w:rsid w:val="000635FD"/>
    <w:rsid w:val="00066986"/>
    <w:rsid w:val="00067EF7"/>
    <w:rsid w:val="00072351"/>
    <w:rsid w:val="00081F2A"/>
    <w:rsid w:val="0008281A"/>
    <w:rsid w:val="00084620"/>
    <w:rsid w:val="00093278"/>
    <w:rsid w:val="000B5F32"/>
    <w:rsid w:val="000C22D0"/>
    <w:rsid w:val="000C63B9"/>
    <w:rsid w:val="000D246E"/>
    <w:rsid w:val="000D652B"/>
    <w:rsid w:val="000D7018"/>
    <w:rsid w:val="000D711E"/>
    <w:rsid w:val="000E0C2D"/>
    <w:rsid w:val="000E3157"/>
    <w:rsid w:val="000E73CF"/>
    <w:rsid w:val="000F2A60"/>
    <w:rsid w:val="001017F0"/>
    <w:rsid w:val="00104760"/>
    <w:rsid w:val="00106C34"/>
    <w:rsid w:val="00113D43"/>
    <w:rsid w:val="001147C1"/>
    <w:rsid w:val="00121D17"/>
    <w:rsid w:val="00122038"/>
    <w:rsid w:val="0014077B"/>
    <w:rsid w:val="00142004"/>
    <w:rsid w:val="00145539"/>
    <w:rsid w:val="00146C26"/>
    <w:rsid w:val="00151BC2"/>
    <w:rsid w:val="0016202B"/>
    <w:rsid w:val="001719F6"/>
    <w:rsid w:val="00171D4F"/>
    <w:rsid w:val="001769B9"/>
    <w:rsid w:val="0018008C"/>
    <w:rsid w:val="0018298B"/>
    <w:rsid w:val="001909B2"/>
    <w:rsid w:val="001938C5"/>
    <w:rsid w:val="00194FB3"/>
    <w:rsid w:val="001A4961"/>
    <w:rsid w:val="001A51E8"/>
    <w:rsid w:val="001A5B33"/>
    <w:rsid w:val="001A79B9"/>
    <w:rsid w:val="001B040A"/>
    <w:rsid w:val="001B3850"/>
    <w:rsid w:val="001B3BBF"/>
    <w:rsid w:val="001C1CBC"/>
    <w:rsid w:val="001D0612"/>
    <w:rsid w:val="001D4951"/>
    <w:rsid w:val="001D5582"/>
    <w:rsid w:val="001D60E9"/>
    <w:rsid w:val="001E1E17"/>
    <w:rsid w:val="001E39F0"/>
    <w:rsid w:val="001F35C1"/>
    <w:rsid w:val="001F3E60"/>
    <w:rsid w:val="002004FA"/>
    <w:rsid w:val="0020081F"/>
    <w:rsid w:val="00200DD4"/>
    <w:rsid w:val="0021628D"/>
    <w:rsid w:val="00221404"/>
    <w:rsid w:val="00224578"/>
    <w:rsid w:val="00237F12"/>
    <w:rsid w:val="002403BB"/>
    <w:rsid w:val="00241A88"/>
    <w:rsid w:val="0024229F"/>
    <w:rsid w:val="00242E34"/>
    <w:rsid w:val="002442AE"/>
    <w:rsid w:val="002460D4"/>
    <w:rsid w:val="00247E78"/>
    <w:rsid w:val="00257D98"/>
    <w:rsid w:val="00261172"/>
    <w:rsid w:val="002613B8"/>
    <w:rsid w:val="00280011"/>
    <w:rsid w:val="00284C07"/>
    <w:rsid w:val="00292BA1"/>
    <w:rsid w:val="0029607E"/>
    <w:rsid w:val="002C5CB7"/>
    <w:rsid w:val="002C775B"/>
    <w:rsid w:val="002D419D"/>
    <w:rsid w:val="002F2D66"/>
    <w:rsid w:val="002F32B5"/>
    <w:rsid w:val="002F468C"/>
    <w:rsid w:val="00303226"/>
    <w:rsid w:val="0030685E"/>
    <w:rsid w:val="00306D54"/>
    <w:rsid w:val="003113E9"/>
    <w:rsid w:val="00313640"/>
    <w:rsid w:val="0032668D"/>
    <w:rsid w:val="00332070"/>
    <w:rsid w:val="0033564C"/>
    <w:rsid w:val="003430B4"/>
    <w:rsid w:val="00344934"/>
    <w:rsid w:val="003558B5"/>
    <w:rsid w:val="003646E4"/>
    <w:rsid w:val="003665BA"/>
    <w:rsid w:val="0036758C"/>
    <w:rsid w:val="003767F8"/>
    <w:rsid w:val="00382675"/>
    <w:rsid w:val="00391245"/>
    <w:rsid w:val="0039347B"/>
    <w:rsid w:val="003A0064"/>
    <w:rsid w:val="003A015A"/>
    <w:rsid w:val="003A298F"/>
    <w:rsid w:val="003B4930"/>
    <w:rsid w:val="003C5A51"/>
    <w:rsid w:val="003C78CA"/>
    <w:rsid w:val="003C7A2D"/>
    <w:rsid w:val="003D0A78"/>
    <w:rsid w:val="003D228F"/>
    <w:rsid w:val="003E131A"/>
    <w:rsid w:val="003E191E"/>
    <w:rsid w:val="003F37DC"/>
    <w:rsid w:val="003F68C5"/>
    <w:rsid w:val="004035AC"/>
    <w:rsid w:val="004051DA"/>
    <w:rsid w:val="00405976"/>
    <w:rsid w:val="00406B7E"/>
    <w:rsid w:val="0040704C"/>
    <w:rsid w:val="00411D35"/>
    <w:rsid w:val="00412DD5"/>
    <w:rsid w:val="004157AE"/>
    <w:rsid w:val="004160B9"/>
    <w:rsid w:val="004175CA"/>
    <w:rsid w:val="00417708"/>
    <w:rsid w:val="00420218"/>
    <w:rsid w:val="0042447D"/>
    <w:rsid w:val="00437386"/>
    <w:rsid w:val="00440F71"/>
    <w:rsid w:val="00444F87"/>
    <w:rsid w:val="00451C55"/>
    <w:rsid w:val="004530F9"/>
    <w:rsid w:val="00453182"/>
    <w:rsid w:val="00460845"/>
    <w:rsid w:val="0046106E"/>
    <w:rsid w:val="00473D4D"/>
    <w:rsid w:val="00476514"/>
    <w:rsid w:val="00477B27"/>
    <w:rsid w:val="00482D21"/>
    <w:rsid w:val="00493C86"/>
    <w:rsid w:val="00494EFD"/>
    <w:rsid w:val="004964EA"/>
    <w:rsid w:val="00497B45"/>
    <w:rsid w:val="004A2341"/>
    <w:rsid w:val="004A3D47"/>
    <w:rsid w:val="004A61D0"/>
    <w:rsid w:val="004A724E"/>
    <w:rsid w:val="004B32A0"/>
    <w:rsid w:val="004C0A09"/>
    <w:rsid w:val="004C5622"/>
    <w:rsid w:val="004D1228"/>
    <w:rsid w:val="004D15FA"/>
    <w:rsid w:val="004D6F67"/>
    <w:rsid w:val="004E25D6"/>
    <w:rsid w:val="004E3755"/>
    <w:rsid w:val="004E37F1"/>
    <w:rsid w:val="004F65F0"/>
    <w:rsid w:val="004F7F86"/>
    <w:rsid w:val="005002DC"/>
    <w:rsid w:val="00500329"/>
    <w:rsid w:val="005105A6"/>
    <w:rsid w:val="0051475E"/>
    <w:rsid w:val="00515094"/>
    <w:rsid w:val="00537043"/>
    <w:rsid w:val="005372D8"/>
    <w:rsid w:val="00537688"/>
    <w:rsid w:val="00540ABD"/>
    <w:rsid w:val="005464EB"/>
    <w:rsid w:val="0056049D"/>
    <w:rsid w:val="005616AC"/>
    <w:rsid w:val="005616B0"/>
    <w:rsid w:val="0056257E"/>
    <w:rsid w:val="00563C2C"/>
    <w:rsid w:val="0057652D"/>
    <w:rsid w:val="00587A38"/>
    <w:rsid w:val="00590B1C"/>
    <w:rsid w:val="005B37E9"/>
    <w:rsid w:val="005B3CE4"/>
    <w:rsid w:val="005B66BC"/>
    <w:rsid w:val="005C1D61"/>
    <w:rsid w:val="005C59AF"/>
    <w:rsid w:val="005C67FE"/>
    <w:rsid w:val="005D0642"/>
    <w:rsid w:val="005E663F"/>
    <w:rsid w:val="00600087"/>
    <w:rsid w:val="006006BD"/>
    <w:rsid w:val="0060121B"/>
    <w:rsid w:val="00602BB8"/>
    <w:rsid w:val="006042C0"/>
    <w:rsid w:val="00604E76"/>
    <w:rsid w:val="006161ED"/>
    <w:rsid w:val="00616E81"/>
    <w:rsid w:val="00620907"/>
    <w:rsid w:val="006216ED"/>
    <w:rsid w:val="00624C74"/>
    <w:rsid w:val="00627B41"/>
    <w:rsid w:val="00630C65"/>
    <w:rsid w:val="0063292C"/>
    <w:rsid w:val="006345F6"/>
    <w:rsid w:val="0063521F"/>
    <w:rsid w:val="00635E42"/>
    <w:rsid w:val="00645AF5"/>
    <w:rsid w:val="00655599"/>
    <w:rsid w:val="0066267D"/>
    <w:rsid w:val="006746CD"/>
    <w:rsid w:val="00674E91"/>
    <w:rsid w:val="0068123E"/>
    <w:rsid w:val="00684152"/>
    <w:rsid w:val="006879B7"/>
    <w:rsid w:val="00695D94"/>
    <w:rsid w:val="006A490D"/>
    <w:rsid w:val="006A7726"/>
    <w:rsid w:val="006C3A92"/>
    <w:rsid w:val="006C6B56"/>
    <w:rsid w:val="006D42B9"/>
    <w:rsid w:val="006E4848"/>
    <w:rsid w:val="006F12A3"/>
    <w:rsid w:val="006F2DF5"/>
    <w:rsid w:val="006F4375"/>
    <w:rsid w:val="007051CD"/>
    <w:rsid w:val="00711E44"/>
    <w:rsid w:val="007135E0"/>
    <w:rsid w:val="00716658"/>
    <w:rsid w:val="0072502D"/>
    <w:rsid w:val="00725116"/>
    <w:rsid w:val="00730987"/>
    <w:rsid w:val="00732D31"/>
    <w:rsid w:val="007351C4"/>
    <w:rsid w:val="00735F12"/>
    <w:rsid w:val="00736779"/>
    <w:rsid w:val="007404AC"/>
    <w:rsid w:val="007470CE"/>
    <w:rsid w:val="00750737"/>
    <w:rsid w:val="00750793"/>
    <w:rsid w:val="00753812"/>
    <w:rsid w:val="00761E69"/>
    <w:rsid w:val="007659F7"/>
    <w:rsid w:val="007708D9"/>
    <w:rsid w:val="007728F1"/>
    <w:rsid w:val="0077351C"/>
    <w:rsid w:val="00775A3B"/>
    <w:rsid w:val="007806E4"/>
    <w:rsid w:val="00780A92"/>
    <w:rsid w:val="007842A0"/>
    <w:rsid w:val="00785D22"/>
    <w:rsid w:val="007A00CB"/>
    <w:rsid w:val="007A0857"/>
    <w:rsid w:val="007A36A1"/>
    <w:rsid w:val="007B2CBC"/>
    <w:rsid w:val="007B3BE2"/>
    <w:rsid w:val="007B40D8"/>
    <w:rsid w:val="007C0BE0"/>
    <w:rsid w:val="007C2C13"/>
    <w:rsid w:val="007C3614"/>
    <w:rsid w:val="007E2C9D"/>
    <w:rsid w:val="007F737E"/>
    <w:rsid w:val="00807117"/>
    <w:rsid w:val="00811D1E"/>
    <w:rsid w:val="00814217"/>
    <w:rsid w:val="00846F3F"/>
    <w:rsid w:val="008471A7"/>
    <w:rsid w:val="008527CF"/>
    <w:rsid w:val="0085586F"/>
    <w:rsid w:val="008558CA"/>
    <w:rsid w:val="008568E6"/>
    <w:rsid w:val="00862222"/>
    <w:rsid w:val="0086462C"/>
    <w:rsid w:val="00872E7C"/>
    <w:rsid w:val="008831AE"/>
    <w:rsid w:val="00890539"/>
    <w:rsid w:val="00891927"/>
    <w:rsid w:val="00893C19"/>
    <w:rsid w:val="00895041"/>
    <w:rsid w:val="008A69E1"/>
    <w:rsid w:val="008B4D88"/>
    <w:rsid w:val="008C4168"/>
    <w:rsid w:val="008D2174"/>
    <w:rsid w:val="008D2178"/>
    <w:rsid w:val="008E4290"/>
    <w:rsid w:val="008F18F8"/>
    <w:rsid w:val="008F1953"/>
    <w:rsid w:val="008F1A6A"/>
    <w:rsid w:val="008F4F6B"/>
    <w:rsid w:val="00902913"/>
    <w:rsid w:val="00906530"/>
    <w:rsid w:val="009075B4"/>
    <w:rsid w:val="00913604"/>
    <w:rsid w:val="009167B8"/>
    <w:rsid w:val="009178AC"/>
    <w:rsid w:val="00917BA4"/>
    <w:rsid w:val="009327D8"/>
    <w:rsid w:val="00936FBE"/>
    <w:rsid w:val="0094055E"/>
    <w:rsid w:val="009413C4"/>
    <w:rsid w:val="009526E4"/>
    <w:rsid w:val="00952BE3"/>
    <w:rsid w:val="0095355F"/>
    <w:rsid w:val="00955527"/>
    <w:rsid w:val="00960047"/>
    <w:rsid w:val="00961633"/>
    <w:rsid w:val="009628C9"/>
    <w:rsid w:val="0096783D"/>
    <w:rsid w:val="00971C55"/>
    <w:rsid w:val="00973F28"/>
    <w:rsid w:val="00974193"/>
    <w:rsid w:val="00977FF1"/>
    <w:rsid w:val="009809F9"/>
    <w:rsid w:val="0098299F"/>
    <w:rsid w:val="00983554"/>
    <w:rsid w:val="00983CA4"/>
    <w:rsid w:val="00992613"/>
    <w:rsid w:val="00992A6D"/>
    <w:rsid w:val="00997AFC"/>
    <w:rsid w:val="009A0DE4"/>
    <w:rsid w:val="009A4787"/>
    <w:rsid w:val="009B16C6"/>
    <w:rsid w:val="009B761F"/>
    <w:rsid w:val="009B7ECC"/>
    <w:rsid w:val="009C4CCD"/>
    <w:rsid w:val="009D1F62"/>
    <w:rsid w:val="009D425C"/>
    <w:rsid w:val="009E5977"/>
    <w:rsid w:val="009F287E"/>
    <w:rsid w:val="009F613F"/>
    <w:rsid w:val="009F63BB"/>
    <w:rsid w:val="00A032C3"/>
    <w:rsid w:val="00A04227"/>
    <w:rsid w:val="00A1266C"/>
    <w:rsid w:val="00A16E08"/>
    <w:rsid w:val="00A17800"/>
    <w:rsid w:val="00A17D92"/>
    <w:rsid w:val="00A2208F"/>
    <w:rsid w:val="00A23BEE"/>
    <w:rsid w:val="00A2643C"/>
    <w:rsid w:val="00A31C7B"/>
    <w:rsid w:val="00A3310F"/>
    <w:rsid w:val="00A356B5"/>
    <w:rsid w:val="00A4122C"/>
    <w:rsid w:val="00A43396"/>
    <w:rsid w:val="00A476DB"/>
    <w:rsid w:val="00A53AD5"/>
    <w:rsid w:val="00A5444D"/>
    <w:rsid w:val="00A62A4D"/>
    <w:rsid w:val="00A647E9"/>
    <w:rsid w:val="00A6546F"/>
    <w:rsid w:val="00A83A3E"/>
    <w:rsid w:val="00A923A7"/>
    <w:rsid w:val="00A955F0"/>
    <w:rsid w:val="00A96349"/>
    <w:rsid w:val="00A96FA6"/>
    <w:rsid w:val="00AA1366"/>
    <w:rsid w:val="00AB2AC7"/>
    <w:rsid w:val="00AB59EB"/>
    <w:rsid w:val="00AB7A13"/>
    <w:rsid w:val="00AC1CB9"/>
    <w:rsid w:val="00AC2B14"/>
    <w:rsid w:val="00AC7248"/>
    <w:rsid w:val="00AC7B79"/>
    <w:rsid w:val="00AD04CD"/>
    <w:rsid w:val="00AD4515"/>
    <w:rsid w:val="00AD63F7"/>
    <w:rsid w:val="00AE152C"/>
    <w:rsid w:val="00AF06A8"/>
    <w:rsid w:val="00AF0D65"/>
    <w:rsid w:val="00AF3618"/>
    <w:rsid w:val="00AF7371"/>
    <w:rsid w:val="00B050E5"/>
    <w:rsid w:val="00B11C81"/>
    <w:rsid w:val="00B158D0"/>
    <w:rsid w:val="00B179D0"/>
    <w:rsid w:val="00B246AC"/>
    <w:rsid w:val="00B41547"/>
    <w:rsid w:val="00B43214"/>
    <w:rsid w:val="00B448D6"/>
    <w:rsid w:val="00B46688"/>
    <w:rsid w:val="00B50944"/>
    <w:rsid w:val="00B52057"/>
    <w:rsid w:val="00B530C3"/>
    <w:rsid w:val="00B55628"/>
    <w:rsid w:val="00B616F6"/>
    <w:rsid w:val="00B61718"/>
    <w:rsid w:val="00B64CDD"/>
    <w:rsid w:val="00B66350"/>
    <w:rsid w:val="00B72B31"/>
    <w:rsid w:val="00B758DD"/>
    <w:rsid w:val="00B76A8F"/>
    <w:rsid w:val="00B84DFD"/>
    <w:rsid w:val="00B86B5A"/>
    <w:rsid w:val="00B90E11"/>
    <w:rsid w:val="00B966F2"/>
    <w:rsid w:val="00BB7A27"/>
    <w:rsid w:val="00BC023A"/>
    <w:rsid w:val="00BC0A4D"/>
    <w:rsid w:val="00BC53DC"/>
    <w:rsid w:val="00BD01C6"/>
    <w:rsid w:val="00BD71C8"/>
    <w:rsid w:val="00BD7D61"/>
    <w:rsid w:val="00BE0100"/>
    <w:rsid w:val="00BE5E4B"/>
    <w:rsid w:val="00BF03C1"/>
    <w:rsid w:val="00BF6F69"/>
    <w:rsid w:val="00C16583"/>
    <w:rsid w:val="00C202EF"/>
    <w:rsid w:val="00C20B7F"/>
    <w:rsid w:val="00C225B1"/>
    <w:rsid w:val="00C50C3D"/>
    <w:rsid w:val="00C54EA8"/>
    <w:rsid w:val="00C61F34"/>
    <w:rsid w:val="00C65980"/>
    <w:rsid w:val="00C65A67"/>
    <w:rsid w:val="00C71766"/>
    <w:rsid w:val="00C73357"/>
    <w:rsid w:val="00C81B97"/>
    <w:rsid w:val="00C92DAC"/>
    <w:rsid w:val="00C95AEF"/>
    <w:rsid w:val="00C96836"/>
    <w:rsid w:val="00CA36A7"/>
    <w:rsid w:val="00CA533A"/>
    <w:rsid w:val="00CA6135"/>
    <w:rsid w:val="00CA70B9"/>
    <w:rsid w:val="00CB5F03"/>
    <w:rsid w:val="00CD2D6F"/>
    <w:rsid w:val="00CE3898"/>
    <w:rsid w:val="00CF0DF8"/>
    <w:rsid w:val="00D14FD5"/>
    <w:rsid w:val="00D15139"/>
    <w:rsid w:val="00D257AE"/>
    <w:rsid w:val="00D33A00"/>
    <w:rsid w:val="00D3601F"/>
    <w:rsid w:val="00D43953"/>
    <w:rsid w:val="00D443FE"/>
    <w:rsid w:val="00D45B18"/>
    <w:rsid w:val="00D52F7C"/>
    <w:rsid w:val="00D54B19"/>
    <w:rsid w:val="00D55446"/>
    <w:rsid w:val="00D5779D"/>
    <w:rsid w:val="00D6744B"/>
    <w:rsid w:val="00D71139"/>
    <w:rsid w:val="00D71C94"/>
    <w:rsid w:val="00D75E6D"/>
    <w:rsid w:val="00D82222"/>
    <w:rsid w:val="00D84908"/>
    <w:rsid w:val="00D85613"/>
    <w:rsid w:val="00D921BC"/>
    <w:rsid w:val="00DA2193"/>
    <w:rsid w:val="00DB3A0B"/>
    <w:rsid w:val="00DB40EE"/>
    <w:rsid w:val="00DB67C2"/>
    <w:rsid w:val="00DB6FAC"/>
    <w:rsid w:val="00DC0296"/>
    <w:rsid w:val="00DC1295"/>
    <w:rsid w:val="00DC2202"/>
    <w:rsid w:val="00DC56F0"/>
    <w:rsid w:val="00DE01F6"/>
    <w:rsid w:val="00DE6E7B"/>
    <w:rsid w:val="00DF0724"/>
    <w:rsid w:val="00E04240"/>
    <w:rsid w:val="00E43EA8"/>
    <w:rsid w:val="00E46968"/>
    <w:rsid w:val="00E507E2"/>
    <w:rsid w:val="00E50D2D"/>
    <w:rsid w:val="00E5385C"/>
    <w:rsid w:val="00E53DB8"/>
    <w:rsid w:val="00E7090D"/>
    <w:rsid w:val="00E712A5"/>
    <w:rsid w:val="00E73624"/>
    <w:rsid w:val="00E736AF"/>
    <w:rsid w:val="00E75D5C"/>
    <w:rsid w:val="00E76493"/>
    <w:rsid w:val="00E77118"/>
    <w:rsid w:val="00E93190"/>
    <w:rsid w:val="00E939B9"/>
    <w:rsid w:val="00E97EB1"/>
    <w:rsid w:val="00EA0D7A"/>
    <w:rsid w:val="00EA1313"/>
    <w:rsid w:val="00EA4F5E"/>
    <w:rsid w:val="00EB551D"/>
    <w:rsid w:val="00EB7999"/>
    <w:rsid w:val="00EC1B96"/>
    <w:rsid w:val="00EC3A35"/>
    <w:rsid w:val="00EC3B5A"/>
    <w:rsid w:val="00EC544B"/>
    <w:rsid w:val="00EC5C15"/>
    <w:rsid w:val="00EC6F14"/>
    <w:rsid w:val="00ED16F5"/>
    <w:rsid w:val="00ED7E48"/>
    <w:rsid w:val="00EE2818"/>
    <w:rsid w:val="00EE7F89"/>
    <w:rsid w:val="00F02D75"/>
    <w:rsid w:val="00F047AD"/>
    <w:rsid w:val="00F10D7E"/>
    <w:rsid w:val="00F246A6"/>
    <w:rsid w:val="00F24DCB"/>
    <w:rsid w:val="00F26E59"/>
    <w:rsid w:val="00F315C7"/>
    <w:rsid w:val="00F3491B"/>
    <w:rsid w:val="00F37F85"/>
    <w:rsid w:val="00F4468A"/>
    <w:rsid w:val="00F4577B"/>
    <w:rsid w:val="00F46D64"/>
    <w:rsid w:val="00F50A18"/>
    <w:rsid w:val="00F523D8"/>
    <w:rsid w:val="00F52C8C"/>
    <w:rsid w:val="00F534E8"/>
    <w:rsid w:val="00F54F91"/>
    <w:rsid w:val="00F569BC"/>
    <w:rsid w:val="00F66BB7"/>
    <w:rsid w:val="00F67559"/>
    <w:rsid w:val="00F719E9"/>
    <w:rsid w:val="00F805CD"/>
    <w:rsid w:val="00F841AF"/>
    <w:rsid w:val="00F85426"/>
    <w:rsid w:val="00F8661B"/>
    <w:rsid w:val="00F93AC8"/>
    <w:rsid w:val="00FA08FA"/>
    <w:rsid w:val="00FA11BA"/>
    <w:rsid w:val="00FA1478"/>
    <w:rsid w:val="00FA6B95"/>
    <w:rsid w:val="00FB0E22"/>
    <w:rsid w:val="00FE69D5"/>
    <w:rsid w:val="00FF04CA"/>
    <w:rsid w:val="00FF4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04860"/>
  <w15:chartTrackingRefBased/>
  <w15:docId w15:val="{448318CC-0983-4F65-BB19-F4485FED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79D"/>
    <w:pPr>
      <w:spacing w:before="120" w:after="0" w:line="480" w:lineRule="auto"/>
    </w:pPr>
    <w:rPr>
      <w:rFonts w:ascii="Times New Roman" w:hAnsi="Times New Roman"/>
      <w:sz w:val="24"/>
    </w:rPr>
  </w:style>
  <w:style w:type="paragraph" w:styleId="Heading1">
    <w:name w:val="heading 1"/>
    <w:basedOn w:val="Normal"/>
    <w:next w:val="Normal"/>
    <w:link w:val="Heading1Char"/>
    <w:uiPriority w:val="9"/>
    <w:qFormat/>
    <w:rsid w:val="00D5779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448D6"/>
    <w:pPr>
      <w:keepNext/>
      <w:keepLines/>
      <w:spacing w:before="40"/>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D5779D"/>
    <w:pPr>
      <w:keepNext/>
      <w:keepLines/>
      <w:spacing w:after="120"/>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857"/>
    <w:pPr>
      <w:tabs>
        <w:tab w:val="center" w:pos="4680"/>
        <w:tab w:val="right" w:pos="9360"/>
      </w:tabs>
      <w:spacing w:line="240" w:lineRule="auto"/>
    </w:pPr>
  </w:style>
  <w:style w:type="character" w:customStyle="1" w:styleId="HeaderChar">
    <w:name w:val="Header Char"/>
    <w:basedOn w:val="DefaultParagraphFont"/>
    <w:link w:val="Header"/>
    <w:uiPriority w:val="99"/>
    <w:rsid w:val="007A0857"/>
  </w:style>
  <w:style w:type="paragraph" w:styleId="Footer">
    <w:name w:val="footer"/>
    <w:basedOn w:val="Normal"/>
    <w:link w:val="FooterChar"/>
    <w:uiPriority w:val="99"/>
    <w:unhideWhenUsed/>
    <w:rsid w:val="007A0857"/>
    <w:pPr>
      <w:tabs>
        <w:tab w:val="center" w:pos="4680"/>
        <w:tab w:val="right" w:pos="9360"/>
      </w:tabs>
      <w:spacing w:line="240" w:lineRule="auto"/>
    </w:pPr>
  </w:style>
  <w:style w:type="character" w:customStyle="1" w:styleId="FooterChar">
    <w:name w:val="Footer Char"/>
    <w:basedOn w:val="DefaultParagraphFont"/>
    <w:link w:val="Footer"/>
    <w:uiPriority w:val="99"/>
    <w:rsid w:val="007A0857"/>
  </w:style>
  <w:style w:type="character" w:customStyle="1" w:styleId="Heading1Char">
    <w:name w:val="Heading 1 Char"/>
    <w:basedOn w:val="DefaultParagraphFont"/>
    <w:link w:val="Heading1"/>
    <w:uiPriority w:val="9"/>
    <w:rsid w:val="00D5779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B448D6"/>
    <w:rPr>
      <w:rFonts w:ascii="Times New Roman" w:eastAsiaTheme="majorEastAsia" w:hAnsi="Times New Roman" w:cstheme="majorBidi"/>
      <w:i/>
      <w:sz w:val="24"/>
      <w:szCs w:val="26"/>
    </w:rPr>
  </w:style>
  <w:style w:type="character" w:styleId="Hyperlink">
    <w:name w:val="Hyperlink"/>
    <w:basedOn w:val="DefaultParagraphFont"/>
    <w:unhideWhenUsed/>
    <w:rsid w:val="00B448D6"/>
    <w:rPr>
      <w:color w:val="0563C1" w:themeColor="hyperlink"/>
      <w:u w:val="single"/>
    </w:rPr>
  </w:style>
  <w:style w:type="character" w:customStyle="1" w:styleId="Heading3Char">
    <w:name w:val="Heading 3 Char"/>
    <w:basedOn w:val="DefaultParagraphFont"/>
    <w:link w:val="Heading3"/>
    <w:uiPriority w:val="9"/>
    <w:rsid w:val="00D5779D"/>
    <w:rPr>
      <w:rFonts w:ascii="Times New Roman" w:eastAsiaTheme="majorEastAsia" w:hAnsi="Times New Roman" w:cstheme="majorBidi"/>
      <w:sz w:val="24"/>
      <w:szCs w:val="24"/>
      <w:u w:val="single"/>
    </w:rPr>
  </w:style>
  <w:style w:type="table" w:styleId="TableGrid">
    <w:name w:val="Table Grid"/>
    <w:basedOn w:val="TableNormal"/>
    <w:uiPriority w:val="39"/>
    <w:rsid w:val="00D57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 format"/>
    <w:basedOn w:val="Normal"/>
    <w:link w:val="TableformatChar"/>
    <w:qFormat/>
    <w:rsid w:val="00D5779D"/>
    <w:pPr>
      <w:spacing w:before="20" w:after="20" w:line="240" w:lineRule="auto"/>
    </w:pPr>
  </w:style>
  <w:style w:type="character" w:styleId="CommentReference">
    <w:name w:val="annotation reference"/>
    <w:basedOn w:val="DefaultParagraphFont"/>
    <w:uiPriority w:val="99"/>
    <w:semiHidden/>
    <w:unhideWhenUsed/>
    <w:rsid w:val="00D5779D"/>
    <w:rPr>
      <w:sz w:val="16"/>
      <w:szCs w:val="16"/>
    </w:rPr>
  </w:style>
  <w:style w:type="character" w:customStyle="1" w:styleId="TableformatChar">
    <w:name w:val="Table format Char"/>
    <w:basedOn w:val="DefaultParagraphFont"/>
    <w:link w:val="Tableformat"/>
    <w:rsid w:val="00D5779D"/>
    <w:rPr>
      <w:rFonts w:ascii="Times New Roman" w:hAnsi="Times New Roman"/>
      <w:sz w:val="24"/>
    </w:rPr>
  </w:style>
  <w:style w:type="paragraph" w:styleId="CommentText">
    <w:name w:val="annotation text"/>
    <w:basedOn w:val="Normal"/>
    <w:link w:val="CommentTextChar"/>
    <w:uiPriority w:val="99"/>
    <w:unhideWhenUsed/>
    <w:rsid w:val="00D5779D"/>
    <w:pPr>
      <w:spacing w:line="240" w:lineRule="auto"/>
    </w:pPr>
    <w:rPr>
      <w:sz w:val="20"/>
      <w:szCs w:val="20"/>
    </w:rPr>
  </w:style>
  <w:style w:type="character" w:customStyle="1" w:styleId="CommentTextChar">
    <w:name w:val="Comment Text Char"/>
    <w:basedOn w:val="DefaultParagraphFont"/>
    <w:link w:val="CommentText"/>
    <w:uiPriority w:val="99"/>
    <w:rsid w:val="00D5779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5779D"/>
    <w:rPr>
      <w:b/>
      <w:bCs/>
    </w:rPr>
  </w:style>
  <w:style w:type="character" w:customStyle="1" w:styleId="CommentSubjectChar">
    <w:name w:val="Comment Subject Char"/>
    <w:basedOn w:val="CommentTextChar"/>
    <w:link w:val="CommentSubject"/>
    <w:uiPriority w:val="99"/>
    <w:semiHidden/>
    <w:rsid w:val="00D5779D"/>
    <w:rPr>
      <w:rFonts w:ascii="Times New Roman" w:hAnsi="Times New Roman"/>
      <w:b/>
      <w:bCs/>
      <w:sz w:val="20"/>
      <w:szCs w:val="20"/>
    </w:rPr>
  </w:style>
  <w:style w:type="paragraph" w:styleId="ListParagraph">
    <w:name w:val="List Paragraph"/>
    <w:basedOn w:val="Normal"/>
    <w:uiPriority w:val="34"/>
    <w:qFormat/>
    <w:rsid w:val="00A923A7"/>
    <w:pPr>
      <w:ind w:left="720"/>
      <w:contextualSpacing/>
    </w:pPr>
  </w:style>
  <w:style w:type="paragraph" w:styleId="List">
    <w:name w:val="List"/>
    <w:basedOn w:val="Normal"/>
    <w:uiPriority w:val="99"/>
    <w:unhideWhenUsed/>
    <w:rsid w:val="004160B9"/>
    <w:pPr>
      <w:ind w:left="360" w:hanging="360"/>
      <w:contextualSpacing/>
    </w:pPr>
  </w:style>
  <w:style w:type="paragraph" w:styleId="MessageHeader">
    <w:name w:val="Message Header"/>
    <w:basedOn w:val="Normal"/>
    <w:link w:val="MessageHeaderChar"/>
    <w:uiPriority w:val="99"/>
    <w:unhideWhenUsed/>
    <w:rsid w:val="004160B9"/>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rsid w:val="004160B9"/>
    <w:rPr>
      <w:rFonts w:asciiTheme="majorHAnsi" w:eastAsiaTheme="majorEastAsia" w:hAnsiTheme="majorHAnsi" w:cstheme="majorBidi"/>
      <w:sz w:val="24"/>
      <w:szCs w:val="24"/>
      <w:shd w:val="pct20" w:color="auto" w:fill="auto"/>
    </w:rPr>
  </w:style>
  <w:style w:type="paragraph" w:styleId="BodyText">
    <w:name w:val="Body Text"/>
    <w:basedOn w:val="Normal"/>
    <w:link w:val="BodyTextChar"/>
    <w:uiPriority w:val="99"/>
    <w:unhideWhenUsed/>
    <w:rsid w:val="004160B9"/>
    <w:pPr>
      <w:spacing w:after="120"/>
    </w:pPr>
  </w:style>
  <w:style w:type="character" w:customStyle="1" w:styleId="BodyTextChar">
    <w:name w:val="Body Text Char"/>
    <w:basedOn w:val="DefaultParagraphFont"/>
    <w:link w:val="BodyText"/>
    <w:uiPriority w:val="99"/>
    <w:rsid w:val="004160B9"/>
    <w:rPr>
      <w:rFonts w:ascii="Times New Roman" w:hAnsi="Times New Roman"/>
      <w:sz w:val="24"/>
    </w:rPr>
  </w:style>
  <w:style w:type="paragraph" w:customStyle="1" w:styleId="EndNoteBibliographyTitle">
    <w:name w:val="EndNote Bibliography Title"/>
    <w:basedOn w:val="Normal"/>
    <w:link w:val="EndNoteBibliographyTitleChar"/>
    <w:rsid w:val="00E76493"/>
    <w:pPr>
      <w:jc w:val="center"/>
    </w:pPr>
    <w:rPr>
      <w:rFonts w:cs="Times New Roman"/>
      <w:noProof/>
    </w:rPr>
  </w:style>
  <w:style w:type="character" w:customStyle="1" w:styleId="EndNoteBibliographyTitleChar">
    <w:name w:val="EndNote Bibliography Title Char"/>
    <w:basedOn w:val="DefaultParagraphFont"/>
    <w:link w:val="EndNoteBibliographyTitle"/>
    <w:rsid w:val="00E76493"/>
    <w:rPr>
      <w:rFonts w:ascii="Times New Roman" w:hAnsi="Times New Roman" w:cs="Times New Roman"/>
      <w:noProof/>
      <w:sz w:val="24"/>
    </w:rPr>
  </w:style>
  <w:style w:type="paragraph" w:customStyle="1" w:styleId="EndNoteBibliography">
    <w:name w:val="EndNote Bibliography"/>
    <w:basedOn w:val="Normal"/>
    <w:link w:val="EndNoteBibliographyChar"/>
    <w:rsid w:val="00E76493"/>
    <w:pPr>
      <w:spacing w:line="240" w:lineRule="auto"/>
    </w:pPr>
    <w:rPr>
      <w:rFonts w:cs="Times New Roman"/>
      <w:noProof/>
    </w:rPr>
  </w:style>
  <w:style w:type="character" w:customStyle="1" w:styleId="EndNoteBibliographyChar">
    <w:name w:val="EndNote Bibliography Char"/>
    <w:basedOn w:val="DefaultParagraphFont"/>
    <w:link w:val="EndNoteBibliography"/>
    <w:rsid w:val="00E76493"/>
    <w:rPr>
      <w:rFonts w:ascii="Times New Roman" w:hAnsi="Times New Roman" w:cs="Times New Roman"/>
      <w:noProof/>
      <w:sz w:val="24"/>
    </w:rPr>
  </w:style>
  <w:style w:type="character" w:styleId="UnresolvedMention">
    <w:name w:val="Unresolved Mention"/>
    <w:basedOn w:val="DefaultParagraphFont"/>
    <w:uiPriority w:val="99"/>
    <w:semiHidden/>
    <w:unhideWhenUsed/>
    <w:rsid w:val="001A79B9"/>
    <w:rPr>
      <w:color w:val="605E5C"/>
      <w:shd w:val="clear" w:color="auto" w:fill="E1DFDD"/>
    </w:rPr>
  </w:style>
  <w:style w:type="paragraph" w:customStyle="1" w:styleId="Default">
    <w:name w:val="Default"/>
    <w:rsid w:val="00044DC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1E1E17"/>
    <w:rPr>
      <w:color w:val="808080"/>
    </w:rPr>
  </w:style>
  <w:style w:type="character" w:styleId="FollowedHyperlink">
    <w:name w:val="FollowedHyperlink"/>
    <w:basedOn w:val="DefaultParagraphFont"/>
    <w:uiPriority w:val="99"/>
    <w:semiHidden/>
    <w:unhideWhenUsed/>
    <w:rsid w:val="00C95AEF"/>
    <w:rPr>
      <w:color w:val="954F72" w:themeColor="followedHyperlink"/>
      <w:u w:val="single"/>
    </w:rPr>
  </w:style>
  <w:style w:type="paragraph" w:styleId="Revision">
    <w:name w:val="Revision"/>
    <w:hidden/>
    <w:uiPriority w:val="99"/>
    <w:semiHidden/>
    <w:rsid w:val="00145539"/>
    <w:pPr>
      <w:spacing w:after="0" w:line="240" w:lineRule="auto"/>
    </w:pPr>
    <w:rPr>
      <w:rFonts w:ascii="Times New Roman" w:hAnsi="Times New Roman"/>
      <w:sz w:val="24"/>
    </w:rPr>
  </w:style>
  <w:style w:type="paragraph" w:styleId="NormalWeb">
    <w:name w:val="Normal (Web)"/>
    <w:basedOn w:val="Normal"/>
    <w:uiPriority w:val="99"/>
    <w:semiHidden/>
    <w:unhideWhenUsed/>
    <w:rsid w:val="00750737"/>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7507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82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5" Type="http://schemas.openxmlformats.org/officeDocument/2006/relationships/webSettings" Target="webSettings.xml"/><Relationship Id="rId10" Type="http://schemas.openxmlformats.org/officeDocument/2006/relationships/image" Target="media/image2.tmp"/><Relationship Id="rId4" Type="http://schemas.openxmlformats.org/officeDocument/2006/relationships/settings" Target="settings.xml"/><Relationship Id="rId9"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55F1-51C6-4B12-A2EF-7DAD45883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2040</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Brooks</dc:creator>
  <cp:keywords/>
  <dc:description/>
  <cp:lastModifiedBy>Kimberly Brooks</cp:lastModifiedBy>
  <cp:revision>3</cp:revision>
  <dcterms:created xsi:type="dcterms:W3CDTF">2024-08-07T21:46:00Z</dcterms:created>
  <dcterms:modified xsi:type="dcterms:W3CDTF">2024-08-07T21:47:00Z</dcterms:modified>
</cp:coreProperties>
</file>