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58" w:rsidRPr="00226297" w:rsidRDefault="00DA6F58" w:rsidP="00DA6F58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22629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Table S1 </w:t>
      </w:r>
      <w:r w:rsidRPr="00226297">
        <w:rPr>
          <w:rFonts w:ascii="Arial" w:hAnsi="Arial" w:cs="Arial"/>
          <w:color w:val="000000" w:themeColor="text1"/>
          <w:sz w:val="22"/>
          <w:szCs w:val="22"/>
          <w:lang w:val="en-US"/>
        </w:rPr>
        <w:t>Data comparison of reduced and standard dose regimen as first line treatment</w:t>
      </w:r>
      <w:r w:rsidRPr="00226297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 xml:space="preserve"> </w:t>
      </w:r>
    </w:p>
    <w:p w:rsidR="00DA6F58" w:rsidRPr="008C7BE9" w:rsidRDefault="00DA6F58" w:rsidP="00DA6F58">
      <w:pPr>
        <w:jc w:val="center"/>
        <w:rPr>
          <w:color w:val="000000" w:themeColor="text1"/>
          <w:sz w:val="22"/>
          <w:szCs w:val="22"/>
          <w:lang w:val="en-US"/>
        </w:rPr>
      </w:pPr>
      <w:r w:rsidRPr="005F41A2">
        <w:rPr>
          <w:noProof/>
          <w:lang w:val="en-US"/>
        </w:rPr>
        <w:t xml:space="preserve"> </w:t>
      </w:r>
    </w:p>
    <w:tbl>
      <w:tblPr>
        <w:tblStyle w:val="GridTable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5"/>
        <w:gridCol w:w="1451"/>
        <w:gridCol w:w="2133"/>
      </w:tblGrid>
      <w:tr w:rsidR="00DA6F58" w:rsidRPr="00DF181F" w:rsidTr="00DA6F58">
        <w:trPr>
          <w:trHeight w:val="86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 </w:t>
            </w:r>
            <w:bookmarkStart w:id="0" w:name="_GoBack"/>
            <w:bookmarkEnd w:id="0"/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7+7/7+14 (n=20)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Standard dose 28d (n=17)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Median Age , years (range)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73.5 (56-86)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77 (54-83)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Number of treatment cycles, median (range)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 (1-9)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 (1-15)</w:t>
            </w:r>
          </w:p>
        </w:tc>
      </w:tr>
      <w:tr w:rsidR="00DA6F58" w:rsidRPr="00DF181F" w:rsidTr="00DA6F58">
        <w:trPr>
          <w:trHeight w:val="74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mPRS in %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 </w:t>
            </w:r>
          </w:p>
        </w:tc>
      </w:tr>
      <w:tr w:rsidR="00DA6F58" w:rsidRPr="00DF181F" w:rsidTr="00DA6F58">
        <w:trPr>
          <w:trHeight w:val="34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High benefit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65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76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Intermediate benefit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25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18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Lower benefit 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Follow up from start treatment, months (range)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6.5 (1-35)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3.26 (2-21)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n-US" w:eastAsia="de-DE"/>
                <w14:ligatures w14:val="none"/>
              </w:rPr>
              <w:t>Early death rate at 4 weeks, (%)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 (5)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 (0)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Bone marrow response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 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ORR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18 (100)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 (59)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CRc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14 (78)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 (30)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CR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7 (39)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 (18)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Cri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7 (39)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 (17)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4 (22)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 (30)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No response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 (35)</w:t>
            </w:r>
          </w:p>
        </w:tc>
      </w:tr>
      <w:tr w:rsidR="00DA6F58" w:rsidRPr="00DF181F" w:rsidTr="00DA6F58">
        <w:trPr>
          <w:trHeight w:val="32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OS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15 (2-36)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13.3 (2.2-20.5)</w:t>
            </w:r>
          </w:p>
        </w:tc>
      </w:tr>
      <w:tr w:rsidR="00DA6F58" w:rsidRPr="00DF181F" w:rsidTr="00DA6F58">
        <w:trPr>
          <w:trHeight w:val="300"/>
        </w:trPr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PFS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 (1-35)</w:t>
            </w:r>
          </w:p>
        </w:tc>
        <w:tc>
          <w:tcPr>
            <w:tcW w:w="0" w:type="auto"/>
            <w:noWrap/>
            <w:hideMark/>
          </w:tcPr>
          <w:p w:rsidR="00DA6F58" w:rsidRPr="00226297" w:rsidRDefault="00DA6F58" w:rsidP="00247449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22629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5.7 (1.4-20.5)</w:t>
            </w:r>
          </w:p>
        </w:tc>
      </w:tr>
    </w:tbl>
    <w:p w:rsidR="00DA6F58" w:rsidRPr="00226297" w:rsidRDefault="00DA6F58" w:rsidP="00DA6F58">
      <w:pPr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</w:p>
    <w:p w:rsidR="00DA6F58" w:rsidRPr="00DF181F" w:rsidRDefault="00DA6F58" w:rsidP="00DA6F58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proofErr w:type="spellStart"/>
      <w:r w:rsidRPr="00DF181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mPRS</w:t>
      </w:r>
      <w:proofErr w:type="spellEnd"/>
      <w:r w:rsidRPr="00DF181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molecular prognostic risk score, </w:t>
      </w:r>
      <w:r w:rsidRPr="00DF181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ORR</w:t>
      </w:r>
      <w:r w:rsidRPr="00DF181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Overall response rate; </w:t>
      </w:r>
      <w:proofErr w:type="spellStart"/>
      <w:r w:rsidRPr="00DF181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CRc</w:t>
      </w:r>
      <w:proofErr w:type="spellEnd"/>
      <w:r w:rsidRPr="00DF181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composite complete remission (</w:t>
      </w:r>
      <w:proofErr w:type="spellStart"/>
      <w:r w:rsidRPr="00DF181F">
        <w:rPr>
          <w:rFonts w:ascii="Arial" w:hAnsi="Arial" w:cs="Arial"/>
          <w:color w:val="000000" w:themeColor="text1"/>
          <w:sz w:val="20"/>
          <w:szCs w:val="20"/>
          <w:lang w:val="en-US"/>
        </w:rPr>
        <w:t>CR+CRi</w:t>
      </w:r>
      <w:proofErr w:type="spellEnd"/>
      <w:r w:rsidRPr="00DF181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); </w:t>
      </w:r>
      <w:r w:rsidRPr="00DF181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CR</w:t>
      </w:r>
      <w:r w:rsidRPr="00DF181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complete remission; </w:t>
      </w:r>
      <w:proofErr w:type="spellStart"/>
      <w:r w:rsidRPr="00DF181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CRi</w:t>
      </w:r>
      <w:proofErr w:type="spellEnd"/>
      <w:r w:rsidRPr="00DF181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complete remission with incomplete hematological recovery; </w:t>
      </w:r>
      <w:r w:rsidRPr="00DF181F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PR</w:t>
      </w:r>
      <w:r w:rsidRPr="00DF181F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partial remission;</w:t>
      </w:r>
    </w:p>
    <w:p w:rsidR="0029299B" w:rsidRDefault="00DA6F58"/>
    <w:sectPr w:rsidR="002929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58"/>
    <w:rsid w:val="003C46B9"/>
    <w:rsid w:val="00774AF1"/>
    <w:rsid w:val="0083765B"/>
    <w:rsid w:val="00903407"/>
    <w:rsid w:val="00DA6F58"/>
    <w:rsid w:val="00EC450C"/>
    <w:rsid w:val="00F6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58"/>
    <w:pPr>
      <w:spacing w:after="0" w:line="240" w:lineRule="auto"/>
    </w:pPr>
    <w:rPr>
      <w:kern w:val="2"/>
      <w:sz w:val="24"/>
      <w:szCs w:val="24"/>
      <w:lang w:val="de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DA6F58"/>
    <w:pPr>
      <w:spacing w:after="0" w:line="240" w:lineRule="auto"/>
    </w:pPr>
    <w:rPr>
      <w:kern w:val="2"/>
      <w:sz w:val="24"/>
      <w:szCs w:val="24"/>
      <w:lang w:val="de-DE"/>
      <w14:ligatures w14:val="standardContextual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F58"/>
    <w:pPr>
      <w:spacing w:after="0" w:line="240" w:lineRule="auto"/>
    </w:pPr>
    <w:rPr>
      <w:kern w:val="2"/>
      <w:sz w:val="24"/>
      <w:szCs w:val="24"/>
      <w:lang w:val="de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DA6F58"/>
    <w:pPr>
      <w:spacing w:after="0" w:line="240" w:lineRule="auto"/>
    </w:pPr>
    <w:rPr>
      <w:kern w:val="2"/>
      <w:sz w:val="24"/>
      <w:szCs w:val="24"/>
      <w:lang w:val="de-DE"/>
      <w14:ligatures w14:val="standardContextual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Selvapriya Palani (Integra)</dc:creator>
  <cp:lastModifiedBy>Selvapriya Palani (Integra)</cp:lastModifiedBy>
  <cp:revision>1</cp:revision>
  <dcterms:created xsi:type="dcterms:W3CDTF">2024-10-16T11:35:00Z</dcterms:created>
  <dcterms:modified xsi:type="dcterms:W3CDTF">2024-10-16T11:36:00Z</dcterms:modified>
</cp:coreProperties>
</file>