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E42FA">
      <w:pPr>
        <w:widowControl/>
        <w:jc w:val="left"/>
        <w:rPr>
          <w:rFonts w:ascii="Calibri" w:hAnsi="Calibri" w:eastAsia="等线" w:cs="Calibri"/>
          <w:b/>
          <w:bCs/>
          <w:sz w:val="24"/>
        </w:rPr>
      </w:pPr>
      <w:r>
        <w:rPr>
          <w:rFonts w:ascii="Calibri" w:hAnsi="Calibri" w:eastAsia="等线" w:cs="Calibri"/>
          <w:b/>
          <w:bCs/>
          <w:sz w:val="24"/>
        </w:rPr>
        <w:t>supplement table1 Clinical risk stratification systems and prognostic scores of FL</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6521"/>
        <w:gridCol w:w="5022"/>
      </w:tblGrid>
      <w:tr w14:paraId="4B0F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00C5394">
            <w:pPr>
              <w:spacing w:line="0" w:lineRule="atLeast"/>
              <w:jc w:val="left"/>
              <w:rPr>
                <w:rFonts w:ascii="Calibri" w:hAnsi="Calibri" w:eastAsia="等线" w:cs="Calibri"/>
                <w:b/>
                <w:bCs/>
                <w:snapToGrid w:val="0"/>
                <w:kern w:val="0"/>
                <w:sz w:val="24"/>
                <w:szCs w:val="20"/>
              </w:rPr>
            </w:pPr>
            <w:r>
              <w:rPr>
                <w:rFonts w:ascii="Calibri" w:hAnsi="Calibri" w:eastAsia="等线" w:cs="Calibri"/>
                <w:b/>
                <w:bCs/>
                <w:kern w:val="0"/>
                <w:sz w:val="15"/>
                <w:szCs w:val="15"/>
              </w:rPr>
              <w:t>Prediction Model</w:t>
            </w:r>
          </w:p>
        </w:tc>
        <w:tc>
          <w:tcPr>
            <w:tcW w:w="6521" w:type="dxa"/>
            <w:vAlign w:val="center"/>
          </w:tcPr>
          <w:p w14:paraId="73EF17D3">
            <w:pPr>
              <w:spacing w:line="0" w:lineRule="atLeast"/>
              <w:jc w:val="left"/>
              <w:rPr>
                <w:rFonts w:ascii="Calibri" w:hAnsi="Calibri" w:eastAsia="等线" w:cs="Calibri"/>
                <w:kern w:val="0"/>
                <w:sz w:val="15"/>
                <w:szCs w:val="15"/>
              </w:rPr>
            </w:pPr>
            <w:r>
              <w:rPr>
                <w:rFonts w:ascii="Calibri" w:hAnsi="Calibri" w:eastAsia="等线" w:cs="Calibri"/>
                <w:b/>
                <w:bCs/>
                <w:kern w:val="0"/>
                <w:sz w:val="15"/>
                <w:szCs w:val="15"/>
              </w:rPr>
              <w:t>Variables</w:t>
            </w:r>
          </w:p>
        </w:tc>
        <w:tc>
          <w:tcPr>
            <w:tcW w:w="5022" w:type="dxa"/>
            <w:vAlign w:val="center"/>
          </w:tcPr>
          <w:p w14:paraId="3671E94C">
            <w:pPr>
              <w:spacing w:line="0" w:lineRule="atLeast"/>
              <w:jc w:val="left"/>
              <w:rPr>
                <w:rFonts w:ascii="Calibri" w:hAnsi="Calibri" w:eastAsia="等线" w:cs="Calibri"/>
                <w:b/>
                <w:bCs/>
                <w:kern w:val="0"/>
                <w:sz w:val="15"/>
                <w:szCs w:val="15"/>
              </w:rPr>
            </w:pPr>
            <w:r>
              <w:rPr>
                <w:rFonts w:ascii="Calibri" w:hAnsi="Calibri" w:eastAsia="等线" w:cs="Calibri"/>
                <w:b/>
                <w:bCs/>
                <w:kern w:val="0"/>
                <w:sz w:val="15"/>
                <w:szCs w:val="15"/>
              </w:rPr>
              <w:t>Groups</w:t>
            </w:r>
          </w:p>
        </w:tc>
      </w:tr>
      <w:tr w14:paraId="61CE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B74E73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Follicular Lymphoma International Prognostic Index(FLIPI)</w:t>
            </w:r>
            <w:r>
              <w:rPr>
                <w:rFonts w:hint="eastAsia" w:ascii="Calibri" w:hAnsi="Calibri" w:eastAsia="等线" w:cs="Calibri"/>
                <w:kern w:val="0"/>
                <w:sz w:val="15"/>
                <w:szCs w:val="15"/>
                <w:vertAlign w:val="superscript"/>
              </w:rPr>
              <w:t>65</w:t>
            </w:r>
          </w:p>
        </w:tc>
        <w:tc>
          <w:tcPr>
            <w:tcW w:w="6521" w:type="dxa"/>
            <w:vAlign w:val="center"/>
          </w:tcPr>
          <w:p w14:paraId="0ED613F4">
            <w:pPr>
              <w:spacing w:line="0" w:lineRule="atLeast"/>
              <w:jc w:val="left"/>
              <w:rPr>
                <w:rFonts w:ascii="Calibri" w:hAnsi="Calibri" w:eastAsia="等线" w:cs="Calibri"/>
                <w:snapToGrid w:val="0"/>
                <w:kern w:val="0"/>
                <w:sz w:val="24"/>
                <w:szCs w:val="20"/>
                <w:lang w:bidi="ar"/>
              </w:rPr>
            </w:pPr>
            <w:r>
              <w:rPr>
                <w:rFonts w:ascii="Calibri" w:hAnsi="Calibri" w:eastAsia="等线" w:cs="Calibri"/>
                <w:kern w:val="0"/>
                <w:sz w:val="15"/>
                <w:szCs w:val="15"/>
              </w:rPr>
              <w:t>consists of 5 adverse prognostic factors:</w:t>
            </w:r>
            <w:r>
              <w:rPr>
                <w:rFonts w:ascii="Calibri" w:hAnsi="Calibri" w:eastAsia="等线" w:cs="Calibri"/>
                <w:snapToGrid w:val="0"/>
                <w:kern w:val="0"/>
                <w:sz w:val="24"/>
                <w:szCs w:val="20"/>
                <w:lang w:bidi="ar"/>
              </w:rPr>
              <w:t xml:space="preserve"> </w:t>
            </w:r>
          </w:p>
          <w:p w14:paraId="45C82040">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age (&gt;60 years), Ann Arbor stage (III-IV), hemoglobin (Hb) level (&lt;120 g/L), number of involved lymph node regions (&gt;4), and lactate dehydrogenase (LDH) level (&gt; the upper limit of normal [ULN]).</w:t>
            </w:r>
          </w:p>
        </w:tc>
        <w:tc>
          <w:tcPr>
            <w:tcW w:w="5022" w:type="dxa"/>
            <w:vAlign w:val="center"/>
          </w:tcPr>
          <w:p w14:paraId="298A2253">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3 groups:</w:t>
            </w:r>
          </w:p>
          <w:p w14:paraId="33539349">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low-risk (0-1 adverse factors),</w:t>
            </w:r>
          </w:p>
          <w:p w14:paraId="284615C9">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intermediate-risk (2 adverse factors),</w:t>
            </w:r>
          </w:p>
          <w:p w14:paraId="23BE97B0">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(≥3 adverse prognostic factors) groups</w:t>
            </w:r>
          </w:p>
        </w:tc>
      </w:tr>
      <w:tr w14:paraId="3B17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73CC7C8">
            <w:pPr>
              <w:spacing w:line="0" w:lineRule="atLeast"/>
              <w:jc w:val="left"/>
              <w:rPr>
                <w:rFonts w:ascii="Calibri" w:hAnsi="Calibri" w:eastAsia="等线" w:cs="Calibri"/>
                <w:kern w:val="0"/>
                <w:sz w:val="15"/>
                <w:szCs w:val="15"/>
                <w:vertAlign w:val="superscript"/>
              </w:rPr>
            </w:pPr>
            <w:r>
              <w:rPr>
                <w:rFonts w:ascii="Calibri" w:hAnsi="Calibri" w:eastAsia="等线" w:cs="Calibri"/>
                <w:kern w:val="0"/>
                <w:sz w:val="15"/>
                <w:szCs w:val="15"/>
              </w:rPr>
              <w:t>FLIPI-2</w:t>
            </w:r>
            <w:r>
              <w:rPr>
                <w:rFonts w:hint="eastAsia" w:ascii="Calibri" w:hAnsi="Calibri" w:eastAsia="等线" w:cs="Calibri"/>
                <w:kern w:val="0"/>
                <w:sz w:val="15"/>
                <w:szCs w:val="15"/>
                <w:vertAlign w:val="superscript"/>
              </w:rPr>
              <w:t>71</w:t>
            </w:r>
          </w:p>
        </w:tc>
        <w:tc>
          <w:tcPr>
            <w:tcW w:w="6521" w:type="dxa"/>
            <w:vAlign w:val="center"/>
          </w:tcPr>
          <w:p w14:paraId="31C90705">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consists of 3 adverse prognostic factors:</w:t>
            </w:r>
          </w:p>
          <w:p w14:paraId="081F099C">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β2-MG greater than the upper limit of normal, maximum diameter of the largest involved nodule greater than 6 cm, bone marrow involvement, Hb &lt;12 g/dL, and age &gt;60 years.</w:t>
            </w:r>
          </w:p>
        </w:tc>
        <w:tc>
          <w:tcPr>
            <w:tcW w:w="5022" w:type="dxa"/>
            <w:vAlign w:val="center"/>
          </w:tcPr>
          <w:p w14:paraId="29C06164">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3 groups:</w:t>
            </w:r>
          </w:p>
          <w:p w14:paraId="54650A40">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low-risk (no risk factors), </w:t>
            </w:r>
          </w:p>
          <w:p w14:paraId="434719AF">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intermediate-risk (1-2 risk factors), </w:t>
            </w:r>
          </w:p>
          <w:p w14:paraId="19B11FA6">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(3-5 risk factors) groups</w:t>
            </w:r>
          </w:p>
        </w:tc>
      </w:tr>
      <w:tr w14:paraId="6A2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FAB24E5">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PRIMA-PI</w:t>
            </w:r>
            <w:r>
              <w:rPr>
                <w:rFonts w:ascii="Calibri" w:hAnsi="Calibri" w:eastAsia="等线" w:cs="Calibri"/>
                <w:kern w:val="0"/>
                <w:sz w:val="15"/>
                <w:szCs w:val="15"/>
              </w:rPr>
              <w:fldChar w:fldCharType="begin">
                <w:fldData xml:space="preserve">PEVuZE5vdGU+PENpdGU+PEF1dGhvcj5CYWNoeTwvQXV0aG9yPjxZZWFyPjIwMTg8L1llYXI+PFJl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</w:fldData>
              </w:fldChar>
            </w:r>
            <w:r>
              <w:rPr>
                <w:rFonts w:ascii="Calibri" w:hAnsi="Calibri" w:eastAsia="等线" w:cs="Calibri"/>
                <w:kern w:val="0"/>
                <w:sz w:val="15"/>
                <w:szCs w:val="15"/>
              </w:rPr>
              <w:instrText xml:space="preserve"> ADDIN EN.CITE </w:instrText>
            </w:r>
            <w:r>
              <w:rPr>
                <w:rFonts w:ascii="Calibri" w:hAnsi="Calibri" w:eastAsia="等线" w:cs="Calibri"/>
                <w:kern w:val="0"/>
                <w:sz w:val="15"/>
                <w:szCs w:val="15"/>
              </w:rPr>
              <w:fldChar w:fldCharType="begin">
                <w:fldData xml:space="preserve">PEVuZE5vdGU+PENpdGU+PEF1dGhvcj5CYWNoeTwvQXV0aG9yPjxZZWFyPjIwMTg8L1llYXI+PFJl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</w:fldData>
              </w:fldChar>
            </w:r>
            <w:r>
              <w:rPr>
                <w:rFonts w:ascii="Calibri" w:hAnsi="Calibri" w:eastAsia="等线" w:cs="Calibri"/>
                <w:kern w:val="0"/>
                <w:sz w:val="15"/>
                <w:szCs w:val="15"/>
              </w:rPr>
              <w:instrText xml:space="preserve"> ADDIN EN.CITE.DATA </w:instrText>
            </w:r>
            <w:r>
              <w:rPr>
                <w:rFonts w:ascii="Calibri" w:hAnsi="Calibri" w:eastAsia="等线" w:cs="Calibri"/>
                <w:kern w:val="0"/>
                <w:sz w:val="15"/>
                <w:szCs w:val="15"/>
              </w:rPr>
              <w:fldChar w:fldCharType="end"/>
            </w:r>
            <w:r>
              <w:rPr>
                <w:rFonts w:ascii="Calibri" w:hAnsi="Calibri" w:eastAsia="等线" w:cs="Calibri"/>
                <w:kern w:val="0"/>
                <w:sz w:val="15"/>
                <w:szCs w:val="15"/>
              </w:rPr>
              <w:fldChar w:fldCharType="separate"/>
            </w:r>
            <w:r>
              <w:rPr>
                <w:rFonts w:hint="eastAsia" w:ascii="Calibri" w:hAnsi="Calibri" w:eastAsia="等线" w:cs="Calibri"/>
                <w:kern w:val="0"/>
                <w:sz w:val="15"/>
                <w:szCs w:val="15"/>
                <w:vertAlign w:val="superscript"/>
              </w:rPr>
              <w:t>16</w:t>
            </w:r>
            <w:r>
              <w:rPr>
                <w:rFonts w:ascii="Calibri" w:hAnsi="Calibri" w:eastAsia="等线" w:cs="Calibri"/>
                <w:kern w:val="0"/>
                <w:sz w:val="15"/>
                <w:szCs w:val="15"/>
              </w:rPr>
              <w:fldChar w:fldCharType="end"/>
            </w:r>
          </w:p>
        </w:tc>
        <w:tc>
          <w:tcPr>
            <w:tcW w:w="6521" w:type="dxa"/>
            <w:vAlign w:val="center"/>
          </w:tcPr>
          <w:p w14:paraId="03B32DF3">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consists of 5 adverse prognostic factors:</w:t>
            </w:r>
          </w:p>
          <w:p w14:paraId="0BF6851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β2-MG &gt;3 mg/L,</w:t>
            </w:r>
          </w:p>
          <w:p w14:paraId="0B5BA316">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bone marrow infiltration</w:t>
            </w:r>
          </w:p>
        </w:tc>
        <w:tc>
          <w:tcPr>
            <w:tcW w:w="5022" w:type="dxa"/>
            <w:vAlign w:val="center"/>
          </w:tcPr>
          <w:p w14:paraId="558C4886">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3 groups:</w:t>
            </w:r>
          </w:p>
          <w:p w14:paraId="01C72C1A">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low-risk group（β2-MG ≤3 mg/L without bone marrow infiltration）; </w:t>
            </w:r>
          </w:p>
          <w:p w14:paraId="50F398BE">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intermediate-risk(the remaining patients),</w:t>
            </w:r>
          </w:p>
          <w:p w14:paraId="2C378CD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group(β2-MG &gt;3 mg/L)</w:t>
            </w:r>
          </w:p>
        </w:tc>
      </w:tr>
      <w:tr w14:paraId="2134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171F6D9">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FL Evaluation Index (FLEX)</w:t>
            </w:r>
            <w:r>
              <w:rPr>
                <w:rFonts w:hint="eastAsia" w:ascii="Calibri" w:hAnsi="Calibri" w:eastAsia="等线" w:cs="Calibri"/>
                <w:kern w:val="0"/>
                <w:sz w:val="15"/>
                <w:szCs w:val="15"/>
                <w:vertAlign w:val="superscript"/>
              </w:rPr>
              <w:t>75</w:t>
            </w:r>
          </w:p>
        </w:tc>
        <w:tc>
          <w:tcPr>
            <w:tcW w:w="6521" w:type="dxa"/>
            <w:vAlign w:val="center"/>
          </w:tcPr>
          <w:p w14:paraId="7C17BB9E">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consists of 9 clinical variables：</w:t>
            </w:r>
          </w:p>
          <w:p w14:paraId="3585A5F8">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sum of products of lesion diameters (SPD) &gt;9320 mm2 (upper quartile), histologic grade 3A, &gt;2 extranodal lesions, ECOG-PS &gt;1, Hb &lt;12 g/dL, β2-MG &gt;ULN, peripheral blood natural killer cell count &lt;100/μL, and serum LDH &gt;ULN.</w:t>
            </w:r>
          </w:p>
        </w:tc>
        <w:tc>
          <w:tcPr>
            <w:tcW w:w="5022" w:type="dxa"/>
            <w:vAlign w:val="center"/>
          </w:tcPr>
          <w:p w14:paraId="633CE173">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2 groups:</w:t>
            </w:r>
          </w:p>
          <w:p w14:paraId="31A1E81F">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low-risk (0-2 points comprised ),</w:t>
            </w:r>
          </w:p>
          <w:p w14:paraId="2B52C3F5">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( 3-9 points comprised )</w:t>
            </w:r>
          </w:p>
        </w:tc>
      </w:tr>
      <w:tr w14:paraId="7125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6DA9B2E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m7-FLIPI</w:t>
            </w:r>
            <w:r>
              <w:rPr>
                <w:rFonts w:hint="eastAsia" w:ascii="Calibri" w:hAnsi="Calibri" w:eastAsia="等线" w:cs="Calibri"/>
                <w:kern w:val="0"/>
                <w:sz w:val="15"/>
                <w:szCs w:val="15"/>
                <w:vertAlign w:val="superscript"/>
              </w:rPr>
              <w:t>76</w:t>
            </w:r>
          </w:p>
        </w:tc>
        <w:tc>
          <w:tcPr>
            <w:tcW w:w="6521" w:type="dxa"/>
            <w:vAlign w:val="center"/>
          </w:tcPr>
          <w:p w14:paraId="22404698">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consists of 7 genes：</w:t>
            </w:r>
          </w:p>
          <w:p w14:paraId="16E0FB94">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EZH2 (β=-0.53),ARID1A (β=-0.4),MEF2B (β=-0.07),EP300 (β=+0.33),FOXO1(β=+0.26), CREBBP (β=+0.05),CARD11(β=+0.04), high-risk FLIPI (3-5, β=+0.79),ECOG-PS (&gt;1 point, β=+0.38)</w:t>
            </w:r>
          </w:p>
        </w:tc>
        <w:tc>
          <w:tcPr>
            <w:tcW w:w="5022" w:type="dxa"/>
            <w:vAlign w:val="center"/>
          </w:tcPr>
          <w:p w14:paraId="502025BF">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2 groups:</w:t>
            </w:r>
          </w:p>
          <w:p w14:paraId="7C54E713">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low-risk ( score of &lt;0.8  ),</w:t>
            </w:r>
          </w:p>
          <w:p w14:paraId="6031CA2C">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 score of &gt;0.8 )</w:t>
            </w:r>
          </w:p>
        </w:tc>
      </w:tr>
      <w:tr w14:paraId="2362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61BF637">
            <w:pPr>
              <w:spacing w:line="0" w:lineRule="atLeast"/>
              <w:jc w:val="left"/>
              <w:rPr>
                <w:rFonts w:ascii="Calibri" w:hAnsi="Calibri" w:eastAsia="等线" w:cs="Calibri"/>
                <w:kern w:val="0"/>
                <w:sz w:val="15"/>
                <w:szCs w:val="15"/>
                <w:vertAlign w:val="superscript"/>
              </w:rPr>
            </w:pPr>
            <w:r>
              <w:rPr>
                <w:rFonts w:ascii="Calibri" w:hAnsi="Calibri" w:eastAsia="等线" w:cs="Calibri"/>
                <w:kern w:val="0"/>
                <w:sz w:val="15"/>
                <w:szCs w:val="15"/>
              </w:rPr>
              <w:t>23-gene scoring</w:t>
            </w:r>
            <w:r>
              <w:rPr>
                <w:rFonts w:hint="eastAsia" w:ascii="Calibri" w:hAnsi="Calibri" w:eastAsia="等线" w:cs="Calibri"/>
                <w:kern w:val="0"/>
                <w:sz w:val="15"/>
                <w:szCs w:val="15"/>
                <w:vertAlign w:val="superscript"/>
              </w:rPr>
              <w:t>77</w:t>
            </w:r>
          </w:p>
        </w:tc>
        <w:tc>
          <w:tcPr>
            <w:tcW w:w="6521" w:type="dxa"/>
            <w:vAlign w:val="center"/>
          </w:tcPr>
          <w:p w14:paraId="09C188B4">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consists of 23 genes：</w:t>
            </w:r>
          </w:p>
          <w:p w14:paraId="60A62A5E">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The genes involved in B cell development (VPREB1, FOXO1, FCRL2, AFF3, TCF4), apoptosis and DNA damage response (RASSF6, GADD45A), cell cycle (E2F5, USP44), cell migration (CXCR4, SEMA4B, EML6, DCAF12, VCL, RGS10), immunomodulation (CXCR4, KIAA0040, TAGAP, ORAI2, KIAA0040, METRNL), and other processes (PRDM15, ABCB1, ALDH2, SHISA8) were assessed. The scores of these 23 genes ranged from 0.621 to 1.504. Based on the optimal threshold of 1.075</w:t>
            </w:r>
          </w:p>
        </w:tc>
        <w:tc>
          <w:tcPr>
            <w:tcW w:w="5022" w:type="dxa"/>
            <w:vAlign w:val="center"/>
          </w:tcPr>
          <w:p w14:paraId="61B45534">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2 groups:</w:t>
            </w:r>
          </w:p>
          <w:p w14:paraId="5E358BCC">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low-risk ( score of &lt;1.075 ),</w:t>
            </w:r>
          </w:p>
          <w:p w14:paraId="4740FE2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 score of &gt;1.075 )</w:t>
            </w:r>
          </w:p>
        </w:tc>
      </w:tr>
      <w:tr w14:paraId="7C7C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5F950AE">
            <w:pPr>
              <w:spacing w:line="0" w:lineRule="atLeast"/>
              <w:jc w:val="left"/>
              <w:rPr>
                <w:rFonts w:ascii="Calibri" w:hAnsi="Calibri" w:eastAsia="等线" w:cs="Calibri"/>
                <w:kern w:val="0"/>
                <w:sz w:val="15"/>
                <w:szCs w:val="15"/>
                <w:vertAlign w:val="superscript"/>
              </w:rPr>
            </w:pPr>
            <w:r>
              <w:rPr>
                <w:rFonts w:ascii="Calibri" w:hAnsi="Calibri" w:eastAsia="等线" w:cs="Calibri"/>
                <w:kern w:val="0"/>
                <w:sz w:val="15"/>
                <w:szCs w:val="15"/>
              </w:rPr>
              <w:t>POD24-PI</w:t>
            </w:r>
            <w:r>
              <w:rPr>
                <w:rFonts w:ascii="Calibri" w:hAnsi="Calibri" w:eastAsia="等线" w:cs="Calibri"/>
                <w:kern w:val="0"/>
                <w:sz w:val="15"/>
                <w:szCs w:val="15"/>
              </w:rPr>
              <w:fldChar w:fldCharType="begin">
                <w:fldData xml:space="preserve">PEVuZE5vdGU+PENpdGU+PEF1dGhvcj5KdXJpbm92aWM8L0F1dGhvcj48WWVhcj4yMDE2PC9ZZWFy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</w:fldData>
              </w:fldChar>
            </w:r>
            <w:r>
              <w:rPr>
                <w:rFonts w:ascii="Calibri" w:hAnsi="Calibri" w:eastAsia="等线" w:cs="Calibri"/>
                <w:kern w:val="0"/>
                <w:sz w:val="15"/>
                <w:szCs w:val="15"/>
              </w:rPr>
              <w:instrText xml:space="preserve"> ADDIN EN.CITE </w:instrText>
            </w:r>
            <w:r>
              <w:rPr>
                <w:rFonts w:ascii="Calibri" w:hAnsi="Calibri" w:eastAsia="等线" w:cs="Calibri"/>
                <w:kern w:val="0"/>
                <w:sz w:val="15"/>
                <w:szCs w:val="15"/>
              </w:rPr>
              <w:fldChar w:fldCharType="begin">
                <w:fldData xml:space="preserve">PEVuZE5vdGU+PENpdGU+PEF1dGhvcj5KdXJpbm92aWM8L0F1dGhvcj48WWVhcj4yMDE2PC9ZZWFy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</w:fldData>
              </w:fldChar>
            </w:r>
            <w:r>
              <w:rPr>
                <w:rFonts w:ascii="Calibri" w:hAnsi="Calibri" w:eastAsia="等线" w:cs="Calibri"/>
                <w:kern w:val="0"/>
                <w:sz w:val="15"/>
                <w:szCs w:val="15"/>
              </w:rPr>
              <w:instrText xml:space="preserve"> ADDIN EN.CITE.DATA </w:instrText>
            </w:r>
            <w:r>
              <w:rPr>
                <w:rFonts w:ascii="Calibri" w:hAnsi="Calibri" w:eastAsia="等线" w:cs="Calibri"/>
                <w:kern w:val="0"/>
                <w:sz w:val="15"/>
                <w:szCs w:val="15"/>
              </w:rPr>
              <w:fldChar w:fldCharType="end"/>
            </w:r>
            <w:r>
              <w:rPr>
                <w:rFonts w:ascii="Calibri" w:hAnsi="Calibri" w:eastAsia="等线" w:cs="Calibri"/>
                <w:kern w:val="0"/>
                <w:sz w:val="15"/>
                <w:szCs w:val="15"/>
              </w:rPr>
              <w:fldChar w:fldCharType="separate"/>
            </w:r>
            <w:r>
              <w:rPr>
                <w:rFonts w:ascii="Calibri" w:hAnsi="Calibri" w:eastAsia="等线" w:cs="Calibri"/>
                <w:kern w:val="0"/>
                <w:sz w:val="15"/>
                <w:szCs w:val="15"/>
                <w:vertAlign w:val="superscript"/>
              </w:rPr>
              <w:t>1</w:t>
            </w:r>
            <w:r>
              <w:rPr>
                <w:rFonts w:hint="eastAsia" w:ascii="Calibri" w:hAnsi="Calibri" w:eastAsia="等线" w:cs="Calibri"/>
                <w:kern w:val="0"/>
                <w:sz w:val="15"/>
                <w:szCs w:val="15"/>
                <w:vertAlign w:val="superscript"/>
              </w:rPr>
              <w:t>8</w:t>
            </w:r>
            <w:r>
              <w:rPr>
                <w:rFonts w:ascii="Calibri" w:hAnsi="Calibri" w:eastAsia="等线" w:cs="Calibri"/>
                <w:kern w:val="0"/>
                <w:sz w:val="15"/>
                <w:szCs w:val="15"/>
              </w:rPr>
              <w:fldChar w:fldCharType="end"/>
            </w:r>
          </w:p>
        </w:tc>
        <w:tc>
          <w:tcPr>
            <w:tcW w:w="6521" w:type="dxa"/>
            <w:vAlign w:val="center"/>
          </w:tcPr>
          <w:p w14:paraId="4898DE41">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The POD24-PI scoring system consists of FLIPI (3-5, β=+1.0) and 3 genes: EP300 (β=+0.58), FOXO1 (β=+0.14), and EZH2 (β=-0.42);</w:t>
            </w:r>
          </w:p>
          <w:p w14:paraId="2B93428D">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the total score was calculated by adding the weighted predictive values of the Lasso coefficient. </w:t>
            </w:r>
          </w:p>
        </w:tc>
        <w:tc>
          <w:tcPr>
            <w:tcW w:w="5022" w:type="dxa"/>
            <w:vAlign w:val="center"/>
          </w:tcPr>
          <w:p w14:paraId="4B6CD405">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2 groups:</w:t>
            </w:r>
          </w:p>
          <w:p w14:paraId="290E9185">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low-risk (  total score ＜0.71 ),</w:t>
            </w:r>
          </w:p>
          <w:p w14:paraId="2EF15CA8">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high-risk ( total score &gt;0.71)</w:t>
            </w:r>
          </w:p>
        </w:tc>
      </w:tr>
      <w:tr w14:paraId="4C30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9CECF08">
            <w:pPr>
              <w:spacing w:line="0" w:lineRule="atLeast"/>
              <w:jc w:val="left"/>
              <w:rPr>
                <w:rFonts w:hint="eastAsia" w:ascii="Calibri" w:hAnsi="Calibri" w:eastAsia="等线" w:cs="Calibri"/>
                <w:kern w:val="0"/>
                <w:sz w:val="15"/>
                <w:szCs w:val="15"/>
                <w:vertAlign w:val="superscript"/>
                <w:lang w:val="en-US" w:eastAsia="zh-CN"/>
              </w:rPr>
            </w:pPr>
            <w:r>
              <w:rPr>
                <w:rFonts w:ascii="Calibri" w:hAnsi="Calibri" w:eastAsia="等线" w:cs="Calibri"/>
                <w:kern w:val="0"/>
                <w:sz w:val="15"/>
                <w:szCs w:val="15"/>
              </w:rPr>
              <w:t>FLIPI24</w:t>
            </w:r>
            <w:r>
              <w:rPr>
                <w:rFonts w:hint="eastAsia" w:ascii="Calibri" w:hAnsi="Calibri" w:eastAsia="等线" w:cs="Calibri"/>
                <w:kern w:val="0"/>
                <w:sz w:val="15"/>
                <w:szCs w:val="15"/>
                <w:vertAlign w:val="superscript"/>
              </w:rPr>
              <w:t>9</w:t>
            </w:r>
            <w:r>
              <w:rPr>
                <w:rFonts w:hint="eastAsia" w:ascii="Calibri" w:hAnsi="Calibri" w:eastAsia="等线" w:cs="Calibri"/>
                <w:kern w:val="0"/>
                <w:sz w:val="15"/>
                <w:szCs w:val="15"/>
                <w:vertAlign w:val="superscript"/>
                <w:lang w:val="en-US" w:eastAsia="zh-CN"/>
              </w:rPr>
              <w:t>2</w:t>
            </w:r>
            <w:bookmarkStart w:id="1" w:name="_GoBack"/>
            <w:bookmarkEnd w:id="1"/>
          </w:p>
        </w:tc>
        <w:tc>
          <w:tcPr>
            <w:tcW w:w="6521" w:type="dxa"/>
            <w:vAlign w:val="center"/>
          </w:tcPr>
          <w:p w14:paraId="1DE9533B">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The FLIPI24 model utilizes 5 continuous variables: </w:t>
            </w:r>
          </w:p>
          <w:p w14:paraId="1B2AB270">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age (linear 60-90 years with inflection at age 75), hemoglobin (linear 8-17 g/dL), white blood cell count (linear 4-11 109/L), normalized lactate dehydrogenase (linear 0.5-5), and beta-2-microglobulin (linear 1-10 mg/L). Linear variables and valid ranges were utilized based on close examination of functional forms across potential models.</w:t>
            </w:r>
          </w:p>
          <w:p w14:paraId="500C2869">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Continuous FLIPI24 risk scores were grouped for visualization in K-M curves as follows</w:t>
            </w:r>
          </w:p>
        </w:tc>
        <w:tc>
          <w:tcPr>
            <w:tcW w:w="5022" w:type="dxa"/>
            <w:vAlign w:val="center"/>
          </w:tcPr>
          <w:p w14:paraId="7D77270C">
            <w:pPr>
              <w:spacing w:line="0" w:lineRule="atLeast"/>
              <w:jc w:val="left"/>
              <w:rPr>
                <w:rFonts w:ascii="Calibri" w:hAnsi="Calibri" w:eastAsia="等线" w:cs="Calibri"/>
                <w:kern w:val="0"/>
                <w:sz w:val="15"/>
                <w:szCs w:val="15"/>
              </w:rPr>
            </w:pPr>
            <w:bookmarkStart w:id="0" w:name="_Hlk153794910"/>
            <w:r>
              <w:rPr>
                <w:rFonts w:ascii="Calibri" w:hAnsi="Calibri" w:eastAsia="等线" w:cs="Calibri"/>
                <w:kern w:val="0"/>
                <w:sz w:val="15"/>
                <w:szCs w:val="15"/>
              </w:rPr>
              <w:t>5 groups:</w:t>
            </w:r>
          </w:p>
          <w:p w14:paraId="5F21EE92">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very low risk (0-0.10),</w:t>
            </w:r>
          </w:p>
          <w:p w14:paraId="33CA3094">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low risk (0.10-0.15), </w:t>
            </w:r>
          </w:p>
          <w:p w14:paraId="6EB679ED">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average risk (0.15-0.20), </w:t>
            </w:r>
          </w:p>
          <w:p w14:paraId="697062F8">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 xml:space="preserve">high risk (0.20-0.40), </w:t>
            </w:r>
          </w:p>
          <w:p w14:paraId="1791B743">
            <w:pPr>
              <w:spacing w:line="0" w:lineRule="atLeast"/>
              <w:jc w:val="left"/>
              <w:rPr>
                <w:rFonts w:ascii="Calibri" w:hAnsi="Calibri" w:eastAsia="等线" w:cs="Calibri"/>
                <w:kern w:val="0"/>
                <w:sz w:val="15"/>
                <w:szCs w:val="15"/>
              </w:rPr>
            </w:pPr>
            <w:r>
              <w:rPr>
                <w:rFonts w:ascii="Calibri" w:hAnsi="Calibri" w:eastAsia="等线" w:cs="Calibri"/>
                <w:kern w:val="0"/>
                <w:sz w:val="15"/>
                <w:szCs w:val="15"/>
              </w:rPr>
              <w:t>very high risk (&gt;0.40).</w:t>
            </w:r>
            <w:bookmarkEnd w:id="0"/>
          </w:p>
        </w:tc>
      </w:tr>
    </w:tbl>
    <w:p w14:paraId="720BCF91">
      <w:pPr>
        <w:widowControl/>
        <w:jc w:val="left"/>
        <w:rPr>
          <w:rFonts w:ascii="Calibri" w:hAnsi="Calibri" w:eastAsia="等线" w:cs="Calibri"/>
          <w:sz w:val="13"/>
          <w:szCs w:val="13"/>
        </w:rPr>
      </w:pPr>
    </w:p>
    <w:p w14:paraId="4A26EDCE">
      <w:pPr>
        <w:spacing w:line="480" w:lineRule="auto"/>
        <w:rPr>
          <w:rFonts w:ascii="Calibri" w:hAnsi="Calibri" w:eastAsia="等线" w:cs="Calibri"/>
        </w:rPr>
      </w:pPr>
    </w:p>
    <w:p w14:paraId="3039F15B">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374983"/>
    <w:rsid w:val="000554DA"/>
    <w:rsid w:val="00374983"/>
    <w:rsid w:val="00986651"/>
    <w:rsid w:val="00A328BE"/>
    <w:rsid w:val="00A80EDC"/>
    <w:rsid w:val="00B23DB3"/>
    <w:rsid w:val="00C14EF0"/>
    <w:rsid w:val="1D9B3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cstheme="majorBidi"/>
      <w:color w:val="104862" w:themeColor="accent1" w:themeShade="BF"/>
      <w:sz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cstheme="majorBidi"/>
      <w:b/>
      <w:bCs/>
      <w:color w:val="104862" w:themeColor="accent1" w:themeShade="BF"/>
      <w:sz w:val="22"/>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6">
    <w:name w:val="Table Grid"/>
    <w:basedOn w:val="15"/>
    <w:qFormat/>
    <w:uiPriority w:val="59"/>
    <w:pPr>
      <w:spacing w:after="0" w:line="240" w:lineRule="auto"/>
    </w:pPr>
    <w:rPr>
      <w:rFonts w:ascii="Calibri" w:hAnsi="Calibri" w:eastAsia="宋体" w:cs="Calibri"/>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sz w:val="22"/>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14:ligatures w14:val="standardContextual"/>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14:ligatures w14:val="none"/>
    </w:rPr>
  </w:style>
  <w:style w:type="character" w:customStyle="1" w:styleId="37">
    <w:name w:val="页脚 字符"/>
    <w:basedOn w:val="17"/>
    <w:link w:val="11"/>
    <w:qFormat/>
    <w:uiPriority w:val="99"/>
    <w:rPr>
      <w:sz w:val="18"/>
      <w:szCs w:val="18"/>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472</Words>
  <Characters>2773</Characters>
  <Lines>23</Lines>
  <Paragraphs>6</Paragraphs>
  <TotalTime>7</TotalTime>
  <ScaleCrop>false</ScaleCrop>
  <LinksUpToDate>false</LinksUpToDate>
  <CharactersWithSpaces>3188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2024-10-30T16:40:00Z</dcterms:created>
  <dc:creator>大力 李</dc:creator>
  <cp:lastModifiedBy>WPS_1692709675</cp:lastModifiedBy>
  <dcterms:modified xsi:type="dcterms:W3CDTF">2024-11-12T08:51:17Z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448E2AF41756443D8EC06B75FC2ACEE0_12</vt:lpwstr>
  </property>
</Properties>
</file>