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91B20" w14:textId="77777777" w:rsidR="006135B3" w:rsidRPr="008D40E8" w:rsidRDefault="006135B3" w:rsidP="006135B3">
      <w:pPr>
        <w:spacing w:line="480" w:lineRule="auto"/>
        <w:rPr>
          <w:rFonts w:ascii="Calibri" w:eastAsia="等线" w:hAnsi="Calibri" w:cs="Calibri"/>
          <w:b/>
          <w:bCs/>
          <w:sz w:val="24"/>
        </w:rPr>
      </w:pPr>
      <w:r w:rsidRPr="008D40E8">
        <w:rPr>
          <w:rFonts w:ascii="Calibri" w:eastAsia="等线" w:hAnsi="Calibri" w:cs="Calibri"/>
          <w:b/>
          <w:bCs/>
          <w:sz w:val="24"/>
        </w:rPr>
        <w:t>supplement table 2 prognostic scores of Clinical prediction model of other indolent B-cell lymphomas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05"/>
        <w:gridCol w:w="6521"/>
        <w:gridCol w:w="5022"/>
      </w:tblGrid>
      <w:tr w:rsidR="006135B3" w:rsidRPr="00BE7899" w14:paraId="65B982C0" w14:textId="77777777" w:rsidTr="001448E9">
        <w:tc>
          <w:tcPr>
            <w:tcW w:w="2405" w:type="dxa"/>
            <w:vAlign w:val="center"/>
          </w:tcPr>
          <w:p w14:paraId="04D25A2B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b/>
                <w:bCs/>
                <w:snapToGrid w:val="0"/>
                <w:sz w:val="24"/>
              </w:rPr>
            </w:pPr>
            <w:r w:rsidRPr="00BE7899">
              <w:rPr>
                <w:rFonts w:eastAsia="等线"/>
                <w:b/>
                <w:bCs/>
                <w:sz w:val="15"/>
                <w:szCs w:val="15"/>
              </w:rPr>
              <w:t>Prediction Model</w:t>
            </w:r>
          </w:p>
        </w:tc>
        <w:tc>
          <w:tcPr>
            <w:tcW w:w="6521" w:type="dxa"/>
            <w:vAlign w:val="center"/>
          </w:tcPr>
          <w:p w14:paraId="14D9D84C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b/>
                <w:bCs/>
                <w:sz w:val="15"/>
                <w:szCs w:val="15"/>
              </w:rPr>
              <w:t>Variables</w:t>
            </w:r>
          </w:p>
        </w:tc>
        <w:tc>
          <w:tcPr>
            <w:tcW w:w="5022" w:type="dxa"/>
            <w:vAlign w:val="center"/>
          </w:tcPr>
          <w:p w14:paraId="044BA9B0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b/>
                <w:bCs/>
                <w:sz w:val="15"/>
                <w:szCs w:val="15"/>
              </w:rPr>
            </w:pPr>
            <w:r w:rsidRPr="00BE7899">
              <w:rPr>
                <w:rFonts w:eastAsia="等线"/>
                <w:b/>
                <w:bCs/>
                <w:sz w:val="15"/>
                <w:szCs w:val="15"/>
              </w:rPr>
              <w:t>Groups</w:t>
            </w:r>
          </w:p>
        </w:tc>
      </w:tr>
      <w:tr w:rsidR="006135B3" w:rsidRPr="00BE7899" w14:paraId="7483CFDA" w14:textId="77777777" w:rsidTr="001448E9">
        <w:tc>
          <w:tcPr>
            <w:tcW w:w="2405" w:type="dxa"/>
            <w:vAlign w:val="center"/>
          </w:tcPr>
          <w:p w14:paraId="18D9FA56" w14:textId="5DCD4B90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  <w:vertAlign w:val="superscript"/>
              </w:rPr>
            </w:pPr>
            <w:r w:rsidRPr="00BE7899">
              <w:rPr>
                <w:rFonts w:eastAsia="等线"/>
                <w:sz w:val="15"/>
                <w:szCs w:val="15"/>
              </w:rPr>
              <w:t>MALT-IPI</w:t>
            </w:r>
            <w:r>
              <w:rPr>
                <w:rFonts w:eastAsia="等线" w:hint="eastAsia"/>
                <w:sz w:val="15"/>
                <w:szCs w:val="15"/>
                <w:vertAlign w:val="superscript"/>
              </w:rPr>
              <w:t>7</w:t>
            </w:r>
            <w:r w:rsidR="009F01F4">
              <w:rPr>
                <w:rFonts w:eastAsia="等线" w:hint="eastAsia"/>
                <w:sz w:val="15"/>
                <w:szCs w:val="15"/>
                <w:vertAlign w:val="superscript"/>
              </w:rPr>
              <w:t>8</w:t>
            </w:r>
          </w:p>
        </w:tc>
        <w:tc>
          <w:tcPr>
            <w:tcW w:w="6521" w:type="dxa"/>
            <w:vAlign w:val="center"/>
          </w:tcPr>
          <w:p w14:paraId="7D656F02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consists of 3 adverse prognostic factors for event-free survival:</w:t>
            </w:r>
          </w:p>
          <w:p w14:paraId="3760A1A7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 xml:space="preserve">age ≥70 years, LDH </w:t>
            </w:r>
            <w:r w:rsidRPr="00BE7899">
              <w:rPr>
                <w:rFonts w:eastAsia="等线"/>
                <w:sz w:val="15"/>
                <w:szCs w:val="15"/>
              </w:rPr>
              <w:t>＞</w:t>
            </w:r>
            <w:r w:rsidRPr="00BE7899">
              <w:rPr>
                <w:rFonts w:eastAsia="等线"/>
                <w:sz w:val="15"/>
                <w:szCs w:val="15"/>
              </w:rPr>
              <w:t>UNL and Stage III-IV</w:t>
            </w:r>
          </w:p>
          <w:p w14:paraId="11265C50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</w:p>
        </w:tc>
        <w:tc>
          <w:tcPr>
            <w:tcW w:w="5022" w:type="dxa"/>
            <w:vAlign w:val="center"/>
          </w:tcPr>
          <w:p w14:paraId="07B017F9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3 groups:</w:t>
            </w:r>
          </w:p>
          <w:p w14:paraId="099453B2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proofErr w:type="gramStart"/>
            <w:r w:rsidRPr="00BE7899">
              <w:rPr>
                <w:rFonts w:eastAsia="等线"/>
                <w:sz w:val="15"/>
                <w:szCs w:val="15"/>
              </w:rPr>
              <w:t>low-risk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 (0 adverse factors),</w:t>
            </w:r>
          </w:p>
          <w:p w14:paraId="1A5B9BE6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proofErr w:type="gramStart"/>
            <w:r w:rsidRPr="00BE7899">
              <w:rPr>
                <w:rFonts w:eastAsia="等线"/>
                <w:sz w:val="15"/>
                <w:szCs w:val="15"/>
              </w:rPr>
              <w:t>intermediate-risk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 (1 adverse factors),</w:t>
            </w:r>
          </w:p>
          <w:p w14:paraId="47787DED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high-risk (≥2 adverse prognostic factors) groups</w:t>
            </w:r>
          </w:p>
        </w:tc>
      </w:tr>
      <w:tr w:rsidR="006135B3" w:rsidRPr="00BE7899" w14:paraId="026565E2" w14:textId="77777777" w:rsidTr="001448E9">
        <w:tc>
          <w:tcPr>
            <w:tcW w:w="2405" w:type="dxa"/>
            <w:vAlign w:val="center"/>
          </w:tcPr>
          <w:p w14:paraId="7FC9C777" w14:textId="32C8ABC0" w:rsidR="006135B3" w:rsidRPr="00BE7899" w:rsidRDefault="006135B3" w:rsidP="001448E9">
            <w:pPr>
              <w:spacing w:line="0" w:lineRule="atLeast"/>
              <w:jc w:val="left"/>
              <w:rPr>
                <w:rFonts w:eastAsia="等线" w:hint="eastAsia"/>
                <w:sz w:val="15"/>
                <w:szCs w:val="15"/>
                <w:vertAlign w:val="superscript"/>
              </w:rPr>
            </w:pPr>
            <w:r w:rsidRPr="007D6D67">
              <w:rPr>
                <w:rFonts w:eastAsia="等线" w:hint="eastAsia"/>
                <w:sz w:val="15"/>
                <w:szCs w:val="15"/>
              </w:rPr>
              <w:t>revised</w:t>
            </w:r>
            <w:r w:rsidRPr="00334DBB">
              <w:rPr>
                <w:rFonts w:eastAsia="等线" w:hint="eastAsia"/>
                <w:snapToGrid w:val="0"/>
                <w:szCs w:val="21"/>
              </w:rPr>
              <w:t xml:space="preserve"> </w:t>
            </w:r>
            <w:r w:rsidRPr="00BE7899">
              <w:rPr>
                <w:rFonts w:eastAsia="等线"/>
                <w:sz w:val="15"/>
                <w:szCs w:val="15"/>
              </w:rPr>
              <w:t>MALT-IPI</w:t>
            </w:r>
            <w:r w:rsidR="009F01F4" w:rsidRPr="009F01F4">
              <w:rPr>
                <w:rFonts w:eastAsia="等线" w:hint="eastAsia"/>
                <w:sz w:val="15"/>
                <w:szCs w:val="15"/>
                <w:vertAlign w:val="superscript"/>
              </w:rPr>
              <w:t>79</w:t>
            </w:r>
          </w:p>
        </w:tc>
        <w:tc>
          <w:tcPr>
            <w:tcW w:w="6521" w:type="dxa"/>
            <w:vAlign w:val="center"/>
          </w:tcPr>
          <w:p w14:paraId="7AF6285F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consists of 4 adverse prognostic factors for event-free survival:</w:t>
            </w:r>
          </w:p>
          <w:p w14:paraId="5077C65D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 xml:space="preserve">age ≥70 years, LDH </w:t>
            </w:r>
            <w:r w:rsidRPr="00BE7899">
              <w:rPr>
                <w:rFonts w:eastAsia="等线"/>
                <w:sz w:val="15"/>
                <w:szCs w:val="15"/>
              </w:rPr>
              <w:t>＞</w:t>
            </w:r>
            <w:r w:rsidRPr="00BE7899">
              <w:rPr>
                <w:rFonts w:eastAsia="等线"/>
                <w:sz w:val="15"/>
                <w:szCs w:val="15"/>
              </w:rPr>
              <w:t>UNL</w:t>
            </w:r>
            <w:r w:rsidRPr="00BE7899">
              <w:rPr>
                <w:rFonts w:eastAsia="等线"/>
                <w:sz w:val="15"/>
                <w:szCs w:val="15"/>
              </w:rPr>
              <w:t>，</w:t>
            </w:r>
            <w:r w:rsidRPr="00BE7899">
              <w:rPr>
                <w:rFonts w:eastAsia="等线"/>
                <w:sz w:val="15"/>
                <w:szCs w:val="15"/>
              </w:rPr>
              <w:t xml:space="preserve">Stage III-IV and multiple </w:t>
            </w:r>
          </w:p>
          <w:p w14:paraId="1E01AF62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mucosal sites</w:t>
            </w:r>
          </w:p>
        </w:tc>
        <w:tc>
          <w:tcPr>
            <w:tcW w:w="5022" w:type="dxa"/>
            <w:vAlign w:val="center"/>
          </w:tcPr>
          <w:p w14:paraId="41B21506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</w:p>
          <w:p w14:paraId="67DD5986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proofErr w:type="gramStart"/>
            <w:r w:rsidRPr="00BE7899">
              <w:rPr>
                <w:rFonts w:eastAsia="等线"/>
                <w:sz w:val="15"/>
                <w:szCs w:val="15"/>
              </w:rPr>
              <w:t>Low-risk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 (score 0, reference group), </w:t>
            </w:r>
          </w:p>
          <w:p w14:paraId="31C05B6C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low-medium risk (score 1)</w:t>
            </w:r>
            <w:r w:rsidRPr="00BE7899">
              <w:rPr>
                <w:rFonts w:eastAsia="等线"/>
                <w:sz w:val="15"/>
                <w:szCs w:val="15"/>
              </w:rPr>
              <w:t>，</w:t>
            </w:r>
          </w:p>
          <w:p w14:paraId="3B800DBC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 xml:space="preserve">medium-high risk (score 2), </w:t>
            </w:r>
          </w:p>
          <w:p w14:paraId="3A9BB46C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high risk (score 3+).</w:t>
            </w:r>
          </w:p>
        </w:tc>
      </w:tr>
      <w:tr w:rsidR="006135B3" w:rsidRPr="00BE7899" w14:paraId="275B334E" w14:textId="77777777" w:rsidTr="001448E9">
        <w:tc>
          <w:tcPr>
            <w:tcW w:w="2405" w:type="dxa"/>
            <w:vAlign w:val="center"/>
          </w:tcPr>
          <w:p w14:paraId="07024FFE" w14:textId="53A1F974" w:rsidR="006135B3" w:rsidRPr="00BE7899" w:rsidRDefault="006135B3" w:rsidP="001448E9">
            <w:pPr>
              <w:spacing w:line="0" w:lineRule="atLeast"/>
              <w:jc w:val="left"/>
              <w:rPr>
                <w:rFonts w:eastAsia="等线" w:hint="eastAsia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MZL-IPI</w:t>
            </w:r>
            <w:r w:rsidRPr="00BE7899">
              <w:rPr>
                <w:rFonts w:eastAsia="等线"/>
                <w:sz w:val="15"/>
                <w:szCs w:val="15"/>
                <w:vertAlign w:val="superscript"/>
              </w:rPr>
              <w:t>8</w:t>
            </w:r>
            <w:r w:rsidR="009F01F4">
              <w:rPr>
                <w:rFonts w:eastAsia="等线" w:hint="eastAsia"/>
                <w:sz w:val="15"/>
                <w:szCs w:val="15"/>
                <w:vertAlign w:val="superscript"/>
              </w:rPr>
              <w:t>0</w:t>
            </w:r>
          </w:p>
        </w:tc>
        <w:tc>
          <w:tcPr>
            <w:tcW w:w="6521" w:type="dxa"/>
            <w:vAlign w:val="center"/>
          </w:tcPr>
          <w:p w14:paraId="7EC38249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consists of 5 adverse prognostic factors for event-free survival:</w:t>
            </w:r>
          </w:p>
          <w:p w14:paraId="2D6A3880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  <w:vertAlign w:val="superscript"/>
              </w:rPr>
            </w:pPr>
            <w:r w:rsidRPr="00BE7899">
              <w:rPr>
                <w:rFonts w:eastAsia="等线"/>
                <w:sz w:val="15"/>
                <w:szCs w:val="15"/>
              </w:rPr>
              <w:t xml:space="preserve">LDH </w:t>
            </w:r>
            <w:r w:rsidRPr="00BE7899">
              <w:rPr>
                <w:rFonts w:eastAsia="等线"/>
                <w:sz w:val="15"/>
                <w:szCs w:val="15"/>
              </w:rPr>
              <w:t>＞</w:t>
            </w:r>
            <w:r w:rsidRPr="00BE7899">
              <w:rPr>
                <w:rFonts w:eastAsia="等线"/>
                <w:sz w:val="15"/>
                <w:szCs w:val="15"/>
              </w:rPr>
              <w:t>UNL , hemoglobin &lt;12 g/dL, absolute lymphocyte count &lt;1×10</w:t>
            </w:r>
            <w:r w:rsidRPr="00BE7899">
              <w:rPr>
                <w:rFonts w:eastAsia="等线"/>
                <w:sz w:val="15"/>
                <w:szCs w:val="15"/>
                <w:vertAlign w:val="superscript"/>
              </w:rPr>
              <w:t>9</w:t>
            </w:r>
            <w:r w:rsidRPr="00BE7899">
              <w:rPr>
                <w:rFonts w:eastAsia="等线"/>
                <w:sz w:val="15"/>
                <w:szCs w:val="15"/>
              </w:rPr>
              <w:t>/L, platelets &lt;100×10</w:t>
            </w:r>
            <w:r w:rsidRPr="00BE7899">
              <w:rPr>
                <w:rFonts w:eastAsia="等线"/>
                <w:sz w:val="15"/>
                <w:szCs w:val="15"/>
                <w:vertAlign w:val="superscript"/>
              </w:rPr>
              <w:t>9</w:t>
            </w:r>
            <w:r w:rsidRPr="00BE7899">
              <w:rPr>
                <w:rFonts w:eastAsia="等线"/>
                <w:sz w:val="15"/>
                <w:szCs w:val="15"/>
              </w:rPr>
              <w:t>/L  and MZL subtype(nodal or disseminated)</w:t>
            </w:r>
          </w:p>
        </w:tc>
        <w:tc>
          <w:tcPr>
            <w:tcW w:w="5022" w:type="dxa"/>
            <w:vAlign w:val="center"/>
          </w:tcPr>
          <w:p w14:paraId="5F065925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3 groups:</w:t>
            </w:r>
          </w:p>
          <w:p w14:paraId="1196C7B2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 xml:space="preserve">low-risk group (0 factor), </w:t>
            </w:r>
          </w:p>
          <w:p w14:paraId="6077B6AD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intermediate-risk group (1–2 factors</w:t>
            </w:r>
            <w:proofErr w:type="gramStart"/>
            <w:r w:rsidRPr="00BE7899">
              <w:rPr>
                <w:rFonts w:eastAsia="等线"/>
                <w:sz w:val="15"/>
                <w:szCs w:val="15"/>
              </w:rPr>
              <w:t>) ,</w:t>
            </w:r>
            <w:proofErr w:type="gramEnd"/>
          </w:p>
          <w:p w14:paraId="6BA801D5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high-risk group (3+ factors)</w:t>
            </w:r>
          </w:p>
        </w:tc>
      </w:tr>
      <w:tr w:rsidR="006135B3" w:rsidRPr="00BE7899" w14:paraId="762D21A0" w14:textId="77777777" w:rsidTr="001448E9">
        <w:tc>
          <w:tcPr>
            <w:tcW w:w="2405" w:type="dxa"/>
            <w:vAlign w:val="center"/>
          </w:tcPr>
          <w:p w14:paraId="70CBF29A" w14:textId="76986E5F" w:rsidR="006135B3" w:rsidRPr="00BE7899" w:rsidRDefault="006135B3" w:rsidP="001448E9">
            <w:pPr>
              <w:spacing w:line="0" w:lineRule="atLeast"/>
              <w:jc w:val="left"/>
              <w:rPr>
                <w:rFonts w:eastAsia="等线" w:hint="eastAsia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IPSS-WM</w:t>
            </w:r>
            <w:r w:rsidRPr="00BE7899">
              <w:rPr>
                <w:rFonts w:eastAsia="等线"/>
                <w:sz w:val="15"/>
                <w:szCs w:val="15"/>
                <w:vertAlign w:val="superscript"/>
              </w:rPr>
              <w:t>8</w:t>
            </w:r>
            <w:r w:rsidR="009F01F4">
              <w:rPr>
                <w:rFonts w:eastAsia="等线" w:hint="eastAsia"/>
                <w:sz w:val="15"/>
                <w:szCs w:val="15"/>
                <w:vertAlign w:val="superscript"/>
              </w:rPr>
              <w:t>1</w:t>
            </w:r>
          </w:p>
        </w:tc>
        <w:tc>
          <w:tcPr>
            <w:tcW w:w="6521" w:type="dxa"/>
            <w:vAlign w:val="center"/>
          </w:tcPr>
          <w:p w14:paraId="5B26F1C8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consists of five adverse covariates</w:t>
            </w:r>
            <w:r w:rsidRPr="00BE7899">
              <w:rPr>
                <w:rFonts w:eastAsia="等线"/>
                <w:sz w:val="15"/>
                <w:szCs w:val="15"/>
              </w:rPr>
              <w:t>：</w:t>
            </w:r>
          </w:p>
          <w:p w14:paraId="00167EF8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 xml:space="preserve">advanced </w:t>
            </w:r>
            <w:proofErr w:type="gramStart"/>
            <w:r w:rsidRPr="00BE7899">
              <w:rPr>
                <w:rFonts w:eastAsia="等线"/>
                <w:sz w:val="15"/>
                <w:szCs w:val="15"/>
              </w:rPr>
              <w:t>age(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>&gt;65 years), hemoglobin≤11.5 g/dL, platelet count ≤100×10</w:t>
            </w:r>
            <w:r w:rsidRPr="00BE7899">
              <w:rPr>
                <w:rFonts w:eastAsia="等线"/>
                <w:sz w:val="15"/>
                <w:szCs w:val="15"/>
                <w:vertAlign w:val="superscript"/>
              </w:rPr>
              <w:t>9</w:t>
            </w:r>
            <w:r w:rsidRPr="00BE7899">
              <w:rPr>
                <w:rFonts w:eastAsia="等线"/>
                <w:sz w:val="15"/>
                <w:szCs w:val="15"/>
              </w:rPr>
              <w:t>/L,</w:t>
            </w:r>
            <w:r w:rsidRPr="00BE7899">
              <w:t xml:space="preserve"> β</w:t>
            </w:r>
            <w:r w:rsidRPr="00BE7899">
              <w:rPr>
                <w:rFonts w:eastAsia="等线"/>
                <w:sz w:val="15"/>
                <w:szCs w:val="15"/>
              </w:rPr>
              <w:t>2-</w:t>
            </w:r>
          </w:p>
          <w:p w14:paraId="7A11A67D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proofErr w:type="spellStart"/>
            <w:r w:rsidRPr="00BE7899">
              <w:rPr>
                <w:rFonts w:eastAsia="等线"/>
                <w:sz w:val="15"/>
                <w:szCs w:val="15"/>
              </w:rPr>
              <w:t>microglobulin</w:t>
            </w:r>
            <w:proofErr w:type="spellEnd"/>
            <w:r w:rsidRPr="00BE7899">
              <w:rPr>
                <w:rFonts w:eastAsia="等线"/>
                <w:sz w:val="15"/>
                <w:szCs w:val="15"/>
              </w:rPr>
              <w:t>&gt;3 mg/L, and serum monoclonal protein concentration</w:t>
            </w:r>
            <w:r w:rsidRPr="00BE7899">
              <w:rPr>
                <w:rFonts w:eastAsia="等线"/>
                <w:sz w:val="15"/>
                <w:szCs w:val="15"/>
              </w:rPr>
              <w:t>＞</w:t>
            </w:r>
            <w:r w:rsidRPr="00BE7899">
              <w:rPr>
                <w:rFonts w:eastAsia="等线"/>
                <w:sz w:val="15"/>
                <w:szCs w:val="15"/>
              </w:rPr>
              <w:t>7.0 g/dL.</w:t>
            </w:r>
          </w:p>
        </w:tc>
        <w:tc>
          <w:tcPr>
            <w:tcW w:w="5022" w:type="dxa"/>
            <w:vAlign w:val="center"/>
          </w:tcPr>
          <w:p w14:paraId="122D04AC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3 groups:</w:t>
            </w:r>
          </w:p>
          <w:p w14:paraId="6418F3F4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proofErr w:type="gramStart"/>
            <w:r w:rsidRPr="00BE7899">
              <w:rPr>
                <w:rFonts w:eastAsia="等线"/>
                <w:sz w:val="15"/>
                <w:szCs w:val="15"/>
              </w:rPr>
              <w:t>Low-risk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 (no or 1 of the adverse characteristics and advanced age),</w:t>
            </w:r>
          </w:p>
          <w:p w14:paraId="2C53BDB2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proofErr w:type="gramStart"/>
            <w:r w:rsidRPr="00BE7899">
              <w:rPr>
                <w:rFonts w:eastAsia="等线"/>
                <w:sz w:val="15"/>
                <w:szCs w:val="15"/>
              </w:rPr>
              <w:t>intermediate-risk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 (2 adverse characteristics or only advanced age),</w:t>
            </w:r>
          </w:p>
          <w:p w14:paraId="23A11847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 xml:space="preserve">high-risk </w:t>
            </w:r>
            <w:proofErr w:type="gramStart"/>
            <w:r w:rsidRPr="00BE7899">
              <w:rPr>
                <w:rFonts w:eastAsia="等线"/>
                <w:sz w:val="15"/>
                <w:szCs w:val="15"/>
              </w:rPr>
              <w:t>( more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 than 2 adverse characteristics)</w:t>
            </w:r>
          </w:p>
        </w:tc>
      </w:tr>
      <w:tr w:rsidR="006135B3" w:rsidRPr="00BE7899" w14:paraId="18204804" w14:textId="77777777" w:rsidTr="001448E9">
        <w:tc>
          <w:tcPr>
            <w:tcW w:w="2405" w:type="dxa"/>
            <w:vAlign w:val="center"/>
          </w:tcPr>
          <w:p w14:paraId="3C6FDC0E" w14:textId="3727303F" w:rsidR="006135B3" w:rsidRPr="00BE7899" w:rsidRDefault="006135B3" w:rsidP="001448E9">
            <w:pPr>
              <w:spacing w:line="0" w:lineRule="atLeast"/>
              <w:jc w:val="left"/>
              <w:rPr>
                <w:rFonts w:eastAsia="等线" w:hint="eastAsia"/>
                <w:sz w:val="15"/>
                <w:szCs w:val="15"/>
                <w:vertAlign w:val="superscript"/>
              </w:rPr>
            </w:pPr>
            <w:r w:rsidRPr="00BE7899">
              <w:rPr>
                <w:rFonts w:eastAsia="等线"/>
                <w:sz w:val="15"/>
                <w:szCs w:val="15"/>
              </w:rPr>
              <w:t>rIPSSWM</w:t>
            </w:r>
            <w:r w:rsidRPr="00BE7899">
              <w:rPr>
                <w:rFonts w:eastAsia="等线"/>
                <w:sz w:val="15"/>
                <w:szCs w:val="15"/>
                <w:vertAlign w:val="superscript"/>
              </w:rPr>
              <w:t>8</w:t>
            </w:r>
            <w:r w:rsidR="009F01F4">
              <w:rPr>
                <w:rFonts w:eastAsia="等线" w:hint="eastAsia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6521" w:type="dxa"/>
            <w:vAlign w:val="center"/>
          </w:tcPr>
          <w:p w14:paraId="2A59D257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consists of 5 clinical variables</w:t>
            </w:r>
            <w:r w:rsidRPr="00BE7899">
              <w:rPr>
                <w:rFonts w:eastAsia="等线"/>
                <w:sz w:val="15"/>
                <w:szCs w:val="15"/>
              </w:rPr>
              <w:t>：</w:t>
            </w:r>
          </w:p>
          <w:p w14:paraId="52E7117F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β2-microglobulin ≥ 4 mg/L, LDH ≥ 250 IU/L (ULN &lt; 225</w:t>
            </w:r>
          </w:p>
          <w:p w14:paraId="05971054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IU/L), serum albumin &lt;3.5 g/dl, and age 66–75 years are scored with 1 point each, but age &gt;75 years is scored with 2</w:t>
            </w:r>
          </w:p>
        </w:tc>
        <w:tc>
          <w:tcPr>
            <w:tcW w:w="5022" w:type="dxa"/>
            <w:vAlign w:val="center"/>
          </w:tcPr>
          <w:p w14:paraId="0F5A1C2B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5 groups:</w:t>
            </w:r>
          </w:p>
          <w:p w14:paraId="0EF75333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very-low risk (score 0),</w:t>
            </w:r>
          </w:p>
          <w:p w14:paraId="413F7A22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proofErr w:type="gramStart"/>
            <w:r w:rsidRPr="00BE7899">
              <w:rPr>
                <w:rFonts w:eastAsia="等线"/>
                <w:sz w:val="15"/>
                <w:szCs w:val="15"/>
              </w:rPr>
              <w:t>Low-risk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 (score 1),</w:t>
            </w:r>
          </w:p>
          <w:p w14:paraId="3B3D4371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proofErr w:type="gramStart"/>
            <w:r w:rsidRPr="00BE7899">
              <w:rPr>
                <w:rFonts w:eastAsia="等线"/>
                <w:sz w:val="15"/>
                <w:szCs w:val="15"/>
              </w:rPr>
              <w:t>Intermediate-risk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 (score 2)</w:t>
            </w:r>
          </w:p>
          <w:p w14:paraId="38511EC4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High-risk (score 3),</w:t>
            </w:r>
          </w:p>
          <w:p w14:paraId="1B162171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Very high (score 4-5)</w:t>
            </w:r>
          </w:p>
          <w:p w14:paraId="3B0DB688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</w:p>
        </w:tc>
      </w:tr>
      <w:tr w:rsidR="006135B3" w:rsidRPr="00BE7899" w14:paraId="3F629B18" w14:textId="77777777" w:rsidTr="001448E9">
        <w:tc>
          <w:tcPr>
            <w:tcW w:w="2405" w:type="dxa"/>
            <w:vAlign w:val="center"/>
          </w:tcPr>
          <w:p w14:paraId="2977754E" w14:textId="4C782E7E" w:rsidR="006135B3" w:rsidRPr="00BE7899" w:rsidRDefault="006135B3" w:rsidP="001448E9">
            <w:pPr>
              <w:spacing w:line="0" w:lineRule="atLeast"/>
              <w:jc w:val="left"/>
              <w:rPr>
                <w:rFonts w:eastAsia="等线" w:hint="eastAsia"/>
                <w:sz w:val="15"/>
                <w:szCs w:val="15"/>
                <w:vertAlign w:val="superscript"/>
              </w:rPr>
            </w:pPr>
            <w:r w:rsidRPr="00BE7899">
              <w:rPr>
                <w:rFonts w:eastAsia="等线"/>
                <w:sz w:val="15"/>
                <w:szCs w:val="15"/>
              </w:rPr>
              <w:t>MSS-WM</w:t>
            </w:r>
            <w:r w:rsidRPr="00BE7899">
              <w:rPr>
                <w:rFonts w:eastAsia="等线"/>
                <w:sz w:val="15"/>
                <w:szCs w:val="15"/>
                <w:vertAlign w:val="superscript"/>
              </w:rPr>
              <w:t>8</w:t>
            </w:r>
            <w:r w:rsidR="009F01F4">
              <w:rPr>
                <w:rFonts w:eastAsia="等线" w:hint="eastAsia"/>
                <w:sz w:val="15"/>
                <w:szCs w:val="15"/>
                <w:vertAlign w:val="superscript"/>
              </w:rPr>
              <w:t>4</w:t>
            </w:r>
          </w:p>
        </w:tc>
        <w:tc>
          <w:tcPr>
            <w:tcW w:w="6521" w:type="dxa"/>
            <w:vAlign w:val="center"/>
          </w:tcPr>
          <w:p w14:paraId="66DBFF7C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consists of 3 clinical variables</w:t>
            </w:r>
            <w:r w:rsidRPr="00BE7899">
              <w:rPr>
                <w:rFonts w:eastAsia="等线"/>
                <w:sz w:val="15"/>
                <w:szCs w:val="15"/>
              </w:rPr>
              <w:t>：</w:t>
            </w:r>
          </w:p>
          <w:p w14:paraId="20E52332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 xml:space="preserve">1 point each to albumin &lt;3.5 g/dL and age 66-75 years,2 points for age &gt;75 years or elevated LDH </w:t>
            </w:r>
          </w:p>
        </w:tc>
        <w:tc>
          <w:tcPr>
            <w:tcW w:w="5022" w:type="dxa"/>
            <w:vAlign w:val="center"/>
          </w:tcPr>
          <w:p w14:paraId="11840544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4 groups:</w:t>
            </w:r>
          </w:p>
          <w:p w14:paraId="10CABBDA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proofErr w:type="gramStart"/>
            <w:r w:rsidRPr="00BE7899">
              <w:rPr>
                <w:rFonts w:eastAsia="等线"/>
                <w:sz w:val="15"/>
                <w:szCs w:val="15"/>
              </w:rPr>
              <w:t>low-risk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 (score 0), </w:t>
            </w:r>
          </w:p>
          <w:p w14:paraId="4C954BDF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 xml:space="preserve">low-intermediate </w:t>
            </w:r>
            <w:proofErr w:type="gramStart"/>
            <w:r w:rsidRPr="00BE7899">
              <w:rPr>
                <w:rFonts w:eastAsia="等线"/>
                <w:sz w:val="15"/>
                <w:szCs w:val="15"/>
              </w:rPr>
              <w:t>risk(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score 1), </w:t>
            </w:r>
          </w:p>
          <w:p w14:paraId="168C9443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proofErr w:type="gramStart"/>
            <w:r w:rsidRPr="00BE7899">
              <w:rPr>
                <w:rFonts w:eastAsia="等线"/>
                <w:sz w:val="15"/>
                <w:szCs w:val="15"/>
              </w:rPr>
              <w:t>intermediate-risk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 (score 2), </w:t>
            </w:r>
          </w:p>
          <w:p w14:paraId="2A20978C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high-</w:t>
            </w:r>
            <w:proofErr w:type="gramStart"/>
            <w:r w:rsidRPr="00BE7899">
              <w:rPr>
                <w:rFonts w:eastAsia="等线"/>
                <w:sz w:val="15"/>
                <w:szCs w:val="15"/>
              </w:rPr>
              <w:t>risk(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>score ≥3)</w:t>
            </w:r>
          </w:p>
        </w:tc>
      </w:tr>
      <w:tr w:rsidR="006135B3" w:rsidRPr="00BE7899" w14:paraId="6274C057" w14:textId="77777777" w:rsidTr="001448E9">
        <w:tc>
          <w:tcPr>
            <w:tcW w:w="2405" w:type="dxa"/>
            <w:vAlign w:val="center"/>
          </w:tcPr>
          <w:p w14:paraId="44E4BB44" w14:textId="43ADCF77" w:rsidR="006135B3" w:rsidRPr="00BE7899" w:rsidRDefault="006135B3" w:rsidP="001448E9">
            <w:pPr>
              <w:spacing w:line="0" w:lineRule="atLeast"/>
              <w:jc w:val="left"/>
              <w:rPr>
                <w:rFonts w:eastAsia="等线" w:hint="eastAsia"/>
                <w:sz w:val="15"/>
                <w:szCs w:val="15"/>
                <w:vertAlign w:val="superscript"/>
              </w:rPr>
            </w:pPr>
            <w:r w:rsidRPr="00BE7899">
              <w:rPr>
                <w:rFonts w:eastAsia="等线"/>
                <w:sz w:val="15"/>
                <w:szCs w:val="15"/>
              </w:rPr>
              <w:t>CLL-IPI</w:t>
            </w:r>
            <w:r w:rsidRPr="00BE7899">
              <w:rPr>
                <w:rFonts w:eastAsia="等线"/>
                <w:sz w:val="15"/>
                <w:szCs w:val="15"/>
                <w:vertAlign w:val="superscript"/>
              </w:rPr>
              <w:t>8</w:t>
            </w:r>
            <w:r w:rsidR="009F01F4">
              <w:rPr>
                <w:rFonts w:eastAsia="等线" w:hint="eastAsia"/>
                <w:sz w:val="15"/>
                <w:szCs w:val="15"/>
                <w:vertAlign w:val="superscript"/>
              </w:rPr>
              <w:t>5</w:t>
            </w:r>
          </w:p>
        </w:tc>
        <w:tc>
          <w:tcPr>
            <w:tcW w:w="6521" w:type="dxa"/>
            <w:vAlign w:val="center"/>
          </w:tcPr>
          <w:p w14:paraId="15F0E77D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5 independent prognostic factors</w:t>
            </w:r>
            <w:r w:rsidRPr="00BE7899">
              <w:rPr>
                <w:rFonts w:eastAsia="等线"/>
                <w:sz w:val="15"/>
                <w:szCs w:val="15"/>
              </w:rPr>
              <w:t>：</w:t>
            </w:r>
          </w:p>
          <w:p w14:paraId="55ED5A56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4 point for TP53 abnormalities</w:t>
            </w:r>
            <w:r w:rsidRPr="00BE7899">
              <w:rPr>
                <w:rFonts w:eastAsia="等线"/>
                <w:sz w:val="15"/>
                <w:szCs w:val="15"/>
              </w:rPr>
              <w:t>（</w:t>
            </w:r>
            <w:r w:rsidRPr="00BE7899">
              <w:rPr>
                <w:rFonts w:eastAsia="等线"/>
                <w:sz w:val="15"/>
                <w:szCs w:val="15"/>
              </w:rPr>
              <w:t>del[17p] or </w:t>
            </w:r>
            <w:r w:rsidRPr="00BE7899">
              <w:rPr>
                <w:rFonts w:eastAsia="等线"/>
                <w:i/>
                <w:iCs/>
                <w:sz w:val="15"/>
                <w:szCs w:val="15"/>
              </w:rPr>
              <w:t>TP53</w:t>
            </w:r>
            <w:r w:rsidRPr="00BE7899">
              <w:rPr>
                <w:rFonts w:eastAsia="等线"/>
                <w:sz w:val="15"/>
                <w:szCs w:val="15"/>
              </w:rPr>
              <w:t> mutation or both</w:t>
            </w:r>
            <w:r w:rsidRPr="00BE7899">
              <w:rPr>
                <w:rFonts w:eastAsia="等线"/>
                <w:sz w:val="15"/>
                <w:szCs w:val="15"/>
              </w:rPr>
              <w:t>）</w:t>
            </w:r>
            <w:r w:rsidRPr="00BE7899">
              <w:rPr>
                <w:rFonts w:eastAsia="等线"/>
                <w:sz w:val="15"/>
                <w:szCs w:val="15"/>
              </w:rPr>
              <w:t>, 2 points for IGHV mutational or β2-microglobulin concentration &gt;3·5 mg/L, 1 point each to clinical stage (Binet A or Rai 0 vs Binet B–C or Rai I–IV), and age &gt;65 years)</w:t>
            </w:r>
          </w:p>
        </w:tc>
        <w:tc>
          <w:tcPr>
            <w:tcW w:w="5022" w:type="dxa"/>
            <w:vAlign w:val="center"/>
          </w:tcPr>
          <w:p w14:paraId="0DAF6A5D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4 groups:</w:t>
            </w:r>
          </w:p>
          <w:p w14:paraId="1D903273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proofErr w:type="gramStart"/>
            <w:r w:rsidRPr="00BE7899">
              <w:rPr>
                <w:rFonts w:eastAsia="等线"/>
                <w:sz w:val="15"/>
                <w:szCs w:val="15"/>
              </w:rPr>
              <w:t>low-risk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 (score 0-1), </w:t>
            </w:r>
          </w:p>
          <w:p w14:paraId="3FEC3640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 xml:space="preserve">low-intermediate </w:t>
            </w:r>
            <w:proofErr w:type="gramStart"/>
            <w:r w:rsidRPr="00BE7899">
              <w:rPr>
                <w:rFonts w:eastAsia="等线"/>
                <w:sz w:val="15"/>
                <w:szCs w:val="15"/>
              </w:rPr>
              <w:t>risk(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score 2-3), </w:t>
            </w:r>
          </w:p>
          <w:p w14:paraId="63EA123C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proofErr w:type="gramStart"/>
            <w:r w:rsidRPr="00BE7899">
              <w:rPr>
                <w:rFonts w:eastAsia="等线"/>
                <w:sz w:val="15"/>
                <w:szCs w:val="15"/>
              </w:rPr>
              <w:t>intermediate-risk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 xml:space="preserve"> (score 4-6), </w:t>
            </w:r>
          </w:p>
          <w:p w14:paraId="25CA7199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high-</w:t>
            </w:r>
            <w:proofErr w:type="gramStart"/>
            <w:r w:rsidRPr="00BE7899">
              <w:rPr>
                <w:rFonts w:eastAsia="等线"/>
                <w:sz w:val="15"/>
                <w:szCs w:val="15"/>
              </w:rPr>
              <w:t>risk(</w:t>
            </w:r>
            <w:proofErr w:type="gramEnd"/>
            <w:r w:rsidRPr="00BE7899">
              <w:rPr>
                <w:rFonts w:eastAsia="等线"/>
                <w:sz w:val="15"/>
                <w:szCs w:val="15"/>
              </w:rPr>
              <w:t>score 7-10)</w:t>
            </w:r>
          </w:p>
        </w:tc>
      </w:tr>
    </w:tbl>
    <w:p w14:paraId="3403A791" w14:textId="77777777" w:rsidR="006135B3" w:rsidRPr="00BE7899" w:rsidRDefault="006135B3" w:rsidP="006135B3">
      <w:pPr>
        <w:rPr>
          <w:rFonts w:ascii="Calibri" w:hAnsi="Calibri" w:cs="Calibri"/>
        </w:rPr>
      </w:pPr>
      <w:r w:rsidRPr="00BE7899">
        <w:rPr>
          <w:rFonts w:ascii="Calibri" w:hAnsi="Calibri" w:cs="Calibri"/>
        </w:rPr>
        <w:br w:type="page"/>
      </w:r>
    </w:p>
    <w:p w14:paraId="0B4036FA" w14:textId="77777777" w:rsidR="006135B3" w:rsidRPr="008D40E8" w:rsidRDefault="006135B3" w:rsidP="006135B3">
      <w:pPr>
        <w:spacing w:line="480" w:lineRule="auto"/>
        <w:rPr>
          <w:rFonts w:ascii="Calibri" w:eastAsia="等线" w:hAnsi="Calibri" w:cs="Calibri"/>
          <w:b/>
          <w:bCs/>
          <w:sz w:val="24"/>
        </w:rPr>
      </w:pPr>
      <w:r w:rsidRPr="008D40E8">
        <w:rPr>
          <w:rFonts w:ascii="Calibri" w:eastAsia="等线" w:hAnsi="Calibri" w:cs="Calibri"/>
          <w:b/>
          <w:bCs/>
          <w:sz w:val="24"/>
        </w:rPr>
        <w:lastRenderedPageBreak/>
        <w:t>supplement table 2 continued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2544"/>
        <w:gridCol w:w="6427"/>
        <w:gridCol w:w="4977"/>
      </w:tblGrid>
      <w:tr w:rsidR="006135B3" w:rsidRPr="00BE7899" w14:paraId="7BD17039" w14:textId="77777777" w:rsidTr="001448E9">
        <w:trPr>
          <w:trHeight w:val="246"/>
        </w:trPr>
        <w:tc>
          <w:tcPr>
            <w:tcW w:w="912" w:type="pct"/>
            <w:vAlign w:val="center"/>
          </w:tcPr>
          <w:p w14:paraId="3989CB5E" w14:textId="66AAFE8A" w:rsidR="006135B3" w:rsidRPr="00BE7899" w:rsidRDefault="006135B3" w:rsidP="001448E9">
            <w:pPr>
              <w:spacing w:line="0" w:lineRule="atLeast"/>
              <w:jc w:val="left"/>
              <w:rPr>
                <w:rFonts w:eastAsia="等线" w:hint="eastAsia"/>
                <w:sz w:val="15"/>
                <w:szCs w:val="15"/>
                <w:vertAlign w:val="superscript"/>
              </w:rPr>
            </w:pPr>
            <w:r w:rsidRPr="00BE7899">
              <w:rPr>
                <w:rFonts w:eastAsia="等线"/>
                <w:sz w:val="15"/>
                <w:szCs w:val="15"/>
              </w:rPr>
              <w:t>Four-Factor Prognostic Model</w:t>
            </w:r>
            <w:r w:rsidRPr="00BE7899">
              <w:rPr>
                <w:rFonts w:eastAsia="等线"/>
                <w:sz w:val="15"/>
                <w:szCs w:val="15"/>
                <w:vertAlign w:val="superscript"/>
              </w:rPr>
              <w:t>8</w:t>
            </w:r>
            <w:r w:rsidR="009F01F4">
              <w:rPr>
                <w:rFonts w:eastAsia="等线" w:hint="eastAsia"/>
                <w:sz w:val="15"/>
                <w:szCs w:val="15"/>
                <w:vertAlign w:val="superscript"/>
              </w:rPr>
              <w:t>7</w:t>
            </w:r>
          </w:p>
        </w:tc>
        <w:tc>
          <w:tcPr>
            <w:tcW w:w="2304" w:type="pct"/>
            <w:vAlign w:val="center"/>
          </w:tcPr>
          <w:p w14:paraId="764BB7FA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4 factors independently associated with inferior PFS:</w:t>
            </w:r>
          </w:p>
          <w:p w14:paraId="51DDE210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i/>
                <w:iCs/>
                <w:sz w:val="15"/>
                <w:szCs w:val="15"/>
              </w:rPr>
              <w:t>TP53</w:t>
            </w:r>
            <w:r w:rsidRPr="00BE7899">
              <w:rPr>
                <w:rFonts w:eastAsia="等线"/>
                <w:sz w:val="15"/>
                <w:szCs w:val="15"/>
              </w:rPr>
              <w:t xml:space="preserve"> aberration, prior treatment, β-2 </w:t>
            </w:r>
            <w:proofErr w:type="spellStart"/>
            <w:r w:rsidRPr="00BE7899">
              <w:rPr>
                <w:rFonts w:eastAsia="等线"/>
                <w:sz w:val="15"/>
                <w:szCs w:val="15"/>
              </w:rPr>
              <w:t>microglobulin</w:t>
            </w:r>
            <w:proofErr w:type="spellEnd"/>
            <w:r w:rsidRPr="00BE7899">
              <w:rPr>
                <w:rFonts w:eastAsia="等线"/>
                <w:sz w:val="15"/>
                <w:szCs w:val="15"/>
              </w:rPr>
              <w:t xml:space="preserve"> ≥ 5 mg/L, and lactate dehydrogenase &gt; 250 U/L. </w:t>
            </w:r>
          </w:p>
        </w:tc>
        <w:tc>
          <w:tcPr>
            <w:tcW w:w="1784" w:type="pct"/>
            <w:vAlign w:val="center"/>
          </w:tcPr>
          <w:p w14:paraId="48365D8C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3 groups:</w:t>
            </w:r>
          </w:p>
          <w:p w14:paraId="68AFA69D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 xml:space="preserve">low-risk group (zero to one point), </w:t>
            </w:r>
          </w:p>
          <w:p w14:paraId="3597BE4F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intermediate-risk group (two points),</w:t>
            </w:r>
          </w:p>
          <w:p w14:paraId="196CBE69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high-risk group (three to four points)</w:t>
            </w:r>
          </w:p>
        </w:tc>
      </w:tr>
      <w:tr w:rsidR="006135B3" w:rsidRPr="00BE7899" w14:paraId="4953C449" w14:textId="77777777" w:rsidTr="001448E9">
        <w:trPr>
          <w:trHeight w:val="246"/>
        </w:trPr>
        <w:tc>
          <w:tcPr>
            <w:tcW w:w="912" w:type="pct"/>
            <w:vAlign w:val="center"/>
          </w:tcPr>
          <w:p w14:paraId="2CCB2FBF" w14:textId="510B6342" w:rsidR="006135B3" w:rsidRPr="006C23FD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  <w:vertAlign w:val="superscript"/>
              </w:rPr>
            </w:pPr>
            <w:r w:rsidRPr="00BE7899">
              <w:rPr>
                <w:rFonts w:eastAsia="等线"/>
                <w:sz w:val="15"/>
                <w:szCs w:val="15"/>
              </w:rPr>
              <w:t>Derived model</w:t>
            </w:r>
            <w:r w:rsidRPr="006C23FD">
              <w:rPr>
                <w:rFonts w:eastAsia="等线" w:hint="eastAsia"/>
                <w:sz w:val="15"/>
                <w:szCs w:val="15"/>
                <w:vertAlign w:val="superscript"/>
              </w:rPr>
              <w:t>8</w:t>
            </w:r>
            <w:r w:rsidR="009F01F4">
              <w:rPr>
                <w:rFonts w:eastAsia="等线" w:hint="eastAsia"/>
                <w:sz w:val="15"/>
                <w:szCs w:val="15"/>
                <w:vertAlign w:val="superscript"/>
              </w:rPr>
              <w:t>8</w:t>
            </w:r>
          </w:p>
        </w:tc>
        <w:tc>
          <w:tcPr>
            <w:tcW w:w="2304" w:type="pct"/>
            <w:vAlign w:val="center"/>
          </w:tcPr>
          <w:p w14:paraId="09F381BD" w14:textId="77777777" w:rsidR="006135B3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 xml:space="preserve">consisted of </w:t>
            </w:r>
            <w:r>
              <w:rPr>
                <w:rFonts w:eastAsia="等线" w:hint="eastAsia"/>
                <w:sz w:val="15"/>
                <w:szCs w:val="15"/>
              </w:rPr>
              <w:t>4</w:t>
            </w:r>
            <w:r w:rsidRPr="00BE7899">
              <w:rPr>
                <w:rFonts w:eastAsia="等线"/>
                <w:sz w:val="15"/>
                <w:szCs w:val="15"/>
              </w:rPr>
              <w:t xml:space="preserve"> </w:t>
            </w:r>
            <w:proofErr w:type="gramStart"/>
            <w:r w:rsidRPr="00BE7899">
              <w:rPr>
                <w:rFonts w:eastAsia="等线"/>
                <w:sz w:val="15"/>
                <w:szCs w:val="15"/>
              </w:rPr>
              <w:t>factors </w:t>
            </w:r>
            <w:r>
              <w:rPr>
                <w:rFonts w:eastAsia="等线" w:hint="eastAsia"/>
                <w:sz w:val="15"/>
                <w:szCs w:val="15"/>
              </w:rPr>
              <w:t>:</w:t>
            </w:r>
            <w:proofErr w:type="gramEnd"/>
          </w:p>
          <w:p w14:paraId="5DC4F0D9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one point each; serum β</w:t>
            </w:r>
            <w:r w:rsidRPr="00BE7899">
              <w:rPr>
                <w:rFonts w:eastAsia="等线"/>
                <w:sz w:val="15"/>
                <w:szCs w:val="15"/>
                <w:vertAlign w:val="subscript"/>
              </w:rPr>
              <w:t>2</w:t>
            </w:r>
            <w:r w:rsidRPr="00BE7899">
              <w:rPr>
                <w:rFonts w:eastAsia="等线"/>
                <w:sz w:val="15"/>
                <w:szCs w:val="15"/>
              </w:rPr>
              <w:t xml:space="preserve">-microglobulin ≥5 mg/dL, lactate dehydrogenase &gt;upper limit of normal, </w:t>
            </w:r>
            <w:proofErr w:type="spellStart"/>
            <w:r w:rsidRPr="00BE7899">
              <w:rPr>
                <w:rFonts w:eastAsia="等线"/>
                <w:sz w:val="15"/>
                <w:szCs w:val="15"/>
              </w:rPr>
              <w:t>haemoglobin</w:t>
            </w:r>
            <w:proofErr w:type="spellEnd"/>
            <w:r w:rsidRPr="00BE7899">
              <w:rPr>
                <w:rFonts w:eastAsia="等线"/>
                <w:sz w:val="15"/>
                <w:szCs w:val="15"/>
              </w:rPr>
              <w:t xml:space="preserve"> &lt;110 g/L for women or &lt;120 g/L for men, and time from initiation of last therapy &lt;24 months</w:t>
            </w:r>
          </w:p>
        </w:tc>
        <w:tc>
          <w:tcPr>
            <w:tcW w:w="1784" w:type="pct"/>
            <w:vAlign w:val="center"/>
          </w:tcPr>
          <w:p w14:paraId="67588FB8" w14:textId="77777777" w:rsidR="006135B3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3 groups:</w:t>
            </w:r>
          </w:p>
          <w:p w14:paraId="4B8E6C58" w14:textId="77777777" w:rsidR="006135B3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low (score 0-1),</w:t>
            </w:r>
          </w:p>
          <w:p w14:paraId="31DF5864" w14:textId="77777777" w:rsidR="006135B3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 xml:space="preserve">intermediate (score 2-3), </w:t>
            </w:r>
          </w:p>
          <w:p w14:paraId="604EC7CC" w14:textId="77777777" w:rsidR="006135B3" w:rsidRPr="00BE7899" w:rsidRDefault="006135B3" w:rsidP="001448E9">
            <w:pPr>
              <w:spacing w:line="0" w:lineRule="atLeast"/>
              <w:jc w:val="left"/>
              <w:rPr>
                <w:rFonts w:eastAsia="等线"/>
                <w:sz w:val="15"/>
                <w:szCs w:val="15"/>
              </w:rPr>
            </w:pPr>
            <w:r w:rsidRPr="00BE7899">
              <w:rPr>
                <w:rFonts w:eastAsia="等线"/>
                <w:sz w:val="15"/>
                <w:szCs w:val="15"/>
              </w:rPr>
              <w:t>high risk (score 4) groups. </w:t>
            </w:r>
          </w:p>
        </w:tc>
      </w:tr>
    </w:tbl>
    <w:p w14:paraId="2391DD13" w14:textId="77777777" w:rsidR="006135B3" w:rsidRDefault="006135B3">
      <w:pPr>
        <w:rPr>
          <w:rFonts w:hint="eastAsia"/>
        </w:rPr>
      </w:pPr>
    </w:p>
    <w:sectPr w:rsidR="006135B3" w:rsidSect="006135B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D07363" w14:textId="77777777" w:rsidR="005D1A73" w:rsidRDefault="005D1A73" w:rsidP="009F01F4">
      <w:pPr>
        <w:rPr>
          <w:rFonts w:hint="eastAsia"/>
        </w:rPr>
      </w:pPr>
      <w:r>
        <w:separator/>
      </w:r>
    </w:p>
  </w:endnote>
  <w:endnote w:type="continuationSeparator" w:id="0">
    <w:p w14:paraId="33B68144" w14:textId="77777777" w:rsidR="005D1A73" w:rsidRDefault="005D1A73" w:rsidP="009F01F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7E2EAF" w14:textId="77777777" w:rsidR="005D1A73" w:rsidRDefault="005D1A73" w:rsidP="009F01F4">
      <w:pPr>
        <w:rPr>
          <w:rFonts w:hint="eastAsia"/>
        </w:rPr>
      </w:pPr>
      <w:r>
        <w:separator/>
      </w:r>
    </w:p>
  </w:footnote>
  <w:footnote w:type="continuationSeparator" w:id="0">
    <w:p w14:paraId="26A4539F" w14:textId="77777777" w:rsidR="005D1A73" w:rsidRDefault="005D1A73" w:rsidP="009F01F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B3"/>
    <w:rsid w:val="005D1A73"/>
    <w:rsid w:val="006135B3"/>
    <w:rsid w:val="009F01F4"/>
    <w:rsid w:val="00A8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7E69A8"/>
  <w15:chartTrackingRefBased/>
  <w15:docId w15:val="{5314B19A-BACE-4704-B9C6-915BB66F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B3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35B3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35B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35B3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35B3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5B3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5B3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35B3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35B3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35B3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35B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3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3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35B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35B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135B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35B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35B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35B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35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613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35B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6135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35B3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6135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35B3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6135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3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6135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35B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6135B3"/>
    <w:pPr>
      <w:spacing w:after="0" w:line="240" w:lineRule="auto"/>
    </w:pPr>
    <w:rPr>
      <w:rFonts w:ascii="Calibri" w:eastAsia="宋体" w:hAnsi="Calibri" w:cs="Calibri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F01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F01F4"/>
    <w:rPr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9F01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F01F4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大力 李</dc:creator>
  <cp:keywords/>
  <dc:description/>
  <cp:lastModifiedBy>大力 李</cp:lastModifiedBy>
  <cp:revision>2</cp:revision>
  <dcterms:created xsi:type="dcterms:W3CDTF">2024-10-30T17:11:00Z</dcterms:created>
  <dcterms:modified xsi:type="dcterms:W3CDTF">2024-10-30T18:58:00Z</dcterms:modified>
</cp:coreProperties>
</file>