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FE9FF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es-ES_tradnl"/>
          <w14:ligatures w14:val="none"/>
        </w:rPr>
      </w:pPr>
      <w:r w:rsidRPr="00A23581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es-ES_tradnl"/>
          <w14:ligatures w14:val="none"/>
        </w:rPr>
        <w:t>Characteristics, outcomes and treatment patterns in acute myeloid leukemia patients 60 Years or older in Colombia: a RENEHOC-PETHEMA</w:t>
      </w:r>
      <w:r w:rsidRPr="00A23581" w:rsidDel="00B17F5F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es-ES_tradnl"/>
          <w14:ligatures w14:val="none"/>
        </w:rPr>
        <w:t xml:space="preserve"> </w:t>
      </w:r>
      <w:r w:rsidRPr="00A23581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es-ES_tradnl"/>
          <w14:ligatures w14:val="none"/>
        </w:rPr>
        <w:t>study</w:t>
      </w:r>
    </w:p>
    <w:p w14:paraId="6C10A24B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es-ES_tradnl"/>
          <w14:ligatures w14:val="none"/>
        </w:rPr>
      </w:pPr>
    </w:p>
    <w:p w14:paraId="552EFC19" w14:textId="5BA50C00" w:rsidR="00A23581" w:rsidRPr="008F513E" w:rsidRDefault="00A23581" w:rsidP="00531564">
      <w:pPr>
        <w:spacing w:after="6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n-US" w:eastAsia="es-ES_tradnl"/>
          <w14:ligatures w14:val="none"/>
        </w:rPr>
        <w:t>Claudia Sossa-Melo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br/>
      </w:r>
      <w:r w:rsidR="004D018C"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 xml:space="preserve">Faculty of Health Sciences, Universidad </w:t>
      </w:r>
      <w:proofErr w:type="spellStart"/>
      <w:r w:rsidR="004D018C"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>Autónoma</w:t>
      </w:r>
      <w:proofErr w:type="spellEnd"/>
      <w:r w:rsidR="004D018C"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 xml:space="preserve"> de Bucaramanga, </w:t>
      </w:r>
      <w:proofErr w:type="spellStart"/>
      <w:r w:rsidR="004D018C"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>Floridablanca</w:t>
      </w:r>
      <w:proofErr w:type="spellEnd"/>
      <w:r w:rsidR="004D018C"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>, Colombia</w:t>
      </w:r>
      <w:r w:rsidR="004D018C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 xml:space="preserve">, 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 xml:space="preserve">Hematology and Hematopoietic Stem Cell Transplantation Unit, Fundación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>Oftalmológica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t xml:space="preserve"> de Santander (FOSCAL).</w:t>
      </w:r>
    </w:p>
    <w:p w14:paraId="068A37CF" w14:textId="52B0B67A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n-US" w:eastAsia="es-ES_tradnl"/>
          <w14:ligatures w14:val="none"/>
        </w:rPr>
        <w:t>Corresponding Author: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s-ES_tradnl"/>
          <w14:ligatures w14:val="none"/>
        </w:rPr>
        <w:br/>
        <w:t>Email: claudiasossa@gmail.com</w:t>
      </w:r>
    </w:p>
    <w:p w14:paraId="7F8BA2D0" w14:textId="3077D8CC" w:rsidR="00A23581" w:rsidRDefault="00A23581" w:rsidP="00531564">
      <w:pPr>
        <w:spacing w:after="6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Virginia Abello Polo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Clinical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Funcional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Leukemia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Lymphoma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Myeloma</w:t>
      </w:r>
      <w:proofErr w:type="spellEnd"/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Centro de Tratamiento e Investigación sobre Cáncer Luis Carlos Sarmiento Angulo (CTIC), Bogotá, Colombia.</w:t>
      </w:r>
    </w:p>
    <w:p w14:paraId="3ABCFE2F" w14:textId="77777777" w:rsidR="00003A25" w:rsidRPr="00A23581" w:rsidRDefault="00003A25" w:rsidP="00531564">
      <w:pPr>
        <w:spacing w:after="6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191A3F55" w14:textId="552CECA8" w:rsidR="00003A25" w:rsidRPr="00003A25" w:rsidRDefault="00A23581" w:rsidP="00003A25">
      <w:pPr>
        <w:spacing w:after="6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Luis A. Salazar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Health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Sciences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Universidad Autónoma de Bucaramanga, Floridablanca, Colombia,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and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Hematopoietic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Stem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Cell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Transplantation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Fundación Oftalmológica de Santander (FOSCAL).</w:t>
      </w:r>
    </w:p>
    <w:p w14:paraId="215B4762" w14:textId="3D2BB89F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Angela M. Peña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and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Hematopoietic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Stem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Cell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Transplantation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Fundación Oftalmológica de Santander (FOSCAL)</w:t>
      </w:r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.</w:t>
      </w:r>
    </w:p>
    <w:p w14:paraId="45CE483A" w14:textId="420A15CE" w:rsidR="00A23581" w:rsidRPr="008F513E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María Luna-González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Health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Sciences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Universidad Autónoma de Bucaramanga, Bucaramanga, Colombia. </w:t>
      </w:r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eastAsia="es-ES_tradnl"/>
          <w14:ligatures w14:val="none"/>
        </w:rPr>
        <w:t xml:space="preserve">Programa para el tratamiento de las enfermedades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eastAsia="es-ES_tradnl"/>
          <w14:ligatures w14:val="none"/>
        </w:rPr>
        <w:t>hemato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eastAsia="es-ES_tradnl"/>
          <w14:ligatures w14:val="none"/>
        </w:rPr>
        <w:t>-oncológicas de Santander</w:t>
      </w:r>
      <w:r w:rsidRPr="008F513E">
        <w:rPr>
          <w:rFonts w:ascii="Times New Roman" w:eastAsia="Times New Roman" w:hAnsi="Times New Roman" w:cs="Times New Roman"/>
          <w:kern w:val="0"/>
          <w:sz w:val="20"/>
          <w:szCs w:val="20"/>
          <w:lang w:eastAsia="es-ES_tradnl"/>
          <w14:ligatures w14:val="none"/>
        </w:rPr>
        <w:t>, Floridablanca, Colombia.</w:t>
      </w:r>
    </w:p>
    <w:p w14:paraId="15B5B9CE" w14:textId="4F71FEA5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Diana Cuervo-Lozada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</w:t>
      </w:r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Hospital San Jos</w:t>
      </w:r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é</w:t>
      </w:r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- Fundaci</w:t>
      </w:r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ó</w:t>
      </w:r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n Universitaria de Ciencias de la Salud (FUCS)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Bogotá, Colombia.</w:t>
      </w:r>
    </w:p>
    <w:p w14:paraId="77A5DA6A" w14:textId="3B9119ED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Guillermo E. Quintero-Vega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Fundación Santa Fe de Bogotá, Bogotá, Colombia.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Medicine, Universidad de Los Andes, Bogotá, Colombia.</w:t>
      </w:r>
    </w:p>
    <w:p w14:paraId="30B918C2" w14:textId="32FE095D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Jorge Daza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Centro de Tratamiento e Investigación sobre Cáncer Luis Carlos Sarmiento Angulo (CTIC), Bogotá, Colombia.</w:t>
      </w:r>
    </w:p>
    <w:p w14:paraId="47F794E1" w14:textId="38F87702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Olga Paola Omaña-Orduz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Functional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Leukemia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Lymphoma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and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Myeloma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Centro de Tratamiento e Investigación sobre Cáncer Luis Carlos Sarmiento Angulo (CTIC), Bogotá, Colombia.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  <w:t>Research Group GIGA, CTIC.</w:t>
      </w:r>
    </w:p>
    <w:p w14:paraId="001763BE" w14:textId="665D2C88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William Mantilla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Breast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Cancer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Centro de Tratamiento e Investigación sobre Cáncer Luis Carlos Sarmiento Angulo (CTIC). </w:t>
      </w:r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Fundación </w:t>
      </w:r>
      <w:proofErr w:type="spellStart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Cardioinfantil</w:t>
      </w:r>
      <w:proofErr w:type="spellEnd"/>
      <w:r w:rsidR="00003A25" w:rsidRP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- Instituto de Cardiología</w:t>
      </w:r>
      <w:r w:rsidR="00003A25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Bogotá, Colombia.</w:t>
      </w:r>
    </w:p>
    <w:p w14:paraId="1C5A27FF" w14:textId="79962278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Iván Perdomo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Clínica Los Nogales, Bogotá, Colombia.</w:t>
      </w:r>
    </w:p>
    <w:p w14:paraId="49BD2F6A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79D0CB73" w14:textId="3BABF938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lastRenderedPageBreak/>
        <w:t xml:space="preserve">Kenny </w:t>
      </w:r>
      <w:proofErr w:type="spellStart"/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Galvez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Hospital Pablo Tobón Uribe, Medellín, Colombia.</w:t>
      </w:r>
    </w:p>
    <w:p w14:paraId="5A19E1BA" w14:textId="2DFDE4BA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Laura María Díaz Correa</w:t>
      </w: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Hospital Pablo Tobón Uribe, Medellín, Colombia.</w:t>
      </w:r>
    </w:p>
    <w:p w14:paraId="2DF58C97" w14:textId="2A7A8FD0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Paola Andrea Guerrero-Burbano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Hematologist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Cancer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Clínica Imbanaco -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Quirónsalud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Cali, Colombia.</w:t>
      </w:r>
    </w:p>
    <w:p w14:paraId="401F4589" w14:textId="09E1C4C4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Juan Manuel Herrera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Hematologist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Cancer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Clínica Imbanaco -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Quirónsalud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Cali, Colombia.</w:t>
      </w:r>
    </w:p>
    <w:p w14:paraId="0ABB79F5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55424FAB" w14:textId="61D08CE0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Henry Idrobo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Centro Médico Julián </w:t>
      </w:r>
      <w:proofErr w:type="gram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Coronel</w:t>
      </w:r>
      <w:proofErr w:type="gram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Cali, Colombia.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Health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Sciences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Universidad del Valle, Cali, Colombia.</w:t>
      </w:r>
    </w:p>
    <w:p w14:paraId="6BF73EA4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072B0C86" w14:textId="1A43943F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LM Gaviria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Hospital Universitario San Vicente Fundación, Medellín, Colombia.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Medicine, Universidad de Antioquia, Medellín, Colombia.</w:t>
      </w:r>
    </w:p>
    <w:p w14:paraId="198C165F" w14:textId="77777777" w:rsidR="00A23581" w:rsidRPr="00A23581" w:rsidRDefault="00A23581" w:rsidP="00A2358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val="es-VE" w:eastAsia="es-ES_tradnl"/>
          <w14:ligatures w14:val="none"/>
        </w:rPr>
      </w:pPr>
    </w:p>
    <w:p w14:paraId="2E42FC00" w14:textId="2B4CA3E6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 xml:space="preserve">Mario Ernesto Correa </w:t>
      </w:r>
      <w:proofErr w:type="spellStart"/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Correa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Clínica Nuestra Señora de los Remedios, Cali, Colombia.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Health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Sciences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Pontificia Universidad Javeriana, Cali, Colombia.</w:t>
      </w:r>
    </w:p>
    <w:p w14:paraId="5ACA5C66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20478B13" w14:textId="2E34E623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José Lobatón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Centro IMAT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Oncomedica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Montería, Colombia.</w:t>
      </w:r>
    </w:p>
    <w:p w14:paraId="73AF1F75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2056B741" w14:textId="0DCC9C15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Carlos Daniel Bermúdez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Department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Centro de Investigaciones Oncológicas, Clínica San Diego, Bogotá, Colombia.</w:t>
      </w:r>
    </w:p>
    <w:p w14:paraId="39C0F3E2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3A58F294" w14:textId="147BFBBB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proofErr w:type="spellStart"/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Julian</w:t>
      </w:r>
      <w:proofErr w:type="spellEnd"/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 xml:space="preserve"> Eduardo Pedraza Morales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Service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Clínica Colsubsidio 127, Bogotá, Colombia.</w:t>
      </w:r>
    </w:p>
    <w:p w14:paraId="015EEA91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31596523" w14:textId="69663A66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Juan Carlos Serrano Casas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Service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Clínica de Cancerología del Norte de Santander, Cúcuta, Colombia.</w:t>
      </w:r>
    </w:p>
    <w:p w14:paraId="4D89CCDA" w14:textId="22CAF861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Francisco Jaramillo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Fundación Valle del Lili, Cali, Colombia.</w:t>
      </w:r>
    </w:p>
    <w:p w14:paraId="3A84A412" w14:textId="36EA42C9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Rigoberto Gómez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Service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IDC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Hematooncólogos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S.A., Cali, Colombia.</w:t>
      </w:r>
    </w:p>
    <w:p w14:paraId="0D9712AB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77B3F293" w14:textId="25875E88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Carmen Rosales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Sociedad de Oncología y Hematología del Cesar (SOHEC), Valledupar, Colombia.</w:t>
      </w:r>
    </w:p>
    <w:p w14:paraId="4D6DE40B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0BD2508B" w14:textId="6C99D693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María Helena Solano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Service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, Hospital de San José, Bogotá, Colombia.</w:t>
      </w:r>
    </w:p>
    <w:p w14:paraId="1E68901B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</w:p>
    <w:p w14:paraId="2C6D2AB6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s-VE" w:eastAsia="es-ES_tradnl"/>
          <w14:ligatures w14:val="none"/>
        </w:rPr>
        <w:t>Carlos Varón</w:t>
      </w:r>
    </w:p>
    <w:p w14:paraId="730C45DB" w14:textId="77777777" w:rsidR="00A23581" w:rsidRPr="00A23581" w:rsidRDefault="00A23581" w:rsidP="00A2358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val="es-VE" w:eastAsia="es-ES_tradnl"/>
          <w14:ligatures w14:val="none"/>
        </w:rPr>
      </w:pPr>
      <w:proofErr w:type="spellStart"/>
      <w:r w:rsidRPr="00A235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VE" w:eastAsia="es-ES_tradnl"/>
          <w14:ligatures w14:val="none"/>
        </w:rPr>
        <w:t>service</w:t>
      </w:r>
      <w:proofErr w:type="spellEnd"/>
      <w:r w:rsidRPr="00A235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VE" w:eastAsia="es-ES_tradnl"/>
          <w14:ligatures w14:val="none"/>
        </w:rPr>
        <w:t xml:space="preserve">, </w:t>
      </w:r>
      <w:r w:rsidRPr="00A235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val="es-VE" w:eastAsia="es-ES_tradnl"/>
          <w14:ligatures w14:val="none"/>
        </w:rPr>
        <w:t>Unidad Hematológica Especializada, Cúcuta, Colombia</w:t>
      </w:r>
    </w:p>
    <w:p w14:paraId="24853A51" w14:textId="6D03DE7C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Rebeca Rodríguez Veiga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Hospital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Universitari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i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Politècnic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La Fe, Valencia, España.</w:t>
      </w:r>
    </w:p>
    <w:p w14:paraId="261AF138" w14:textId="39216912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lastRenderedPageBreak/>
        <w:t>David Martínez-</w:t>
      </w:r>
      <w:proofErr w:type="spellStart"/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Cuadrón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Hospital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Universitari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i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Politècnic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La Fe, Valencia, España.</w:t>
      </w:r>
    </w:p>
    <w:p w14:paraId="72A4C93B" w14:textId="178C72FA" w:rsidR="00A23581" w:rsidRPr="00A23581" w:rsidRDefault="00A23581" w:rsidP="00A23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</w:pPr>
      <w:r w:rsidRPr="00A23581">
        <w:rPr>
          <w:rFonts w:ascii="Times New Roman" w:eastAsia="Yu Gothic Light" w:hAnsi="Times New Roman" w:cs="Times New Roman"/>
          <w:b/>
          <w:bCs/>
          <w:kern w:val="0"/>
          <w:sz w:val="20"/>
          <w:szCs w:val="20"/>
          <w:lang w:val="es-VE" w:eastAsia="es-ES_tradnl"/>
          <w14:ligatures w14:val="none"/>
        </w:rPr>
        <w:t>Pau Montesinos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Hematology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, Hospital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Universitari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i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Politècnic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La Fe, Valencia, España.</w:t>
      </w:r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br/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Faculty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of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Medicine, </w:t>
      </w:r>
      <w:proofErr w:type="spellStart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>Universitat</w:t>
      </w:r>
      <w:proofErr w:type="spellEnd"/>
      <w:r w:rsidRPr="00A23581">
        <w:rPr>
          <w:rFonts w:ascii="Times New Roman" w:eastAsia="Times New Roman" w:hAnsi="Times New Roman" w:cs="Times New Roman"/>
          <w:kern w:val="0"/>
          <w:sz w:val="20"/>
          <w:szCs w:val="20"/>
          <w:lang w:val="es-VE" w:eastAsia="es-ES_tradnl"/>
          <w14:ligatures w14:val="none"/>
        </w:rPr>
        <w:t xml:space="preserve"> de València, Valencia, España.</w:t>
      </w:r>
    </w:p>
    <w:p w14:paraId="3B9697DE" w14:textId="77777777" w:rsidR="00A23581" w:rsidRPr="00BC2C3B" w:rsidRDefault="00A23581" w:rsidP="00A23581">
      <w:pPr>
        <w:rPr>
          <w:lang w:val="en-US"/>
        </w:rPr>
      </w:pPr>
    </w:p>
    <w:p w14:paraId="1B4CE556" w14:textId="77777777" w:rsidR="00A23581" w:rsidRDefault="00A23581" w:rsidP="00A23581">
      <w:pPr>
        <w:rPr>
          <w:lang w:val="en-US"/>
        </w:rPr>
        <w:sectPr w:rsidR="00A23581" w:rsidSect="00A23581"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</w:p>
    <w:p w14:paraId="421C0DD2" w14:textId="7017C80F" w:rsidR="00BC2C3B" w:rsidRPr="00FF4D0A" w:rsidRDefault="00BC2C3B">
      <w:pPr>
        <w:rPr>
          <w:rFonts w:ascii="Times New Roman" w:hAnsi="Times New Roman" w:cs="Times New Roman"/>
          <w:b/>
          <w:bCs/>
          <w:lang w:val="en-US"/>
        </w:rPr>
      </w:pPr>
      <w:r w:rsidRPr="00BC2C3B">
        <w:rPr>
          <w:rFonts w:ascii="Times New Roman" w:hAnsi="Times New Roman" w:cs="Times New Roman"/>
          <w:b/>
          <w:bCs/>
          <w:lang w:val="en-US"/>
        </w:rPr>
        <w:lastRenderedPageBreak/>
        <w:t>Supplementa</w:t>
      </w:r>
      <w:r w:rsidR="008F513E">
        <w:rPr>
          <w:rFonts w:ascii="Times New Roman" w:hAnsi="Times New Roman" w:cs="Times New Roman"/>
          <w:b/>
          <w:bCs/>
          <w:lang w:val="en-US"/>
        </w:rPr>
        <w:t>ry</w:t>
      </w:r>
      <w:r w:rsidRPr="00BC2C3B">
        <w:rPr>
          <w:rFonts w:ascii="Times New Roman" w:hAnsi="Times New Roman" w:cs="Times New Roman"/>
          <w:b/>
          <w:bCs/>
          <w:lang w:val="en-US"/>
        </w:rPr>
        <w:t xml:space="preserve"> Table 1.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B3896">
        <w:rPr>
          <w:rFonts w:ascii="Times New Roman" w:hAnsi="Times New Roman" w:cs="Times New Roman"/>
          <w:lang w:val="en-US"/>
        </w:rPr>
        <w:t>Induction Chemotherapy Regimens for Intensive and Non-Intensive Treatment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2"/>
        <w:gridCol w:w="2735"/>
        <w:gridCol w:w="1129"/>
        <w:gridCol w:w="7698"/>
      </w:tblGrid>
      <w:tr w:rsidR="00BC2C3B" w:rsidRPr="00BC2C3B" w14:paraId="6A6CD232" w14:textId="77777777" w:rsidTr="004B3896">
        <w:trPr>
          <w:trHeight w:val="555"/>
        </w:trPr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FA8AE6" w14:textId="77777777" w:rsidR="00BC2C3B" w:rsidRPr="00BC2C3B" w:rsidRDefault="00BC2C3B" w:rsidP="00951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Therapeutic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Approach</w:t>
            </w:r>
            <w:proofErr w:type="spellEnd"/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AF95F0" w14:textId="77777777" w:rsidR="00BC2C3B" w:rsidRPr="00BC2C3B" w:rsidRDefault="00BC2C3B" w:rsidP="00951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Treatment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Regimen</w:t>
            </w:r>
            <w:proofErr w:type="spellEnd"/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17DFBE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s-CO"/>
                <w14:ligatures w14:val="none"/>
              </w:rPr>
              <w:t>n = 269 (100%)</w:t>
            </w:r>
          </w:p>
        </w:tc>
        <w:tc>
          <w:tcPr>
            <w:tcW w:w="30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EF67C5" w14:textId="77777777" w:rsidR="00BC2C3B" w:rsidRPr="00BC2C3B" w:rsidRDefault="00BC2C3B" w:rsidP="004B3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Dose</w:t>
            </w:r>
            <w:proofErr w:type="spellEnd"/>
          </w:p>
        </w:tc>
      </w:tr>
      <w:tr w:rsidR="00BC2C3B" w:rsidRPr="004D018C" w14:paraId="1B394F73" w14:textId="77777777" w:rsidTr="0094363B">
        <w:trPr>
          <w:trHeight w:val="284"/>
        </w:trPr>
        <w:tc>
          <w:tcPr>
            <w:tcW w:w="6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8BC00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Intensive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Chemotherapy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(IC) </w:t>
            </w:r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br/>
              <w:t>n=99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452A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IDA + Ara-C (3+7)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04CB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71 (26.4)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C3DA" w14:textId="6B212B18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IDA 10–12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  D1–3 + Ara-C 100–200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D1–7</w:t>
            </w:r>
          </w:p>
        </w:tc>
      </w:tr>
      <w:tr w:rsidR="00BC2C3B" w:rsidRPr="004D018C" w14:paraId="06C8193F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9ACAC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F750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DNR + Ara-C (3+7)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6DB6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13 (4.8)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C68E" w14:textId="727F3286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DNR 60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  D1–3 + Ara-C 200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D1–7</w:t>
            </w:r>
          </w:p>
        </w:tc>
      </w:tr>
      <w:tr w:rsidR="00BC2C3B" w:rsidRPr="004D018C" w14:paraId="52951444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D297A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11DF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IDA + Ara-C (2+5)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8F13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6 (2.2)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9781" w14:textId="14C233CC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IDA 10–12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D1–2 + Ara-C 100–200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D1–5</w:t>
            </w:r>
          </w:p>
        </w:tc>
      </w:tr>
      <w:tr w:rsidR="00BC2C3B" w:rsidRPr="004D018C" w14:paraId="7120FA73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75DD4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61C9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IDA+Ara-C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(3+7) + FLT3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Inhibitor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38B5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 (0.7)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45AF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IDA 10–12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D1–3 + Ara-C 100–200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/daily D1–7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midostaurin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50 mg /12hr D 8-21</w:t>
            </w:r>
          </w:p>
        </w:tc>
      </w:tr>
      <w:tr w:rsidR="00BC2C3B" w:rsidRPr="00BC2C3B" w14:paraId="40BAC7F0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5109B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AC37B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Ara-C 1g/m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s-CO"/>
                <w14:ligatures w14:val="none"/>
              </w:rPr>
              <w:t>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0FDD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 (0.7)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6461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1000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D1,3 and 5</w:t>
            </w:r>
          </w:p>
        </w:tc>
      </w:tr>
      <w:tr w:rsidR="00BC2C3B" w:rsidRPr="004D018C" w14:paraId="0E22F079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50ED7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20F9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Ara-C 100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x 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EC9D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 (0.7)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1C0D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Ara-C 100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D1–5</w:t>
            </w:r>
          </w:p>
        </w:tc>
      </w:tr>
      <w:tr w:rsidR="00BC2C3B" w:rsidRPr="004D018C" w14:paraId="074AE230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00BF3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59BE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MTX+Ara-C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(LA FE OLD)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C097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1 (0.4)</w:t>
            </w: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305B" w14:textId="63C0A4D0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MTX 10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D1-3 + Ara-C 150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D1-7</w:t>
            </w:r>
          </w:p>
        </w:tc>
      </w:tr>
      <w:tr w:rsidR="00BC2C3B" w:rsidRPr="00BC2C3B" w14:paraId="1CE6CE51" w14:textId="77777777" w:rsidTr="0094363B">
        <w:trPr>
          <w:trHeight w:val="284"/>
        </w:trPr>
        <w:tc>
          <w:tcPr>
            <w:tcW w:w="60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3F7B8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33519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Other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(intensive)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8BF19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 (0.7)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7F2B5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Not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available</w:t>
            </w:r>
            <w:proofErr w:type="spellEnd"/>
          </w:p>
        </w:tc>
      </w:tr>
      <w:tr w:rsidR="00BC2C3B" w:rsidRPr="004D018C" w14:paraId="6A3D9639" w14:textId="77777777" w:rsidTr="00BC2C3B">
        <w:trPr>
          <w:trHeight w:val="552"/>
        </w:trPr>
        <w:tc>
          <w:tcPr>
            <w:tcW w:w="60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85B49E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Non-Intensive Chemotherapy </w:t>
            </w:r>
          </w:p>
          <w:p w14:paraId="6D6EFE44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(Non-IC)</w:t>
            </w:r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br/>
              <w:t>n=129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D73FB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FLUGA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758FF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24 (8.9)</w:t>
            </w:r>
          </w:p>
        </w:tc>
        <w:tc>
          <w:tcPr>
            <w:tcW w:w="3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E0F4C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FLU 40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orally or 25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IV D2–5 or 6 + Ara-C 75 mg / 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/ daily D2–5 + G-CSF 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br/>
              <w:t xml:space="preserve">5 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μ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g/kg/daily D1,3</w:t>
            </w:r>
          </w:p>
        </w:tc>
      </w:tr>
      <w:tr w:rsidR="00BC2C3B" w:rsidRPr="00BC2C3B" w14:paraId="2B6D0A08" w14:textId="77777777" w:rsidTr="0094363B">
        <w:trPr>
          <w:trHeight w:val="284"/>
        </w:trPr>
        <w:tc>
          <w:tcPr>
            <w:tcW w:w="6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B8EAB6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1386F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Low-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Dose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Ara-C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EDEE0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10 (3.7)</w:t>
            </w:r>
          </w:p>
        </w:tc>
        <w:tc>
          <w:tcPr>
            <w:tcW w:w="3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92E96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Ara-C, 20 mg/12hr D1–10</w:t>
            </w:r>
          </w:p>
        </w:tc>
      </w:tr>
      <w:tr w:rsidR="00BC2C3B" w:rsidRPr="004D018C" w14:paraId="1E11E613" w14:textId="77777777" w:rsidTr="0094363B">
        <w:trPr>
          <w:trHeight w:val="284"/>
        </w:trPr>
        <w:tc>
          <w:tcPr>
            <w:tcW w:w="6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6B112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3C30D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Azacitidine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E9673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66 (24.5)</w:t>
            </w:r>
          </w:p>
        </w:tc>
        <w:tc>
          <w:tcPr>
            <w:tcW w:w="3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E939E" w14:textId="7949C8FC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AZA 75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D1–7 or on a 5-on/2-off [weekend] /2-on schedule Q28D</w:t>
            </w:r>
          </w:p>
        </w:tc>
      </w:tr>
      <w:tr w:rsidR="00BC2C3B" w:rsidRPr="004D018C" w14:paraId="75D5D2AC" w14:textId="77777777" w:rsidTr="0094363B">
        <w:trPr>
          <w:trHeight w:val="284"/>
        </w:trPr>
        <w:tc>
          <w:tcPr>
            <w:tcW w:w="6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B419EE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38DB0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Decitabine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F64B1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4 (1.5)</w:t>
            </w:r>
          </w:p>
        </w:tc>
        <w:tc>
          <w:tcPr>
            <w:tcW w:w="3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6A648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DEC 20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D1–5 Q28D</w:t>
            </w:r>
          </w:p>
        </w:tc>
      </w:tr>
      <w:tr w:rsidR="00BC2C3B" w:rsidRPr="004D018C" w14:paraId="157D0331" w14:textId="77777777" w:rsidTr="0094363B">
        <w:trPr>
          <w:trHeight w:val="284"/>
        </w:trPr>
        <w:tc>
          <w:tcPr>
            <w:tcW w:w="6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000B5E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0EACB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Venetoclax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+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Azacitidine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C38D3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25 (9.3)</w:t>
            </w:r>
          </w:p>
        </w:tc>
        <w:tc>
          <w:tcPr>
            <w:tcW w:w="3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CD0A4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Venetoclax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400 mg/daily D1-28 + AZA 75 mg/m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/daily D1-7 Q28D</w:t>
            </w:r>
          </w:p>
        </w:tc>
      </w:tr>
      <w:tr w:rsidR="00BC2C3B" w:rsidRPr="00BC2C3B" w14:paraId="193618A5" w14:textId="77777777" w:rsidTr="00BC2C3B">
        <w:trPr>
          <w:trHeight w:val="564"/>
        </w:trPr>
        <w:tc>
          <w:tcPr>
            <w:tcW w:w="60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F01995" w14:textId="77777777" w:rsidR="00BC2C3B" w:rsidRPr="00BC2C3B" w:rsidRDefault="00BC2C3B" w:rsidP="00951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Supportive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Care (SC)</w:t>
            </w:r>
            <w:r w:rsidRPr="00BC2C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br/>
              <w:t>n=41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25E77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Other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(describe)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EE674" w14:textId="77777777" w:rsidR="00BC2C3B" w:rsidRPr="00BC2C3B" w:rsidRDefault="00BC2C3B" w:rsidP="00BC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41(15.2)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BC735" w14:textId="77777777" w:rsidR="00BC2C3B" w:rsidRPr="00BC2C3B" w:rsidRDefault="00BC2C3B" w:rsidP="00BC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Oral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treatment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: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hydroxyurea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(4),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mercaptopurine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(1).</w:t>
            </w:r>
          </w:p>
        </w:tc>
      </w:tr>
      <w:tr w:rsidR="00BC2C3B" w:rsidRPr="004D018C" w14:paraId="28DDAE00" w14:textId="77777777" w:rsidTr="0094363B">
        <w:trPr>
          <w:trHeight w:val="660"/>
        </w:trPr>
        <w:tc>
          <w:tcPr>
            <w:tcW w:w="5000" w:type="pct"/>
            <w:gridSpan w:val="4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5C23FE" w14:textId="77777777" w:rsidR="00BC2C3B" w:rsidRPr="00BC2C3B" w:rsidRDefault="00BC2C3B" w:rsidP="0094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Abbreviations: Ara-C: Cytarabine; D: day; DNR: Daunorubicin; FDR: Fludarabine; </w:t>
            </w:r>
            <w:proofErr w:type="spellStart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hr</w:t>
            </w:r>
            <w:proofErr w:type="spellEnd"/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: hour; IDA: Idarubicin; IV: Intravenous; MTX: Mitoxantrone; G-CSF: </w:t>
            </w:r>
            <w:r w:rsidRPr="00BC2C3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br/>
              <w:t>Granulocyte colony stimulating factor</w:t>
            </w:r>
          </w:p>
        </w:tc>
      </w:tr>
    </w:tbl>
    <w:p w14:paraId="5CE5DA74" w14:textId="77777777" w:rsidR="00BC2C3B" w:rsidRPr="00BC2C3B" w:rsidRDefault="00BC2C3B">
      <w:pPr>
        <w:rPr>
          <w:lang w:val="en-US"/>
        </w:rPr>
      </w:pPr>
    </w:p>
    <w:p w14:paraId="66D74EE5" w14:textId="77777777" w:rsidR="00BC2C3B" w:rsidRDefault="00BC2C3B">
      <w:pPr>
        <w:rPr>
          <w:lang w:val="en-US"/>
        </w:rPr>
        <w:sectPr w:rsidR="00BC2C3B" w:rsidSect="00A23581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392A5918" w14:textId="77777777" w:rsidR="00BC2C3B" w:rsidRPr="00BC2C3B" w:rsidRDefault="00BC2C3B">
      <w:pPr>
        <w:rPr>
          <w:lang w:val="en-US"/>
        </w:rPr>
      </w:pPr>
    </w:p>
    <w:p w14:paraId="1961690C" w14:textId="77777777" w:rsidR="00BC2C3B" w:rsidRPr="004B3896" w:rsidRDefault="00BC2C3B" w:rsidP="00BC2C3B">
      <w:pPr>
        <w:rPr>
          <w:rFonts w:ascii="Times New Roman" w:hAnsi="Times New Roman" w:cs="Times New Roman"/>
          <w:b/>
          <w:bCs/>
          <w:lang w:val="en-US"/>
        </w:rPr>
      </w:pPr>
      <w:r w:rsidRPr="004B3896">
        <w:rPr>
          <w:rFonts w:ascii="Times New Roman" w:hAnsi="Times New Roman" w:cs="Times New Roman"/>
          <w:b/>
          <w:bCs/>
          <w:lang w:val="en-US"/>
        </w:rPr>
        <w:t>Supplementary Fig.1</w:t>
      </w:r>
      <w:r w:rsidRPr="004B3896">
        <w:rPr>
          <w:rFonts w:ascii="Times New Roman" w:hAnsi="Times New Roman" w:cs="Times New Roman"/>
          <w:lang w:val="en-US"/>
        </w:rPr>
        <w:t xml:space="preserve"> Therapeutic approach distribution according to age</w:t>
      </w:r>
    </w:p>
    <w:p w14:paraId="4907AB81" w14:textId="77777777" w:rsidR="00BC2C3B" w:rsidRDefault="00BC2C3B" w:rsidP="00BC2C3B">
      <w:pPr>
        <w:rPr>
          <w:b/>
          <w:bCs/>
          <w:lang w:val="en-US"/>
        </w:rPr>
      </w:pPr>
      <w:r w:rsidRPr="00180148">
        <w:rPr>
          <w:b/>
          <w:bCs/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 wp14:anchorId="460485D3" wp14:editId="368EDB40">
            <wp:simplePos x="0" y="0"/>
            <wp:positionH relativeFrom="column">
              <wp:posOffset>0</wp:posOffset>
            </wp:positionH>
            <wp:positionV relativeFrom="paragraph">
              <wp:posOffset>286385</wp:posOffset>
            </wp:positionV>
            <wp:extent cx="5612130" cy="3766820"/>
            <wp:effectExtent l="0" t="0" r="7620" b="5080"/>
            <wp:wrapTopAndBottom/>
            <wp:docPr id="1317089472" name="Imagen 2" descr="Gráfico, Histograma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8D687CE5-7FBA-B55F-0428-0920A30B59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Gráfico, Histograma&#10;&#10;Descripción generada automáticamente">
                      <a:extLst>
                        <a:ext uri="{FF2B5EF4-FFF2-40B4-BE49-F238E27FC236}">
                          <a16:creationId xmlns:a16="http://schemas.microsoft.com/office/drawing/2014/main" id="{8D687CE5-7FBA-B55F-0428-0920A30B59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6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B4BE7" w14:textId="77777777" w:rsidR="00BC2C3B" w:rsidRDefault="00BC2C3B" w:rsidP="00BC2C3B">
      <w:pPr>
        <w:rPr>
          <w:lang w:val="en-US"/>
        </w:rPr>
      </w:pPr>
    </w:p>
    <w:p w14:paraId="0CDC1C38" w14:textId="77777777" w:rsidR="00BC2C3B" w:rsidRDefault="00BC2C3B" w:rsidP="00BC2C3B">
      <w:pPr>
        <w:rPr>
          <w:lang w:val="en-US"/>
        </w:rPr>
      </w:pPr>
    </w:p>
    <w:p w14:paraId="3DA0AF3C" w14:textId="02A5BC36" w:rsidR="00BC2C3B" w:rsidRPr="004B3896" w:rsidRDefault="00FF4D0A" w:rsidP="00BC2C3B">
      <w:pPr>
        <w:rPr>
          <w:rFonts w:ascii="Times New Roman" w:hAnsi="Times New Roman" w:cs="Times New Roman"/>
          <w:lang w:val="en-US"/>
        </w:rPr>
      </w:pPr>
      <w:r w:rsidRPr="004B3896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60288" behindDoc="0" locked="0" layoutInCell="0" allowOverlap="1" wp14:anchorId="7CE1DB1D" wp14:editId="4594788B">
            <wp:simplePos x="0" y="0"/>
            <wp:positionH relativeFrom="column">
              <wp:posOffset>2943256</wp:posOffset>
            </wp:positionH>
            <wp:positionV relativeFrom="paragraph">
              <wp:posOffset>443743</wp:posOffset>
            </wp:positionV>
            <wp:extent cx="3131820" cy="2258060"/>
            <wp:effectExtent l="0" t="0" r="0" b="8890"/>
            <wp:wrapTopAndBottom/>
            <wp:docPr id="4" name="Imagen 2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Gráfico, Gráfico de líne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3896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59264" behindDoc="0" locked="0" layoutInCell="0" allowOverlap="1" wp14:anchorId="217DF9CC" wp14:editId="2BD169F2">
            <wp:simplePos x="0" y="0"/>
            <wp:positionH relativeFrom="column">
              <wp:posOffset>-220980</wp:posOffset>
            </wp:positionH>
            <wp:positionV relativeFrom="paragraph">
              <wp:posOffset>443865</wp:posOffset>
            </wp:positionV>
            <wp:extent cx="3164205" cy="2496185"/>
            <wp:effectExtent l="0" t="0" r="0" b="0"/>
            <wp:wrapTopAndBottom/>
            <wp:docPr id="3" name="Imagen3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3" descr="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C3B" w:rsidRPr="004B3896">
        <w:rPr>
          <w:rFonts w:ascii="Times New Roman" w:hAnsi="Times New Roman" w:cs="Times New Roman"/>
          <w:b/>
          <w:bCs/>
          <w:lang w:val="en-US"/>
        </w:rPr>
        <w:t>Supplementary Fig</w:t>
      </w:r>
      <w:r w:rsidR="004B389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C2C3B" w:rsidRPr="004B3896">
        <w:rPr>
          <w:rFonts w:ascii="Times New Roman" w:hAnsi="Times New Roman" w:cs="Times New Roman"/>
          <w:b/>
          <w:bCs/>
          <w:lang w:val="en-US"/>
        </w:rPr>
        <w:t>2</w:t>
      </w:r>
      <w:r w:rsidR="004B3896">
        <w:rPr>
          <w:rFonts w:ascii="Times New Roman" w:hAnsi="Times New Roman" w:cs="Times New Roman"/>
          <w:b/>
          <w:bCs/>
          <w:lang w:val="en-US"/>
        </w:rPr>
        <w:t>.</w:t>
      </w:r>
      <w:r w:rsidR="00BC2C3B" w:rsidRPr="004B3896">
        <w:rPr>
          <w:rFonts w:ascii="Times New Roman" w:hAnsi="Times New Roman" w:cs="Times New Roman"/>
          <w:lang w:val="en-US"/>
        </w:rPr>
        <w:t xml:space="preserve">  OS, graph of age groups by five-year intervals (left) and classified</w:t>
      </w:r>
    </w:p>
    <w:sectPr w:rsidR="00BC2C3B" w:rsidRPr="004B38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C3B"/>
    <w:rsid w:val="00003A25"/>
    <w:rsid w:val="00024AFA"/>
    <w:rsid w:val="002B502C"/>
    <w:rsid w:val="004B3896"/>
    <w:rsid w:val="004D018C"/>
    <w:rsid w:val="00531564"/>
    <w:rsid w:val="00737187"/>
    <w:rsid w:val="008F513E"/>
    <w:rsid w:val="0094363B"/>
    <w:rsid w:val="0099140C"/>
    <w:rsid w:val="00A23581"/>
    <w:rsid w:val="00AA6757"/>
    <w:rsid w:val="00BC2C3B"/>
    <w:rsid w:val="00E95888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21158"/>
  <w15:chartTrackingRefBased/>
  <w15:docId w15:val="{8D50B8F9-96EF-4FA1-99B6-FB97C3E8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581"/>
  </w:style>
  <w:style w:type="paragraph" w:styleId="Heading1">
    <w:name w:val="heading 1"/>
    <w:basedOn w:val="Normal"/>
    <w:next w:val="Normal"/>
    <w:link w:val="Heading1Char"/>
    <w:uiPriority w:val="9"/>
    <w:qFormat/>
    <w:rsid w:val="00BC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C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C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C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C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C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C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C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C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C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C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57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872</Words>
  <Characters>4971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LUNA</dc:creator>
  <cp:keywords/>
  <dc:description/>
  <cp:lastModifiedBy>Melanie Alexandra Tarazona Bohorquez</cp:lastModifiedBy>
  <cp:revision>2</cp:revision>
  <dcterms:created xsi:type="dcterms:W3CDTF">2024-12-03T00:33:00Z</dcterms:created>
  <dcterms:modified xsi:type="dcterms:W3CDTF">2024-12-03T00:33:00Z</dcterms:modified>
</cp:coreProperties>
</file>