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5C42" w:rsidRPr="00D339C8" w:rsidRDefault="00DA5C42" w:rsidP="00DA5C42">
      <w:pPr>
        <w:rPr>
          <w:b/>
          <w:sz w:val="32"/>
          <w:u w:val="single"/>
          <w:lang w:val="en-GB"/>
        </w:rPr>
      </w:pPr>
    </w:p>
    <w:p w:rsidR="00DA5C42" w:rsidRPr="00D339C8" w:rsidRDefault="00D25454" w:rsidP="00DA5C42">
      <w:pPr>
        <w:pBdr>
          <w:top w:val="single" w:sz="4" w:space="1" w:color="auto"/>
          <w:left w:val="single" w:sz="4" w:space="4" w:color="auto"/>
          <w:bottom w:val="single" w:sz="4" w:space="1" w:color="auto"/>
          <w:right w:val="single" w:sz="4" w:space="4" w:color="auto"/>
        </w:pBdr>
        <w:jc w:val="center"/>
        <w:rPr>
          <w:b/>
          <w:sz w:val="28"/>
          <w:u w:val="single"/>
        </w:rPr>
      </w:pPr>
      <w:r>
        <w:rPr>
          <w:b/>
          <w:sz w:val="28"/>
          <w:u w:val="single"/>
        </w:rPr>
        <w:t>Figure</w:t>
      </w:r>
      <w:r w:rsidR="00DA5C42" w:rsidRPr="00D339C8">
        <w:rPr>
          <w:b/>
          <w:sz w:val="28"/>
          <w:u w:val="single"/>
        </w:rPr>
        <w:t xml:space="preserve"> 2 : Guideline</w:t>
      </w:r>
      <w:r w:rsidR="00DA5C42">
        <w:rPr>
          <w:b/>
          <w:sz w:val="28"/>
          <w:u w:val="single"/>
        </w:rPr>
        <w:t>s</w:t>
      </w:r>
      <w:r w:rsidR="00DA5C42" w:rsidRPr="00D339C8">
        <w:rPr>
          <w:b/>
          <w:sz w:val="28"/>
          <w:u w:val="single"/>
        </w:rPr>
        <w:t xml:space="preserve"> in French</w:t>
      </w:r>
    </w:p>
    <w:p w:rsidR="00DA5C42" w:rsidRPr="00195724" w:rsidRDefault="00DA5C42" w:rsidP="00DA5C42">
      <w:pPr>
        <w:pBdr>
          <w:top w:val="single" w:sz="4" w:space="1" w:color="auto"/>
          <w:left w:val="single" w:sz="4" w:space="4" w:color="auto"/>
          <w:bottom w:val="single" w:sz="4" w:space="1" w:color="auto"/>
          <w:right w:val="single" w:sz="4" w:space="4" w:color="auto"/>
        </w:pBdr>
        <w:jc w:val="center"/>
        <w:rPr>
          <w:b/>
          <w:sz w:val="28"/>
        </w:rPr>
      </w:pPr>
      <w:r w:rsidRPr="00195724">
        <w:rPr>
          <w:b/>
          <w:sz w:val="28"/>
        </w:rPr>
        <w:t>U</w:t>
      </w:r>
      <w:r>
        <w:rPr>
          <w:b/>
          <w:sz w:val="28"/>
        </w:rPr>
        <w:t>tilisation de l’</w:t>
      </w:r>
      <w:proofErr w:type="spellStart"/>
      <w:r>
        <w:rPr>
          <w:b/>
          <w:sz w:val="28"/>
        </w:rPr>
        <w:t>hydroxyurée</w:t>
      </w:r>
      <w:proofErr w:type="spellEnd"/>
      <w:r>
        <w:rPr>
          <w:b/>
          <w:sz w:val="28"/>
        </w:rPr>
        <w:t xml:space="preserve"> </w:t>
      </w:r>
      <w:r w:rsidRPr="00195724">
        <w:rPr>
          <w:b/>
          <w:sz w:val="28"/>
        </w:rPr>
        <w:t>en Afrique Sub-Saharienne Francophone</w:t>
      </w:r>
    </w:p>
    <w:p w:rsidR="00DA5C42" w:rsidRPr="00195724" w:rsidRDefault="00DA5C42" w:rsidP="00DA5C42">
      <w:pPr>
        <w:pBdr>
          <w:top w:val="single" w:sz="4" w:space="1" w:color="auto"/>
          <w:left w:val="single" w:sz="4" w:space="4" w:color="auto"/>
          <w:bottom w:val="single" w:sz="4" w:space="1" w:color="auto"/>
          <w:right w:val="single" w:sz="4" w:space="4" w:color="auto"/>
        </w:pBdr>
        <w:jc w:val="center"/>
        <w:rPr>
          <w:b/>
          <w:i/>
          <w:sz w:val="28"/>
        </w:rPr>
      </w:pPr>
      <w:r w:rsidRPr="00195724">
        <w:rPr>
          <w:b/>
          <w:i/>
          <w:sz w:val="28"/>
        </w:rPr>
        <w:t xml:space="preserve">Recommandations du conseil scientifique de </w:t>
      </w:r>
      <w:proofErr w:type="spellStart"/>
      <w:r w:rsidRPr="00195724">
        <w:rPr>
          <w:b/>
          <w:i/>
          <w:sz w:val="28"/>
        </w:rPr>
        <w:t>Drep.</w:t>
      </w:r>
      <w:r w:rsidRPr="00195724">
        <w:rPr>
          <w:b/>
          <w:i/>
          <w:color w:val="000000" w:themeColor="text1"/>
          <w:sz w:val="28"/>
        </w:rPr>
        <w:t>A</w:t>
      </w:r>
      <w:r w:rsidRPr="00195724">
        <w:rPr>
          <w:b/>
          <w:i/>
          <w:sz w:val="28"/>
        </w:rPr>
        <w:t>frique</w:t>
      </w:r>
      <w:proofErr w:type="spellEnd"/>
    </w:p>
    <w:p w:rsidR="00DA5C42" w:rsidRDefault="00DA5C42" w:rsidP="00DA5C42">
      <w:pPr>
        <w:jc w:val="center"/>
        <w:rPr>
          <w:b/>
          <w:sz w:val="32"/>
        </w:rPr>
      </w:pPr>
    </w:p>
    <w:p w:rsidR="00DA5C42" w:rsidRPr="0099713E" w:rsidRDefault="00DA5C42" w:rsidP="00DA5C42">
      <w:pPr>
        <w:rPr>
          <w:b/>
          <w:sz w:val="28"/>
          <w:u w:val="single"/>
        </w:rPr>
      </w:pPr>
      <w:r w:rsidRPr="0099713E">
        <w:rPr>
          <w:b/>
          <w:sz w:val="28"/>
          <w:u w:val="single"/>
        </w:rPr>
        <w:t>Préambule </w:t>
      </w:r>
    </w:p>
    <w:p w:rsidR="00DA5C42" w:rsidRPr="003B7117" w:rsidRDefault="00DA5C42" w:rsidP="00DA5C42">
      <w:pPr>
        <w:jc w:val="both"/>
        <w:rPr>
          <w:color w:val="000000" w:themeColor="text1"/>
        </w:rPr>
      </w:pPr>
      <w:r w:rsidRPr="003B7117">
        <w:rPr>
          <w:color w:val="000000" w:themeColor="text1"/>
        </w:rPr>
        <w:t>De très nombreuses études scientifiques plaident pour une utilisation large de l’</w:t>
      </w:r>
      <w:proofErr w:type="spellStart"/>
      <w:r w:rsidRPr="003B7117">
        <w:rPr>
          <w:color w:val="000000" w:themeColor="text1"/>
        </w:rPr>
        <w:t>hydroxyurée</w:t>
      </w:r>
      <w:proofErr w:type="spellEnd"/>
      <w:r w:rsidRPr="003B7117">
        <w:rPr>
          <w:color w:val="000000" w:themeColor="text1"/>
        </w:rPr>
        <w:t xml:space="preserve"> (HU) en Afrique car elles ont montré une réduction très importante des crises</w:t>
      </w:r>
      <w:r w:rsidR="00C6330A">
        <w:rPr>
          <w:color w:val="000000" w:themeColor="text1"/>
        </w:rPr>
        <w:t>, du recours aux transfusions globulaires</w:t>
      </w:r>
      <w:r w:rsidRPr="003B7117">
        <w:rPr>
          <w:color w:val="000000" w:themeColor="text1"/>
        </w:rPr>
        <w:t xml:space="preserve"> et de la mortalité des patients drépanocytaires traités.</w:t>
      </w:r>
    </w:p>
    <w:p w:rsidR="00DA5C42" w:rsidRPr="003B7117" w:rsidRDefault="00DA5C42" w:rsidP="00DA5C42">
      <w:pPr>
        <w:jc w:val="both"/>
        <w:rPr>
          <w:color w:val="000000" w:themeColor="text1"/>
        </w:rPr>
      </w:pPr>
      <w:r w:rsidRPr="003B7117">
        <w:rPr>
          <w:color w:val="000000" w:themeColor="text1"/>
        </w:rPr>
        <w:t xml:space="preserve">Cependant l’accès limité au médicament, notamment du fait du coût pour les familles ou des ruptures d’approvisionnement, rend, en pratique, difficile sa généralisation en </w:t>
      </w:r>
      <w:r w:rsidR="00C6330A">
        <w:rPr>
          <w:color w:val="000000" w:themeColor="text1"/>
        </w:rPr>
        <w:t>2025</w:t>
      </w:r>
      <w:r w:rsidRPr="003B7117">
        <w:rPr>
          <w:color w:val="000000" w:themeColor="text1"/>
        </w:rPr>
        <w:t xml:space="preserve">. </w:t>
      </w:r>
    </w:p>
    <w:p w:rsidR="00DA5C42" w:rsidRPr="003B7117" w:rsidRDefault="00DA5C42" w:rsidP="00DA5C42">
      <w:pPr>
        <w:jc w:val="both"/>
        <w:rPr>
          <w:color w:val="000000" w:themeColor="text1"/>
        </w:rPr>
      </w:pPr>
      <w:r w:rsidRPr="003B7117">
        <w:rPr>
          <w:color w:val="000000" w:themeColor="text1"/>
        </w:rPr>
        <w:t>Il n’existe pas, à notre connaissance, de recommandations sur la prescription de l’HU dans ce contexte socio-économique particulier</w:t>
      </w:r>
      <w:r w:rsidR="00B33788">
        <w:rPr>
          <w:color w:val="000000" w:themeColor="text1"/>
        </w:rPr>
        <w:t xml:space="preserve"> </w:t>
      </w:r>
      <w:r w:rsidR="00B33788" w:rsidRPr="00335E22">
        <w:rPr>
          <w:color w:val="000000" w:themeColor="text1"/>
        </w:rPr>
        <w:t>dans les pays francophones</w:t>
      </w:r>
      <w:r w:rsidRPr="00335E22">
        <w:rPr>
          <w:color w:val="000000" w:themeColor="text1"/>
        </w:rPr>
        <w:t>.</w:t>
      </w:r>
    </w:p>
    <w:p w:rsidR="00DA5C42" w:rsidRPr="003B7117" w:rsidRDefault="00DA5C42" w:rsidP="00DA5C42">
      <w:pPr>
        <w:jc w:val="both"/>
        <w:rPr>
          <w:color w:val="000000" w:themeColor="text1"/>
        </w:rPr>
      </w:pPr>
      <w:r w:rsidRPr="003B7117">
        <w:rPr>
          <w:color w:val="000000" w:themeColor="text1"/>
        </w:rPr>
        <w:t xml:space="preserve">Le conseil scientifique de </w:t>
      </w:r>
      <w:proofErr w:type="spellStart"/>
      <w:r w:rsidRPr="003B7117">
        <w:rPr>
          <w:color w:val="000000" w:themeColor="text1"/>
        </w:rPr>
        <w:t>Drep.Afrique</w:t>
      </w:r>
      <w:proofErr w:type="spellEnd"/>
      <w:r w:rsidRPr="003B7117">
        <w:rPr>
          <w:color w:val="000000" w:themeColor="text1"/>
        </w:rPr>
        <w:t>, composé à parité de spécialistes Africains et Français de la maladie (</w:t>
      </w:r>
      <w:hyperlink r:id="rId5" w:history="1">
        <w:r w:rsidRPr="003B7117">
          <w:rPr>
            <w:rStyle w:val="Lienhypertexte"/>
          </w:rPr>
          <w:t>https://www.drep-afrique.org/equipe/</w:t>
        </w:r>
      </w:hyperlink>
      <w:r w:rsidRPr="003B7117">
        <w:rPr>
          <w:color w:val="000000" w:themeColor="text1"/>
        </w:rPr>
        <w:t>), propose ici un consensus pragmatique et adapté aux conditions du terrain à travers des réponses à trois questions essentielles : quels patients traiter ? (</w:t>
      </w:r>
      <w:proofErr w:type="gramStart"/>
      <w:r w:rsidRPr="003B7117">
        <w:rPr>
          <w:color w:val="000000" w:themeColor="text1"/>
        </w:rPr>
        <w:t>et</w:t>
      </w:r>
      <w:proofErr w:type="gramEnd"/>
      <w:r w:rsidRPr="003B7117">
        <w:rPr>
          <w:color w:val="000000" w:themeColor="text1"/>
        </w:rPr>
        <w:t xml:space="preserve"> surtout qui ne pas oublier de traiter ?) ; à quelle dose ? ;avec quel schéma de surveillance ?</w:t>
      </w:r>
    </w:p>
    <w:p w:rsidR="00DA5C42" w:rsidRPr="003B7117" w:rsidRDefault="00DA5C42" w:rsidP="00DA5C42">
      <w:pPr>
        <w:jc w:val="both"/>
        <w:rPr>
          <w:color w:val="000000" w:themeColor="text1"/>
        </w:rPr>
      </w:pPr>
      <w:r w:rsidRPr="003B7117">
        <w:rPr>
          <w:color w:val="000000" w:themeColor="text1"/>
        </w:rPr>
        <w:t>Ces recommandations concernent les patients drépanocytaires</w:t>
      </w:r>
      <w:r w:rsidR="00B33788">
        <w:rPr>
          <w:color w:val="000000" w:themeColor="text1"/>
        </w:rPr>
        <w:t xml:space="preserve"> </w:t>
      </w:r>
      <w:r w:rsidR="00B33788" w:rsidRPr="00335E22">
        <w:rPr>
          <w:color w:val="000000" w:themeColor="text1"/>
        </w:rPr>
        <w:t>enfants et adu</w:t>
      </w:r>
      <w:r w:rsidR="00267865" w:rsidRPr="00335E22">
        <w:rPr>
          <w:color w:val="000000" w:themeColor="text1"/>
        </w:rPr>
        <w:t>l</w:t>
      </w:r>
      <w:r w:rsidR="00B33788" w:rsidRPr="00335E22">
        <w:rPr>
          <w:color w:val="000000" w:themeColor="text1"/>
        </w:rPr>
        <w:t>tes</w:t>
      </w:r>
      <w:r w:rsidRPr="003B7117">
        <w:rPr>
          <w:color w:val="000000" w:themeColor="text1"/>
        </w:rPr>
        <w:t xml:space="preserve"> (homozygotes </w:t>
      </w:r>
      <w:r w:rsidRPr="003B7117">
        <w:rPr>
          <w:b/>
          <w:color w:val="000000" w:themeColor="text1"/>
        </w:rPr>
        <w:t>SS ou S/</w:t>
      </w:r>
      <w:r w:rsidRPr="003B7117">
        <w:rPr>
          <w:rFonts w:ascii="Calibri" w:hAnsi="Calibri" w:cs="Calibri"/>
          <w:b/>
          <w:color w:val="000000" w:themeColor="text1"/>
        </w:rPr>
        <w:t>ß</w:t>
      </w:r>
      <w:r w:rsidRPr="003B7117">
        <w:rPr>
          <w:rFonts w:cs="Times New Roman (Corps CS)"/>
          <w:b/>
          <w:color w:val="000000" w:themeColor="text1"/>
          <w:vertAlign w:val="superscript"/>
        </w:rPr>
        <w:t>0</w:t>
      </w:r>
      <w:r w:rsidRPr="003B7117">
        <w:rPr>
          <w:b/>
          <w:color w:val="000000" w:themeColor="text1"/>
        </w:rPr>
        <w:t>-thalassémiques).</w:t>
      </w:r>
    </w:p>
    <w:p w:rsidR="00DA5C42" w:rsidRPr="003B7117" w:rsidRDefault="00DA5C42" w:rsidP="00DA5C42">
      <w:pPr>
        <w:jc w:val="both"/>
        <w:rPr>
          <w:color w:val="000000" w:themeColor="text1"/>
        </w:rPr>
      </w:pPr>
      <w:r w:rsidRPr="003B7117">
        <w:rPr>
          <w:color w:val="000000" w:themeColor="text1"/>
        </w:rPr>
        <w:t xml:space="preserve">Idéalement, il convient de discuter de l’indication avec un spécialiste de la drépanocytose. Cet avis peut se prendre en </w:t>
      </w:r>
      <w:proofErr w:type="spellStart"/>
      <w:r w:rsidRPr="003B7117">
        <w:rPr>
          <w:color w:val="000000" w:themeColor="text1"/>
        </w:rPr>
        <w:t>distanciel</w:t>
      </w:r>
      <w:proofErr w:type="spellEnd"/>
      <w:r w:rsidRPr="003B7117">
        <w:rPr>
          <w:color w:val="000000" w:themeColor="text1"/>
        </w:rPr>
        <w:t xml:space="preserve"> et ne doit pas retarder la prescription du médicament pour les cas les plus graves.</w:t>
      </w:r>
    </w:p>
    <w:p w:rsidR="00DA5C42" w:rsidRDefault="00DA5C42" w:rsidP="00DA5C42"/>
    <w:p w:rsidR="00DA5C42" w:rsidRPr="00BC26FD" w:rsidRDefault="00DA5C42" w:rsidP="00DA5C42">
      <w:pPr>
        <w:pBdr>
          <w:top w:val="single" w:sz="4" w:space="1" w:color="auto"/>
          <w:left w:val="single" w:sz="4" w:space="4" w:color="auto"/>
          <w:bottom w:val="single" w:sz="4" w:space="1" w:color="auto"/>
          <w:right w:val="single" w:sz="4" w:space="4" w:color="auto"/>
        </w:pBdr>
        <w:shd w:val="clear" w:color="auto" w:fill="F7CAAC" w:themeFill="accent2" w:themeFillTint="66"/>
        <w:jc w:val="center"/>
        <w:rPr>
          <w:b/>
          <w:color w:val="000000" w:themeColor="text1"/>
          <w:sz w:val="32"/>
        </w:rPr>
      </w:pPr>
      <w:r w:rsidRPr="00BC26FD">
        <w:rPr>
          <w:b/>
          <w:color w:val="000000" w:themeColor="text1"/>
          <w:sz w:val="32"/>
        </w:rPr>
        <w:t>Indications formelles et urgentes (à débuter dès l’hospitalisation ou à la découverte des anomalies)</w:t>
      </w:r>
    </w:p>
    <w:p w:rsidR="00DA5C42" w:rsidRPr="00EC07D1" w:rsidRDefault="00DA5C42" w:rsidP="00DA5C42">
      <w:pPr>
        <w:rPr>
          <w:sz w:val="28"/>
        </w:rPr>
      </w:pPr>
    </w:p>
    <w:p w:rsidR="00DA5C42" w:rsidRPr="003B7117" w:rsidRDefault="00DA5C42" w:rsidP="00DA5C42">
      <w:pPr>
        <w:pStyle w:val="Paragraphedeliste"/>
        <w:numPr>
          <w:ilvl w:val="0"/>
          <w:numId w:val="1"/>
        </w:numPr>
        <w:rPr>
          <w:bCs/>
        </w:rPr>
      </w:pPr>
      <w:r w:rsidRPr="003B7117">
        <w:rPr>
          <w:bCs/>
        </w:rPr>
        <w:t>Dès le premier syndrome thoracique aigu ;</w:t>
      </w:r>
    </w:p>
    <w:p w:rsidR="00DA5C42" w:rsidRPr="003B7117" w:rsidRDefault="00DA5C42" w:rsidP="00DA5C42">
      <w:pPr>
        <w:rPr>
          <w:bCs/>
        </w:rPr>
      </w:pPr>
    </w:p>
    <w:p w:rsidR="00DA5C42" w:rsidRPr="003B7117" w:rsidRDefault="00DA5C42" w:rsidP="00DA5C42">
      <w:pPr>
        <w:pStyle w:val="Paragraphedeliste"/>
        <w:numPr>
          <w:ilvl w:val="0"/>
          <w:numId w:val="1"/>
        </w:numPr>
        <w:rPr>
          <w:bCs/>
        </w:rPr>
      </w:pPr>
      <w:r w:rsidRPr="003B7117">
        <w:rPr>
          <w:bCs/>
        </w:rPr>
        <w:t xml:space="preserve">Dès la deuxième crise </w:t>
      </w:r>
      <w:proofErr w:type="spellStart"/>
      <w:r w:rsidRPr="003B7117">
        <w:rPr>
          <w:bCs/>
        </w:rPr>
        <w:t>vaso</w:t>
      </w:r>
      <w:proofErr w:type="spellEnd"/>
      <w:r w:rsidRPr="003B7117">
        <w:rPr>
          <w:bCs/>
        </w:rPr>
        <w:t>-occlusive (CVO) sévère</w:t>
      </w:r>
      <w:r>
        <w:rPr>
          <w:bCs/>
        </w:rPr>
        <w:t xml:space="preserve"> : </w:t>
      </w:r>
      <w:r w:rsidRPr="003B7117">
        <w:rPr>
          <w:bCs/>
        </w:rPr>
        <w:t>nécessitant une hospitalisation ou un antalgique injectable</w:t>
      </w:r>
      <w:r>
        <w:rPr>
          <w:bCs/>
        </w:rPr>
        <w:t xml:space="preserve"> (opioïde ou non)</w:t>
      </w:r>
      <w:r w:rsidRPr="003B7117">
        <w:rPr>
          <w:bCs/>
        </w:rPr>
        <w:t xml:space="preserve"> sur les 12 derniers mois ;</w:t>
      </w:r>
    </w:p>
    <w:p w:rsidR="00DA5C42" w:rsidRPr="003B7117" w:rsidRDefault="00DA5C42" w:rsidP="00DA5C42">
      <w:pPr>
        <w:rPr>
          <w:bCs/>
        </w:rPr>
      </w:pPr>
    </w:p>
    <w:p w:rsidR="00DA5C42" w:rsidRPr="003B7117" w:rsidRDefault="00DA5C42" w:rsidP="00DA5C42">
      <w:pPr>
        <w:pStyle w:val="Paragraphedeliste"/>
        <w:numPr>
          <w:ilvl w:val="0"/>
          <w:numId w:val="1"/>
        </w:numPr>
        <w:rPr>
          <w:bCs/>
        </w:rPr>
      </w:pPr>
      <w:r w:rsidRPr="003B7117">
        <w:rPr>
          <w:bCs/>
        </w:rPr>
        <w:t xml:space="preserve">Accident vasculaire cérébral : transfuser en urgence et débuter sans délai l’HU. </w:t>
      </w:r>
      <w:r>
        <w:rPr>
          <w:bCs/>
        </w:rPr>
        <w:t>En plus d’un traitement par HU à long terme, mettre en place un programme transfusionnel, chaque fois que cela est possible et que les conditions de sécurité transfusionnelles le permettent</w:t>
      </w:r>
      <w:r w:rsidRPr="003B7117">
        <w:rPr>
          <w:bCs/>
        </w:rPr>
        <w:t> ;</w:t>
      </w:r>
    </w:p>
    <w:p w:rsidR="00DA5C42" w:rsidRPr="003B7117" w:rsidRDefault="00DA5C42" w:rsidP="00DA5C42">
      <w:pPr>
        <w:pStyle w:val="Paragraphedeliste"/>
        <w:rPr>
          <w:bCs/>
        </w:rPr>
      </w:pPr>
    </w:p>
    <w:p w:rsidR="00DA5C42" w:rsidRPr="003B7117" w:rsidRDefault="00DA5C42" w:rsidP="00DA5C42">
      <w:pPr>
        <w:pStyle w:val="Paragraphedeliste"/>
        <w:numPr>
          <w:ilvl w:val="0"/>
          <w:numId w:val="1"/>
        </w:numPr>
        <w:rPr>
          <w:bCs/>
        </w:rPr>
      </w:pPr>
      <w:r>
        <w:rPr>
          <w:bCs/>
        </w:rPr>
        <w:t>D</w:t>
      </w:r>
      <w:r w:rsidRPr="003B7117">
        <w:rPr>
          <w:bCs/>
        </w:rPr>
        <w:t xml:space="preserve">oppler </w:t>
      </w:r>
      <w:proofErr w:type="spellStart"/>
      <w:r w:rsidRPr="003B7117">
        <w:rPr>
          <w:bCs/>
        </w:rPr>
        <w:t>transcrânien</w:t>
      </w:r>
      <w:proofErr w:type="spellEnd"/>
      <w:r w:rsidRPr="003B7117">
        <w:rPr>
          <w:bCs/>
        </w:rPr>
        <w:t xml:space="preserve"> avec vitesse &gt; 200 cm/s : débuter l’HU (à garder au long cours) et un programme transfusionnel </w:t>
      </w:r>
      <w:r>
        <w:rPr>
          <w:bCs/>
        </w:rPr>
        <w:t>chaque fois que cela est possible</w:t>
      </w:r>
      <w:r w:rsidRPr="003B7117">
        <w:rPr>
          <w:bCs/>
        </w:rPr>
        <w:t> ;</w:t>
      </w:r>
    </w:p>
    <w:p w:rsidR="00DA5C42" w:rsidRPr="003B7117" w:rsidRDefault="00DA5C42" w:rsidP="00DA5C42">
      <w:pPr>
        <w:rPr>
          <w:bCs/>
        </w:rPr>
      </w:pPr>
    </w:p>
    <w:p w:rsidR="00DA5C42" w:rsidRPr="003B7117" w:rsidRDefault="00DA5C42" w:rsidP="00DA5C42">
      <w:pPr>
        <w:pStyle w:val="Paragraphedeliste"/>
        <w:numPr>
          <w:ilvl w:val="0"/>
          <w:numId w:val="1"/>
        </w:numPr>
        <w:rPr>
          <w:bCs/>
        </w:rPr>
      </w:pPr>
      <w:r w:rsidRPr="003B7117">
        <w:rPr>
          <w:bCs/>
        </w:rPr>
        <w:t>Séquestration splénique aiguë : transfuser en urgence et débuter l’HU.</w:t>
      </w:r>
    </w:p>
    <w:p w:rsidR="00DA5C42" w:rsidRPr="003B7117" w:rsidRDefault="00DA5C42" w:rsidP="00DA5C42">
      <w:pPr>
        <w:rPr>
          <w:bCs/>
        </w:rPr>
      </w:pPr>
    </w:p>
    <w:p w:rsidR="00DA5C42" w:rsidRPr="003B7117" w:rsidRDefault="00DA5C42" w:rsidP="00DA5C42">
      <w:r w:rsidRPr="003B7117">
        <w:rPr>
          <w:bCs/>
          <w:u w:val="single"/>
        </w:rPr>
        <w:t>Quand débuter</w:t>
      </w:r>
      <w:r>
        <w:rPr>
          <w:bCs/>
          <w:u w:val="single"/>
        </w:rPr>
        <w:t xml:space="preserve"> l’HU</w:t>
      </w:r>
      <w:r w:rsidRPr="003B7117">
        <w:rPr>
          <w:bCs/>
        </w:rPr>
        <w:t> ?  Possible</w:t>
      </w:r>
      <w:r w:rsidRPr="003B7117">
        <w:t xml:space="preserve"> dès l’âge de 9 mois </w:t>
      </w:r>
    </w:p>
    <w:p w:rsidR="00DA5C42" w:rsidRDefault="00DA5C42" w:rsidP="00DA5C42">
      <w:pPr>
        <w:jc w:val="center"/>
        <w:rPr>
          <w:b/>
          <w:sz w:val="32"/>
        </w:rPr>
      </w:pPr>
    </w:p>
    <w:p w:rsidR="00DA5C42" w:rsidRPr="00BC26FD" w:rsidRDefault="00DA5C42" w:rsidP="00DA5C42">
      <w:pPr>
        <w:pBdr>
          <w:top w:val="single" w:sz="4" w:space="1" w:color="auto"/>
          <w:left w:val="single" w:sz="4" w:space="4" w:color="auto"/>
          <w:bottom w:val="single" w:sz="4" w:space="1" w:color="auto"/>
          <w:right w:val="single" w:sz="4" w:space="4" w:color="auto"/>
        </w:pBdr>
        <w:shd w:val="clear" w:color="auto" w:fill="92D050"/>
        <w:jc w:val="center"/>
        <w:rPr>
          <w:b/>
          <w:color w:val="000000" w:themeColor="text1"/>
          <w:sz w:val="28"/>
        </w:rPr>
      </w:pPr>
      <w:r w:rsidRPr="00BC26FD">
        <w:rPr>
          <w:b/>
          <w:color w:val="000000" w:themeColor="text1"/>
          <w:sz w:val="32"/>
        </w:rPr>
        <w:lastRenderedPageBreak/>
        <w:t xml:space="preserve">Indications certaines, non urgentes </w:t>
      </w:r>
    </w:p>
    <w:p w:rsidR="00DA5C42" w:rsidRDefault="00DA5C42" w:rsidP="00DA5C42">
      <w:pPr>
        <w:jc w:val="center"/>
      </w:pPr>
    </w:p>
    <w:p w:rsidR="00DA5C42" w:rsidRPr="00144FCE" w:rsidRDefault="00DA5C42" w:rsidP="00DA5C42">
      <w:pPr>
        <w:jc w:val="center"/>
        <w:rPr>
          <w:i/>
        </w:rPr>
      </w:pPr>
      <w:r w:rsidRPr="00144FCE">
        <w:rPr>
          <w:i/>
        </w:rPr>
        <w:t>Après information détaillée sur le produit et accord du patient ou des parents</w:t>
      </w:r>
    </w:p>
    <w:p w:rsidR="00DA5C42" w:rsidRPr="003B7117" w:rsidRDefault="00DA5C42" w:rsidP="00DA5C42">
      <w:pPr>
        <w:pStyle w:val="Paragraphedeliste"/>
        <w:numPr>
          <w:ilvl w:val="0"/>
          <w:numId w:val="2"/>
        </w:numPr>
        <w:rPr>
          <w:bCs/>
        </w:rPr>
      </w:pPr>
      <w:r w:rsidRPr="003B7117">
        <w:rPr>
          <w:bCs/>
        </w:rPr>
        <w:t>Crises répétées avec altération de la qualité de vie et/ou retentissement familial (école, travail, consultations fréquentes…)</w:t>
      </w:r>
      <w:r>
        <w:rPr>
          <w:bCs/>
        </w:rPr>
        <w:t> ;</w:t>
      </w:r>
    </w:p>
    <w:p w:rsidR="00DA5C42" w:rsidRPr="003B7117" w:rsidRDefault="00DA5C42" w:rsidP="00DA5C42">
      <w:pPr>
        <w:pStyle w:val="Paragraphedeliste"/>
        <w:numPr>
          <w:ilvl w:val="0"/>
          <w:numId w:val="2"/>
        </w:numPr>
        <w:rPr>
          <w:bCs/>
        </w:rPr>
      </w:pPr>
      <w:r w:rsidRPr="003B7117">
        <w:rPr>
          <w:bCs/>
        </w:rPr>
        <w:t>Anémie profonde à l’état basal (taux d’hémoglobine (</w:t>
      </w:r>
      <w:proofErr w:type="spellStart"/>
      <w:r w:rsidRPr="003B7117">
        <w:rPr>
          <w:bCs/>
        </w:rPr>
        <w:t>Hb</w:t>
      </w:r>
      <w:proofErr w:type="spellEnd"/>
      <w:r w:rsidRPr="003B7117">
        <w:rPr>
          <w:bCs/>
        </w:rPr>
        <w:t xml:space="preserve">) </w:t>
      </w:r>
      <w:r>
        <w:rPr>
          <w:bCs/>
          <w:lang w:val="en-US"/>
        </w:rPr>
        <w:sym w:font="Symbol" w:char="F0A3"/>
      </w:r>
      <w:r w:rsidRPr="003B7117">
        <w:rPr>
          <w:bCs/>
        </w:rPr>
        <w:t xml:space="preserve"> 7 g/</w:t>
      </w:r>
      <w:proofErr w:type="spellStart"/>
      <w:r w:rsidRPr="003B7117">
        <w:rPr>
          <w:bCs/>
        </w:rPr>
        <w:t>dL</w:t>
      </w:r>
      <w:proofErr w:type="spellEnd"/>
      <w:r w:rsidRPr="003B7117">
        <w:rPr>
          <w:bCs/>
        </w:rPr>
        <w:t>)</w:t>
      </w:r>
      <w:r>
        <w:rPr>
          <w:bCs/>
        </w:rPr>
        <w:t> ;</w:t>
      </w:r>
    </w:p>
    <w:p w:rsidR="00DA5C42" w:rsidRPr="003B7117" w:rsidRDefault="00DA5C42" w:rsidP="00DA5C42">
      <w:pPr>
        <w:pStyle w:val="Paragraphedeliste"/>
        <w:numPr>
          <w:ilvl w:val="0"/>
          <w:numId w:val="2"/>
        </w:numPr>
        <w:rPr>
          <w:bCs/>
        </w:rPr>
      </w:pPr>
      <w:r w:rsidRPr="003B7117">
        <w:rPr>
          <w:bCs/>
        </w:rPr>
        <w:t>Troubles de croissance après avoir éliminé les autres causes (notamment nutritionnelles ou endocriniennes)</w:t>
      </w:r>
      <w:r>
        <w:rPr>
          <w:bCs/>
        </w:rPr>
        <w:t> ;</w:t>
      </w:r>
    </w:p>
    <w:p w:rsidR="00DA5C42" w:rsidRPr="003B7117" w:rsidRDefault="00DA5C42" w:rsidP="00DA5C42">
      <w:pPr>
        <w:pStyle w:val="Paragraphedeliste"/>
        <w:numPr>
          <w:ilvl w:val="0"/>
          <w:numId w:val="2"/>
        </w:numPr>
        <w:rPr>
          <w:bCs/>
        </w:rPr>
      </w:pPr>
      <w:r w:rsidRPr="003B7117">
        <w:rPr>
          <w:bCs/>
        </w:rPr>
        <w:t xml:space="preserve">Doppler </w:t>
      </w:r>
      <w:proofErr w:type="spellStart"/>
      <w:r w:rsidRPr="003B7117">
        <w:rPr>
          <w:bCs/>
        </w:rPr>
        <w:t>transcrânien</w:t>
      </w:r>
      <w:proofErr w:type="spellEnd"/>
      <w:r w:rsidRPr="003B7117">
        <w:rPr>
          <w:bCs/>
        </w:rPr>
        <w:t xml:space="preserve"> avec vitesse &gt;170 cm/s</w:t>
      </w:r>
      <w:r>
        <w:rPr>
          <w:bCs/>
        </w:rPr>
        <w:t> ;</w:t>
      </w:r>
    </w:p>
    <w:p w:rsidR="00DA5C42" w:rsidRPr="003B7117" w:rsidRDefault="00DA5C42" w:rsidP="00DA5C42">
      <w:pPr>
        <w:pStyle w:val="Paragraphedeliste"/>
        <w:numPr>
          <w:ilvl w:val="0"/>
          <w:numId w:val="2"/>
        </w:numPr>
        <w:rPr>
          <w:b/>
        </w:rPr>
      </w:pPr>
      <w:r w:rsidRPr="003B7117">
        <w:t xml:space="preserve">Patient vivant loin </w:t>
      </w:r>
      <w:r w:rsidRPr="003B7117">
        <w:rPr>
          <w:color w:val="000000" w:themeColor="text1"/>
        </w:rPr>
        <w:t>des</w:t>
      </w:r>
      <w:r w:rsidRPr="003B7117">
        <w:t xml:space="preserve"> centres de soin de gestion des crises</w:t>
      </w:r>
      <w:r>
        <w:t> ;</w:t>
      </w:r>
    </w:p>
    <w:p w:rsidR="00DA5C42" w:rsidRPr="003B7117" w:rsidRDefault="00DA5C42" w:rsidP="00DA5C42">
      <w:pPr>
        <w:pStyle w:val="Paragraphedeliste"/>
        <w:numPr>
          <w:ilvl w:val="0"/>
          <w:numId w:val="2"/>
        </w:numPr>
      </w:pPr>
      <w:r w:rsidRPr="003B7117">
        <w:t>Protéinurie significative et persistante sans autre cause que la drépanocytose</w:t>
      </w:r>
      <w:r>
        <w:t>.</w:t>
      </w:r>
    </w:p>
    <w:p w:rsidR="00DA5C42" w:rsidRDefault="00DA5C42" w:rsidP="00DA5C42">
      <w:pPr>
        <w:jc w:val="both"/>
        <w:rPr>
          <w:b/>
          <w:sz w:val="32"/>
        </w:rPr>
      </w:pPr>
    </w:p>
    <w:p w:rsidR="00DA5C42" w:rsidRPr="00BC26FD" w:rsidRDefault="00DA5C42" w:rsidP="00DA5C42">
      <w:pPr>
        <w:pBdr>
          <w:top w:val="single" w:sz="4" w:space="1" w:color="auto"/>
          <w:left w:val="single" w:sz="4" w:space="4" w:color="auto"/>
          <w:bottom w:val="single" w:sz="4" w:space="1" w:color="auto"/>
          <w:right w:val="single" w:sz="4" w:space="4" w:color="auto"/>
        </w:pBdr>
        <w:shd w:val="clear" w:color="auto" w:fill="4472C4" w:themeFill="accent1"/>
        <w:jc w:val="center"/>
        <w:rPr>
          <w:color w:val="FFFFFF" w:themeColor="background1"/>
          <w:sz w:val="28"/>
        </w:rPr>
      </w:pPr>
      <w:r w:rsidRPr="00BC26FD">
        <w:rPr>
          <w:b/>
          <w:color w:val="FFFFFF" w:themeColor="background1"/>
          <w:sz w:val="32"/>
        </w:rPr>
        <w:t>Modalités de prescription</w:t>
      </w:r>
    </w:p>
    <w:p w:rsidR="00DA5C42" w:rsidRDefault="00DA5C42" w:rsidP="00DA5C42"/>
    <w:p w:rsidR="00DA5C42" w:rsidRPr="003B7117" w:rsidRDefault="00DA5C42" w:rsidP="00CB734C">
      <w:pPr>
        <w:jc w:val="both"/>
      </w:pPr>
      <w:r w:rsidRPr="003B7117">
        <w:rPr>
          <w:b/>
          <w:u w:val="single"/>
        </w:rPr>
        <w:t>Dose initiale</w:t>
      </w:r>
      <w:r w:rsidRPr="003B7117">
        <w:rPr>
          <w:b/>
        </w:rPr>
        <w:t xml:space="preserve"> :  15 mg/kg/jour </w:t>
      </w:r>
      <w:r w:rsidRPr="003B7117">
        <w:t xml:space="preserve">(possibilité si nécessaire de débuter à 10 mg/kg/j, si ressources </w:t>
      </w:r>
      <w:r>
        <w:t xml:space="preserve">financières </w:t>
      </w:r>
      <w:r w:rsidRPr="003B7117">
        <w:t>limitées).</w:t>
      </w:r>
    </w:p>
    <w:p w:rsidR="00DA5C42" w:rsidRPr="003B7117" w:rsidRDefault="00DA5C42" w:rsidP="00CB734C">
      <w:pPr>
        <w:pStyle w:val="Paragraphedeliste"/>
        <w:numPr>
          <w:ilvl w:val="0"/>
          <w:numId w:val="5"/>
        </w:numPr>
        <w:jc w:val="both"/>
      </w:pPr>
      <w:r w:rsidRPr="003B7117">
        <w:t xml:space="preserve">Augmentation après 3 à 6 mois </w:t>
      </w:r>
      <w:r w:rsidRPr="00CB734C">
        <w:rPr>
          <w:u w:val="single"/>
        </w:rPr>
        <w:t>si efficacité clinique</w:t>
      </w:r>
      <w:r w:rsidR="00CB734C" w:rsidRPr="00CB734C">
        <w:rPr>
          <w:u w:val="single"/>
        </w:rPr>
        <w:t>*</w:t>
      </w:r>
      <w:r w:rsidRPr="00CB734C">
        <w:rPr>
          <w:u w:val="single"/>
        </w:rPr>
        <w:t xml:space="preserve"> non atteinte</w:t>
      </w:r>
      <w:r w:rsidRPr="003B7117">
        <w:t xml:space="preserve"> (jusqu’à un maximum 35 mg/kg/jour). </w:t>
      </w:r>
    </w:p>
    <w:p w:rsidR="00DA5C42" w:rsidRPr="003B7117" w:rsidRDefault="00DA5C42" w:rsidP="00CB734C">
      <w:pPr>
        <w:ind w:left="700"/>
        <w:jc w:val="both"/>
        <w:rPr>
          <w:i/>
        </w:rPr>
      </w:pPr>
      <w:r w:rsidRPr="003B7117">
        <w:rPr>
          <w:i/>
        </w:rPr>
        <w:t>L’augmentation peut se faire par paliers de 2,5 mg à 5 mg/kg, espacés d’au moins 2 mois, après avoir vérifié l’observance et la tolérance hématologique.</w:t>
      </w:r>
    </w:p>
    <w:p w:rsidR="00DA5C42" w:rsidRDefault="00DA5C42" w:rsidP="00CB734C">
      <w:pPr>
        <w:pStyle w:val="Paragraphedeliste"/>
        <w:numPr>
          <w:ilvl w:val="0"/>
          <w:numId w:val="5"/>
        </w:numPr>
        <w:jc w:val="both"/>
      </w:pPr>
      <w:r w:rsidRPr="003B7117">
        <w:t>Adapter environ tous les 6 mois la dose au poids évolutif des enfants</w:t>
      </w:r>
    </w:p>
    <w:p w:rsidR="00CB734C" w:rsidRPr="00CB734C" w:rsidRDefault="00CB734C" w:rsidP="00CB734C">
      <w:pPr>
        <w:jc w:val="both"/>
        <w:rPr>
          <w:i/>
        </w:rPr>
      </w:pPr>
      <w:r w:rsidRPr="00335E22">
        <w:rPr>
          <w:i/>
        </w:rPr>
        <w:t xml:space="preserve">* </w:t>
      </w:r>
      <w:r w:rsidRPr="00335E22">
        <w:rPr>
          <w:i/>
          <w:u w:val="single"/>
        </w:rPr>
        <w:t>L’</w:t>
      </w:r>
      <w:r w:rsidR="00267865" w:rsidRPr="00335E22">
        <w:rPr>
          <w:i/>
          <w:u w:val="single"/>
        </w:rPr>
        <w:t>inefficacité</w:t>
      </w:r>
      <w:r w:rsidRPr="00335E22">
        <w:rPr>
          <w:i/>
          <w:u w:val="single"/>
        </w:rPr>
        <w:t xml:space="preserve"> </w:t>
      </w:r>
      <w:r w:rsidRPr="00335E22">
        <w:rPr>
          <w:i/>
        </w:rPr>
        <w:t>est définie comme la persistance de CVO répétées altérant la qualité de vie ; la survenu d’un syndrome thoracique ; d</w:t>
      </w:r>
      <w:r w:rsidR="00267865" w:rsidRPr="00335E22">
        <w:rPr>
          <w:i/>
        </w:rPr>
        <w:t xml:space="preserve">e </w:t>
      </w:r>
      <w:r w:rsidRPr="00335E22">
        <w:rPr>
          <w:i/>
        </w:rPr>
        <w:t>CVO sévères</w:t>
      </w:r>
      <w:r w:rsidR="00267865" w:rsidRPr="00335E22">
        <w:rPr>
          <w:i/>
        </w:rPr>
        <w:t xml:space="preserve"> (comme défini antérieurement)</w:t>
      </w:r>
      <w:r w:rsidRPr="00335E22">
        <w:rPr>
          <w:i/>
        </w:rPr>
        <w:t xml:space="preserve"> ; d’une accélération des vitesses au </w:t>
      </w:r>
      <w:r w:rsidRPr="00335E22">
        <w:rPr>
          <w:bCs/>
          <w:i/>
        </w:rPr>
        <w:t xml:space="preserve">Doppler </w:t>
      </w:r>
      <w:proofErr w:type="spellStart"/>
      <w:r w:rsidRPr="00335E22">
        <w:rPr>
          <w:bCs/>
          <w:i/>
        </w:rPr>
        <w:t>transcrânien</w:t>
      </w:r>
      <w:proofErr w:type="spellEnd"/>
      <w:r w:rsidRPr="00335E22">
        <w:rPr>
          <w:bCs/>
          <w:i/>
        </w:rPr>
        <w:t xml:space="preserve"> </w:t>
      </w:r>
      <w:proofErr w:type="gramStart"/>
      <w:r w:rsidRPr="00335E22">
        <w:rPr>
          <w:bCs/>
          <w:i/>
        </w:rPr>
        <w:t>( &gt;</w:t>
      </w:r>
      <w:proofErr w:type="gramEnd"/>
      <w:r w:rsidRPr="00335E22">
        <w:rPr>
          <w:bCs/>
          <w:i/>
        </w:rPr>
        <w:t>170 cm), si l’examen est disponible.</w:t>
      </w:r>
    </w:p>
    <w:p w:rsidR="00CB734C" w:rsidRPr="003B7117" w:rsidRDefault="00CB734C" w:rsidP="00DA5C42"/>
    <w:p w:rsidR="00DA5C42" w:rsidRPr="003B7117" w:rsidRDefault="00DA5C42" w:rsidP="00CB734C">
      <w:pPr>
        <w:jc w:val="both"/>
        <w:rPr>
          <w:color w:val="000000" w:themeColor="text1"/>
        </w:rPr>
      </w:pPr>
      <w:r w:rsidRPr="003B7117">
        <w:rPr>
          <w:b/>
          <w:u w:val="single"/>
        </w:rPr>
        <w:t>Comment le prendre</w:t>
      </w:r>
      <w:r w:rsidRPr="003B7117">
        <w:rPr>
          <w:b/>
        </w:rPr>
        <w:t xml:space="preserve"> ? En une fois par jour. </w:t>
      </w:r>
      <w:r w:rsidRPr="003B7117">
        <w:t xml:space="preserve">En cas </w:t>
      </w:r>
      <w:r w:rsidRPr="003B7117">
        <w:rPr>
          <w:color w:val="000000" w:themeColor="text1"/>
        </w:rPr>
        <w:t xml:space="preserve">de difficulté à l’avaler, </w:t>
      </w:r>
      <w:r w:rsidRPr="002A7C60">
        <w:rPr>
          <w:color w:val="000000" w:themeColor="text1"/>
        </w:rPr>
        <w:t>l</w:t>
      </w:r>
      <w:r w:rsidRPr="003B7117">
        <w:rPr>
          <w:color w:val="000000" w:themeColor="text1"/>
        </w:rPr>
        <w:t xml:space="preserve">a gélule </w:t>
      </w:r>
      <w:r>
        <w:rPr>
          <w:color w:val="000000" w:themeColor="text1"/>
        </w:rPr>
        <w:t xml:space="preserve">(lorsque c’est cette formulation) </w:t>
      </w:r>
      <w:r w:rsidRPr="003B7117">
        <w:rPr>
          <w:color w:val="000000" w:themeColor="text1"/>
        </w:rPr>
        <w:t xml:space="preserve">peut être ouverte et son contenu dissout dans du lait/du jus de </w:t>
      </w:r>
      <w:r w:rsidRPr="00335E22">
        <w:rPr>
          <w:color w:val="000000" w:themeColor="text1"/>
        </w:rPr>
        <w:t>fruit/de la compote/ du yaourt.</w:t>
      </w:r>
      <w:r w:rsidR="00CB734C" w:rsidRPr="00335E22">
        <w:rPr>
          <w:color w:val="000000" w:themeColor="text1"/>
        </w:rPr>
        <w:t xml:space="preserve"> Toute poudre répandue hors de l’aliment devra être immédiatement éliminée</w:t>
      </w:r>
      <w:r w:rsidR="009A05C1" w:rsidRPr="00335E22">
        <w:rPr>
          <w:color w:val="000000" w:themeColor="text1"/>
        </w:rPr>
        <w:t xml:space="preserve"> ; </w:t>
      </w:r>
      <w:r w:rsidR="00CB734C" w:rsidRPr="00335E22">
        <w:rPr>
          <w:color w:val="000000" w:themeColor="text1"/>
        </w:rPr>
        <w:t>la vaisselle et les mains de la tierce personne nettoyées.</w:t>
      </w:r>
      <w:r w:rsidR="00CB734C">
        <w:rPr>
          <w:color w:val="000000" w:themeColor="text1"/>
        </w:rPr>
        <w:t xml:space="preserve"> </w:t>
      </w:r>
    </w:p>
    <w:p w:rsidR="00DA5C42" w:rsidRPr="003B7117" w:rsidRDefault="00DA5C42" w:rsidP="00DA5C42">
      <w:pPr>
        <w:rPr>
          <w:b/>
        </w:rPr>
      </w:pPr>
    </w:p>
    <w:p w:rsidR="00DA5C42" w:rsidRPr="003B7117" w:rsidRDefault="00DA5C42" w:rsidP="00DA5C42">
      <w:r w:rsidRPr="003B7117">
        <w:rPr>
          <w:b/>
          <w:u w:val="single"/>
        </w:rPr>
        <w:t>Suivi hématologique minimal</w:t>
      </w:r>
      <w:r w:rsidRPr="003B7117">
        <w:t xml:space="preserve">  </w:t>
      </w:r>
    </w:p>
    <w:p w:rsidR="00DA5C42" w:rsidRPr="003B7117" w:rsidRDefault="00DA5C42" w:rsidP="00DA5C42">
      <w:r w:rsidRPr="003B7117">
        <w:t xml:space="preserve">Un hémogramme avec numération des polynucléaires neutrophiles (PNN) et des plaquettes : </w:t>
      </w:r>
    </w:p>
    <w:p w:rsidR="00DA5C42" w:rsidRPr="003B7117" w:rsidRDefault="00DA5C42" w:rsidP="00DA5C42">
      <w:pPr>
        <w:pStyle w:val="Paragraphedeliste"/>
        <w:numPr>
          <w:ilvl w:val="0"/>
          <w:numId w:val="4"/>
        </w:numPr>
      </w:pPr>
      <w:r w:rsidRPr="003B7117">
        <w:t>A l’initiation (M0)</w:t>
      </w:r>
      <w:r w:rsidRPr="003B7117">
        <w:rPr>
          <w:i/>
        </w:rPr>
        <w:t> ;</w:t>
      </w:r>
    </w:p>
    <w:p w:rsidR="00DA5C42" w:rsidRPr="003B7117" w:rsidRDefault="00DA5C42" w:rsidP="00DA5C42">
      <w:pPr>
        <w:pStyle w:val="Paragraphedeliste"/>
        <w:numPr>
          <w:ilvl w:val="0"/>
          <w:numId w:val="4"/>
        </w:numPr>
      </w:pPr>
      <w:r w:rsidRPr="003B7117">
        <w:t>Puis à 1 mois ;</w:t>
      </w:r>
    </w:p>
    <w:p w:rsidR="00DA5C42" w:rsidRPr="00335E22" w:rsidRDefault="00DA5C42" w:rsidP="00DA5C42">
      <w:pPr>
        <w:pStyle w:val="Paragraphedeliste"/>
        <w:numPr>
          <w:ilvl w:val="0"/>
          <w:numId w:val="4"/>
        </w:numPr>
      </w:pPr>
      <w:r w:rsidRPr="00335E22">
        <w:t>Puis à 4 mois, puis tous les 3 à 6 mois.</w:t>
      </w:r>
    </w:p>
    <w:p w:rsidR="00DA5C42" w:rsidRPr="003B7117" w:rsidRDefault="00DA5C42" w:rsidP="00DA5C42">
      <w:r w:rsidRPr="00335E22">
        <w:t xml:space="preserve">Faire des hémogrammes plus rapprochés en cas de changement de dose ou si </w:t>
      </w:r>
      <w:r w:rsidR="00EB04E3" w:rsidRPr="00335E22">
        <w:t>antécédent de cytopénie</w:t>
      </w:r>
      <w:r w:rsidRPr="00335E22">
        <w:t>.</w:t>
      </w:r>
    </w:p>
    <w:p w:rsidR="00DA5C42" w:rsidRPr="003B7117" w:rsidRDefault="00DA5C42" w:rsidP="00DA5C42"/>
    <w:p w:rsidR="00DA5C42" w:rsidRPr="003B7117" w:rsidRDefault="00DA5C42" w:rsidP="00DA5C42">
      <w:pPr>
        <w:jc w:val="both"/>
        <w:rPr>
          <w:i/>
        </w:rPr>
      </w:pPr>
      <w:r w:rsidRPr="003B7117">
        <w:rPr>
          <w:i/>
          <w:u w:val="single"/>
        </w:rPr>
        <w:t>Paramètres utiles pour la surveillance</w:t>
      </w:r>
      <w:r w:rsidRPr="003B7117">
        <w:rPr>
          <w:i/>
        </w:rPr>
        <w:t xml:space="preserve"> : </w:t>
      </w:r>
    </w:p>
    <w:p w:rsidR="00DA5C42" w:rsidRPr="003B7117" w:rsidRDefault="00DA5C42" w:rsidP="00DA5C42">
      <w:pPr>
        <w:pStyle w:val="Paragraphedeliste"/>
        <w:numPr>
          <w:ilvl w:val="0"/>
          <w:numId w:val="4"/>
        </w:numPr>
        <w:jc w:val="both"/>
        <w:rPr>
          <w:i/>
        </w:rPr>
      </w:pPr>
      <w:proofErr w:type="gramStart"/>
      <w:r w:rsidRPr="003B7117">
        <w:rPr>
          <w:i/>
        </w:rPr>
        <w:t>à</w:t>
      </w:r>
      <w:proofErr w:type="gramEnd"/>
      <w:r w:rsidRPr="003B7117">
        <w:rPr>
          <w:i/>
        </w:rPr>
        <w:t xml:space="preserve"> l’initiation de l’HU, bien noter</w:t>
      </w:r>
      <w:r>
        <w:rPr>
          <w:i/>
        </w:rPr>
        <w:t xml:space="preserve"> dans le dossier du patient</w:t>
      </w:r>
      <w:r w:rsidRPr="003B7117">
        <w:rPr>
          <w:i/>
        </w:rPr>
        <w:t xml:space="preserve"> </w:t>
      </w:r>
      <w:r>
        <w:rPr>
          <w:i/>
        </w:rPr>
        <w:t>le taux d</w:t>
      </w:r>
      <w:r w:rsidRPr="003B7117">
        <w:rPr>
          <w:i/>
        </w:rPr>
        <w:t>’</w:t>
      </w:r>
      <w:proofErr w:type="spellStart"/>
      <w:r w:rsidRPr="003B7117">
        <w:rPr>
          <w:i/>
        </w:rPr>
        <w:t>Hb</w:t>
      </w:r>
      <w:proofErr w:type="spellEnd"/>
      <w:r w:rsidRPr="003B7117">
        <w:rPr>
          <w:i/>
        </w:rPr>
        <w:t>, le volume globulaire moyen (VGM) et la concentration des PNN (en valeur absolue et non en pourcentage) ;</w:t>
      </w:r>
    </w:p>
    <w:p w:rsidR="00DA5C42" w:rsidRPr="003B7117" w:rsidRDefault="00DA5C42" w:rsidP="00DA5C42">
      <w:pPr>
        <w:pStyle w:val="Paragraphedeliste"/>
        <w:numPr>
          <w:ilvl w:val="0"/>
          <w:numId w:val="4"/>
        </w:numPr>
        <w:jc w:val="both"/>
        <w:rPr>
          <w:i/>
        </w:rPr>
      </w:pPr>
      <w:proofErr w:type="gramStart"/>
      <w:r w:rsidRPr="003B7117">
        <w:rPr>
          <w:i/>
        </w:rPr>
        <w:t>si</w:t>
      </w:r>
      <w:proofErr w:type="gramEnd"/>
      <w:r w:rsidRPr="003B7117">
        <w:rPr>
          <w:i/>
        </w:rPr>
        <w:t xml:space="preserve"> le VGM n’augmente pas sous HU, évoquer une dose insuffisante ou, surtout, un défaut d’observance ;</w:t>
      </w:r>
    </w:p>
    <w:p w:rsidR="00DA5C42" w:rsidRPr="003B7117" w:rsidRDefault="00DA5C42" w:rsidP="00DA5C42">
      <w:pPr>
        <w:pStyle w:val="Paragraphedeliste"/>
        <w:numPr>
          <w:ilvl w:val="0"/>
          <w:numId w:val="4"/>
        </w:numPr>
        <w:jc w:val="both"/>
        <w:rPr>
          <w:i/>
        </w:rPr>
      </w:pPr>
      <w:proofErr w:type="gramStart"/>
      <w:r w:rsidRPr="003B7117">
        <w:rPr>
          <w:i/>
        </w:rPr>
        <w:t>si</w:t>
      </w:r>
      <w:proofErr w:type="gramEnd"/>
      <w:r w:rsidRPr="003B7117">
        <w:rPr>
          <w:i/>
        </w:rPr>
        <w:t xml:space="preserve"> la concentration en PNN est autour de 2000/mm</w:t>
      </w:r>
      <w:r w:rsidRPr="003B7117">
        <w:rPr>
          <w:rFonts w:cs="Times New Roman (Corps CS)"/>
          <w:vertAlign w:val="superscript"/>
        </w:rPr>
        <w:t>3</w:t>
      </w:r>
      <w:r w:rsidRPr="003B7117">
        <w:rPr>
          <w:i/>
        </w:rPr>
        <w:t xml:space="preserve"> (2 G/L): ne pas augmenter la dose. </w:t>
      </w:r>
    </w:p>
    <w:p w:rsidR="00DA5C42" w:rsidRPr="00335E22" w:rsidRDefault="00DA5C42" w:rsidP="00DA5C42">
      <w:pPr>
        <w:pStyle w:val="Paragraphedeliste"/>
        <w:numPr>
          <w:ilvl w:val="0"/>
          <w:numId w:val="4"/>
        </w:numPr>
        <w:jc w:val="both"/>
        <w:rPr>
          <w:i/>
        </w:rPr>
      </w:pPr>
      <w:proofErr w:type="gramStart"/>
      <w:r w:rsidRPr="003B7117">
        <w:rPr>
          <w:i/>
        </w:rPr>
        <w:lastRenderedPageBreak/>
        <w:t>si</w:t>
      </w:r>
      <w:proofErr w:type="gramEnd"/>
      <w:r w:rsidRPr="003B7117">
        <w:rPr>
          <w:i/>
        </w:rPr>
        <w:t xml:space="preserve"> la concentration en PNN &lt;1200/mm</w:t>
      </w:r>
      <w:r w:rsidRPr="003B7117">
        <w:rPr>
          <w:rFonts w:cs="Times New Roman (Corps CS)"/>
          <w:vertAlign w:val="superscript"/>
        </w:rPr>
        <w:t>3</w:t>
      </w:r>
      <w:r w:rsidRPr="003B7117">
        <w:rPr>
          <w:i/>
        </w:rPr>
        <w:t xml:space="preserve"> (ou 1,2 G/L) ou en plaquettes &lt; 80 000/mm</w:t>
      </w:r>
      <w:r w:rsidRPr="003B7117">
        <w:rPr>
          <w:rFonts w:cs="Times New Roman (Corps CS)"/>
          <w:vertAlign w:val="superscript"/>
        </w:rPr>
        <w:t>3</w:t>
      </w:r>
      <w:r w:rsidRPr="003B7117">
        <w:rPr>
          <w:i/>
        </w:rPr>
        <w:t xml:space="preserve"> (ou 80 G/L), suspendre </w:t>
      </w:r>
      <w:r w:rsidRPr="00335E22">
        <w:rPr>
          <w:i/>
        </w:rPr>
        <w:t xml:space="preserve">pour </w:t>
      </w:r>
      <w:r w:rsidR="00CB734C" w:rsidRPr="00335E22">
        <w:rPr>
          <w:i/>
        </w:rPr>
        <w:t>1</w:t>
      </w:r>
      <w:r w:rsidRPr="00335E22">
        <w:rPr>
          <w:i/>
        </w:rPr>
        <w:t xml:space="preserve"> à </w:t>
      </w:r>
      <w:r w:rsidR="00CB734C" w:rsidRPr="00335E22">
        <w:rPr>
          <w:i/>
        </w:rPr>
        <w:t>2</w:t>
      </w:r>
      <w:r w:rsidRPr="00335E22">
        <w:rPr>
          <w:i/>
        </w:rPr>
        <w:t xml:space="preserve"> semaines et reprendre à plus faible dose ;</w:t>
      </w:r>
    </w:p>
    <w:p w:rsidR="00DA5C42" w:rsidRPr="003B7117" w:rsidRDefault="00DA5C42" w:rsidP="00DA5C42">
      <w:pPr>
        <w:pStyle w:val="Paragraphedeliste"/>
        <w:numPr>
          <w:ilvl w:val="0"/>
          <w:numId w:val="4"/>
        </w:numPr>
        <w:jc w:val="both"/>
        <w:rPr>
          <w:i/>
        </w:rPr>
      </w:pPr>
      <w:proofErr w:type="gramStart"/>
      <w:r>
        <w:rPr>
          <w:i/>
        </w:rPr>
        <w:t>si</w:t>
      </w:r>
      <w:proofErr w:type="gramEnd"/>
      <w:r>
        <w:rPr>
          <w:i/>
        </w:rPr>
        <w:t xml:space="preserve"> </w:t>
      </w:r>
      <w:r w:rsidRPr="003B7117">
        <w:rPr>
          <w:i/>
        </w:rPr>
        <w:t xml:space="preserve">aggravation de l’anémie, doser les réticulocytes (en valeur absolue). Diminuer la dose d’HU si les réticulocytes sont bas </w:t>
      </w:r>
      <w:r>
        <w:rPr>
          <w:i/>
        </w:rPr>
        <w:t>(</w:t>
      </w:r>
      <w:r w:rsidRPr="003B7117">
        <w:rPr>
          <w:i/>
        </w:rPr>
        <w:t>&lt; 80 000/mm</w:t>
      </w:r>
      <w:r w:rsidRPr="003B7117">
        <w:rPr>
          <w:rFonts w:cs="Times New Roman (Corps CS)"/>
          <w:vertAlign w:val="superscript"/>
        </w:rPr>
        <w:t>3</w:t>
      </w:r>
      <w:r>
        <w:rPr>
          <w:i/>
        </w:rPr>
        <w:t>) e</w:t>
      </w:r>
      <w:r w:rsidRPr="003B7117">
        <w:rPr>
          <w:i/>
        </w:rPr>
        <w:t>t qu’il n’y a pas d’autre cause d’anémie (notamment infection et carence en fer). Il est à noter que l’</w:t>
      </w:r>
      <w:proofErr w:type="spellStart"/>
      <w:r w:rsidRPr="003B7117">
        <w:rPr>
          <w:i/>
        </w:rPr>
        <w:t>H</w:t>
      </w:r>
      <w:r>
        <w:rPr>
          <w:i/>
        </w:rPr>
        <w:t>b</w:t>
      </w:r>
      <w:proofErr w:type="spellEnd"/>
      <w:r>
        <w:rPr>
          <w:i/>
        </w:rPr>
        <w:t xml:space="preserve"> augmente</w:t>
      </w:r>
      <w:r w:rsidRPr="003B7117">
        <w:rPr>
          <w:i/>
        </w:rPr>
        <w:t xml:space="preserve"> généralement chez les patients drépanocytaires</w:t>
      </w:r>
      <w:r>
        <w:rPr>
          <w:i/>
        </w:rPr>
        <w:t xml:space="preserve"> traités par HU</w:t>
      </w:r>
      <w:r w:rsidRPr="003B7117">
        <w:rPr>
          <w:i/>
        </w:rPr>
        <w:t>.</w:t>
      </w:r>
    </w:p>
    <w:p w:rsidR="00DA5C42" w:rsidRDefault="00DA5C42" w:rsidP="00DA5C42"/>
    <w:p w:rsidR="00DA5C42" w:rsidRPr="0099713E" w:rsidRDefault="00DA5C42" w:rsidP="00DA5C42">
      <w:pPr>
        <w:rPr>
          <w:b/>
          <w:sz w:val="28"/>
          <w:szCs w:val="28"/>
        </w:rPr>
      </w:pPr>
      <w:r w:rsidRPr="0099713E">
        <w:rPr>
          <w:b/>
          <w:sz w:val="28"/>
          <w:szCs w:val="28"/>
        </w:rPr>
        <w:t>INFORMATION</w:t>
      </w:r>
      <w:r>
        <w:rPr>
          <w:b/>
          <w:sz w:val="28"/>
          <w:szCs w:val="28"/>
        </w:rPr>
        <w:t>S</w:t>
      </w:r>
      <w:r w:rsidRPr="0099713E">
        <w:rPr>
          <w:b/>
          <w:sz w:val="28"/>
          <w:szCs w:val="28"/>
        </w:rPr>
        <w:t xml:space="preserve"> COMPLEMENTAIRE</w:t>
      </w:r>
      <w:r>
        <w:rPr>
          <w:b/>
          <w:sz w:val="28"/>
          <w:szCs w:val="28"/>
        </w:rPr>
        <w:t>S</w:t>
      </w:r>
      <w:r w:rsidRPr="0099713E">
        <w:rPr>
          <w:b/>
          <w:sz w:val="28"/>
          <w:szCs w:val="28"/>
        </w:rPr>
        <w:t> </w:t>
      </w:r>
    </w:p>
    <w:p w:rsidR="00DA5C42" w:rsidRPr="003B7117" w:rsidRDefault="00DA5C42" w:rsidP="00DA5C42">
      <w:pPr>
        <w:pStyle w:val="Paragraphedeliste"/>
        <w:numPr>
          <w:ilvl w:val="0"/>
          <w:numId w:val="3"/>
        </w:numPr>
      </w:pPr>
      <w:r w:rsidRPr="003B7117">
        <w:t>Poursuivre la pénicilline V (chez l’enfant), l’acide folique, la prévention de la malaria et les vaccinations en plus de l’HU.</w:t>
      </w:r>
    </w:p>
    <w:p w:rsidR="00DA5C42" w:rsidRPr="003B7117" w:rsidRDefault="00DA5C42" w:rsidP="00DA5C42">
      <w:pPr>
        <w:pStyle w:val="Paragraphedeliste"/>
        <w:numPr>
          <w:ilvl w:val="0"/>
          <w:numId w:val="3"/>
        </w:numPr>
      </w:pPr>
      <w:r w:rsidRPr="003B7117">
        <w:t xml:space="preserve">Les ulcères cutanés drépanocytaires non infectés ne sont pas une contre-indication à l’initiation de l’HU mais nécessitent une surveillance rapprochée de leur évolution. </w:t>
      </w:r>
    </w:p>
    <w:p w:rsidR="00CB734C" w:rsidRPr="00335E22" w:rsidRDefault="00CB734C" w:rsidP="00CB734C">
      <w:pPr>
        <w:pStyle w:val="Paragraphedeliste"/>
        <w:numPr>
          <w:ilvl w:val="0"/>
          <w:numId w:val="3"/>
        </w:numPr>
        <w:jc w:val="both"/>
      </w:pPr>
      <w:r w:rsidRPr="00335E22">
        <w:t xml:space="preserve">En cas d’infection bactérienne grave avérée, retarder le début du traitement. Lors d’une prise au long cours, la suspicion d’une infection ne nécessite pas l’arrêt de l’HU, sauf si </w:t>
      </w:r>
      <w:r w:rsidR="009A05C1" w:rsidRPr="00335E22">
        <w:t xml:space="preserve">les </w:t>
      </w:r>
      <w:r w:rsidRPr="00335E22">
        <w:t>PNN</w:t>
      </w:r>
      <w:r w:rsidR="009A05C1" w:rsidRPr="00335E22">
        <w:t xml:space="preserve"> sont</w:t>
      </w:r>
      <w:r w:rsidRPr="00335E22">
        <w:t xml:space="preserve"> &lt;1500/mm</w:t>
      </w:r>
      <w:r w:rsidRPr="00335E22">
        <w:rPr>
          <w:rFonts w:cs="Times New Roman (Corps CS)"/>
          <w:vertAlign w:val="superscript"/>
        </w:rPr>
        <w:t>3</w:t>
      </w:r>
      <w:r w:rsidRPr="00335E22">
        <w:t xml:space="preserve">. </w:t>
      </w:r>
    </w:p>
    <w:p w:rsidR="00CB734C" w:rsidRPr="00335E22" w:rsidRDefault="00CB734C" w:rsidP="00CB734C">
      <w:pPr>
        <w:pStyle w:val="Paragraphedeliste"/>
        <w:numPr>
          <w:ilvl w:val="0"/>
          <w:numId w:val="3"/>
        </w:numPr>
        <w:jc w:val="both"/>
        <w:rPr>
          <w:b/>
        </w:rPr>
      </w:pPr>
      <w:r w:rsidRPr="00335E22">
        <w:rPr>
          <w:b/>
        </w:rPr>
        <w:t>Arrêt du traitement :</w:t>
      </w:r>
    </w:p>
    <w:p w:rsidR="00CB734C" w:rsidRPr="00335E22" w:rsidRDefault="00CB734C" w:rsidP="00CB734C">
      <w:pPr>
        <w:pStyle w:val="Paragraphedeliste"/>
        <w:numPr>
          <w:ilvl w:val="1"/>
          <w:numId w:val="3"/>
        </w:numPr>
        <w:jc w:val="both"/>
      </w:pPr>
      <w:r w:rsidRPr="00335E22">
        <w:rPr>
          <w:b/>
        </w:rPr>
        <w:t>Transitoire</w:t>
      </w:r>
      <w:r w:rsidRPr="00335E22">
        <w:t> </w:t>
      </w:r>
      <w:r w:rsidR="00EF02D5" w:rsidRPr="00335E22">
        <w:t>en cas</w:t>
      </w:r>
      <w:r w:rsidRPr="00335E22">
        <w:t xml:space="preserve"> de cytopénies (voir plus haut</w:t>
      </w:r>
      <w:proofErr w:type="gramStart"/>
      <w:r w:rsidRPr="00335E22">
        <w:t>);</w:t>
      </w:r>
      <w:proofErr w:type="gramEnd"/>
      <w:r w:rsidRPr="00335E22">
        <w:t xml:space="preserve"> de grossesse; de difficulté de procréer pour un homme;</w:t>
      </w:r>
    </w:p>
    <w:p w:rsidR="00CB734C" w:rsidRPr="00335E22" w:rsidRDefault="00CB734C" w:rsidP="00CB734C">
      <w:pPr>
        <w:pStyle w:val="Paragraphedeliste"/>
        <w:numPr>
          <w:ilvl w:val="1"/>
          <w:numId w:val="3"/>
        </w:numPr>
        <w:jc w:val="both"/>
      </w:pPr>
      <w:r w:rsidRPr="00335E22">
        <w:rPr>
          <w:b/>
        </w:rPr>
        <w:t>Définiti</w:t>
      </w:r>
      <w:r w:rsidR="00EF02D5" w:rsidRPr="00335E22">
        <w:rPr>
          <w:b/>
        </w:rPr>
        <w:t>f</w:t>
      </w:r>
      <w:r w:rsidRPr="00335E22">
        <w:t xml:space="preserve"> si des CVO persistent après 6 mois de traitement bien </w:t>
      </w:r>
      <w:r w:rsidR="00EF02D5" w:rsidRPr="00335E22">
        <w:t>pris</w:t>
      </w:r>
      <w:r w:rsidRPr="00335E22">
        <w:t xml:space="preserve"> et à dose optimisée pour atteindre une concentration PNN autour de 2000/mm</w:t>
      </w:r>
      <w:r w:rsidR="00EF02D5" w:rsidRPr="00335E22">
        <w:rPr>
          <w:rFonts w:cs="Times New Roman (Corps CS)"/>
          <w:vertAlign w:val="superscript"/>
        </w:rPr>
        <w:t>3</w:t>
      </w:r>
      <w:r w:rsidRPr="00335E22">
        <w:t>, après avoir vérifi</w:t>
      </w:r>
      <w:r w:rsidR="00EF02D5" w:rsidRPr="00335E22">
        <w:t>é</w:t>
      </w:r>
      <w:r w:rsidRPr="00335E22">
        <w:t xml:space="preserve"> la compliance et élimin</w:t>
      </w:r>
      <w:r w:rsidR="00335E22">
        <w:t>é</w:t>
      </w:r>
      <w:r w:rsidRPr="00335E22">
        <w:t xml:space="preserve"> une infection profonde. L’HU peut être ré</w:t>
      </w:r>
      <w:r w:rsidR="00EF02D5" w:rsidRPr="00335E22">
        <w:t>essayer</w:t>
      </w:r>
      <w:r w:rsidRPr="00335E22">
        <w:t xml:space="preserve"> plus tard dans sa vie. </w:t>
      </w:r>
    </w:p>
    <w:p w:rsidR="00DA5C42" w:rsidRDefault="00DA5C42" w:rsidP="00DA5C42">
      <w:pPr>
        <w:jc w:val="center"/>
        <w:rPr>
          <w:b/>
        </w:rPr>
      </w:pPr>
    </w:p>
    <w:p w:rsidR="00DA5C42" w:rsidRDefault="00DA5C42" w:rsidP="00DA5C42">
      <w:pPr>
        <w:jc w:val="center"/>
        <w:rPr>
          <w:b/>
        </w:rPr>
      </w:pPr>
    </w:p>
    <w:p w:rsidR="00DA5C42" w:rsidRPr="00BC26FD" w:rsidRDefault="00DA5C42" w:rsidP="00DA5C42">
      <w:pPr>
        <w:pBdr>
          <w:top w:val="single" w:sz="4" w:space="1" w:color="auto"/>
          <w:left w:val="single" w:sz="4" w:space="4" w:color="auto"/>
          <w:bottom w:val="single" w:sz="4" w:space="1" w:color="auto"/>
          <w:right w:val="single" w:sz="4" w:space="4" w:color="auto"/>
        </w:pBdr>
        <w:jc w:val="center"/>
        <w:rPr>
          <w:b/>
          <w:color w:val="000000" w:themeColor="text1"/>
          <w:sz w:val="32"/>
        </w:rPr>
      </w:pPr>
      <w:r w:rsidRPr="00BC26FD">
        <w:rPr>
          <w:b/>
          <w:color w:val="000000" w:themeColor="text1"/>
          <w:sz w:val="32"/>
        </w:rPr>
        <w:t>Zones d’incertitude de la prescription</w:t>
      </w:r>
      <w:r>
        <w:rPr>
          <w:b/>
          <w:color w:val="000000" w:themeColor="text1"/>
          <w:sz w:val="32"/>
        </w:rPr>
        <w:t xml:space="preserve"> en Afrique Sub-saharienne</w:t>
      </w:r>
    </w:p>
    <w:p w:rsidR="00DA5C42" w:rsidRDefault="00DA5C42" w:rsidP="00DA5C42">
      <w:pPr>
        <w:jc w:val="both"/>
      </w:pPr>
    </w:p>
    <w:p w:rsidR="00DA5C42" w:rsidRDefault="00DA5C42" w:rsidP="00DA5C42">
      <w:pPr>
        <w:jc w:val="both"/>
      </w:pPr>
      <w:r w:rsidRPr="009B67BA">
        <w:t xml:space="preserve">De nombreux auteurs recommandent la prescription large et prolongée </w:t>
      </w:r>
      <w:r>
        <w:t>pendant</w:t>
      </w:r>
      <w:r w:rsidRPr="009B67BA">
        <w:t xml:space="preserve"> des années dès que le diagnostic de drépanocytose </w:t>
      </w:r>
      <w:r w:rsidRPr="00BC26FD">
        <w:t>SS ou S/</w:t>
      </w:r>
      <w:r w:rsidRPr="00BC26FD">
        <w:rPr>
          <w:rFonts w:ascii="Calibri" w:hAnsi="Calibri" w:cs="Calibri"/>
        </w:rPr>
        <w:t>ß</w:t>
      </w:r>
      <w:r w:rsidRPr="00BC26FD">
        <w:t xml:space="preserve">°-thalassémie </w:t>
      </w:r>
      <w:r w:rsidRPr="009B67BA">
        <w:t xml:space="preserve">est établi </w:t>
      </w:r>
      <w:r>
        <w:t>(après</w:t>
      </w:r>
      <w:r w:rsidRPr="009B67BA">
        <w:t xml:space="preserve"> 9 mois</w:t>
      </w:r>
      <w:r>
        <w:t xml:space="preserve"> de vie),</w:t>
      </w:r>
      <w:r w:rsidRPr="00B3073B">
        <w:t xml:space="preserve"> </w:t>
      </w:r>
      <w:r>
        <w:t>sans attendre l’arrivée des complications.</w:t>
      </w:r>
      <w:r w:rsidR="007A0E7A">
        <w:t xml:space="preserve"> C’est aussi les recommandations de l’OMS pour l’Afrique dans un récent rapport de juin 2024.</w:t>
      </w:r>
    </w:p>
    <w:p w:rsidR="00DA5C42" w:rsidRDefault="00DA5C42" w:rsidP="00DA5C42">
      <w:pPr>
        <w:jc w:val="both"/>
      </w:pPr>
      <w:r>
        <w:t xml:space="preserve">Les avantages de l’approche sont : </w:t>
      </w:r>
      <w:r w:rsidRPr="009B67BA">
        <w:t xml:space="preserve">permettre un meilleur développement de l’enfant, </w:t>
      </w:r>
      <w:r>
        <w:t>réduire</w:t>
      </w:r>
      <w:r w:rsidRPr="009B67BA">
        <w:t xml:space="preserve"> </w:t>
      </w:r>
      <w:r>
        <w:t>l</w:t>
      </w:r>
      <w:r w:rsidRPr="009B67BA">
        <w:t>es crises, les AVC, l’absentéisme scolaire</w:t>
      </w:r>
      <w:r>
        <w:t xml:space="preserve">, les risques d’exposition transfusionnelle, et les lésions chroniques d’organes… en résumé ne pas attendre la survenue de complications. </w:t>
      </w:r>
    </w:p>
    <w:p w:rsidR="00DA5C42" w:rsidRDefault="00DA5C42" w:rsidP="00DA5C42">
      <w:pPr>
        <w:jc w:val="both"/>
        <w:rPr>
          <w:color w:val="000000" w:themeColor="text1"/>
        </w:rPr>
      </w:pPr>
      <w:r>
        <w:t xml:space="preserve">Nous n’avons pas pu dégager un consensus à ce sujet car l’adhérence au traitement sur le long terme pourrait être difficile si les familles n’ont jamais expérimenté l’impact des crises. De plus, il existe un fardeau important sur la famille lié au coût du traitement de l’HU sur le long terme et de sa surveillance (hémogramme), tant qu’il n’y a pas dans les pays un système de prise en charge à 100%. La disponibilité est aussi loin </w:t>
      </w:r>
      <w:r w:rsidRPr="003B0BFC">
        <w:rPr>
          <w:color w:val="000000" w:themeColor="text1"/>
        </w:rPr>
        <w:t xml:space="preserve">d’être optimale. L’utilisation très large pourrait créer un risque de pénurie pour des patients </w:t>
      </w:r>
      <w:r>
        <w:rPr>
          <w:color w:val="000000" w:themeColor="text1"/>
        </w:rPr>
        <w:t>jugés prioritaires</w:t>
      </w:r>
      <w:r w:rsidRPr="003B0BFC">
        <w:rPr>
          <w:color w:val="000000" w:themeColor="text1"/>
        </w:rPr>
        <w:t xml:space="preserve">. </w:t>
      </w:r>
    </w:p>
    <w:p w:rsidR="00DA5C42" w:rsidRDefault="00DA5C42" w:rsidP="00DA5C42">
      <w:pPr>
        <w:jc w:val="both"/>
      </w:pPr>
      <w:r>
        <w:t>Enfin, l</w:t>
      </w:r>
      <w:r w:rsidRPr="00695BF8">
        <w:t>'utilisation</w:t>
      </w:r>
      <w:r>
        <w:t>, chez tous les patients,</w:t>
      </w:r>
      <w:r w:rsidRPr="00695BF8">
        <w:t xml:space="preserve"> d'une dose maximale tolérée</w:t>
      </w:r>
      <w:r>
        <w:t xml:space="preserve"> (DMT)</w:t>
      </w:r>
      <w:r w:rsidRPr="00695BF8">
        <w:t xml:space="preserve"> sur le plan hématologique</w:t>
      </w:r>
      <w:r w:rsidR="00E551A1">
        <w:t xml:space="preserve"> </w:t>
      </w:r>
      <w:r w:rsidR="00E551A1" w:rsidRPr="00335E22">
        <w:t>(objectif des PNN entre 2000 et 4000/mm</w:t>
      </w:r>
      <w:r w:rsidR="00E551A1" w:rsidRPr="00335E22">
        <w:rPr>
          <w:rFonts w:cs="Times New Roman (Corps CS)"/>
          <w:vertAlign w:val="superscript"/>
        </w:rPr>
        <w:t>3</w:t>
      </w:r>
      <w:r w:rsidR="00E551A1" w:rsidRPr="00335E22">
        <w:t>)</w:t>
      </w:r>
      <w:r w:rsidRPr="00335E22">
        <w:t>,</w:t>
      </w:r>
      <w:r w:rsidRPr="00695BF8">
        <w:t xml:space="preserve"> même si </w:t>
      </w:r>
      <w:r>
        <w:t>l’</w:t>
      </w:r>
      <w:r w:rsidRPr="00695BF8">
        <w:t>efficacité</w:t>
      </w:r>
      <w:r>
        <w:t xml:space="preserve"> de cette stratégie</w:t>
      </w:r>
      <w:r w:rsidRPr="00695BF8">
        <w:t xml:space="preserve"> a bien été démontré</w:t>
      </w:r>
      <w:r>
        <w:t>e</w:t>
      </w:r>
      <w:r w:rsidRPr="00695BF8">
        <w:t xml:space="preserve"> chez les enfants drépanocytaires, est aussi à risque de créer une pénurie et augmente nettement le co</w:t>
      </w:r>
      <w:r>
        <w:t>û</w:t>
      </w:r>
      <w:r w:rsidRPr="00695BF8">
        <w:t>t pour les familles (non seulement du traitement</w:t>
      </w:r>
      <w:r>
        <w:t>,</w:t>
      </w:r>
      <w:r w:rsidRPr="00695BF8">
        <w:t xml:space="preserve"> mais aussi de </w:t>
      </w:r>
      <w:r>
        <w:t>s</w:t>
      </w:r>
      <w:r w:rsidRPr="00695BF8">
        <w:t xml:space="preserve">a surveillance). Par ailleurs, cela ne peut être envisagé que par des prescripteurs ayant déjà une large expérience de la prescription de l'HU et de sa surveillance. </w:t>
      </w:r>
    </w:p>
    <w:p w:rsidR="00DA5C42" w:rsidRDefault="00DA5C42" w:rsidP="00DA5C42">
      <w:pPr>
        <w:jc w:val="both"/>
      </w:pPr>
      <w:r>
        <w:lastRenderedPageBreak/>
        <w:t>Ainsi, l’utilisation systématique et précoce de l’HU</w:t>
      </w:r>
      <w:r w:rsidR="00794D8A">
        <w:t xml:space="preserve">, </w:t>
      </w:r>
      <w:r w:rsidR="00794D8A" w:rsidRPr="00335E22">
        <w:t>une dose d’attaque plus élevée</w:t>
      </w:r>
      <w:bookmarkStart w:id="0" w:name="_GoBack"/>
      <w:bookmarkEnd w:id="0"/>
      <w:r w:rsidR="00794D8A">
        <w:t>,</w:t>
      </w:r>
      <w:r>
        <w:t xml:space="preserve"> et la stratégie de la DMT doit, en </w:t>
      </w:r>
      <w:r w:rsidR="007A0E7A">
        <w:t>2025</w:t>
      </w:r>
      <w:r>
        <w:t>, se discuter selon les pays, les centres, les possibilités financières des familles et de l’accès aux examens de suivi.</w:t>
      </w:r>
    </w:p>
    <w:p w:rsidR="00DA5C42" w:rsidRDefault="00DA5C42" w:rsidP="00DA5C42">
      <w:pPr>
        <w:jc w:val="both"/>
      </w:pPr>
      <w:r>
        <w:t>Ces recommandations seront certainement évolutives en fonction de la diffusion de l’HU en Afrique et de l’expérience croissante des prescripteurs et des familles.</w:t>
      </w:r>
    </w:p>
    <w:p w:rsidR="00DA5C42" w:rsidRPr="00656C26" w:rsidRDefault="00DA5C42" w:rsidP="00DA5C42">
      <w:pPr>
        <w:jc w:val="center"/>
        <w:rPr>
          <w:b/>
          <w:sz w:val="32"/>
        </w:rPr>
      </w:pPr>
    </w:p>
    <w:p w:rsidR="00F46027" w:rsidRDefault="00F46027"/>
    <w:sectPr w:rsidR="00F46027" w:rsidSect="00DA1357">
      <w:pgSz w:w="11900" w:h="16840"/>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New Roman (Corps CS)">
    <w:altName w:val="Times New Roman"/>
    <w:panose1 w:val="020206030504050203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5142"/>
    <w:multiLevelType w:val="hybridMultilevel"/>
    <w:tmpl w:val="EF7E35DA"/>
    <w:lvl w:ilvl="0" w:tplc="6A384074">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071F5504"/>
    <w:multiLevelType w:val="hybridMultilevel"/>
    <w:tmpl w:val="E0301730"/>
    <w:lvl w:ilvl="0" w:tplc="A6FC8306">
      <w:start w:val="14"/>
      <w:numFmt w:val="bullet"/>
      <w:lvlText w:val="-"/>
      <w:lvlJc w:val="left"/>
      <w:pPr>
        <w:ind w:left="360" w:hanging="360"/>
      </w:pPr>
      <w:rPr>
        <w:rFonts w:ascii="Calibri" w:eastAsiaTheme="minorHAnsi"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C6779A3"/>
    <w:multiLevelType w:val="hybridMultilevel"/>
    <w:tmpl w:val="4538E70C"/>
    <w:lvl w:ilvl="0" w:tplc="99CA8B1C">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694B62"/>
    <w:multiLevelType w:val="hybridMultilevel"/>
    <w:tmpl w:val="D2E0664C"/>
    <w:lvl w:ilvl="0" w:tplc="99CA8B1C">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5EC6E9D"/>
    <w:multiLevelType w:val="hybridMultilevel"/>
    <w:tmpl w:val="1A3E30BC"/>
    <w:lvl w:ilvl="0" w:tplc="8954C2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C42"/>
    <w:rsid w:val="00020CC5"/>
    <w:rsid w:val="00185F63"/>
    <w:rsid w:val="001B4437"/>
    <w:rsid w:val="00267865"/>
    <w:rsid w:val="00335E22"/>
    <w:rsid w:val="003F2AE0"/>
    <w:rsid w:val="005875C2"/>
    <w:rsid w:val="006062AD"/>
    <w:rsid w:val="00640902"/>
    <w:rsid w:val="0076759B"/>
    <w:rsid w:val="007860F6"/>
    <w:rsid w:val="00794D8A"/>
    <w:rsid w:val="007A0E7A"/>
    <w:rsid w:val="00967363"/>
    <w:rsid w:val="00992E52"/>
    <w:rsid w:val="009A05C1"/>
    <w:rsid w:val="00B33788"/>
    <w:rsid w:val="00C6330A"/>
    <w:rsid w:val="00CB734C"/>
    <w:rsid w:val="00D25454"/>
    <w:rsid w:val="00DA1357"/>
    <w:rsid w:val="00DA5C42"/>
    <w:rsid w:val="00DC5E53"/>
    <w:rsid w:val="00DF491C"/>
    <w:rsid w:val="00E551A1"/>
    <w:rsid w:val="00EB04E3"/>
    <w:rsid w:val="00EE0F98"/>
    <w:rsid w:val="00EF02D5"/>
    <w:rsid w:val="00F460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5F03848"/>
  <w15:chartTrackingRefBased/>
  <w15:docId w15:val="{F25ECE7C-798A-C84C-A576-B057017E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C4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A5C42"/>
    <w:pPr>
      <w:ind w:left="720"/>
      <w:contextualSpacing/>
    </w:pPr>
  </w:style>
  <w:style w:type="character" w:styleId="Lienhypertexte">
    <w:name w:val="Hyperlink"/>
    <w:basedOn w:val="Policepardfaut"/>
    <w:uiPriority w:val="99"/>
    <w:unhideWhenUsed/>
    <w:rsid w:val="00DA5C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rep-afrique.org/equip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1295</Words>
  <Characters>7123</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2024-12-01T21:03:00Z</dcterms:created>
  <dcterms:modified xsi:type="dcterms:W3CDTF">2024-12-01T21:06:00Z</dcterms:modified>
</cp:coreProperties>
</file>