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7E3B" w14:textId="3D5CEDF2" w:rsidR="006B12EA" w:rsidRDefault="006B12EA" w:rsidP="006B12EA">
      <w:pPr>
        <w:pStyle w:val="Title"/>
      </w:pPr>
      <w:r>
        <w:t>Supplementary Section:</w:t>
      </w:r>
    </w:p>
    <w:p w14:paraId="72EB3C19" w14:textId="77777777" w:rsidR="006B12EA" w:rsidRPr="006B12EA" w:rsidRDefault="006B12EA" w:rsidP="006B12EA">
      <w:pPr>
        <w:rPr>
          <w:lang w:bidi="hi-IN"/>
        </w:rPr>
      </w:pPr>
    </w:p>
    <w:p w14:paraId="54EEAB1D" w14:textId="3B1E5D27" w:rsidR="00B16D1F" w:rsidRPr="00B16D1F" w:rsidRDefault="00B16D1F" w:rsidP="00B16D1F">
      <w:pPr>
        <w:spacing w:line="360" w:lineRule="auto"/>
        <w:jc w:val="both"/>
        <w:rPr>
          <w:rFonts w:cstheme="minorHAnsi"/>
          <w:b/>
          <w:bCs/>
          <w:sz w:val="28"/>
          <w:szCs w:val="28"/>
        </w:rPr>
      </w:pPr>
      <w:r w:rsidRPr="00B16D1F">
        <w:rPr>
          <w:rFonts w:cstheme="minorHAnsi"/>
          <w:b/>
          <w:bCs/>
          <w:sz w:val="28"/>
          <w:szCs w:val="28"/>
        </w:rPr>
        <w:t>Conditioning Regimens:</w:t>
      </w:r>
    </w:p>
    <w:p w14:paraId="0D9F6D97" w14:textId="45F14B9D" w:rsidR="00B16D1F" w:rsidRPr="009D62D0" w:rsidRDefault="00B16D1F" w:rsidP="00B16D1F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9D62D0">
        <w:rPr>
          <w:rFonts w:cstheme="minorHAnsi"/>
          <w:b/>
          <w:bCs/>
          <w:i/>
          <w:iCs/>
          <w:sz w:val="24"/>
          <w:szCs w:val="24"/>
          <w:u w:val="single"/>
        </w:rPr>
        <w:t>Myeloid Blast crisis</w:t>
      </w:r>
    </w:p>
    <w:p w14:paraId="383BF4E6" w14:textId="77777777" w:rsidR="00B16D1F" w:rsidRPr="009D62D0" w:rsidRDefault="00B16D1F" w:rsidP="00B16D1F">
      <w:pPr>
        <w:spacing w:line="360" w:lineRule="auto"/>
        <w:jc w:val="both"/>
        <w:rPr>
          <w:rFonts w:cstheme="minorHAnsi"/>
          <w:sz w:val="24"/>
          <w:szCs w:val="24"/>
        </w:rPr>
      </w:pPr>
      <w:r w:rsidRPr="009D62D0">
        <w:rPr>
          <w:rFonts w:cstheme="minorHAnsi"/>
          <w:sz w:val="24"/>
          <w:szCs w:val="24"/>
        </w:rPr>
        <w:t>Matched Sibling Donor (MSD) transplant: Fludarabine 40mg/m2 for 4 days (total dose: 160mg/m2), busulfan 3.2mg/kg/day for 3 days (total dose 9.6mg/kg) with cyclosporine 5mg/kg/day starting from day -2 and methotrexate 10mg/m2 on day +1 and 7 mg/m2 on day +3, day+6.</w:t>
      </w:r>
    </w:p>
    <w:p w14:paraId="6F2EFA7C" w14:textId="77777777" w:rsidR="00B16D1F" w:rsidRPr="009D62D0" w:rsidRDefault="00B16D1F" w:rsidP="00B16D1F">
      <w:pPr>
        <w:spacing w:line="360" w:lineRule="auto"/>
        <w:jc w:val="both"/>
        <w:rPr>
          <w:rFonts w:cstheme="minorHAnsi"/>
          <w:sz w:val="24"/>
          <w:szCs w:val="24"/>
        </w:rPr>
      </w:pPr>
      <w:r w:rsidRPr="009D62D0">
        <w:rPr>
          <w:rFonts w:cstheme="minorHAnsi"/>
          <w:sz w:val="24"/>
          <w:szCs w:val="24"/>
        </w:rPr>
        <w:t xml:space="preserve">For </w:t>
      </w:r>
      <w:r>
        <w:rPr>
          <w:rFonts w:cstheme="minorHAnsi"/>
          <w:sz w:val="24"/>
          <w:szCs w:val="24"/>
        </w:rPr>
        <w:t>haploidentical</w:t>
      </w:r>
      <w:r w:rsidRPr="009D62D0">
        <w:rPr>
          <w:rFonts w:cstheme="minorHAnsi"/>
          <w:sz w:val="24"/>
          <w:szCs w:val="24"/>
        </w:rPr>
        <w:t xml:space="preserve"> transplants: Fludarabine 25mg/m2 for 5 days (125mg/m2), busulfan 3.2mg/kg/day for 3 days and cyclophosphamide 14.5mg/kg/day for 2 days with </w:t>
      </w:r>
      <w:r>
        <w:rPr>
          <w:rFonts w:cstheme="minorHAnsi"/>
          <w:sz w:val="24"/>
          <w:szCs w:val="24"/>
        </w:rPr>
        <w:t>post-transplant</w:t>
      </w:r>
      <w:r w:rsidRPr="009D62D0">
        <w:rPr>
          <w:rFonts w:cstheme="minorHAnsi"/>
          <w:sz w:val="24"/>
          <w:szCs w:val="24"/>
        </w:rPr>
        <w:t xml:space="preserve"> cyclophosphamide (50mg/kg/day on day +3 and day +4), Mycophenolate mofetil (MMF) (15mg/kg/day from day +5 to day +35) and Cyclosporine 5mg/kg/day in 2 divided doses from day +5 onwards.</w:t>
      </w:r>
    </w:p>
    <w:p w14:paraId="784C6C91" w14:textId="77777777" w:rsidR="00B16D1F" w:rsidRPr="009D62D0" w:rsidRDefault="00B16D1F" w:rsidP="00B16D1F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9D62D0">
        <w:rPr>
          <w:rFonts w:cstheme="minorHAnsi"/>
          <w:b/>
          <w:bCs/>
          <w:i/>
          <w:iCs/>
          <w:sz w:val="24"/>
          <w:szCs w:val="24"/>
          <w:u w:val="single"/>
        </w:rPr>
        <w:t>Lymphoid blast crisis</w:t>
      </w:r>
    </w:p>
    <w:p w14:paraId="26EDEAE4" w14:textId="77777777" w:rsidR="00B16D1F" w:rsidRPr="009D62D0" w:rsidRDefault="00B16D1F" w:rsidP="00B16D1F">
      <w:pPr>
        <w:spacing w:line="360" w:lineRule="auto"/>
        <w:jc w:val="both"/>
        <w:rPr>
          <w:rFonts w:cstheme="minorHAnsi"/>
          <w:sz w:val="24"/>
          <w:szCs w:val="24"/>
        </w:rPr>
      </w:pPr>
      <w:r w:rsidRPr="009D62D0">
        <w:rPr>
          <w:rFonts w:cstheme="minorHAnsi"/>
          <w:sz w:val="24"/>
          <w:szCs w:val="24"/>
        </w:rPr>
        <w:t xml:space="preserve">For MSD and Haplo-identical transplant: Fludarabine 30mg/m2 for 3 days (total: 90mg/m2), total body irradiation 8 Gy in 2 divided fractions over 4 days. </w:t>
      </w:r>
    </w:p>
    <w:p w14:paraId="1058FC2E" w14:textId="77777777" w:rsidR="00B16D1F" w:rsidRPr="009D62D0" w:rsidRDefault="00B16D1F" w:rsidP="00B16D1F">
      <w:pPr>
        <w:spacing w:line="360" w:lineRule="auto"/>
        <w:jc w:val="both"/>
        <w:rPr>
          <w:rFonts w:cstheme="minorHAnsi"/>
          <w:sz w:val="24"/>
          <w:szCs w:val="24"/>
        </w:rPr>
      </w:pPr>
      <w:r w:rsidRPr="009D62D0">
        <w:rPr>
          <w:rFonts w:cstheme="minorHAnsi"/>
          <w:sz w:val="24"/>
          <w:szCs w:val="24"/>
        </w:rPr>
        <w:t>Graft versus host disease prophylaxis consisted of post-transplant cyclophosphamide (PTCy) 50mg/kg for 2 days on day +3 and day +4 followed by Cyclosporine 5mg/kg/day from day +5 onwards in MSD and in haplo-identical transplant MMF was added at 15mg/kg/day from day +5 to day +35 in addition to the above two drugs.</w:t>
      </w:r>
    </w:p>
    <w:p w14:paraId="40CF31E6" w14:textId="77777777" w:rsidR="00B16D1F" w:rsidRPr="009D62D0" w:rsidRDefault="00B16D1F" w:rsidP="00B16D1F">
      <w:pPr>
        <w:spacing w:line="360" w:lineRule="auto"/>
        <w:jc w:val="both"/>
        <w:rPr>
          <w:rFonts w:cstheme="minorHAnsi"/>
          <w:sz w:val="24"/>
          <w:szCs w:val="24"/>
        </w:rPr>
      </w:pPr>
      <w:r w:rsidRPr="009D62D0">
        <w:rPr>
          <w:rFonts w:cstheme="minorHAnsi"/>
          <w:b/>
          <w:bCs/>
          <w:i/>
          <w:iCs/>
          <w:sz w:val="24"/>
          <w:szCs w:val="24"/>
        </w:rPr>
        <w:t>Donors:</w:t>
      </w:r>
      <w:r w:rsidRPr="009D62D0">
        <w:rPr>
          <w:rFonts w:cstheme="minorHAnsi"/>
          <w:sz w:val="24"/>
          <w:szCs w:val="24"/>
        </w:rPr>
        <w:t xml:space="preserve"> Peripheral blood stem cells were collected after </w:t>
      </w:r>
      <w:r>
        <w:rPr>
          <w:rFonts w:cstheme="minorHAnsi"/>
          <w:sz w:val="24"/>
          <w:szCs w:val="24"/>
        </w:rPr>
        <w:t>mobilization</w:t>
      </w:r>
      <w:r w:rsidRPr="009D62D0">
        <w:rPr>
          <w:rFonts w:cstheme="minorHAnsi"/>
          <w:sz w:val="24"/>
          <w:szCs w:val="24"/>
        </w:rPr>
        <w:t xml:space="preserve"> with G-CSF from day -5 to day -1 at 10mcg/kg/day. A minimum CD34 dose of 5 x 10</w:t>
      </w:r>
      <w:r w:rsidRPr="009D62D0">
        <w:rPr>
          <w:rFonts w:cstheme="minorHAnsi"/>
          <w:sz w:val="24"/>
          <w:szCs w:val="24"/>
          <w:vertAlign w:val="superscript"/>
        </w:rPr>
        <w:t>6</w:t>
      </w:r>
      <w:r w:rsidRPr="009D62D0">
        <w:rPr>
          <w:rFonts w:cstheme="minorHAnsi"/>
          <w:sz w:val="24"/>
          <w:szCs w:val="24"/>
        </w:rPr>
        <w:t xml:space="preserve"> cells/kg was used in all the transplants.</w:t>
      </w:r>
    </w:p>
    <w:p w14:paraId="67BA1F71" w14:textId="77777777" w:rsidR="00B16D1F" w:rsidRPr="009D62D0" w:rsidRDefault="00B16D1F" w:rsidP="00B16D1F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9D62D0">
        <w:rPr>
          <w:rFonts w:cstheme="minorHAnsi"/>
          <w:b/>
          <w:bCs/>
          <w:i/>
          <w:iCs/>
          <w:sz w:val="24"/>
          <w:szCs w:val="24"/>
          <w:u w:val="single"/>
        </w:rPr>
        <w:t>Supportive Care</w:t>
      </w:r>
    </w:p>
    <w:p w14:paraId="6A55188D" w14:textId="77777777" w:rsidR="00B16D1F" w:rsidRDefault="00B16D1F" w:rsidP="00B16D1F">
      <w:pPr>
        <w:spacing w:line="360" w:lineRule="auto"/>
        <w:jc w:val="both"/>
        <w:rPr>
          <w:rFonts w:cstheme="minorHAnsi"/>
          <w:sz w:val="24"/>
          <w:szCs w:val="24"/>
        </w:rPr>
      </w:pPr>
      <w:r w:rsidRPr="009D62D0">
        <w:rPr>
          <w:rFonts w:cstheme="minorHAnsi"/>
          <w:sz w:val="24"/>
          <w:szCs w:val="24"/>
        </w:rPr>
        <w:t xml:space="preserve">Prophylaxis against fungal infection consisted of fluconazole, voriconazole, or posaconazole initiated on day +5 and continued until day +100 unless continuation of therapy was clinically </w:t>
      </w:r>
      <w:r w:rsidRPr="009D62D0">
        <w:rPr>
          <w:rFonts w:cstheme="minorHAnsi"/>
          <w:sz w:val="24"/>
          <w:szCs w:val="24"/>
        </w:rPr>
        <w:lastRenderedPageBreak/>
        <w:t xml:space="preserve">indicated </w:t>
      </w:r>
      <w:r>
        <w:rPr>
          <w:rFonts w:cstheme="minorHAnsi"/>
          <w:sz w:val="24"/>
          <w:szCs w:val="24"/>
        </w:rPr>
        <w:t>per</w:t>
      </w:r>
      <w:r w:rsidRPr="009D62D0">
        <w:rPr>
          <w:rFonts w:cstheme="minorHAnsi"/>
          <w:sz w:val="24"/>
          <w:szCs w:val="24"/>
        </w:rPr>
        <w:t xml:space="preserve"> institutional standards. Antiviral prophylaxis consisted of oral acyclovir for herpes infections and trimethoprim-sulfamethoxazole for </w:t>
      </w:r>
      <w:r w:rsidRPr="00A1201B">
        <w:rPr>
          <w:rFonts w:cstheme="minorHAnsi"/>
          <w:i/>
          <w:iCs/>
          <w:sz w:val="24"/>
          <w:szCs w:val="24"/>
        </w:rPr>
        <w:t>pneumocystis jirovecii</w:t>
      </w:r>
      <w:r w:rsidRPr="009D62D0">
        <w:rPr>
          <w:rFonts w:cstheme="minorHAnsi"/>
          <w:sz w:val="24"/>
          <w:szCs w:val="24"/>
        </w:rPr>
        <w:t xml:space="preserve">. </w:t>
      </w:r>
    </w:p>
    <w:p w14:paraId="5D9BC5A4" w14:textId="12A51084" w:rsidR="00B16D1F" w:rsidRDefault="00B16D1F" w:rsidP="00B16D1F">
      <w:pPr>
        <w:spacing w:line="360" w:lineRule="auto"/>
        <w:jc w:val="both"/>
        <w:rPr>
          <w:rFonts w:cstheme="minorHAnsi"/>
          <w:sz w:val="24"/>
          <w:szCs w:val="24"/>
        </w:rPr>
      </w:pPr>
      <w:r w:rsidRPr="009D62D0">
        <w:rPr>
          <w:rFonts w:cstheme="minorHAnsi"/>
          <w:sz w:val="24"/>
          <w:szCs w:val="24"/>
        </w:rPr>
        <w:t xml:space="preserve">Following transplant relapse, TKI maintenance therapy was initiated between Day 30 and Day </w:t>
      </w:r>
      <w:r w:rsidR="00AE5A57">
        <w:rPr>
          <w:rFonts w:cstheme="minorHAnsi"/>
          <w:sz w:val="24"/>
          <w:szCs w:val="24"/>
        </w:rPr>
        <w:t>90</w:t>
      </w:r>
      <w:r w:rsidRPr="009D62D0">
        <w:rPr>
          <w:rFonts w:cstheme="minorHAnsi"/>
          <w:sz w:val="24"/>
          <w:szCs w:val="24"/>
        </w:rPr>
        <w:t xml:space="preserve">. Since 2019, Ponatinib at a dose of 15 mg once daily has been the preferred TKI for maintenance at our center. </w:t>
      </w:r>
      <w:r>
        <w:rPr>
          <w:rFonts w:cstheme="minorHAnsi"/>
          <w:sz w:val="24"/>
          <w:szCs w:val="24"/>
        </w:rPr>
        <w:t>Before</w:t>
      </w:r>
      <w:r w:rsidRPr="009D62D0">
        <w:rPr>
          <w:rFonts w:cstheme="minorHAnsi"/>
          <w:sz w:val="24"/>
          <w:szCs w:val="24"/>
        </w:rPr>
        <w:t xml:space="preserve"> this, we utilized various available TKIs, including Dasatinib at doses of 50 mg, 70 mg, 100 mg, and 140 mg; Nilotinib at 300 mg; and Bosutinib at 500 mg.</w:t>
      </w:r>
      <w:r>
        <w:rPr>
          <w:rFonts w:cstheme="minorHAnsi"/>
          <w:sz w:val="24"/>
          <w:szCs w:val="24"/>
        </w:rPr>
        <w:t xml:space="preserve"> </w:t>
      </w:r>
      <w:r w:rsidRPr="009D62D0">
        <w:rPr>
          <w:rFonts w:cstheme="minorHAnsi"/>
          <w:sz w:val="24"/>
          <w:szCs w:val="24"/>
        </w:rPr>
        <w:t>Those who did not receive any maintenance had early relapse or death.</w:t>
      </w:r>
    </w:p>
    <w:p w14:paraId="1121D3A1" w14:textId="77777777" w:rsidR="00B16D1F" w:rsidRDefault="00B16D1F"/>
    <w:sectPr w:rsidR="00B16D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1F"/>
    <w:rsid w:val="00273CA0"/>
    <w:rsid w:val="006B12EA"/>
    <w:rsid w:val="009E2C47"/>
    <w:rsid w:val="00AE5A57"/>
    <w:rsid w:val="00B1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48B1E"/>
  <w15:chartTrackingRefBased/>
  <w15:docId w15:val="{C0689B4D-1E5F-43F9-89A9-C488B64B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1F"/>
    <w:pPr>
      <w:spacing w:line="259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D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  <w:lang w:bidi="hi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D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D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5"/>
      <w:lang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1"/>
      <w:lang w:bidi="hi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D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1"/>
      <w:lang w:bidi="hi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D1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1"/>
      <w:lang w:bidi="hi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D1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1"/>
      <w:lang w:bidi="hi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D1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1"/>
      <w:lang w:bidi="hi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D1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1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D1F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D1F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D1F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D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D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</w:rPr>
  </w:style>
  <w:style w:type="character" w:customStyle="1" w:styleId="TitleChar">
    <w:name w:val="Title Char"/>
    <w:basedOn w:val="DefaultParagraphFont"/>
    <w:link w:val="Title"/>
    <w:uiPriority w:val="10"/>
    <w:rsid w:val="00B16D1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D1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5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B16D1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16D1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1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B16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D1F"/>
    <w:pPr>
      <w:spacing w:line="278" w:lineRule="auto"/>
      <w:ind w:left="720"/>
      <w:contextualSpacing/>
    </w:pPr>
    <w:rPr>
      <w:sz w:val="24"/>
      <w:szCs w:val="21"/>
      <w:lang w:bidi="hi-IN"/>
    </w:rPr>
  </w:style>
  <w:style w:type="character" w:styleId="IntenseEmphasis">
    <w:name w:val="Intense Emphasis"/>
    <w:basedOn w:val="DefaultParagraphFont"/>
    <w:uiPriority w:val="21"/>
    <w:qFormat/>
    <w:rsid w:val="00B16D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D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1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D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D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1858</Characters>
  <Application>Microsoft Office Word</Application>
  <DocSecurity>0</DocSecurity>
  <Lines>31</Lines>
  <Paragraphs>13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Singh</dc:creator>
  <cp:keywords/>
  <dc:description/>
  <cp:lastModifiedBy>Reema Singh</cp:lastModifiedBy>
  <cp:revision>3</cp:revision>
  <dcterms:created xsi:type="dcterms:W3CDTF">2025-03-02T17:07:00Z</dcterms:created>
  <dcterms:modified xsi:type="dcterms:W3CDTF">2025-03-15T11:11:00Z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9dd29e6a-9d15-4a4b-8975-fd07788b3c90</vt:lpwstr>
  </property>
</Properties>
</file>