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CN" w:bidi="ar-SA"/>
        </w:rPr>
      </w:pP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Hans" w:bidi="ar-SA"/>
        </w:rPr>
        <w:t>Supplemental</w:t>
      </w: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Hans" w:bidi="ar-SA"/>
        </w:rPr>
        <w:t xml:space="preserve">Table 2. Baseline characteristics of stage IV patients with </w:t>
      </w: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CN" w:bidi="ar-SA"/>
        </w:rPr>
        <w:t xml:space="preserve">or without </w:t>
      </w: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Hans" w:bidi="ar-SA"/>
        </w:rPr>
        <w:t>BMB-positive results</w:t>
      </w: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CN" w:bidi="ar-SA"/>
        </w:rPr>
        <w:t>.</w:t>
      </w: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Hans" w:bidi="ar-SA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  <w:gridCol w:w="2778"/>
        <w:gridCol w:w="2666"/>
        <w:gridCol w:w="22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07" w:hRule="atLeast"/>
        </w:trPr>
        <w:tc>
          <w:tcPr>
            <w:tcW w:w="358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Characteristic</w:t>
            </w:r>
          </w:p>
        </w:tc>
        <w:tc>
          <w:tcPr>
            <w:tcW w:w="277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Patients with BMB+</w:t>
            </w:r>
          </w:p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(n=27), No. (%)</w:t>
            </w:r>
          </w:p>
        </w:tc>
        <w:tc>
          <w:tcPr>
            <w:tcW w:w="2666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Patients with BMB-</w:t>
            </w:r>
          </w:p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(n=10), No. (%)</w:t>
            </w:r>
          </w:p>
        </w:tc>
        <w:tc>
          <w:tcPr>
            <w:tcW w:w="220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Female: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male ratio</w:t>
            </w:r>
          </w:p>
        </w:tc>
        <w:tc>
          <w:tcPr>
            <w:tcW w:w="2778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3.5</w:t>
            </w:r>
          </w:p>
        </w:tc>
        <w:tc>
          <w:tcPr>
            <w:tcW w:w="2666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0.4</w:t>
            </w:r>
          </w:p>
        </w:tc>
        <w:tc>
          <w:tcPr>
            <w:tcW w:w="220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Age, &gt;60 years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6 (22.2)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4 (40.0)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0.407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358" w:type="dxa"/>
            <w:gridSpan w:val="2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ECOG performance score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0-1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16 (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59.3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6 (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60.0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2-4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11 (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40.7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4 (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40.0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 xml:space="preserve">Liver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involvement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2 (7.4)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 (10.0)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Spleen involvement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14 (51.9)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3 (30.0)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0.288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B symptoms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5 (18.5)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3 (30.0)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0.655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FLIPI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(1 data missing)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0.321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0-1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2 (7.7)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 (10.0)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2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9 (34.6)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6 (60.0)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3-5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15 (57.7)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3 (30.0)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358" w:type="dxa"/>
            <w:gridSpan w:val="2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 xml:space="preserve">FLIPI 2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(5 data missing)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0.086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0-1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5 (20.8)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5 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(62.5)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2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11 (45.8)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2 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(25.0)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3-5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8 (33.3)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1 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(12.5)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HGB&lt;120g/L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9 (33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.3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3 (30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HGB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(median)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128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125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0.533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 xml:space="preserve">Elevated β-2-microglobulin </w:t>
            </w:r>
          </w:p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(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3 data missing)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14 (58.3)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4 (40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.457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β2-microglobulin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(median)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2.58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.4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0.732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Elevated LDH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5 (18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.5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 (0)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.295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LDH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(median)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165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164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0.330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94" w:hRule="atLeast"/>
        </w:trPr>
        <w:tc>
          <w:tcPr>
            <w:tcW w:w="3580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&gt;4 node areas involved</w:t>
            </w:r>
          </w:p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(2 data missing)</w:t>
            </w:r>
          </w:p>
        </w:tc>
        <w:tc>
          <w:tcPr>
            <w:tcW w:w="2778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22 (88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666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5 (50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</w:tcPr>
          <w:p>
            <w:pPr>
              <w:pStyle w:val="5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.027</w:t>
            </w:r>
          </w:p>
        </w:tc>
      </w:tr>
    </w:tbl>
    <w:p>
      <w:pP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>
      <w:pP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4"/>
          <w:szCs w:val="24"/>
          <w:lang w:val="en-US" w:eastAsia="zh-CN" w:bidi="ar-SA"/>
        </w:rPr>
        <w:t>Abbreviations: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CN" w:bidi="ar-SA"/>
        </w:rPr>
        <w:t xml:space="preserve"> BMB+, patients with positive bone marrow biopsy results; BMB−, patients with negative bone marrow biopsy results; ECOG, Eastern Cooperative Oncology Group; FLIPI-1, Follicular Lymphoma International Prognostic Index-1; HGB, hemoglobin; LDH, lactate dehydrogenase;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Hans" w:bidi="ar-SA"/>
        </w:rPr>
        <w:t>FLIPI-2, Follicular Lymphoma International Prognostic Index-2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CN" w:bidi="ar-SA"/>
        </w:rPr>
        <w:t>.</w:t>
      </w:r>
    </w:p>
    <w:p>
      <w:pPr>
        <w:spacing w:line="480" w:lineRule="auto"/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Hans" w:bidi="ar-SA"/>
        </w:rPr>
      </w:pPr>
      <w:bookmarkStart w:id="0" w:name="_GoBack"/>
      <w:bookmarkEnd w:id="0"/>
    </w:p>
    <w:sectPr>
      <w:pgSz w:w="16838" w:h="11906" w:orient="landscape"/>
      <w:pgMar w:top="1440" w:right="2880" w:bottom="1440" w:left="28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kNDg3ZWM3YWZjMDg5YWYzMzA5YjkwYzlhM2E4YWQifQ=="/>
  </w:docVars>
  <w:rsids>
    <w:rsidRoot w:val="F37FD124"/>
    <w:rsid w:val="000975B5"/>
    <w:rsid w:val="00162A10"/>
    <w:rsid w:val="003102C9"/>
    <w:rsid w:val="00397923"/>
    <w:rsid w:val="0058015E"/>
    <w:rsid w:val="00795E98"/>
    <w:rsid w:val="00FB1CD2"/>
    <w:rsid w:val="03976643"/>
    <w:rsid w:val="07BE2CB0"/>
    <w:rsid w:val="0CFF3CB3"/>
    <w:rsid w:val="0FFDE476"/>
    <w:rsid w:val="14B50040"/>
    <w:rsid w:val="1D5597F0"/>
    <w:rsid w:val="1FAA12CF"/>
    <w:rsid w:val="26FC52D9"/>
    <w:rsid w:val="2B9D513E"/>
    <w:rsid w:val="2E5EF6E4"/>
    <w:rsid w:val="375E995B"/>
    <w:rsid w:val="38324E27"/>
    <w:rsid w:val="3DDFA0CD"/>
    <w:rsid w:val="3EF8E6F6"/>
    <w:rsid w:val="3F5A2410"/>
    <w:rsid w:val="3F9E5293"/>
    <w:rsid w:val="3FCF0324"/>
    <w:rsid w:val="3FDFE4DF"/>
    <w:rsid w:val="43544E16"/>
    <w:rsid w:val="46DDC37D"/>
    <w:rsid w:val="4E1E05A0"/>
    <w:rsid w:val="515D23AD"/>
    <w:rsid w:val="57B7823F"/>
    <w:rsid w:val="5B3E45EF"/>
    <w:rsid w:val="5BFB315F"/>
    <w:rsid w:val="5D79134B"/>
    <w:rsid w:val="5DB70431"/>
    <w:rsid w:val="5F1F7677"/>
    <w:rsid w:val="62E13267"/>
    <w:rsid w:val="63B6AF79"/>
    <w:rsid w:val="63CB451C"/>
    <w:rsid w:val="66F32B2A"/>
    <w:rsid w:val="6BDC56E7"/>
    <w:rsid w:val="6BFE361F"/>
    <w:rsid w:val="6CBE2EE3"/>
    <w:rsid w:val="6EED051F"/>
    <w:rsid w:val="6FFB7DFC"/>
    <w:rsid w:val="6FFC89C7"/>
    <w:rsid w:val="6FFFF632"/>
    <w:rsid w:val="777B47BF"/>
    <w:rsid w:val="77E7C87B"/>
    <w:rsid w:val="7BDF2F6C"/>
    <w:rsid w:val="7BDF6659"/>
    <w:rsid w:val="7BF7D2C3"/>
    <w:rsid w:val="7BFB32B5"/>
    <w:rsid w:val="7CFDEC09"/>
    <w:rsid w:val="7D5C8051"/>
    <w:rsid w:val="7DFF1AB5"/>
    <w:rsid w:val="7EDE1795"/>
    <w:rsid w:val="7EED38F7"/>
    <w:rsid w:val="7EF6EEB4"/>
    <w:rsid w:val="7F1FC0AC"/>
    <w:rsid w:val="7F6AD726"/>
    <w:rsid w:val="7F7DDE27"/>
    <w:rsid w:val="7FCD30F8"/>
    <w:rsid w:val="7FF731A9"/>
    <w:rsid w:val="7FFDDE48"/>
    <w:rsid w:val="7FFF3133"/>
    <w:rsid w:val="7FFF92AF"/>
    <w:rsid w:val="93F7A2AF"/>
    <w:rsid w:val="979D805A"/>
    <w:rsid w:val="9EF11CBC"/>
    <w:rsid w:val="9EFF6CF2"/>
    <w:rsid w:val="A37FF71D"/>
    <w:rsid w:val="A5FDCD5D"/>
    <w:rsid w:val="B0BF70D0"/>
    <w:rsid w:val="B75F38E6"/>
    <w:rsid w:val="B7DA6167"/>
    <w:rsid w:val="BE5FB29A"/>
    <w:rsid w:val="BEC1FB90"/>
    <w:rsid w:val="BF9F04D3"/>
    <w:rsid w:val="BFF7C93C"/>
    <w:rsid w:val="CEBB49EE"/>
    <w:rsid w:val="CFC7BE96"/>
    <w:rsid w:val="D6B7FB13"/>
    <w:rsid w:val="D75C116C"/>
    <w:rsid w:val="D796A96A"/>
    <w:rsid w:val="DA77377C"/>
    <w:rsid w:val="DD7FD134"/>
    <w:rsid w:val="DFA95271"/>
    <w:rsid w:val="DFDFCF59"/>
    <w:rsid w:val="E3EDA96B"/>
    <w:rsid w:val="E9BA943A"/>
    <w:rsid w:val="EE3F8467"/>
    <w:rsid w:val="EE6EC723"/>
    <w:rsid w:val="EF37A0B5"/>
    <w:rsid w:val="EF77D055"/>
    <w:rsid w:val="EFFFA0F7"/>
    <w:rsid w:val="F37FD124"/>
    <w:rsid w:val="F3FA1BD3"/>
    <w:rsid w:val="F52FB3C2"/>
    <w:rsid w:val="F67EDA7E"/>
    <w:rsid w:val="F6FFB711"/>
    <w:rsid w:val="F7CEFDBE"/>
    <w:rsid w:val="F7D7288F"/>
    <w:rsid w:val="F7EF1048"/>
    <w:rsid w:val="F7FE540F"/>
    <w:rsid w:val="FAD79016"/>
    <w:rsid w:val="FBFEAED2"/>
    <w:rsid w:val="FBFF32DE"/>
    <w:rsid w:val="FCB94070"/>
    <w:rsid w:val="FCFF67A9"/>
    <w:rsid w:val="FDBF152F"/>
    <w:rsid w:val="FDEF6FFF"/>
    <w:rsid w:val="FECF8DF4"/>
    <w:rsid w:val="FEF6D46F"/>
    <w:rsid w:val="FEF70DB1"/>
    <w:rsid w:val="FFCF6ED9"/>
    <w:rsid w:val="FFD7DC72"/>
    <w:rsid w:val="FFF77573"/>
    <w:rsid w:val="FFFE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spacing w:line="240" w:lineRule="auto"/>
    </w:pPr>
    <w:rPr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20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annotation reference"/>
    <w:basedOn w:val="9"/>
    <w:qFormat/>
    <w:uiPriority w:val="0"/>
    <w:rPr>
      <w:sz w:val="16"/>
      <w:szCs w:val="16"/>
    </w:rPr>
  </w:style>
  <w:style w:type="paragraph" w:customStyle="1" w:styleId="11">
    <w:name w:val="p1"/>
    <w:basedOn w:val="1"/>
    <w:qFormat/>
    <w:uiPriority w:val="0"/>
    <w:pPr>
      <w:jc w:val="left"/>
    </w:pPr>
    <w:rPr>
      <w:rFonts w:ascii="Helvetica" w:hAnsi="Helvetica" w:eastAsia="Helvetica" w:cs="Times New Roman"/>
      <w:kern w:val="0"/>
      <w:sz w:val="24"/>
      <w:szCs w:val="24"/>
    </w:rPr>
  </w:style>
  <w:style w:type="paragraph" w:customStyle="1" w:styleId="12">
    <w:name w:val="p5"/>
    <w:basedOn w:val="1"/>
    <w:qFormat/>
    <w:uiPriority w:val="0"/>
    <w:pPr>
      <w:spacing w:line="320" w:lineRule="atLeast"/>
      <w:ind w:left="60"/>
      <w:jc w:val="left"/>
    </w:pPr>
    <w:rPr>
      <w:rFonts w:ascii="Times" w:hAnsi="Times" w:eastAsia="Times" w:cs="Times New Roman"/>
      <w:color w:val="264A60"/>
      <w:kern w:val="0"/>
      <w:sz w:val="24"/>
      <w:szCs w:val="24"/>
    </w:rPr>
  </w:style>
  <w:style w:type="paragraph" w:customStyle="1" w:styleId="13">
    <w:name w:val="p3"/>
    <w:basedOn w:val="1"/>
    <w:qFormat/>
    <w:uiPriority w:val="0"/>
    <w:pPr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4">
    <w:name w:val="p7"/>
    <w:basedOn w:val="1"/>
    <w:qFormat/>
    <w:uiPriority w:val="0"/>
    <w:pPr>
      <w:spacing w:line="400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5">
    <w:name w:val="p6"/>
    <w:basedOn w:val="1"/>
    <w:qFormat/>
    <w:uiPriority w:val="0"/>
    <w:pPr>
      <w:spacing w:line="320" w:lineRule="atLeast"/>
      <w:ind w:left="60"/>
      <w:jc w:val="right"/>
    </w:pPr>
    <w:rPr>
      <w:rFonts w:ascii="Times" w:hAnsi="Times" w:eastAsia="Times" w:cs="Times New Roman"/>
      <w:color w:val="010205"/>
      <w:kern w:val="0"/>
      <w:sz w:val="24"/>
      <w:szCs w:val="24"/>
    </w:rPr>
  </w:style>
  <w:style w:type="paragraph" w:customStyle="1" w:styleId="16">
    <w:name w:val="p4"/>
    <w:basedOn w:val="1"/>
    <w:qFormat/>
    <w:uiPriority w:val="0"/>
    <w:pPr>
      <w:spacing w:line="320" w:lineRule="atLeast"/>
      <w:ind w:left="60"/>
      <w:jc w:val="center"/>
    </w:pPr>
    <w:rPr>
      <w:rFonts w:ascii="Times" w:hAnsi="Times" w:eastAsia="Times" w:cs="Times New Roman"/>
      <w:color w:val="264A60"/>
      <w:kern w:val="0"/>
      <w:sz w:val="24"/>
      <w:szCs w:val="24"/>
    </w:rPr>
  </w:style>
  <w:style w:type="paragraph" w:customStyle="1" w:styleId="17">
    <w:name w:val="p2"/>
    <w:basedOn w:val="1"/>
    <w:qFormat/>
    <w:uiPriority w:val="0"/>
    <w:pPr>
      <w:spacing w:line="320" w:lineRule="atLeast"/>
      <w:ind w:left="60"/>
      <w:jc w:val="center"/>
    </w:pPr>
    <w:rPr>
      <w:rFonts w:ascii="Times" w:hAnsi="Times" w:eastAsia="Times" w:cs="Times New Roman"/>
      <w:color w:val="010205"/>
      <w:kern w:val="0"/>
      <w:sz w:val="30"/>
      <w:szCs w:val="30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Comment Text Char"/>
    <w:basedOn w:val="9"/>
    <w:link w:val="2"/>
    <w:qFormat/>
    <w:uiPriority w:val="0"/>
    <w:rPr>
      <w:rFonts w:asciiTheme="minorHAnsi" w:hAnsiTheme="minorHAnsi" w:eastAsiaTheme="minorEastAsia" w:cstheme="minorBidi"/>
      <w:kern w:val="2"/>
      <w:lang w:val="en-US" w:eastAsia="zh-CN"/>
    </w:rPr>
  </w:style>
  <w:style w:type="character" w:customStyle="1" w:styleId="20">
    <w:name w:val="Comment Subject Char"/>
    <w:basedOn w:val="19"/>
    <w:link w:val="6"/>
    <w:qFormat/>
    <w:uiPriority w:val="0"/>
    <w:rPr>
      <w:rFonts w:asciiTheme="minorHAnsi" w:hAnsiTheme="minorHAnsi" w:eastAsiaTheme="minorEastAsia" w:cstheme="minorBidi"/>
      <w:b/>
      <w:bCs/>
      <w:kern w:val="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404</Words>
  <Characters>2305</Characters>
  <Lines>19</Lines>
  <Paragraphs>5</Paragraphs>
  <TotalTime>0</TotalTime>
  <ScaleCrop>false</ScaleCrop>
  <LinksUpToDate>false</LinksUpToDate>
  <CharactersWithSpaces>2704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2024-04-09T11:57:00Z</dcterms:created>
  <dc:creator>艳艳</dc:creator>
  <cp:lastModifiedBy>艳艳</cp:lastModifiedBy>
  <dcterms:modified xsi:type="dcterms:W3CDTF">2025-02-18T23:03:27Z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499CCFA0E65F83D74D01B2677E13B416_43</vt:lpwstr>
  </property>
</Properties>
</file>