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324" w:rsidRPr="00BF32F3" w:rsidRDefault="00032324" w:rsidP="00032324">
      <w:pPr>
        <w:pStyle w:val="Heading1"/>
      </w:pPr>
      <w:bookmarkStart w:id="0" w:name="_GoBack"/>
      <w:r w:rsidRPr="00BF32F3">
        <w:t>Supplementary Materials</w:t>
      </w:r>
      <w:bookmarkEnd w:id="0"/>
    </w:p>
    <w:p w:rsidR="00032324" w:rsidRPr="00BF32F3" w:rsidRDefault="00032324" w:rsidP="00032324">
      <w:pPr>
        <w:pStyle w:val="Heading2"/>
      </w:pPr>
      <w:r w:rsidRPr="00BF32F3">
        <w:t>Supplementary Methods</w:t>
      </w:r>
    </w:p>
    <w:p w:rsidR="00032324" w:rsidRPr="00B80E0C" w:rsidRDefault="00032324" w:rsidP="00032324">
      <w:r w:rsidRPr="00B80E0C">
        <w:t>The primary objectives of this study were to estimate</w:t>
      </w:r>
      <w:r>
        <w:t xml:space="preserve"> for the study population and extrapolated to the German national population</w:t>
      </w:r>
      <w:r w:rsidRPr="00B80E0C">
        <w:t>:</w:t>
      </w:r>
    </w:p>
    <w:p w:rsidR="00032324" w:rsidRPr="00BF32F3" w:rsidRDefault="00032324" w:rsidP="00032324">
      <w:pPr>
        <w:pStyle w:val="ListParagraph"/>
        <w:numPr>
          <w:ilvl w:val="0"/>
          <w:numId w:val="2"/>
        </w:numPr>
        <w:ind w:left="357" w:hanging="357"/>
        <w:rPr>
          <w:rFonts w:cs="Arial"/>
          <w:szCs w:val="22"/>
        </w:rPr>
      </w:pPr>
      <w:r w:rsidRPr="00B80E0C">
        <w:rPr>
          <w:szCs w:val="22"/>
        </w:rPr>
        <w:t>The incidence and prevalence of patients with chronic lymphocytic leuk</w:t>
      </w:r>
      <w:r>
        <w:rPr>
          <w:szCs w:val="22"/>
        </w:rPr>
        <w:t>a</w:t>
      </w:r>
      <w:r w:rsidRPr="00B80E0C">
        <w:rPr>
          <w:szCs w:val="22"/>
        </w:rPr>
        <w:t>emia (CLL) diagnosis from 2012 until 2022, stratified by age and sex;</w:t>
      </w:r>
    </w:p>
    <w:p w:rsidR="00032324" w:rsidRPr="00BF32F3" w:rsidRDefault="00032324" w:rsidP="00032324">
      <w:pPr>
        <w:pStyle w:val="ListParagraph"/>
        <w:numPr>
          <w:ilvl w:val="0"/>
          <w:numId w:val="2"/>
        </w:numPr>
        <w:ind w:left="357" w:hanging="357"/>
        <w:rPr>
          <w:rFonts w:cs="Arial"/>
          <w:szCs w:val="22"/>
        </w:rPr>
      </w:pPr>
      <w:r w:rsidRPr="00B80E0C">
        <w:rPr>
          <w:szCs w:val="22"/>
        </w:rPr>
        <w:t>T</w:t>
      </w:r>
      <w:r w:rsidRPr="00B80E0C">
        <w:rPr>
          <w:color w:val="000000" w:themeColor="text1"/>
          <w:szCs w:val="22"/>
        </w:rPr>
        <w:t xml:space="preserve">he proportion of patients </w:t>
      </w:r>
      <w:r w:rsidRPr="00B80E0C">
        <w:rPr>
          <w:rFonts w:cs="Arial"/>
          <w:szCs w:val="22"/>
        </w:rPr>
        <w:t xml:space="preserve">with CLL </w:t>
      </w:r>
      <w:r w:rsidRPr="00B80E0C">
        <w:rPr>
          <w:color w:val="000000" w:themeColor="text1"/>
          <w:szCs w:val="22"/>
        </w:rPr>
        <w:t>treated with a covalent Bruton’s tyrosine kinase inhibitor (cBTKi:</w:t>
      </w:r>
      <w:r w:rsidRPr="00B80E0C">
        <w:rPr>
          <w:szCs w:val="22"/>
        </w:rPr>
        <w:t xml:space="preserve"> ibrutinib, acalabrutinib, zanubrutinib), stratified by year (2014–2022) and overall;</w:t>
      </w:r>
    </w:p>
    <w:p w:rsidR="00032324" w:rsidRPr="00BF32F3" w:rsidRDefault="00032324" w:rsidP="00032324">
      <w:pPr>
        <w:pStyle w:val="ListParagraph"/>
        <w:numPr>
          <w:ilvl w:val="1"/>
          <w:numId w:val="2"/>
        </w:numPr>
        <w:ind w:left="811" w:hanging="357"/>
        <w:rPr>
          <w:rFonts w:cs="Arial"/>
          <w:szCs w:val="22"/>
        </w:rPr>
      </w:pPr>
      <w:r w:rsidRPr="00BF32F3">
        <w:rPr>
          <w:rFonts w:cs="Arial"/>
          <w:szCs w:val="22"/>
        </w:rPr>
        <w:t>The proportion of patients with CLL who completed therapy with a cBTKi and initiated a subsequent therapy (post cBTKi-treated; i.e.</w:t>
      </w:r>
      <w:r>
        <w:rPr>
          <w:rFonts w:cs="Arial"/>
          <w:szCs w:val="22"/>
        </w:rPr>
        <w:t>,</w:t>
      </w:r>
      <w:r w:rsidRPr="00BF32F3">
        <w:rPr>
          <w:rFonts w:cs="Arial"/>
          <w:szCs w:val="22"/>
        </w:rPr>
        <w:t xml:space="preserve"> treatment with a CLL-related treatment after cBTKi discontinuation) in the calendar years 2014–2022;</w:t>
      </w:r>
    </w:p>
    <w:p w:rsidR="00032324" w:rsidRPr="00BF32F3" w:rsidRDefault="00032324" w:rsidP="00032324">
      <w:pPr>
        <w:pStyle w:val="ListParagraph"/>
        <w:numPr>
          <w:ilvl w:val="1"/>
          <w:numId w:val="2"/>
        </w:numPr>
        <w:ind w:left="811" w:hanging="357"/>
        <w:rPr>
          <w:rFonts w:cs="Arial"/>
          <w:szCs w:val="22"/>
        </w:rPr>
      </w:pPr>
      <w:r w:rsidRPr="00BF32F3">
        <w:rPr>
          <w:rFonts w:cs="Arial"/>
          <w:szCs w:val="22"/>
        </w:rPr>
        <w:t>The proportion of patients with post-cBTKi-treated CLL who, in addition to cBTKi (2020–2022), had received any venetoclax treatment (before, concurrent or after cBTKi), overall and stratified by venetoclax treatment status:</w:t>
      </w:r>
    </w:p>
    <w:p w:rsidR="00032324" w:rsidRPr="00BF32F3" w:rsidRDefault="00032324" w:rsidP="00032324">
      <w:pPr>
        <w:pStyle w:val="ListParagraph"/>
        <w:numPr>
          <w:ilvl w:val="2"/>
          <w:numId w:val="2"/>
        </w:numPr>
        <w:ind w:left="1315" w:hanging="181"/>
        <w:rPr>
          <w:rFonts w:cs="Arial"/>
          <w:szCs w:val="22"/>
        </w:rPr>
      </w:pPr>
      <w:r w:rsidRPr="00BF32F3">
        <w:rPr>
          <w:rFonts w:cs="Arial"/>
          <w:szCs w:val="22"/>
        </w:rPr>
        <w:t>completed venetoclax treatment by the end of 2022</w:t>
      </w:r>
    </w:p>
    <w:p w:rsidR="00032324" w:rsidRPr="00BF32F3" w:rsidRDefault="00032324" w:rsidP="00032324">
      <w:pPr>
        <w:pStyle w:val="ListParagraph"/>
        <w:numPr>
          <w:ilvl w:val="2"/>
          <w:numId w:val="2"/>
        </w:numPr>
        <w:ind w:left="1315" w:hanging="181"/>
        <w:rPr>
          <w:rFonts w:cs="Arial"/>
          <w:szCs w:val="22"/>
        </w:rPr>
      </w:pPr>
      <w:r w:rsidRPr="00BF32F3">
        <w:rPr>
          <w:rFonts w:cs="Arial"/>
          <w:szCs w:val="22"/>
        </w:rPr>
        <w:t>ongoing venetoclax treatment in 2022</w:t>
      </w:r>
    </w:p>
    <w:p w:rsidR="00032324" w:rsidRPr="00BF32F3" w:rsidRDefault="00032324" w:rsidP="00032324">
      <w:pPr>
        <w:pStyle w:val="ListParagraph"/>
        <w:numPr>
          <w:ilvl w:val="2"/>
          <w:numId w:val="2"/>
        </w:numPr>
        <w:ind w:left="1315" w:hanging="181"/>
        <w:rPr>
          <w:rFonts w:cs="Arial"/>
          <w:szCs w:val="22"/>
        </w:rPr>
      </w:pPr>
      <w:r w:rsidRPr="00BF32F3">
        <w:rPr>
          <w:rFonts w:cs="Arial"/>
          <w:szCs w:val="22"/>
        </w:rPr>
        <w:t>had not received any venetoclax treatment).</w:t>
      </w:r>
    </w:p>
    <w:p w:rsidR="00032324" w:rsidRDefault="00032324" w:rsidP="00032324">
      <w:r w:rsidRPr="00B80E0C">
        <w:t>The secondary objectives were to describe the patient characteristics, treatment history and co-medication</w:t>
      </w:r>
      <w:r>
        <w:t>s</w:t>
      </w:r>
      <w:r w:rsidRPr="00B80E0C">
        <w:t>, outcomes, and healthcare resource util</w:t>
      </w:r>
      <w:r>
        <w:t>isa</w:t>
      </w:r>
      <w:r w:rsidRPr="00B80E0C">
        <w:t xml:space="preserve">tion (HCRU) for Cohort 1 (all patients with CLL from incident CLL diagnosis) and Cohort 2 (patients newly initiating </w:t>
      </w:r>
      <w:r w:rsidRPr="007B1ECA">
        <w:t>cBTK</w:t>
      </w:r>
      <w:r>
        <w:t>i</w:t>
      </w:r>
      <w:r w:rsidRPr="000041B7">
        <w:t xml:space="preserve"> </w:t>
      </w:r>
      <w:r w:rsidRPr="00B80E0C">
        <w:t>therapy</w:t>
      </w:r>
      <w:r>
        <w:t>)</w:t>
      </w:r>
      <w:r w:rsidRPr="00B80E0C">
        <w:t xml:space="preserve"> in 2017 onwards (from cBTKi initiation and, for outcomes, from end of cBTKi treatment), stratified according to patients who have received venetoclax (</w:t>
      </w:r>
      <w:r w:rsidRPr="00476D45">
        <w:t>before, concurrent with or after cBTKi treatment</w:t>
      </w:r>
      <w:r>
        <w:t xml:space="preserve">; </w:t>
      </w:r>
      <w:r w:rsidRPr="00B80E0C">
        <w:t>Cohort 2a) and who had not received venetoclax (Cohort 2b). Outcomes included time to treatment initiation, overall survival, time to treatment discontinuation</w:t>
      </w:r>
      <w:r>
        <w:t xml:space="preserve"> and</w:t>
      </w:r>
      <w:r w:rsidRPr="00B80E0C">
        <w:t xml:space="preserve"> time to next treatment (as applicable per cohort). HCRU parameters included outpatient physician visits, hospital</w:t>
      </w:r>
      <w:r>
        <w:t>isa</w:t>
      </w:r>
      <w:r w:rsidRPr="00B80E0C">
        <w:t>tions</w:t>
      </w:r>
      <w:r>
        <w:t xml:space="preserve"> and</w:t>
      </w:r>
      <w:r w:rsidRPr="00B80E0C">
        <w:t xml:space="preserve"> procedures.</w:t>
      </w:r>
    </w:p>
    <w:p w:rsidR="00032324" w:rsidRDefault="00032324" w:rsidP="00032324">
      <w:pPr>
        <w:pStyle w:val="Heading2"/>
      </w:pPr>
      <w:r>
        <w:lastRenderedPageBreak/>
        <w:t>Estimation of CLL disease stage</w:t>
      </w:r>
    </w:p>
    <w:p w:rsidR="00032324" w:rsidRPr="003E5448" w:rsidRDefault="00032324" w:rsidP="00032324">
      <w:pPr>
        <w:pStyle w:val="CommentText"/>
        <w:jc w:val="left"/>
        <w:rPr>
          <w:sz w:val="22"/>
          <w:szCs w:val="22"/>
        </w:rPr>
      </w:pPr>
      <w:r w:rsidRPr="003E5448">
        <w:rPr>
          <w:sz w:val="22"/>
          <w:szCs w:val="22"/>
        </w:rPr>
        <w:t xml:space="preserve">CLL was </w:t>
      </w:r>
      <w:r>
        <w:rPr>
          <w:sz w:val="22"/>
          <w:szCs w:val="22"/>
        </w:rPr>
        <w:t xml:space="preserve">classified </w:t>
      </w:r>
      <w:r w:rsidRPr="003E5448">
        <w:rPr>
          <w:sz w:val="22"/>
          <w:szCs w:val="22"/>
        </w:rPr>
        <w:t xml:space="preserve">in each patient according to the absence/presence of (1) a diagnosis of anaemia or thrombocytopenia at baseline, and (2) the initiation of treatment for CLL within 12 months after index diagnosis. </w:t>
      </w:r>
      <w:r>
        <w:rPr>
          <w:sz w:val="22"/>
          <w:szCs w:val="22"/>
        </w:rPr>
        <w:t>Non-advanced d</w:t>
      </w:r>
      <w:r w:rsidRPr="003E5448">
        <w:rPr>
          <w:sz w:val="22"/>
          <w:szCs w:val="22"/>
        </w:rPr>
        <w:t xml:space="preserve">isease required absence of (1) and (2), while </w:t>
      </w:r>
      <w:r>
        <w:rPr>
          <w:sz w:val="22"/>
          <w:szCs w:val="22"/>
        </w:rPr>
        <w:t xml:space="preserve">advanced </w:t>
      </w:r>
      <w:r w:rsidRPr="003E5448">
        <w:rPr>
          <w:sz w:val="22"/>
          <w:szCs w:val="22"/>
        </w:rPr>
        <w:t>disease required the presence of (1) and (2). Presence of either (1) or (2) was defined as “unclear”.</w:t>
      </w:r>
    </w:p>
    <w:p w:rsidR="00032324" w:rsidRDefault="00032324" w:rsidP="00032324">
      <w:pPr>
        <w:pStyle w:val="Heading2"/>
      </w:pPr>
      <w:r>
        <w:t>Data analysis</w:t>
      </w:r>
    </w:p>
    <w:p w:rsidR="00032324" w:rsidRPr="00E4474B" w:rsidRDefault="00032324" w:rsidP="00032324">
      <w:pPr>
        <w:pStyle w:val="Body"/>
      </w:pPr>
      <w:r>
        <w:t>Prevalence and incidence rates of CLL were evaluated annually from 2012 to 2022, stratified by age group and sex, and expressed per 100,000 individuals in the study population and extrapolated to the German national population. The proportion of patients with CLL who were treated with cBTKi, and the proportion of patients with CLL who discontinued cBTKi treatment and initiated post-cBTKi treatment in each population of interest were evaluated annually between 2014 and 2022.</w:t>
      </w:r>
    </w:p>
    <w:p w:rsidR="00032324" w:rsidRPr="00BF32F3" w:rsidRDefault="00032324" w:rsidP="00032324">
      <w:r w:rsidRPr="00BF32F3">
        <w:br w:type="page"/>
      </w:r>
    </w:p>
    <w:p w:rsidR="00032324" w:rsidRPr="00BF32F3" w:rsidRDefault="00032324" w:rsidP="00032324">
      <w:pPr>
        <w:pStyle w:val="Heading2"/>
        <w:rPr>
          <w:i w:val="0"/>
          <w:iCs w:val="0"/>
          <w:sz w:val="22"/>
          <w:szCs w:val="22"/>
        </w:rPr>
      </w:pPr>
      <w:r w:rsidRPr="00BF32F3">
        <w:rPr>
          <w:i w:val="0"/>
          <w:iCs w:val="0"/>
          <w:sz w:val="22"/>
          <w:szCs w:val="22"/>
        </w:rPr>
        <w:lastRenderedPageBreak/>
        <w:t>Supplementary Table S1</w:t>
      </w:r>
      <w:r w:rsidRPr="00BF32F3">
        <w:rPr>
          <w:b w:val="0"/>
          <w:bCs w:val="0"/>
          <w:i w:val="0"/>
          <w:iCs w:val="0"/>
          <w:sz w:val="22"/>
          <w:szCs w:val="22"/>
        </w:rPr>
        <w:t xml:space="preserve"> Summary of characteristics and healthcare resource util</w:t>
      </w:r>
      <w:r>
        <w:rPr>
          <w:b w:val="0"/>
          <w:bCs w:val="0"/>
          <w:i w:val="0"/>
          <w:iCs w:val="0"/>
          <w:sz w:val="22"/>
          <w:szCs w:val="22"/>
        </w:rPr>
        <w:t>isa</w:t>
      </w:r>
      <w:r w:rsidRPr="00BF32F3">
        <w:rPr>
          <w:b w:val="0"/>
          <w:bCs w:val="0"/>
          <w:i w:val="0"/>
          <w:iCs w:val="0"/>
          <w:sz w:val="22"/>
          <w:szCs w:val="22"/>
        </w:rPr>
        <w:t>tion extracted from the database</w:t>
      </w:r>
      <w:r>
        <w:rPr>
          <w:b w:val="0"/>
          <w:bCs w:val="0"/>
          <w:i w:val="0"/>
          <w:iCs w:val="0"/>
          <w:sz w:val="22"/>
          <w:szCs w:val="22"/>
        </w:rPr>
        <w:t>.</w:t>
      </w:r>
    </w:p>
    <w:tbl>
      <w:tblPr>
        <w:tblStyle w:val="TableGrid"/>
        <w:tblW w:w="9067" w:type="dxa"/>
        <w:tblLook w:val="04A0" w:firstRow="1" w:lastRow="0" w:firstColumn="1" w:lastColumn="0" w:noHBand="0" w:noVBand="1"/>
      </w:tblPr>
      <w:tblGrid>
        <w:gridCol w:w="2868"/>
        <w:gridCol w:w="2656"/>
        <w:gridCol w:w="3543"/>
      </w:tblGrid>
      <w:tr w:rsidR="00032324" w:rsidRPr="00BF32F3" w:rsidTr="002A0A11">
        <w:tc>
          <w:tcPr>
            <w:tcW w:w="2868" w:type="dxa"/>
          </w:tcPr>
          <w:p w:rsidR="00032324" w:rsidRPr="00BF32F3" w:rsidRDefault="00032324" w:rsidP="002A0A11">
            <w:pPr>
              <w:pStyle w:val="Body"/>
              <w:spacing w:beforeLines="40" w:before="96" w:after="40" w:line="240" w:lineRule="auto"/>
              <w:jc w:val="left"/>
              <w:rPr>
                <w:b/>
                <w:bCs/>
                <w:szCs w:val="20"/>
              </w:rPr>
            </w:pPr>
            <w:r w:rsidRPr="00BF32F3">
              <w:rPr>
                <w:b/>
                <w:bCs/>
                <w:szCs w:val="20"/>
              </w:rPr>
              <w:t>Variable</w:t>
            </w:r>
          </w:p>
        </w:tc>
        <w:tc>
          <w:tcPr>
            <w:tcW w:w="2656" w:type="dxa"/>
          </w:tcPr>
          <w:p w:rsidR="00032324" w:rsidRPr="00BF32F3" w:rsidRDefault="00032324" w:rsidP="002A0A11">
            <w:pPr>
              <w:pStyle w:val="Body"/>
              <w:spacing w:beforeLines="40" w:before="96" w:after="40" w:line="240" w:lineRule="auto"/>
              <w:jc w:val="center"/>
              <w:rPr>
                <w:b/>
                <w:bCs/>
                <w:szCs w:val="20"/>
              </w:rPr>
            </w:pPr>
            <w:r w:rsidRPr="00BF32F3">
              <w:rPr>
                <w:b/>
                <w:bCs/>
                <w:szCs w:val="20"/>
              </w:rPr>
              <w:t>Description</w:t>
            </w:r>
          </w:p>
        </w:tc>
        <w:tc>
          <w:tcPr>
            <w:tcW w:w="3543" w:type="dxa"/>
          </w:tcPr>
          <w:p w:rsidR="00032324" w:rsidRPr="00BF32F3" w:rsidRDefault="00032324" w:rsidP="002A0A11">
            <w:pPr>
              <w:pStyle w:val="Body"/>
              <w:spacing w:beforeLines="40" w:before="96" w:after="40" w:line="240" w:lineRule="auto"/>
              <w:jc w:val="center"/>
              <w:rPr>
                <w:b/>
                <w:bCs/>
                <w:szCs w:val="20"/>
              </w:rPr>
            </w:pPr>
            <w:r w:rsidRPr="00BF32F3">
              <w:rPr>
                <w:b/>
                <w:bCs/>
                <w:szCs w:val="20"/>
              </w:rPr>
              <w:t>Definition or coding</w:t>
            </w:r>
          </w:p>
        </w:tc>
      </w:tr>
      <w:tr w:rsidR="00032324" w:rsidRPr="00BF32F3" w:rsidTr="002A0A11">
        <w:tc>
          <w:tcPr>
            <w:tcW w:w="9067" w:type="dxa"/>
            <w:gridSpan w:val="3"/>
          </w:tcPr>
          <w:p w:rsidR="00032324" w:rsidRPr="00BF32F3" w:rsidRDefault="00032324" w:rsidP="002A0A11">
            <w:pPr>
              <w:pStyle w:val="Body"/>
              <w:spacing w:beforeLines="40" w:before="96" w:after="40" w:line="240" w:lineRule="auto"/>
              <w:jc w:val="left"/>
              <w:rPr>
                <w:szCs w:val="20"/>
              </w:rPr>
            </w:pPr>
            <w:r w:rsidRPr="00BF32F3">
              <w:rPr>
                <w:i/>
                <w:iCs/>
                <w:szCs w:val="20"/>
              </w:rPr>
              <w:t>Demographics</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Age and sex</w:t>
            </w:r>
          </w:p>
        </w:tc>
        <w:tc>
          <w:tcPr>
            <w:tcW w:w="2656" w:type="dxa"/>
          </w:tcPr>
          <w:p w:rsidR="00032324" w:rsidRPr="00BF32F3" w:rsidRDefault="00032324" w:rsidP="002A0A11">
            <w:pPr>
              <w:pStyle w:val="Body"/>
              <w:spacing w:beforeLines="40" w:before="96" w:after="40" w:line="240" w:lineRule="auto"/>
              <w:jc w:val="left"/>
              <w:rPr>
                <w:szCs w:val="20"/>
              </w:rPr>
            </w:pPr>
            <w:r w:rsidRPr="00BF32F3">
              <w:rPr>
                <w:szCs w:val="20"/>
              </w:rPr>
              <w:t>Age at index, based on birth year</w:t>
            </w:r>
          </w:p>
          <w:p w:rsidR="00032324" w:rsidRPr="00BF32F3" w:rsidRDefault="00032324" w:rsidP="002A0A11">
            <w:pPr>
              <w:pStyle w:val="Body"/>
              <w:spacing w:beforeLines="40" w:before="96" w:after="40" w:line="240" w:lineRule="auto"/>
              <w:jc w:val="left"/>
              <w:rPr>
                <w:szCs w:val="20"/>
              </w:rPr>
            </w:pPr>
            <w:r w:rsidRPr="00BF32F3">
              <w:rPr>
                <w:szCs w:val="20"/>
              </w:rPr>
              <w:t>Sex at index</w:t>
            </w: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As documented in the dataset</w:t>
            </w:r>
          </w:p>
        </w:tc>
      </w:tr>
      <w:tr w:rsidR="00032324" w:rsidRPr="00BF32F3" w:rsidTr="002A0A11">
        <w:tc>
          <w:tcPr>
            <w:tcW w:w="9067" w:type="dxa"/>
            <w:gridSpan w:val="3"/>
          </w:tcPr>
          <w:p w:rsidR="00032324" w:rsidRPr="00BF32F3" w:rsidRDefault="00032324" w:rsidP="002A0A11">
            <w:pPr>
              <w:pStyle w:val="Body"/>
              <w:spacing w:beforeLines="40" w:before="96" w:after="40" w:line="240" w:lineRule="auto"/>
              <w:jc w:val="left"/>
              <w:rPr>
                <w:szCs w:val="20"/>
              </w:rPr>
            </w:pPr>
            <w:r w:rsidRPr="00BF32F3">
              <w:rPr>
                <w:i/>
                <w:iCs/>
                <w:szCs w:val="20"/>
              </w:rPr>
              <w:t>Follow-up</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Year of diagnosis</w:t>
            </w:r>
          </w:p>
        </w:tc>
        <w:tc>
          <w:tcPr>
            <w:tcW w:w="2656" w:type="dxa"/>
          </w:tcPr>
          <w:p w:rsidR="00032324" w:rsidRPr="00BF32F3" w:rsidRDefault="00032324" w:rsidP="002A0A11">
            <w:pPr>
              <w:pStyle w:val="Body"/>
              <w:spacing w:beforeLines="40" w:before="96" w:after="40" w:line="240" w:lineRule="auto"/>
              <w:jc w:val="left"/>
              <w:rPr>
                <w:szCs w:val="20"/>
              </w:rPr>
            </w:pPr>
            <w:r w:rsidRPr="00BF32F3">
              <w:rPr>
                <w:szCs w:val="20"/>
              </w:rPr>
              <w:t>Calendar year of first CLL diagnosis</w:t>
            </w: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Based on index date</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Duration of follow-up</w:t>
            </w:r>
          </w:p>
        </w:tc>
        <w:tc>
          <w:tcPr>
            <w:tcW w:w="2656" w:type="dxa"/>
          </w:tcPr>
          <w:p w:rsidR="00032324" w:rsidRPr="00BF32F3" w:rsidRDefault="00032324" w:rsidP="002A0A11">
            <w:pPr>
              <w:pStyle w:val="Body"/>
              <w:spacing w:beforeLines="40" w:before="96" w:after="40" w:line="240" w:lineRule="auto"/>
              <w:jc w:val="left"/>
              <w:rPr>
                <w:szCs w:val="20"/>
              </w:rPr>
            </w:pPr>
            <w:r w:rsidRPr="00BF32F3">
              <w:rPr>
                <w:szCs w:val="20"/>
              </w:rPr>
              <w:t>From index until end of observation</w:t>
            </w: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Based on reason for end of follow-up (death, end of insurance coverage, or end of the follow-up period)</w:t>
            </w:r>
          </w:p>
        </w:tc>
      </w:tr>
      <w:tr w:rsidR="00032324" w:rsidRPr="00BF32F3" w:rsidTr="002A0A11">
        <w:tc>
          <w:tcPr>
            <w:tcW w:w="9067" w:type="dxa"/>
            <w:gridSpan w:val="3"/>
          </w:tcPr>
          <w:p w:rsidR="00032324" w:rsidRPr="00BF32F3" w:rsidRDefault="00032324" w:rsidP="002A0A11">
            <w:pPr>
              <w:pStyle w:val="Body"/>
              <w:spacing w:beforeLines="40" w:before="96" w:after="40" w:line="240" w:lineRule="auto"/>
              <w:jc w:val="left"/>
              <w:rPr>
                <w:szCs w:val="20"/>
              </w:rPr>
            </w:pPr>
            <w:r w:rsidRPr="00BF32F3">
              <w:rPr>
                <w:i/>
                <w:iCs/>
                <w:szCs w:val="20"/>
              </w:rPr>
              <w:t>Comorbidity profile</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Charlson comorbidity index</w:t>
            </w:r>
          </w:p>
        </w:tc>
        <w:tc>
          <w:tcPr>
            <w:tcW w:w="2656" w:type="dxa"/>
          </w:tcPr>
          <w:p w:rsidR="00032324" w:rsidRPr="00BF32F3" w:rsidRDefault="00032324" w:rsidP="002A0A11">
            <w:pPr>
              <w:pStyle w:val="Body"/>
              <w:spacing w:beforeLines="40" w:before="96" w:after="40" w:line="240" w:lineRule="auto"/>
              <w:jc w:val="left"/>
              <w:rPr>
                <w:szCs w:val="20"/>
              </w:rPr>
            </w:pPr>
            <w:r w:rsidRPr="00BF32F3">
              <w:rPr>
                <w:szCs w:val="20"/>
              </w:rPr>
              <w:t>Determined in the 12-month baseline period</w:t>
            </w: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Based on algorithm using one inpatient and/or confirmed outpatient diagnosed per the ICD-10-GM codes</w:t>
            </w:r>
          </w:p>
        </w:tc>
      </w:tr>
      <w:tr w:rsidR="00032324" w:rsidRPr="00BF32F3" w:rsidTr="002A0A11">
        <w:tc>
          <w:tcPr>
            <w:tcW w:w="9067" w:type="dxa"/>
            <w:gridSpan w:val="3"/>
          </w:tcPr>
          <w:p w:rsidR="00032324" w:rsidRPr="00BF32F3" w:rsidRDefault="00032324" w:rsidP="002A0A11">
            <w:pPr>
              <w:pStyle w:val="Body"/>
              <w:spacing w:beforeLines="40" w:before="96" w:after="40" w:line="240" w:lineRule="auto"/>
              <w:jc w:val="left"/>
              <w:rPr>
                <w:i/>
                <w:iCs/>
                <w:szCs w:val="20"/>
              </w:rPr>
            </w:pPr>
            <w:r w:rsidRPr="00BF32F3">
              <w:rPr>
                <w:i/>
                <w:iCs/>
                <w:szCs w:val="20"/>
              </w:rPr>
              <w:t>Pre-specified comorbidities</w:t>
            </w:r>
            <w:r>
              <w:rPr>
                <w:i/>
                <w:iCs/>
                <w:szCs w:val="20"/>
              </w:rPr>
              <w:t xml:space="preserve"> of clinical interest</w:t>
            </w:r>
          </w:p>
          <w:p w:rsidR="00032324" w:rsidRPr="00BF32F3" w:rsidRDefault="00032324" w:rsidP="002A0A11">
            <w:pPr>
              <w:pStyle w:val="Body"/>
              <w:spacing w:beforeLines="40" w:before="96" w:after="40" w:line="240" w:lineRule="auto"/>
              <w:jc w:val="left"/>
              <w:rPr>
                <w:szCs w:val="20"/>
              </w:rPr>
            </w:pPr>
            <w:r w:rsidRPr="00BF32F3">
              <w:rPr>
                <w:szCs w:val="20"/>
              </w:rPr>
              <w:t>Based on one inpatient and/or one confirmed outpatient diagnoses using ICD-10-GM codes:</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An</w:t>
            </w:r>
            <w:r>
              <w:rPr>
                <w:rFonts w:cs="Arial"/>
                <w:szCs w:val="20"/>
              </w:rPr>
              <w:t>a</w:t>
            </w:r>
            <w:r w:rsidRPr="00BF32F3">
              <w:rPr>
                <w:rFonts w:cs="Arial"/>
                <w:szCs w:val="20"/>
              </w:rPr>
              <w:t xml:space="preserve">emia </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D60.-, D61.-, D63.0</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Thrombocytopenia</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D69.3 to D69.6</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 xml:space="preserve">Any Cardiovascular Disease (CVD) </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 xml:space="preserve">ICD-10-GM: I10.- to I79.-, G45.8, G45.9 </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 xml:space="preserve">Heart Failure </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I50.-, I11.0, I13.0, I13.2</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 xml:space="preserve">Acute myocardial Infarction </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I21.- to I23.-</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Stroke or h</w:t>
            </w:r>
            <w:r>
              <w:rPr>
                <w:rFonts w:cs="Arial"/>
                <w:szCs w:val="20"/>
              </w:rPr>
              <w:t>a</w:t>
            </w:r>
            <w:r w:rsidRPr="00BF32F3">
              <w:rPr>
                <w:rFonts w:cs="Arial"/>
                <w:szCs w:val="20"/>
              </w:rPr>
              <w:t xml:space="preserve">emorrhage </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I60.- to I64.-</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Atrial fibrillation</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I48.0 to I48.2</w:t>
            </w:r>
          </w:p>
        </w:tc>
      </w:tr>
      <w:tr w:rsidR="00032324" w:rsidRPr="00497655"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 xml:space="preserve">Hypertension </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42314D" w:rsidRDefault="00032324" w:rsidP="002A0A11">
            <w:pPr>
              <w:pStyle w:val="Body"/>
              <w:spacing w:beforeLines="40" w:before="96" w:after="40" w:line="240" w:lineRule="auto"/>
              <w:jc w:val="left"/>
              <w:rPr>
                <w:szCs w:val="20"/>
                <w:lang w:val="it-IT"/>
              </w:rPr>
            </w:pPr>
            <w:r w:rsidRPr="0042314D">
              <w:rPr>
                <w:szCs w:val="20"/>
                <w:lang w:val="it-IT"/>
              </w:rPr>
              <w:t>ICD-10-GM: I10.-, I11.-, I12.-, I13.-, I15.-</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Disorders of lipoprotein metabolism and other lipid</w:t>
            </w:r>
            <w:r>
              <w:rPr>
                <w:rFonts w:cs="Arial"/>
                <w:szCs w:val="20"/>
              </w:rPr>
              <w:t>a</w:t>
            </w:r>
            <w:r w:rsidRPr="00BF32F3">
              <w:rPr>
                <w:rFonts w:cs="Arial"/>
                <w:szCs w:val="20"/>
              </w:rPr>
              <w:t>emias</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E78.-</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Renal disease (moderate/severe)</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 N17.-, N18.-, N19.-</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Chronic pulmonary disease</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J4%, J6% w/o J67.-, J68.-, J69.-</w:t>
            </w:r>
          </w:p>
        </w:tc>
      </w:tr>
      <w:tr w:rsidR="00032324" w:rsidRPr="00497655"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 xml:space="preserve">Diabetes mellitus </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42314D" w:rsidRDefault="00032324" w:rsidP="002A0A11">
            <w:pPr>
              <w:pStyle w:val="Body"/>
              <w:spacing w:beforeLines="40" w:before="96" w:after="40" w:line="240" w:lineRule="auto"/>
              <w:jc w:val="left"/>
              <w:rPr>
                <w:szCs w:val="20"/>
                <w:lang w:val="it-IT"/>
              </w:rPr>
            </w:pPr>
            <w:r w:rsidRPr="0042314D">
              <w:rPr>
                <w:szCs w:val="20"/>
                <w:lang w:val="it-IT"/>
              </w:rPr>
              <w:t>ICD-10-GM: E10.-, E11.-, E12.-, E13.-, E14.-</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 xml:space="preserve">Other malignancies </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C00.- to C97.- excluding C91.1-</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 xml:space="preserve">Depression/Anxiety </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F32.-, F33.-, F41.-</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lastRenderedPageBreak/>
              <w:t>Neutropenia</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D70.1</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Lymphocytosis</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D72.8</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Upper respiratory tract infections</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875F00">
              <w:rPr>
                <w:szCs w:val="20"/>
                <w:lang w:val="nl-BE"/>
              </w:rPr>
              <w:t xml:space="preserve">ICD-10-GM: J00.-, J01.-, J02.-, J03.-, J04.- </w:t>
            </w:r>
            <w:r w:rsidRPr="00BF32F3">
              <w:rPr>
                <w:szCs w:val="20"/>
              </w:rPr>
              <w:t>J05.-, J06.-</w:t>
            </w:r>
          </w:p>
        </w:tc>
      </w:tr>
      <w:tr w:rsidR="00032324" w:rsidRPr="00C63235"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Connective tissue/rheumatic disease</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1E4571" w:rsidRDefault="00032324" w:rsidP="002A0A11">
            <w:pPr>
              <w:pStyle w:val="Body"/>
              <w:spacing w:beforeLines="40" w:before="96" w:after="40" w:line="240" w:lineRule="auto"/>
              <w:jc w:val="left"/>
              <w:rPr>
                <w:szCs w:val="20"/>
                <w:lang w:val="de-DE"/>
              </w:rPr>
            </w:pPr>
            <w:r w:rsidRPr="001E4571">
              <w:rPr>
                <w:szCs w:val="20"/>
                <w:lang w:val="de-DE"/>
              </w:rPr>
              <w:t>ICD-10-GM : M05.-, M06.-, M07.-, M08.-, M3-</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Peptic ulcer disease</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K25-, K26-, K27-, K28-</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Paraplegia/hemiplegia</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G81-, G82-</w:t>
            </w:r>
          </w:p>
        </w:tc>
      </w:tr>
      <w:tr w:rsidR="00032324" w:rsidRPr="00814E3D"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Liver disease</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875F00" w:rsidRDefault="00032324" w:rsidP="002A0A11">
            <w:pPr>
              <w:pStyle w:val="Body"/>
              <w:spacing w:beforeLines="40" w:before="96" w:after="40" w:line="240" w:lineRule="auto"/>
              <w:jc w:val="left"/>
              <w:rPr>
                <w:szCs w:val="20"/>
                <w:lang w:val="nl-BE"/>
              </w:rPr>
            </w:pPr>
            <w:r w:rsidRPr="00875F00">
              <w:rPr>
                <w:szCs w:val="20"/>
                <w:lang w:val="nl-BE"/>
              </w:rPr>
              <w:t>ICD-10-GM: B18-, K70-, K72-, K73-, K74-, K75-</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Contusion</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T14.05, SXX.0 for S00 to S99</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Gastrointestinal disease </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K20-K31, K35-K38, K50- K52, K55-K64, K90-K93</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Fatigue</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G93.3</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rFonts w:cs="Arial"/>
                <w:szCs w:val="20"/>
              </w:rPr>
              <w:t xml:space="preserve">Myelofibrosis </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D47.4</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Viral hepatitis</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ICD-10-GM: B15.- to B19.-</w:t>
            </w:r>
          </w:p>
        </w:tc>
      </w:tr>
      <w:tr w:rsidR="00032324" w:rsidRPr="00BF32F3" w:rsidTr="002A0A11">
        <w:tc>
          <w:tcPr>
            <w:tcW w:w="9067" w:type="dxa"/>
            <w:gridSpan w:val="3"/>
          </w:tcPr>
          <w:p w:rsidR="00032324" w:rsidRPr="00BF32F3" w:rsidRDefault="00032324" w:rsidP="002A0A11">
            <w:pPr>
              <w:pStyle w:val="Body"/>
              <w:spacing w:beforeLines="40" w:before="96" w:after="40" w:line="240" w:lineRule="auto"/>
              <w:jc w:val="left"/>
              <w:rPr>
                <w:szCs w:val="20"/>
              </w:rPr>
            </w:pPr>
            <w:r w:rsidRPr="00BF32F3">
              <w:rPr>
                <w:i/>
                <w:iCs/>
                <w:szCs w:val="20"/>
              </w:rPr>
              <w:t>Disease stage</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Disease stage at initial diagnosis</w:t>
            </w:r>
          </w:p>
        </w:tc>
        <w:tc>
          <w:tcPr>
            <w:tcW w:w="2656" w:type="dxa"/>
          </w:tcPr>
          <w:p w:rsidR="00032324" w:rsidRPr="00BF32F3" w:rsidRDefault="00032324" w:rsidP="002A0A11">
            <w:pPr>
              <w:pStyle w:val="Body"/>
              <w:spacing w:beforeLines="40" w:before="96" w:after="40" w:line="240" w:lineRule="auto"/>
              <w:jc w:val="left"/>
              <w:rPr>
                <w:szCs w:val="20"/>
              </w:rPr>
            </w:pPr>
            <w:r w:rsidRPr="00BF32F3">
              <w:rPr>
                <w:szCs w:val="20"/>
              </w:rPr>
              <w:t>Based on the observation of therapy initiation and timing (proxy for Binet Stage)</w:t>
            </w:r>
          </w:p>
          <w:p w:rsidR="00032324" w:rsidRPr="00BF32F3" w:rsidRDefault="00032324" w:rsidP="002A0A11">
            <w:pPr>
              <w:pStyle w:val="Body"/>
              <w:spacing w:beforeLines="40" w:before="96" w:after="40" w:line="240" w:lineRule="auto"/>
              <w:jc w:val="left"/>
              <w:rPr>
                <w:szCs w:val="20"/>
              </w:rPr>
            </w:pPr>
            <w:r w:rsidRPr="00BF32F3">
              <w:rPr>
                <w:szCs w:val="20"/>
              </w:rPr>
              <w:t>Stage A/B (not advanced), based on no diagnosis of an</w:t>
            </w:r>
            <w:r>
              <w:rPr>
                <w:szCs w:val="20"/>
              </w:rPr>
              <w:t>a</w:t>
            </w:r>
            <w:r w:rsidRPr="00BF32F3">
              <w:rPr>
                <w:szCs w:val="20"/>
              </w:rPr>
              <w:t>emia or thrombocytopenia during the baseline period AND no CLL-related therapy in the first 12 months following CLL diagnosis</w:t>
            </w:r>
          </w:p>
          <w:p w:rsidR="00032324" w:rsidRPr="00BF32F3" w:rsidRDefault="00032324" w:rsidP="002A0A11">
            <w:pPr>
              <w:pStyle w:val="Body"/>
              <w:spacing w:beforeLines="40" w:before="96" w:after="40" w:line="240" w:lineRule="auto"/>
              <w:jc w:val="left"/>
              <w:rPr>
                <w:szCs w:val="20"/>
              </w:rPr>
            </w:pPr>
            <w:r w:rsidRPr="00BF32F3">
              <w:rPr>
                <w:szCs w:val="20"/>
              </w:rPr>
              <w:t>Stage C (advanced), based on the presence of an</w:t>
            </w:r>
            <w:r>
              <w:rPr>
                <w:szCs w:val="20"/>
              </w:rPr>
              <w:t>a</w:t>
            </w:r>
            <w:r w:rsidRPr="00BF32F3">
              <w:rPr>
                <w:szCs w:val="20"/>
              </w:rPr>
              <w:t>emia or thrombocytopenia during the baseline period AND initiation of CLL-related therapy within the first 12 months following CLL diagnosis</w:t>
            </w: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Based on one inpatient and/or one confirmed outpatient diagnoses using ICD-10-GM codes for an</w:t>
            </w:r>
            <w:r>
              <w:rPr>
                <w:szCs w:val="20"/>
              </w:rPr>
              <w:t>a</w:t>
            </w:r>
            <w:r w:rsidRPr="00BF32F3">
              <w:rPr>
                <w:szCs w:val="20"/>
              </w:rPr>
              <w:t>emia (D60.-, D61.-, D63.0) and thrombocytopenia (D69.3 to D69.6)</w:t>
            </w:r>
          </w:p>
        </w:tc>
      </w:tr>
      <w:tr w:rsidR="00032324" w:rsidRPr="00BF32F3" w:rsidTr="002A0A11">
        <w:tc>
          <w:tcPr>
            <w:tcW w:w="9067" w:type="dxa"/>
            <w:gridSpan w:val="3"/>
          </w:tcPr>
          <w:p w:rsidR="00032324" w:rsidRPr="00BF32F3" w:rsidRDefault="00032324" w:rsidP="002A0A11">
            <w:pPr>
              <w:pStyle w:val="Body"/>
              <w:spacing w:beforeLines="40" w:before="96" w:after="40" w:line="240" w:lineRule="auto"/>
              <w:jc w:val="left"/>
              <w:rPr>
                <w:szCs w:val="20"/>
              </w:rPr>
            </w:pPr>
            <w:r w:rsidRPr="00BF32F3">
              <w:rPr>
                <w:i/>
                <w:iCs/>
                <w:szCs w:val="20"/>
              </w:rPr>
              <w:t>Clinical outcomes</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Time to treatment initiation</w:t>
            </w:r>
          </w:p>
        </w:tc>
        <w:tc>
          <w:tcPr>
            <w:tcW w:w="2656" w:type="dxa"/>
          </w:tcPr>
          <w:p w:rsidR="00032324" w:rsidRPr="00BF32F3" w:rsidRDefault="00032324" w:rsidP="002A0A11">
            <w:pPr>
              <w:pStyle w:val="Body"/>
              <w:spacing w:beforeLines="40" w:before="96" w:after="40" w:line="240" w:lineRule="auto"/>
              <w:jc w:val="left"/>
              <w:rPr>
                <w:szCs w:val="20"/>
              </w:rPr>
            </w:pPr>
            <w:r w:rsidRPr="00BF32F3">
              <w:rPr>
                <w:szCs w:val="20"/>
              </w:rPr>
              <w:t>Time from index diagnosis until the first prescription of a pharmacological agent specified</w:t>
            </w:r>
          </w:p>
          <w:p w:rsidR="00032324" w:rsidRPr="00BF32F3" w:rsidRDefault="00032324" w:rsidP="002A0A11">
            <w:pPr>
              <w:pStyle w:val="Body"/>
              <w:spacing w:beforeLines="40" w:before="96" w:after="40" w:line="240" w:lineRule="auto"/>
              <w:jc w:val="left"/>
              <w:rPr>
                <w:szCs w:val="20"/>
              </w:rPr>
            </w:pPr>
            <w:r w:rsidRPr="00BF32F3">
              <w:rPr>
                <w:szCs w:val="20"/>
              </w:rPr>
              <w:t>Patients were censored at the end of insurance (loss</w:t>
            </w:r>
            <w:r>
              <w:rPr>
                <w:szCs w:val="20"/>
              </w:rPr>
              <w:t xml:space="preserve"> </w:t>
            </w:r>
            <w:r w:rsidRPr="00BF32F3">
              <w:rPr>
                <w:szCs w:val="20"/>
              </w:rPr>
              <w:t>to</w:t>
            </w:r>
            <w:r>
              <w:rPr>
                <w:szCs w:val="20"/>
              </w:rPr>
              <w:t xml:space="preserve"> </w:t>
            </w:r>
            <w:r w:rsidRPr="00BF32F3">
              <w:rPr>
                <w:szCs w:val="20"/>
              </w:rPr>
              <w:t xml:space="preserve">follow-up), end of the </w:t>
            </w:r>
            <w:r w:rsidRPr="00BF32F3">
              <w:rPr>
                <w:szCs w:val="20"/>
              </w:rPr>
              <w:lastRenderedPageBreak/>
              <w:t>study period or death, whichever occurred earliest</w:t>
            </w: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lastRenderedPageBreak/>
              <w:t>Pharmacological agents as specified in manuscript Table 1</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Time to treatment discontinuation</w:t>
            </w:r>
          </w:p>
        </w:tc>
        <w:tc>
          <w:tcPr>
            <w:tcW w:w="2656" w:type="dxa"/>
          </w:tcPr>
          <w:p w:rsidR="00032324" w:rsidRPr="00BF32F3" w:rsidRDefault="00032324" w:rsidP="002A0A11">
            <w:pPr>
              <w:pStyle w:val="Body"/>
              <w:spacing w:beforeLines="40" w:before="96" w:after="40" w:line="240" w:lineRule="auto"/>
              <w:jc w:val="left"/>
              <w:rPr>
                <w:szCs w:val="20"/>
              </w:rPr>
            </w:pPr>
            <w:r w:rsidRPr="00BF32F3">
              <w:rPr>
                <w:szCs w:val="20"/>
              </w:rPr>
              <w:t>Time from index cBTKi to discontinuation of treatment or death</w:t>
            </w:r>
          </w:p>
          <w:p w:rsidR="00032324" w:rsidRPr="00BF32F3" w:rsidRDefault="00032324" w:rsidP="002A0A11">
            <w:pPr>
              <w:pStyle w:val="Body"/>
              <w:spacing w:beforeLines="40" w:before="96" w:after="40" w:line="240" w:lineRule="auto"/>
              <w:jc w:val="left"/>
              <w:rPr>
                <w:szCs w:val="20"/>
              </w:rPr>
            </w:pPr>
            <w:r w:rsidRPr="00BF32F3">
              <w:rPr>
                <w:szCs w:val="20"/>
              </w:rPr>
              <w:t>Patients were censored at the end of insurance (loss</w:t>
            </w:r>
            <w:r>
              <w:rPr>
                <w:szCs w:val="20"/>
              </w:rPr>
              <w:t xml:space="preserve"> </w:t>
            </w:r>
            <w:r w:rsidRPr="00BF32F3">
              <w:rPr>
                <w:szCs w:val="20"/>
              </w:rPr>
              <w:t>to</w:t>
            </w:r>
            <w:r>
              <w:rPr>
                <w:szCs w:val="20"/>
              </w:rPr>
              <w:t xml:space="preserve"> </w:t>
            </w:r>
            <w:r w:rsidRPr="00BF32F3">
              <w:rPr>
                <w:szCs w:val="20"/>
              </w:rPr>
              <w:t>follow-up) or end of the study period, whichever occurred earliest</w:t>
            </w:r>
          </w:p>
        </w:tc>
        <w:tc>
          <w:tcPr>
            <w:tcW w:w="3543" w:type="dxa"/>
          </w:tcPr>
          <w:p w:rsidR="00032324" w:rsidRPr="00BF32F3" w:rsidRDefault="00032324" w:rsidP="002A0A11">
            <w:pPr>
              <w:pStyle w:val="Body"/>
              <w:spacing w:beforeLines="40" w:before="96" w:after="40" w:line="240" w:lineRule="auto"/>
              <w:jc w:val="left"/>
              <w:rPr>
                <w:szCs w:val="20"/>
              </w:rPr>
            </w:pP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Pr>
                <w:szCs w:val="20"/>
              </w:rPr>
              <w:t>Time to next treatment</w:t>
            </w:r>
          </w:p>
        </w:tc>
        <w:tc>
          <w:tcPr>
            <w:tcW w:w="2656" w:type="dxa"/>
          </w:tcPr>
          <w:p w:rsidR="00032324" w:rsidRDefault="00032324" w:rsidP="002A0A11">
            <w:pPr>
              <w:pStyle w:val="Body"/>
              <w:spacing w:beforeLines="40" w:before="96" w:after="40" w:line="240" w:lineRule="auto"/>
              <w:jc w:val="left"/>
              <w:rPr>
                <w:szCs w:val="20"/>
              </w:rPr>
            </w:pPr>
            <w:r w:rsidRPr="007231A7">
              <w:rPr>
                <w:szCs w:val="20"/>
              </w:rPr>
              <w:t>Time from index</w:t>
            </w:r>
            <w:r>
              <w:rPr>
                <w:szCs w:val="20"/>
              </w:rPr>
              <w:t xml:space="preserve"> </w:t>
            </w:r>
            <w:r w:rsidRPr="007231A7">
              <w:rPr>
                <w:szCs w:val="20"/>
              </w:rPr>
              <w:t>cBTKi to next treatment or death</w:t>
            </w:r>
          </w:p>
          <w:p w:rsidR="00032324" w:rsidRPr="00BF32F3" w:rsidRDefault="00032324" w:rsidP="002A0A11">
            <w:pPr>
              <w:pStyle w:val="Body"/>
              <w:spacing w:beforeLines="40" w:before="96" w:after="40" w:line="240" w:lineRule="auto"/>
              <w:jc w:val="left"/>
              <w:rPr>
                <w:szCs w:val="20"/>
              </w:rPr>
            </w:pPr>
            <w:r w:rsidRPr="007231A7">
              <w:rPr>
                <w:szCs w:val="20"/>
              </w:rPr>
              <w:t xml:space="preserve">Patients </w:t>
            </w:r>
            <w:r>
              <w:rPr>
                <w:szCs w:val="20"/>
              </w:rPr>
              <w:t>we</w:t>
            </w:r>
            <w:r w:rsidRPr="007231A7">
              <w:rPr>
                <w:szCs w:val="20"/>
              </w:rPr>
              <w:t>re censored at</w:t>
            </w:r>
            <w:r>
              <w:rPr>
                <w:szCs w:val="20"/>
              </w:rPr>
              <w:t xml:space="preserve"> </w:t>
            </w:r>
            <w:r w:rsidRPr="007231A7">
              <w:rPr>
                <w:szCs w:val="20"/>
              </w:rPr>
              <w:t>the end of insurance (loss</w:t>
            </w:r>
            <w:r>
              <w:rPr>
                <w:szCs w:val="20"/>
              </w:rPr>
              <w:t xml:space="preserve"> </w:t>
            </w:r>
            <w:r w:rsidRPr="007231A7">
              <w:rPr>
                <w:szCs w:val="20"/>
              </w:rPr>
              <w:t>to</w:t>
            </w:r>
            <w:r>
              <w:rPr>
                <w:szCs w:val="20"/>
              </w:rPr>
              <w:t xml:space="preserve"> </w:t>
            </w:r>
            <w:r w:rsidRPr="007231A7">
              <w:rPr>
                <w:szCs w:val="20"/>
              </w:rPr>
              <w:t>follow-up) or end of</w:t>
            </w:r>
            <w:r>
              <w:rPr>
                <w:szCs w:val="20"/>
              </w:rPr>
              <w:t xml:space="preserve"> </w:t>
            </w:r>
            <w:r w:rsidRPr="007231A7">
              <w:rPr>
                <w:szCs w:val="20"/>
              </w:rPr>
              <w:t>the study period, whichever occur</w:t>
            </w:r>
            <w:r>
              <w:rPr>
                <w:szCs w:val="20"/>
              </w:rPr>
              <w:t>red</w:t>
            </w:r>
            <w:r w:rsidRPr="007231A7">
              <w:rPr>
                <w:szCs w:val="20"/>
              </w:rPr>
              <w:t xml:space="preserve"> earliest</w:t>
            </w:r>
          </w:p>
        </w:tc>
        <w:tc>
          <w:tcPr>
            <w:tcW w:w="3543" w:type="dxa"/>
          </w:tcPr>
          <w:p w:rsidR="00032324" w:rsidRPr="00BF32F3" w:rsidRDefault="00032324" w:rsidP="002A0A11">
            <w:pPr>
              <w:pStyle w:val="Body"/>
              <w:spacing w:beforeLines="40" w:before="96" w:after="40" w:line="240" w:lineRule="auto"/>
              <w:jc w:val="left"/>
              <w:rPr>
                <w:szCs w:val="20"/>
              </w:rPr>
            </w:pP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Overall survival</w:t>
            </w:r>
          </w:p>
        </w:tc>
        <w:tc>
          <w:tcPr>
            <w:tcW w:w="2656" w:type="dxa"/>
          </w:tcPr>
          <w:p w:rsidR="00032324" w:rsidRPr="00BF32F3" w:rsidRDefault="00032324" w:rsidP="002A0A11">
            <w:pPr>
              <w:pStyle w:val="Body"/>
              <w:spacing w:beforeLines="40" w:before="96" w:after="40" w:line="240" w:lineRule="auto"/>
              <w:jc w:val="left"/>
              <w:rPr>
                <w:szCs w:val="20"/>
              </w:rPr>
            </w:pPr>
            <w:r w:rsidRPr="00BF32F3">
              <w:rPr>
                <w:szCs w:val="20"/>
              </w:rPr>
              <w:t>Time from index diagnosis/index cBTKi until death due to all-cause</w:t>
            </w:r>
          </w:p>
          <w:p w:rsidR="00032324" w:rsidRPr="00BF32F3" w:rsidRDefault="00032324" w:rsidP="002A0A11">
            <w:pPr>
              <w:pStyle w:val="Body"/>
              <w:spacing w:beforeLines="40" w:before="96" w:after="40" w:line="240" w:lineRule="auto"/>
              <w:jc w:val="left"/>
              <w:rPr>
                <w:szCs w:val="20"/>
              </w:rPr>
            </w:pPr>
            <w:r w:rsidRPr="00BF32F3">
              <w:rPr>
                <w:szCs w:val="20"/>
              </w:rPr>
              <w:t>Patients were censored at the end of insurance (loss</w:t>
            </w:r>
            <w:r>
              <w:rPr>
                <w:szCs w:val="20"/>
              </w:rPr>
              <w:t xml:space="preserve"> </w:t>
            </w:r>
            <w:r w:rsidRPr="00BF32F3">
              <w:rPr>
                <w:szCs w:val="20"/>
              </w:rPr>
              <w:t>to</w:t>
            </w:r>
            <w:r>
              <w:rPr>
                <w:szCs w:val="20"/>
              </w:rPr>
              <w:t xml:space="preserve"> </w:t>
            </w:r>
            <w:r w:rsidRPr="00BF32F3">
              <w:rPr>
                <w:szCs w:val="20"/>
              </w:rPr>
              <w:t>follow-up) or end of the study period, whichever occurred earliest</w:t>
            </w:r>
          </w:p>
        </w:tc>
        <w:tc>
          <w:tcPr>
            <w:tcW w:w="3543" w:type="dxa"/>
          </w:tcPr>
          <w:p w:rsidR="00032324" w:rsidRPr="00BF32F3" w:rsidRDefault="00032324" w:rsidP="002A0A11">
            <w:pPr>
              <w:pStyle w:val="Body"/>
              <w:spacing w:beforeLines="40" w:before="96" w:after="40" w:line="240" w:lineRule="auto"/>
              <w:jc w:val="left"/>
              <w:rPr>
                <w:szCs w:val="20"/>
              </w:rPr>
            </w:pPr>
          </w:p>
        </w:tc>
      </w:tr>
      <w:tr w:rsidR="00032324" w:rsidRPr="00BF32F3" w:rsidTr="002A0A11">
        <w:tc>
          <w:tcPr>
            <w:tcW w:w="9067" w:type="dxa"/>
            <w:gridSpan w:val="3"/>
          </w:tcPr>
          <w:p w:rsidR="00032324" w:rsidRPr="00BF32F3" w:rsidRDefault="00032324" w:rsidP="002A0A11">
            <w:pPr>
              <w:pStyle w:val="Body"/>
              <w:spacing w:beforeLines="40" w:before="96" w:after="40" w:line="240" w:lineRule="auto"/>
              <w:jc w:val="left"/>
              <w:rPr>
                <w:szCs w:val="20"/>
              </w:rPr>
            </w:pPr>
            <w:r w:rsidRPr="00BF32F3">
              <w:rPr>
                <w:i/>
                <w:iCs/>
                <w:szCs w:val="20"/>
              </w:rPr>
              <w:t>Healthcare resource use</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Number of outpatient primary care (GP) visits</w:t>
            </w:r>
          </w:p>
        </w:tc>
        <w:tc>
          <w:tcPr>
            <w:tcW w:w="2656" w:type="dxa"/>
          </w:tcPr>
          <w:p w:rsidR="00032324" w:rsidRPr="00BF32F3" w:rsidRDefault="00032324" w:rsidP="002A0A11">
            <w:pPr>
              <w:pStyle w:val="Body"/>
              <w:spacing w:beforeLines="40" w:before="96" w:after="40" w:line="240" w:lineRule="auto"/>
              <w:jc w:val="left"/>
              <w:rPr>
                <w:szCs w:val="20"/>
              </w:rPr>
            </w:pPr>
            <w:r w:rsidRPr="00BF32F3">
              <w:rPr>
                <w:szCs w:val="20"/>
              </w:rPr>
              <w:t>Number and percentage of patients with ≥1 CLL-related, and overall GP visit in the first 12 months and entire follow-up period</w:t>
            </w:r>
            <w:r>
              <w:rPr>
                <w:szCs w:val="20"/>
              </w:rPr>
              <w:t xml:space="preserve"> post-index</w:t>
            </w:r>
            <w:r w:rsidRPr="00BF32F3">
              <w:rPr>
                <w:szCs w:val="20"/>
              </w:rPr>
              <w:t>;</w:t>
            </w:r>
            <w:r>
              <w:rPr>
                <w:szCs w:val="20"/>
                <w:vertAlign w:val="superscript"/>
              </w:rPr>
              <w:t>a</w:t>
            </w:r>
            <w:r w:rsidRPr="00BF32F3">
              <w:rPr>
                <w:szCs w:val="20"/>
              </w:rPr>
              <w:t xml:space="preserve"> number of GP visits per person-year</w:t>
            </w: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CLL-related: Outpatient visits (approximated by counted dates of invoiced EBM codes) documented by a physician with AGS 1/2/3 associated with confirmed diagnosis of CLL (ICD-10: C91.1)</w:t>
            </w:r>
          </w:p>
          <w:p w:rsidR="00032324" w:rsidRPr="00BF32F3" w:rsidRDefault="00032324" w:rsidP="002A0A11">
            <w:pPr>
              <w:pStyle w:val="Body"/>
              <w:spacing w:beforeLines="40" w:before="96" w:after="40" w:line="240" w:lineRule="auto"/>
              <w:jc w:val="left"/>
              <w:rPr>
                <w:szCs w:val="20"/>
              </w:rPr>
            </w:pPr>
            <w:r w:rsidRPr="00BF32F3">
              <w:rPr>
                <w:szCs w:val="20"/>
              </w:rPr>
              <w:t>All-cause: Outpatient visits (approximated by counted dates of invoiced EBM codes) documented by a physician with AGS 1/2/3</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Number of outpatient specialist visits</w:t>
            </w:r>
          </w:p>
        </w:tc>
        <w:tc>
          <w:tcPr>
            <w:tcW w:w="2656" w:type="dxa"/>
          </w:tcPr>
          <w:p w:rsidR="00032324" w:rsidRPr="00BF32F3" w:rsidRDefault="00032324" w:rsidP="002A0A11">
            <w:pPr>
              <w:pStyle w:val="Body"/>
              <w:spacing w:beforeLines="40" w:before="96" w:after="40" w:line="240" w:lineRule="auto"/>
              <w:jc w:val="left"/>
              <w:rPr>
                <w:szCs w:val="20"/>
              </w:rPr>
            </w:pPr>
            <w:r w:rsidRPr="00BF32F3">
              <w:rPr>
                <w:szCs w:val="20"/>
              </w:rPr>
              <w:t>Number and percentage of patients with ≥1 CLL-related, and overall specialist visit in the first 12 months and entire follow-up period</w:t>
            </w:r>
            <w:r>
              <w:rPr>
                <w:szCs w:val="20"/>
              </w:rPr>
              <w:t xml:space="preserve"> post-index</w:t>
            </w:r>
            <w:r w:rsidRPr="00BF32F3">
              <w:rPr>
                <w:szCs w:val="20"/>
              </w:rPr>
              <w:t>;</w:t>
            </w:r>
            <w:r>
              <w:rPr>
                <w:szCs w:val="20"/>
                <w:vertAlign w:val="superscript"/>
              </w:rPr>
              <w:t>a</w:t>
            </w:r>
            <w:r w:rsidRPr="00BF32F3">
              <w:rPr>
                <w:szCs w:val="20"/>
              </w:rPr>
              <w:t xml:space="preserve"> number of specialist visits per person-year</w:t>
            </w: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CLL-related: Outpatient visits (approximated by counted dates of invoiced EBM codes) documented by a physician with AGS 27/41 (h</w:t>
            </w:r>
            <w:r>
              <w:rPr>
                <w:szCs w:val="20"/>
              </w:rPr>
              <w:t>a</w:t>
            </w:r>
            <w:r w:rsidRPr="00BF32F3">
              <w:rPr>
                <w:szCs w:val="20"/>
              </w:rPr>
              <w:t>ematology &amp; oncology) and associated with confirmed diagnosis of CLL (ICD-10: 91.1)</w:t>
            </w:r>
          </w:p>
          <w:p w:rsidR="00032324" w:rsidRPr="00BF32F3" w:rsidRDefault="00032324" w:rsidP="002A0A11">
            <w:pPr>
              <w:pStyle w:val="Body"/>
              <w:spacing w:beforeLines="40" w:before="96" w:after="40" w:line="240" w:lineRule="auto"/>
              <w:jc w:val="left"/>
              <w:rPr>
                <w:szCs w:val="20"/>
              </w:rPr>
            </w:pPr>
            <w:r w:rsidRPr="00BF32F3">
              <w:rPr>
                <w:szCs w:val="20"/>
              </w:rPr>
              <w:t>All-cause: Outpatient visits (approximated by counted dates of invoiced EBM codes) documented by a physician with AGS that is not 1/2/3 (including oncology)</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Number of hospital</w:t>
            </w:r>
            <w:r>
              <w:rPr>
                <w:szCs w:val="20"/>
              </w:rPr>
              <w:t>isa</w:t>
            </w:r>
            <w:r w:rsidRPr="00BF32F3">
              <w:rPr>
                <w:szCs w:val="20"/>
              </w:rPr>
              <w:t>tions; hospital</w:t>
            </w:r>
            <w:r>
              <w:rPr>
                <w:szCs w:val="20"/>
              </w:rPr>
              <w:t>isa</w:t>
            </w:r>
            <w:r w:rsidRPr="00BF32F3">
              <w:rPr>
                <w:szCs w:val="20"/>
              </w:rPr>
              <w:t>tion days</w:t>
            </w:r>
          </w:p>
        </w:tc>
        <w:tc>
          <w:tcPr>
            <w:tcW w:w="2656" w:type="dxa"/>
          </w:tcPr>
          <w:p w:rsidR="00032324" w:rsidRPr="00BF32F3" w:rsidRDefault="00032324" w:rsidP="002A0A11">
            <w:pPr>
              <w:pStyle w:val="Body"/>
              <w:spacing w:beforeLines="40" w:before="96" w:after="40" w:line="240" w:lineRule="auto"/>
              <w:jc w:val="left"/>
              <w:rPr>
                <w:szCs w:val="20"/>
              </w:rPr>
            </w:pPr>
            <w:r w:rsidRPr="00BF32F3">
              <w:rPr>
                <w:szCs w:val="20"/>
              </w:rPr>
              <w:t>Number and percentage of patients with ≥1 CLL-related, and overall hospital</w:t>
            </w:r>
            <w:r>
              <w:rPr>
                <w:szCs w:val="20"/>
              </w:rPr>
              <w:t>isa</w:t>
            </w:r>
            <w:r w:rsidRPr="00BF32F3">
              <w:rPr>
                <w:szCs w:val="20"/>
              </w:rPr>
              <w:t xml:space="preserve">tion in the first 12 months and entire </w:t>
            </w:r>
            <w:r w:rsidRPr="00BF32F3">
              <w:rPr>
                <w:szCs w:val="20"/>
              </w:rPr>
              <w:lastRenderedPageBreak/>
              <w:t>follow-up period</w:t>
            </w:r>
            <w:r>
              <w:rPr>
                <w:szCs w:val="20"/>
              </w:rPr>
              <w:t xml:space="preserve"> post-index</w:t>
            </w:r>
            <w:r w:rsidRPr="00BF32F3">
              <w:rPr>
                <w:szCs w:val="20"/>
              </w:rPr>
              <w:t>;</w:t>
            </w:r>
            <w:r>
              <w:rPr>
                <w:szCs w:val="20"/>
                <w:vertAlign w:val="superscript"/>
              </w:rPr>
              <w:t>a</w:t>
            </w:r>
            <w:r w:rsidRPr="00BF32F3">
              <w:rPr>
                <w:szCs w:val="20"/>
              </w:rPr>
              <w:t xml:space="preserve"> number of hospital</w:t>
            </w:r>
            <w:r>
              <w:rPr>
                <w:szCs w:val="20"/>
              </w:rPr>
              <w:t>isa</w:t>
            </w:r>
            <w:r w:rsidRPr="00BF32F3">
              <w:rPr>
                <w:szCs w:val="20"/>
              </w:rPr>
              <w:t>tions per person-year; number of hospital</w:t>
            </w:r>
            <w:r>
              <w:rPr>
                <w:szCs w:val="20"/>
              </w:rPr>
              <w:t>isa</w:t>
            </w:r>
            <w:r w:rsidRPr="00BF32F3">
              <w:rPr>
                <w:szCs w:val="20"/>
              </w:rPr>
              <w:t>tion days per person-year</w:t>
            </w: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lastRenderedPageBreak/>
              <w:t>CLL-related: Hospital</w:t>
            </w:r>
            <w:r>
              <w:rPr>
                <w:szCs w:val="20"/>
              </w:rPr>
              <w:t>isa</w:t>
            </w:r>
            <w:r w:rsidRPr="00BF32F3">
              <w:rPr>
                <w:szCs w:val="20"/>
              </w:rPr>
              <w:t>tions (including admission and discharge dates) associated with main- or primary diagnosis of CLL (ICD- 10: C91.1)</w:t>
            </w:r>
          </w:p>
          <w:p w:rsidR="00032324" w:rsidRPr="00BF32F3" w:rsidRDefault="00032324" w:rsidP="002A0A11">
            <w:pPr>
              <w:pStyle w:val="Body"/>
              <w:spacing w:beforeLines="40" w:before="96" w:after="40" w:line="240" w:lineRule="auto"/>
              <w:jc w:val="left"/>
              <w:rPr>
                <w:szCs w:val="20"/>
              </w:rPr>
            </w:pPr>
            <w:r w:rsidRPr="00BF32F3">
              <w:rPr>
                <w:szCs w:val="20"/>
              </w:rPr>
              <w:lastRenderedPageBreak/>
              <w:t>All-cause: Hospital</w:t>
            </w:r>
            <w:r>
              <w:rPr>
                <w:szCs w:val="20"/>
              </w:rPr>
              <w:t>isa</w:t>
            </w:r>
            <w:r w:rsidRPr="00BF32F3">
              <w:rPr>
                <w:szCs w:val="20"/>
              </w:rPr>
              <w:t>tions (including admission and discharge dates) associated with any diagnosis</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lastRenderedPageBreak/>
              <w:t>Number of hospital</w:t>
            </w:r>
            <w:r>
              <w:rPr>
                <w:szCs w:val="20"/>
              </w:rPr>
              <w:t>isa</w:t>
            </w:r>
            <w:r w:rsidRPr="00BF32F3">
              <w:rPr>
                <w:szCs w:val="20"/>
              </w:rPr>
              <w:t>tions resulting from ED visits</w:t>
            </w:r>
          </w:p>
        </w:tc>
        <w:tc>
          <w:tcPr>
            <w:tcW w:w="2656" w:type="dxa"/>
          </w:tcPr>
          <w:p w:rsidR="00032324" w:rsidRPr="00BF32F3" w:rsidRDefault="00032324" w:rsidP="002A0A11">
            <w:pPr>
              <w:pStyle w:val="Body"/>
              <w:spacing w:beforeLines="40" w:before="96" w:after="40" w:line="240" w:lineRule="auto"/>
              <w:jc w:val="left"/>
              <w:rPr>
                <w:szCs w:val="20"/>
              </w:rPr>
            </w:pPr>
            <w:r w:rsidRPr="00BF32F3">
              <w:rPr>
                <w:szCs w:val="20"/>
              </w:rPr>
              <w:t>Number and percentage of patients with ≥1 CLL-related, and overall hospital</w:t>
            </w:r>
            <w:r>
              <w:rPr>
                <w:szCs w:val="20"/>
              </w:rPr>
              <w:t>isa</w:t>
            </w:r>
            <w:r w:rsidRPr="00BF32F3">
              <w:rPr>
                <w:szCs w:val="20"/>
              </w:rPr>
              <w:t>tions resulting from an ED visit in the first 12 months and entire follow-up period</w:t>
            </w:r>
            <w:r>
              <w:rPr>
                <w:szCs w:val="20"/>
              </w:rPr>
              <w:t xml:space="preserve"> post-index</w:t>
            </w:r>
            <w:r w:rsidRPr="00BF32F3">
              <w:rPr>
                <w:szCs w:val="20"/>
              </w:rPr>
              <w:t>;</w:t>
            </w:r>
            <w:r>
              <w:rPr>
                <w:szCs w:val="20"/>
                <w:vertAlign w:val="superscript"/>
              </w:rPr>
              <w:t>a</w:t>
            </w:r>
            <w:r w:rsidRPr="00BF32F3">
              <w:rPr>
                <w:szCs w:val="20"/>
              </w:rPr>
              <w:t xml:space="preserve"> number of ED hospital</w:t>
            </w:r>
            <w:r>
              <w:rPr>
                <w:szCs w:val="20"/>
              </w:rPr>
              <w:t>isa</w:t>
            </w:r>
            <w:r w:rsidRPr="00BF32F3">
              <w:rPr>
                <w:szCs w:val="20"/>
              </w:rPr>
              <w:t>tions per person-year</w:t>
            </w: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CLL-related: Hospital</w:t>
            </w:r>
            <w:r>
              <w:rPr>
                <w:szCs w:val="20"/>
              </w:rPr>
              <w:t>isa</w:t>
            </w:r>
            <w:r w:rsidRPr="00BF32F3">
              <w:rPr>
                <w:szCs w:val="20"/>
              </w:rPr>
              <w:t>tions (including admission and discharge dates) with an emergency code (7) associated with main- or primary diagnosis of CLL (ICD-10: C91.1)</w:t>
            </w:r>
          </w:p>
          <w:p w:rsidR="00032324" w:rsidRPr="00BF32F3" w:rsidRDefault="00032324" w:rsidP="002A0A11">
            <w:pPr>
              <w:pStyle w:val="Body"/>
              <w:spacing w:beforeLines="40" w:before="96" w:after="40" w:line="240" w:lineRule="auto"/>
              <w:jc w:val="left"/>
              <w:rPr>
                <w:szCs w:val="20"/>
              </w:rPr>
            </w:pPr>
            <w:r w:rsidRPr="00BF32F3">
              <w:rPr>
                <w:szCs w:val="20"/>
              </w:rPr>
              <w:t>All-cause: Hospital</w:t>
            </w:r>
            <w:r>
              <w:rPr>
                <w:szCs w:val="20"/>
              </w:rPr>
              <w:t>isa</w:t>
            </w:r>
            <w:r w:rsidRPr="00BF32F3">
              <w:rPr>
                <w:szCs w:val="20"/>
              </w:rPr>
              <w:t>tions (including admission and discharge dates) with an emergency code associated with any diagnosis</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Number of outpatient prescriptions</w:t>
            </w:r>
          </w:p>
        </w:tc>
        <w:tc>
          <w:tcPr>
            <w:tcW w:w="2656" w:type="dxa"/>
          </w:tcPr>
          <w:p w:rsidR="00032324" w:rsidRPr="00BF32F3" w:rsidRDefault="00032324" w:rsidP="002A0A11">
            <w:pPr>
              <w:pStyle w:val="Body"/>
              <w:spacing w:beforeLines="40" w:before="96" w:after="40" w:line="240" w:lineRule="auto"/>
              <w:jc w:val="left"/>
              <w:rPr>
                <w:szCs w:val="20"/>
              </w:rPr>
            </w:pPr>
            <w:r w:rsidRPr="00BF32F3">
              <w:rPr>
                <w:szCs w:val="20"/>
              </w:rPr>
              <w:t>Number and percentage of patients with ≥1 CLL-related, and overall prescription in the first 12 months and entire follow-up period</w:t>
            </w:r>
            <w:r>
              <w:rPr>
                <w:szCs w:val="20"/>
              </w:rPr>
              <w:t xml:space="preserve"> post-index</w:t>
            </w:r>
            <w:r w:rsidRPr="00BF32F3">
              <w:rPr>
                <w:szCs w:val="20"/>
              </w:rPr>
              <w:t>;</w:t>
            </w:r>
            <w:r>
              <w:rPr>
                <w:szCs w:val="20"/>
                <w:vertAlign w:val="superscript"/>
              </w:rPr>
              <w:t>a</w:t>
            </w:r>
            <w:r w:rsidRPr="00BF32F3">
              <w:rPr>
                <w:szCs w:val="20"/>
              </w:rPr>
              <w:t xml:space="preserve"> number of prescriptions per person-year</w:t>
            </w: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CLL-related only: All outpatient prescriptions of respective ATC code as available in manuscript Table 1</w:t>
            </w:r>
          </w:p>
          <w:p w:rsidR="00032324" w:rsidRPr="00BF32F3" w:rsidRDefault="00032324" w:rsidP="002A0A11">
            <w:pPr>
              <w:pStyle w:val="Body"/>
              <w:spacing w:beforeLines="40" w:before="96" w:after="40" w:line="240" w:lineRule="auto"/>
              <w:jc w:val="left"/>
              <w:rPr>
                <w:szCs w:val="20"/>
              </w:rPr>
            </w:pPr>
            <w:r w:rsidRPr="00BF32F3">
              <w:rPr>
                <w:szCs w:val="20"/>
              </w:rPr>
              <w:t>All-cause: All outpatient prescriptions observable in the dataset</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Top-15 inpatient and outpatient procedures recorded</w:t>
            </w:r>
          </w:p>
        </w:tc>
        <w:tc>
          <w:tcPr>
            <w:tcW w:w="2656" w:type="dxa"/>
          </w:tcPr>
          <w:p w:rsidR="00032324" w:rsidRPr="0013468A" w:rsidRDefault="00032324" w:rsidP="002A0A11">
            <w:pPr>
              <w:pStyle w:val="Body"/>
              <w:spacing w:beforeLines="40" w:before="96" w:after="40" w:line="240" w:lineRule="auto"/>
              <w:jc w:val="left"/>
              <w:rPr>
                <w:szCs w:val="20"/>
                <w:vertAlign w:val="superscript"/>
              </w:rPr>
            </w:pPr>
            <w:r w:rsidRPr="00BF32F3">
              <w:rPr>
                <w:szCs w:val="20"/>
              </w:rPr>
              <w:t>Number and percentage of patients with any procedure/test in the first 12 months and entire follow-up period</w:t>
            </w:r>
            <w:r>
              <w:rPr>
                <w:szCs w:val="20"/>
              </w:rPr>
              <w:t xml:space="preserve"> post-index</w:t>
            </w:r>
            <w:r>
              <w:rPr>
                <w:szCs w:val="20"/>
                <w:vertAlign w:val="superscript"/>
              </w:rPr>
              <w:t>a</w:t>
            </w:r>
          </w:p>
          <w:p w:rsidR="00032324" w:rsidRPr="00BF32F3" w:rsidRDefault="00032324" w:rsidP="002A0A11">
            <w:pPr>
              <w:pStyle w:val="Body"/>
              <w:spacing w:beforeLines="40" w:before="96" w:after="40" w:line="240" w:lineRule="auto"/>
              <w:jc w:val="left"/>
              <w:rPr>
                <w:szCs w:val="20"/>
              </w:rPr>
            </w:pPr>
            <w:r w:rsidRPr="00BF32F3">
              <w:rPr>
                <w:szCs w:val="20"/>
              </w:rPr>
              <w:t>Inpatient and outpatient procedures reported separately</w:t>
            </w: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All-cause only: Number of patients with at least one EBM (outpatient) or OPS (inpatient) code considering all 5 digits of EBM codes and the first 4 digits of OPS codes (e.g., 6-002)</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Days absent from work</w:t>
            </w:r>
          </w:p>
        </w:tc>
        <w:tc>
          <w:tcPr>
            <w:tcW w:w="2656" w:type="dxa"/>
          </w:tcPr>
          <w:p w:rsidR="00032324" w:rsidRPr="00BF32F3" w:rsidRDefault="00032324" w:rsidP="002A0A11">
            <w:pPr>
              <w:pStyle w:val="Body"/>
              <w:spacing w:beforeLines="40" w:before="96" w:after="40" w:line="240" w:lineRule="auto"/>
              <w:jc w:val="left"/>
              <w:rPr>
                <w:szCs w:val="20"/>
              </w:rPr>
            </w:pPr>
            <w:r w:rsidRPr="00BF32F3">
              <w:rPr>
                <w:szCs w:val="20"/>
              </w:rPr>
              <w:t>Number and percentage of patients with ≥1 CLL-related, and overall absent day (calculated for non-retired persons) in the first 12 months and entire follow-up period</w:t>
            </w:r>
            <w:r>
              <w:rPr>
                <w:szCs w:val="20"/>
              </w:rPr>
              <w:t xml:space="preserve"> post-index</w:t>
            </w:r>
            <w:r w:rsidRPr="00BF32F3">
              <w:rPr>
                <w:szCs w:val="20"/>
              </w:rPr>
              <w:t>;</w:t>
            </w:r>
            <w:r>
              <w:rPr>
                <w:szCs w:val="20"/>
                <w:vertAlign w:val="superscript"/>
              </w:rPr>
              <w:t>a</w:t>
            </w:r>
            <w:r w:rsidRPr="00BF32F3">
              <w:rPr>
                <w:szCs w:val="20"/>
              </w:rPr>
              <w:t xml:space="preserve"> number of absent days per person-year</w:t>
            </w: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CLL-related: Days absent from work associated with main or primary diagnosis of CLL (ICD-10: C91.1)</w:t>
            </w:r>
          </w:p>
          <w:p w:rsidR="00032324" w:rsidRPr="00BF32F3" w:rsidRDefault="00032324" w:rsidP="002A0A11">
            <w:pPr>
              <w:pStyle w:val="Body"/>
              <w:spacing w:beforeLines="40" w:before="96" w:after="40" w:line="240" w:lineRule="auto"/>
              <w:jc w:val="left"/>
              <w:rPr>
                <w:szCs w:val="20"/>
              </w:rPr>
            </w:pPr>
            <w:r w:rsidRPr="00BF32F3">
              <w:rPr>
                <w:szCs w:val="20"/>
              </w:rPr>
              <w:t>All-cause: Days absent from work associated with any diagnosis</w:t>
            </w:r>
          </w:p>
        </w:tc>
      </w:tr>
      <w:tr w:rsidR="00032324" w:rsidRPr="00BF32F3" w:rsidTr="002A0A11">
        <w:tc>
          <w:tcPr>
            <w:tcW w:w="9067" w:type="dxa"/>
            <w:gridSpan w:val="3"/>
          </w:tcPr>
          <w:p w:rsidR="00032324" w:rsidRPr="00BF32F3" w:rsidRDefault="00032324" w:rsidP="002A0A11">
            <w:pPr>
              <w:pStyle w:val="Body"/>
              <w:spacing w:beforeLines="40" w:before="96" w:after="40" w:line="240" w:lineRule="auto"/>
              <w:jc w:val="left"/>
              <w:rPr>
                <w:szCs w:val="20"/>
              </w:rPr>
            </w:pPr>
            <w:r w:rsidRPr="00BF32F3">
              <w:rPr>
                <w:i/>
                <w:iCs/>
                <w:szCs w:val="20"/>
              </w:rPr>
              <w:t>Setting of diagnosis of CLL</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Setting of incident CLL diagnosis</w:t>
            </w:r>
          </w:p>
        </w:tc>
        <w:tc>
          <w:tcPr>
            <w:tcW w:w="2656" w:type="dxa"/>
          </w:tcPr>
          <w:p w:rsidR="00032324" w:rsidRPr="00BF32F3" w:rsidRDefault="00032324" w:rsidP="002A0A11">
            <w:pPr>
              <w:pStyle w:val="Body"/>
              <w:spacing w:beforeLines="40" w:before="96" w:after="40" w:line="240" w:lineRule="auto"/>
              <w:jc w:val="left"/>
              <w:rPr>
                <w:szCs w:val="20"/>
              </w:rPr>
            </w:pPr>
            <w:r w:rsidRPr="00BF32F3">
              <w:rPr>
                <w:szCs w:val="20"/>
              </w:rPr>
              <w:t>Index CLL diagnosis in the inpatient setting, outpatient setting, both inpatient and outpatient setting</w:t>
            </w: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Based on observed inpatient admissions and/or outpatient visits observable on the index date</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Physician specialty making the incident CLL diagnosis (outpatient setting)</w:t>
            </w:r>
          </w:p>
        </w:tc>
        <w:tc>
          <w:tcPr>
            <w:tcW w:w="2656" w:type="dxa"/>
          </w:tcPr>
          <w:p w:rsidR="00032324" w:rsidRPr="00BF32F3" w:rsidRDefault="00032324" w:rsidP="002A0A11">
            <w:pPr>
              <w:pStyle w:val="Body"/>
              <w:spacing w:beforeLines="40" w:before="96" w:after="40" w:line="240" w:lineRule="auto"/>
              <w:jc w:val="left"/>
              <w:rPr>
                <w:szCs w:val="20"/>
              </w:rPr>
            </w:pPr>
            <w:r w:rsidRPr="00BF32F3">
              <w:rPr>
                <w:szCs w:val="20"/>
              </w:rPr>
              <w:t>Physician specialty of the first and second confirmed diagnosis conditional on index CLL diagnosis occurring in the outpatient setting (GP, h</w:t>
            </w:r>
            <w:r>
              <w:rPr>
                <w:szCs w:val="20"/>
              </w:rPr>
              <w:t>a</w:t>
            </w:r>
            <w:r w:rsidRPr="00BF32F3">
              <w:rPr>
                <w:szCs w:val="20"/>
              </w:rPr>
              <w:t xml:space="preserve">ematology, </w:t>
            </w:r>
            <w:r w:rsidRPr="00BF32F3">
              <w:rPr>
                <w:szCs w:val="20"/>
              </w:rPr>
              <w:lastRenderedPageBreak/>
              <w:t>and oncology, other specialties)</w:t>
            </w: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lastRenderedPageBreak/>
              <w:t>Based on AGS code marking the physician specialty of the first (index) and second confirmed outpatient visit</w:t>
            </w:r>
          </w:p>
          <w:p w:rsidR="00032324" w:rsidRPr="00BF32F3" w:rsidRDefault="00032324" w:rsidP="002A0A11">
            <w:pPr>
              <w:pStyle w:val="Body"/>
              <w:spacing w:beforeLines="40" w:before="96" w:after="40" w:line="240" w:lineRule="auto"/>
              <w:jc w:val="left"/>
              <w:rPr>
                <w:szCs w:val="20"/>
              </w:rPr>
            </w:pPr>
            <w:r w:rsidRPr="00BF32F3">
              <w:rPr>
                <w:szCs w:val="20"/>
              </w:rPr>
              <w:t>GP defined by AGS 1/2/3, h</w:t>
            </w:r>
            <w:r>
              <w:rPr>
                <w:szCs w:val="20"/>
              </w:rPr>
              <w:t>a</w:t>
            </w:r>
            <w:r w:rsidRPr="00BF32F3">
              <w:rPr>
                <w:szCs w:val="20"/>
              </w:rPr>
              <w:t xml:space="preserve">ematology and oncology defined by AGS 27/41, other specialist </w:t>
            </w:r>
            <w:r w:rsidRPr="00BF32F3">
              <w:rPr>
                <w:szCs w:val="20"/>
              </w:rPr>
              <w:lastRenderedPageBreak/>
              <w:t>includes all others, excluding AGS1/2/3/27/41</w:t>
            </w:r>
          </w:p>
        </w:tc>
      </w:tr>
      <w:tr w:rsidR="00032324" w:rsidRPr="00BF32F3" w:rsidTr="002A0A11">
        <w:tc>
          <w:tcPr>
            <w:tcW w:w="9067" w:type="dxa"/>
            <w:gridSpan w:val="3"/>
          </w:tcPr>
          <w:p w:rsidR="00032324" w:rsidRPr="00BF32F3" w:rsidRDefault="00032324" w:rsidP="002A0A11">
            <w:pPr>
              <w:pStyle w:val="Body"/>
              <w:spacing w:beforeLines="40" w:before="96" w:after="40" w:line="240" w:lineRule="auto"/>
              <w:jc w:val="left"/>
              <w:rPr>
                <w:szCs w:val="20"/>
              </w:rPr>
            </w:pPr>
            <w:r w:rsidRPr="00BF32F3">
              <w:rPr>
                <w:i/>
                <w:iCs/>
                <w:szCs w:val="20"/>
              </w:rPr>
              <w:lastRenderedPageBreak/>
              <w:t>Procedures</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CT scan</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OPS 3-20 (CT scan), 3-22 (CT scan with medium contrast), 3-24 (other special</w:t>
            </w:r>
            <w:r>
              <w:rPr>
                <w:szCs w:val="20"/>
              </w:rPr>
              <w:t>ise</w:t>
            </w:r>
            <w:r w:rsidRPr="00BF32F3">
              <w:rPr>
                <w:szCs w:val="20"/>
              </w:rPr>
              <w:t>d computer tomography procedures)</w:t>
            </w:r>
          </w:p>
          <w:p w:rsidR="00032324" w:rsidRPr="00BF32F3" w:rsidRDefault="00032324" w:rsidP="002A0A11">
            <w:pPr>
              <w:pStyle w:val="Body"/>
              <w:spacing w:beforeLines="40" w:before="96" w:after="40" w:line="240" w:lineRule="auto"/>
              <w:jc w:val="left"/>
              <w:rPr>
                <w:szCs w:val="20"/>
              </w:rPr>
            </w:pPr>
            <w:r w:rsidRPr="00BF32F3">
              <w:rPr>
                <w:szCs w:val="20"/>
              </w:rPr>
              <w:t>EBM 34330 (CT scan of chest), 34340-34341 (CT scan of abdomen), 34310-34351 (any CT scan)</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MRI scan</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OPS 3-80 (MRI scan), 3-82 (MRI scan with medium contrast), 3-84 (MRI scan, special</w:t>
            </w:r>
            <w:r>
              <w:rPr>
                <w:szCs w:val="20"/>
              </w:rPr>
              <w:t>ise</w:t>
            </w:r>
            <w:r w:rsidRPr="00BF32F3">
              <w:rPr>
                <w:szCs w:val="20"/>
              </w:rPr>
              <w:t>d procedure)</w:t>
            </w:r>
          </w:p>
          <w:p w:rsidR="00032324" w:rsidRPr="00BF32F3" w:rsidRDefault="00032324" w:rsidP="002A0A11">
            <w:pPr>
              <w:pStyle w:val="Body"/>
              <w:spacing w:beforeLines="40" w:before="96" w:after="40" w:line="240" w:lineRule="auto"/>
              <w:jc w:val="left"/>
              <w:rPr>
                <w:szCs w:val="20"/>
              </w:rPr>
            </w:pPr>
            <w:r w:rsidRPr="00BF32F3">
              <w:rPr>
                <w:szCs w:val="20"/>
              </w:rPr>
              <w:t>EBM 34410-34492 (excl. 34460) (MRI scan), 34430 (MRI of thorax), 34440, 34441 (MRI of upper abdomen/abdomen)</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PET scan</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OPS 3-74 (PET scan), 3-75 (PET/CT scan)</w:t>
            </w:r>
          </w:p>
          <w:p w:rsidR="00032324" w:rsidRPr="00BF32F3" w:rsidRDefault="00032324" w:rsidP="002A0A11">
            <w:pPr>
              <w:pStyle w:val="Body"/>
              <w:spacing w:beforeLines="40" w:before="96" w:after="40" w:line="240" w:lineRule="auto"/>
              <w:jc w:val="left"/>
              <w:rPr>
                <w:szCs w:val="20"/>
              </w:rPr>
            </w:pPr>
            <w:r w:rsidRPr="00BF32F3">
              <w:rPr>
                <w:szCs w:val="20"/>
              </w:rPr>
              <w:t>EBM 34700-34703 (PET scan of body)</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Ultrasound</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OPS 3-03 to 3-05 (ultrasound examination)</w:t>
            </w:r>
          </w:p>
          <w:p w:rsidR="00032324" w:rsidRPr="00BF32F3" w:rsidRDefault="00032324" w:rsidP="002A0A11">
            <w:pPr>
              <w:pStyle w:val="Body"/>
              <w:spacing w:beforeLines="40" w:before="96" w:after="40" w:line="240" w:lineRule="auto"/>
              <w:jc w:val="left"/>
              <w:rPr>
                <w:szCs w:val="20"/>
              </w:rPr>
            </w:pPr>
            <w:r w:rsidRPr="00BF32F3">
              <w:rPr>
                <w:szCs w:val="20"/>
              </w:rPr>
              <w:t>EBM 33 (ultrasound examination)</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Bone marrow biopsy evaluation</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OPS 1-424 (biopsy of bone marrow without incision)</w:t>
            </w:r>
          </w:p>
        </w:tc>
      </w:tr>
      <w:tr w:rsidR="00032324" w:rsidRPr="00BF32F3" w:rsidTr="002A0A11">
        <w:tc>
          <w:tcPr>
            <w:tcW w:w="2868" w:type="dxa"/>
          </w:tcPr>
          <w:p w:rsidR="00032324" w:rsidRPr="00BF32F3" w:rsidRDefault="00032324" w:rsidP="002A0A11">
            <w:pPr>
              <w:pStyle w:val="Body"/>
              <w:spacing w:beforeLines="40" w:before="96" w:after="40" w:line="240" w:lineRule="auto"/>
              <w:jc w:val="left"/>
              <w:rPr>
                <w:szCs w:val="20"/>
              </w:rPr>
            </w:pPr>
            <w:r w:rsidRPr="00BF32F3">
              <w:rPr>
                <w:szCs w:val="20"/>
              </w:rPr>
              <w:t>Bone marrow aspirate evaluation/karyotyping/FISH</w:t>
            </w:r>
          </w:p>
        </w:tc>
        <w:tc>
          <w:tcPr>
            <w:tcW w:w="2656" w:type="dxa"/>
          </w:tcPr>
          <w:p w:rsidR="00032324" w:rsidRPr="00BF32F3" w:rsidRDefault="00032324" w:rsidP="002A0A11">
            <w:pPr>
              <w:pStyle w:val="Body"/>
              <w:spacing w:beforeLines="40" w:before="96" w:after="40" w:line="240" w:lineRule="auto"/>
              <w:jc w:val="left"/>
              <w:rPr>
                <w:szCs w:val="20"/>
              </w:rPr>
            </w:pPr>
          </w:p>
        </w:tc>
        <w:tc>
          <w:tcPr>
            <w:tcW w:w="3543" w:type="dxa"/>
          </w:tcPr>
          <w:p w:rsidR="00032324" w:rsidRPr="00BF32F3" w:rsidRDefault="00032324" w:rsidP="002A0A11">
            <w:pPr>
              <w:pStyle w:val="Body"/>
              <w:spacing w:beforeLines="40" w:before="96" w:after="40" w:line="240" w:lineRule="auto"/>
              <w:jc w:val="left"/>
              <w:rPr>
                <w:szCs w:val="20"/>
              </w:rPr>
            </w:pPr>
            <w:r w:rsidRPr="00BF32F3">
              <w:rPr>
                <w:szCs w:val="20"/>
              </w:rPr>
              <w:t>OPS 1-941 (complex diagnostics for myeloid and lymphatic neoplasms)</w:t>
            </w:r>
          </w:p>
          <w:p w:rsidR="00032324" w:rsidRPr="00BF32F3" w:rsidRDefault="00032324" w:rsidP="002A0A11">
            <w:pPr>
              <w:pStyle w:val="Body"/>
              <w:spacing w:beforeLines="40" w:before="96" w:after="40" w:line="240" w:lineRule="auto"/>
              <w:jc w:val="left"/>
              <w:rPr>
                <w:szCs w:val="20"/>
              </w:rPr>
            </w:pPr>
            <w:r w:rsidRPr="00BF32F3">
              <w:rPr>
                <w:szCs w:val="20"/>
              </w:rPr>
              <w:t>EBM 19410, 19450 (molecular cytogenetic character</w:t>
            </w:r>
            <w:r>
              <w:rPr>
                <w:szCs w:val="20"/>
              </w:rPr>
              <w:t>isa</w:t>
            </w:r>
            <w:r w:rsidRPr="00BF32F3">
              <w:rPr>
                <w:szCs w:val="20"/>
              </w:rPr>
              <w:t>tion of chromosomal aberrations at inter- or metaphases using in situ hybrid</w:t>
            </w:r>
            <w:r>
              <w:rPr>
                <w:szCs w:val="20"/>
              </w:rPr>
              <w:t>isa</w:t>
            </w:r>
            <w:r w:rsidRPr="00BF32F3">
              <w:rPr>
                <w:szCs w:val="20"/>
              </w:rPr>
              <w:t>tion or examination for microdeletions/duplications), 32163 (bone marrow aspirate)</w:t>
            </w:r>
          </w:p>
          <w:p w:rsidR="00032324" w:rsidRPr="00BF32F3" w:rsidRDefault="00032324" w:rsidP="002A0A11">
            <w:pPr>
              <w:pStyle w:val="Body"/>
              <w:spacing w:beforeLines="40" w:before="96" w:after="40" w:line="240" w:lineRule="auto"/>
              <w:jc w:val="left"/>
              <w:rPr>
                <w:szCs w:val="20"/>
              </w:rPr>
            </w:pPr>
            <w:r w:rsidRPr="00BF32F3">
              <w:rPr>
                <w:szCs w:val="20"/>
              </w:rPr>
              <w:t>EBM 08573 – 08574: Special representation of the structures of individual chromosomes by using special techniques</w:t>
            </w:r>
          </w:p>
        </w:tc>
      </w:tr>
    </w:tbl>
    <w:p w:rsidR="00032324" w:rsidRPr="00BF32F3" w:rsidRDefault="00032324" w:rsidP="00032324">
      <w:pPr>
        <w:pStyle w:val="Body"/>
        <w:spacing w:after="60" w:line="276" w:lineRule="auto"/>
        <w:rPr>
          <w:sz w:val="18"/>
          <w:szCs w:val="18"/>
        </w:rPr>
      </w:pPr>
      <w:r>
        <w:rPr>
          <w:sz w:val="18"/>
          <w:szCs w:val="18"/>
          <w:vertAlign w:val="superscript"/>
        </w:rPr>
        <w:t>a</w:t>
      </w:r>
      <w:r>
        <w:rPr>
          <w:sz w:val="18"/>
          <w:szCs w:val="18"/>
        </w:rPr>
        <w:t xml:space="preserve">Index defined as the first diagnosis of CLL for Cohort 1 and first covalent Bruton’s tyrosine kinase inhibitor for Cohort 2. </w:t>
      </w:r>
      <w:r w:rsidRPr="00BF32F3">
        <w:rPr>
          <w:sz w:val="18"/>
          <w:szCs w:val="18"/>
        </w:rPr>
        <w:t>A</w:t>
      </w:r>
      <w:r>
        <w:rPr>
          <w:sz w:val="18"/>
          <w:szCs w:val="18"/>
        </w:rPr>
        <w:t>G</w:t>
      </w:r>
      <w:r w:rsidRPr="00BF32F3">
        <w:rPr>
          <w:sz w:val="18"/>
          <w:szCs w:val="18"/>
        </w:rPr>
        <w:t>S, “Facharztgruppenschlüssel” (Specialist group); CLL, chronic lymphocytic leuk</w:t>
      </w:r>
      <w:r>
        <w:rPr>
          <w:sz w:val="18"/>
          <w:szCs w:val="18"/>
        </w:rPr>
        <w:t>a</w:t>
      </w:r>
      <w:r w:rsidRPr="00BF32F3">
        <w:rPr>
          <w:sz w:val="18"/>
          <w:szCs w:val="18"/>
        </w:rPr>
        <w:t>emia; CT, computed tomography; EBM, Einheitlicher Bewertungsmaßstab</w:t>
      </w:r>
      <w:r w:rsidRPr="00BF32F3">
        <w:t xml:space="preserve"> </w:t>
      </w:r>
      <w:r w:rsidRPr="00BF32F3">
        <w:rPr>
          <w:sz w:val="18"/>
          <w:szCs w:val="18"/>
        </w:rPr>
        <w:t xml:space="preserve">(German uniform evaluation standard); ED, emergency department; FISH, fluorescence </w:t>
      </w:r>
      <w:r w:rsidRPr="00E0000D">
        <w:rPr>
          <w:i/>
          <w:iCs/>
          <w:sz w:val="18"/>
          <w:szCs w:val="18"/>
        </w:rPr>
        <w:t>in situ</w:t>
      </w:r>
      <w:r w:rsidRPr="00BF32F3">
        <w:rPr>
          <w:sz w:val="18"/>
          <w:szCs w:val="18"/>
        </w:rPr>
        <w:t xml:space="preserve"> hybrid</w:t>
      </w:r>
      <w:r>
        <w:rPr>
          <w:sz w:val="18"/>
          <w:szCs w:val="18"/>
        </w:rPr>
        <w:t>isa</w:t>
      </w:r>
      <w:r w:rsidRPr="00BF32F3">
        <w:rPr>
          <w:sz w:val="18"/>
          <w:szCs w:val="18"/>
        </w:rPr>
        <w:t>tion; GP, general practitioner; ICD-10-GM, International Classification of Diseases, 10th revision, German Modification; MRI, magnetic resonance imaging; OPC, Operation and Procedure Codes; PET, positron emission tomography.</w:t>
      </w:r>
    </w:p>
    <w:p w:rsidR="00032324" w:rsidRPr="00BF32F3" w:rsidRDefault="00032324" w:rsidP="00032324">
      <w:pPr>
        <w:spacing w:after="0" w:line="240" w:lineRule="auto"/>
        <w:rPr>
          <w:sz w:val="18"/>
          <w:szCs w:val="18"/>
        </w:rPr>
      </w:pPr>
      <w:r w:rsidRPr="00BF32F3">
        <w:rPr>
          <w:sz w:val="18"/>
          <w:szCs w:val="18"/>
        </w:rPr>
        <w:br w:type="page"/>
      </w:r>
    </w:p>
    <w:p w:rsidR="00032324" w:rsidRPr="00BF32F3" w:rsidRDefault="00032324" w:rsidP="00032324">
      <w:pPr>
        <w:pStyle w:val="Heading2"/>
        <w:rPr>
          <w:b w:val="0"/>
          <w:bCs w:val="0"/>
          <w:i w:val="0"/>
          <w:iCs w:val="0"/>
          <w:sz w:val="22"/>
          <w:szCs w:val="22"/>
        </w:rPr>
      </w:pPr>
      <w:r w:rsidRPr="00BF32F3">
        <w:rPr>
          <w:i w:val="0"/>
          <w:iCs w:val="0"/>
          <w:sz w:val="22"/>
          <w:szCs w:val="22"/>
        </w:rPr>
        <w:lastRenderedPageBreak/>
        <w:t xml:space="preserve">Supplementary Table S2 </w:t>
      </w:r>
      <w:r w:rsidRPr="00BF32F3">
        <w:rPr>
          <w:b w:val="0"/>
          <w:bCs w:val="0"/>
          <w:i w:val="0"/>
          <w:iCs w:val="0"/>
          <w:sz w:val="22"/>
          <w:szCs w:val="22"/>
        </w:rPr>
        <w:t>Pharmacological and non-pharmacological interventions for the treatment of CLL (approved in Germany)</w:t>
      </w:r>
      <w:r>
        <w:rPr>
          <w:b w:val="0"/>
          <w:bCs w:val="0"/>
          <w:i w:val="0"/>
          <w:iCs w:val="0"/>
          <w:sz w:val="22"/>
          <w:szCs w:val="22"/>
        </w:rPr>
        <w:t>.</w:t>
      </w:r>
    </w:p>
    <w:tbl>
      <w:tblPr>
        <w:tblStyle w:val="TableGrid1"/>
        <w:tblW w:w="5504" w:type="pct"/>
        <w:tblLayout w:type="fixed"/>
        <w:tblLook w:val="04A0" w:firstRow="1" w:lastRow="0" w:firstColumn="1" w:lastColumn="0" w:noHBand="0" w:noVBand="1"/>
      </w:tblPr>
      <w:tblGrid>
        <w:gridCol w:w="2153"/>
        <w:gridCol w:w="2556"/>
        <w:gridCol w:w="2197"/>
        <w:gridCol w:w="2444"/>
      </w:tblGrid>
      <w:tr w:rsidR="00032324" w:rsidRPr="00BF32F3" w:rsidTr="002A0A11">
        <w:trPr>
          <w:trHeight w:val="428"/>
          <w:tblHeader/>
        </w:trPr>
        <w:tc>
          <w:tcPr>
            <w:tcW w:w="1151" w:type="pct"/>
          </w:tcPr>
          <w:p w:rsidR="00032324" w:rsidRPr="00BF32F3" w:rsidRDefault="00032324" w:rsidP="002A0A11">
            <w:pPr>
              <w:keepLines/>
              <w:spacing w:before="40" w:after="40" w:line="240" w:lineRule="auto"/>
              <w:rPr>
                <w:b/>
                <w:lang w:val="en-GB"/>
              </w:rPr>
            </w:pPr>
            <w:r w:rsidRPr="00BF32F3">
              <w:rPr>
                <w:b/>
                <w:lang w:val="en-GB"/>
              </w:rPr>
              <w:t>Class</w:t>
            </w:r>
          </w:p>
        </w:tc>
        <w:tc>
          <w:tcPr>
            <w:tcW w:w="1367" w:type="pct"/>
          </w:tcPr>
          <w:p w:rsidR="00032324" w:rsidRPr="00BF32F3" w:rsidRDefault="00032324" w:rsidP="002A0A11">
            <w:pPr>
              <w:keepLines/>
              <w:spacing w:before="40" w:after="40" w:line="240" w:lineRule="auto"/>
              <w:jc w:val="center"/>
              <w:rPr>
                <w:b/>
                <w:lang w:val="en-GB"/>
              </w:rPr>
            </w:pPr>
            <w:r w:rsidRPr="00BF32F3">
              <w:rPr>
                <w:b/>
                <w:lang w:val="en-GB"/>
              </w:rPr>
              <w:t>Medication</w:t>
            </w:r>
          </w:p>
        </w:tc>
        <w:tc>
          <w:tcPr>
            <w:tcW w:w="1175" w:type="pct"/>
          </w:tcPr>
          <w:p w:rsidR="00032324" w:rsidRPr="00BF32F3" w:rsidRDefault="00032324" w:rsidP="002A0A11">
            <w:pPr>
              <w:keepLines/>
              <w:spacing w:before="40" w:after="40" w:line="240" w:lineRule="auto"/>
              <w:jc w:val="center"/>
              <w:rPr>
                <w:b/>
                <w:bCs/>
                <w:lang w:val="en-GB"/>
              </w:rPr>
            </w:pPr>
            <w:r w:rsidRPr="00BF32F3">
              <w:rPr>
                <w:b/>
                <w:bCs/>
                <w:lang w:val="en-GB"/>
              </w:rPr>
              <w:t>ATC Codes (Outpatient)</w:t>
            </w:r>
          </w:p>
        </w:tc>
        <w:tc>
          <w:tcPr>
            <w:tcW w:w="1308" w:type="pct"/>
          </w:tcPr>
          <w:p w:rsidR="00032324" w:rsidRPr="00BF32F3" w:rsidRDefault="00032324" w:rsidP="002A0A11">
            <w:pPr>
              <w:keepLines/>
              <w:spacing w:before="40" w:after="40" w:line="240" w:lineRule="auto"/>
              <w:jc w:val="center"/>
              <w:rPr>
                <w:b/>
                <w:bCs/>
                <w:lang w:val="en-GB"/>
              </w:rPr>
            </w:pPr>
            <w:r w:rsidRPr="00BF32F3">
              <w:rPr>
                <w:b/>
                <w:bCs/>
                <w:lang w:val="en-GB"/>
              </w:rPr>
              <w:t>OPS Codes</w:t>
            </w:r>
          </w:p>
          <w:p w:rsidR="00032324" w:rsidRPr="00BF32F3" w:rsidRDefault="00032324" w:rsidP="002A0A11">
            <w:pPr>
              <w:keepLines/>
              <w:spacing w:before="40" w:after="40" w:line="240" w:lineRule="auto"/>
              <w:jc w:val="center"/>
              <w:rPr>
                <w:b/>
                <w:bCs/>
                <w:lang w:val="en-GB"/>
              </w:rPr>
            </w:pPr>
            <w:r w:rsidRPr="00BF32F3">
              <w:rPr>
                <w:b/>
                <w:bCs/>
                <w:lang w:val="en-GB"/>
              </w:rPr>
              <w:t>(Inpatient)</w:t>
            </w:r>
          </w:p>
        </w:tc>
      </w:tr>
      <w:tr w:rsidR="00032324" w:rsidRPr="00BF32F3" w:rsidTr="002A0A11">
        <w:trPr>
          <w:trHeight w:val="208"/>
        </w:trPr>
        <w:tc>
          <w:tcPr>
            <w:tcW w:w="5000" w:type="pct"/>
            <w:gridSpan w:val="4"/>
          </w:tcPr>
          <w:p w:rsidR="00032324" w:rsidRPr="00BF32F3" w:rsidRDefault="00032324" w:rsidP="002A0A11">
            <w:pPr>
              <w:keepLines/>
              <w:spacing w:before="40" w:after="40" w:line="240" w:lineRule="auto"/>
              <w:rPr>
                <w:rFonts w:cs="Arial"/>
                <w:b/>
                <w:bCs/>
                <w:i/>
                <w:iCs/>
                <w:color w:val="000000"/>
                <w:lang w:val="en-GB"/>
              </w:rPr>
            </w:pPr>
            <w:r w:rsidRPr="00BF32F3">
              <w:rPr>
                <w:rFonts w:cs="Arial"/>
                <w:b/>
                <w:bCs/>
                <w:i/>
                <w:iCs/>
                <w:color w:val="000000"/>
                <w:lang w:val="en-GB"/>
              </w:rPr>
              <w:t>Kinase inhibitors</w:t>
            </w:r>
          </w:p>
        </w:tc>
      </w:tr>
      <w:tr w:rsidR="00032324" w:rsidRPr="00BF32F3" w:rsidTr="002A0A11">
        <w:trPr>
          <w:trHeight w:val="428"/>
        </w:trPr>
        <w:tc>
          <w:tcPr>
            <w:tcW w:w="1151" w:type="pct"/>
            <w:vMerge w:val="restart"/>
          </w:tcPr>
          <w:p w:rsidR="00032324" w:rsidRPr="00BF32F3" w:rsidRDefault="00032324" w:rsidP="002A0A11">
            <w:pPr>
              <w:keepLines/>
              <w:spacing w:before="40" w:after="40" w:line="240" w:lineRule="auto"/>
              <w:rPr>
                <w:rFonts w:cs="Arial"/>
                <w:lang w:val="en-GB"/>
              </w:rPr>
            </w:pPr>
            <w:r w:rsidRPr="00BF32F3">
              <w:rPr>
                <w:rFonts w:cs="Arial"/>
                <w:lang w:val="en-GB"/>
              </w:rPr>
              <w:t>cBTKi</w:t>
            </w:r>
          </w:p>
        </w:tc>
        <w:tc>
          <w:tcPr>
            <w:tcW w:w="1367"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Acalabrutinib</w:t>
            </w:r>
          </w:p>
        </w:tc>
        <w:tc>
          <w:tcPr>
            <w:tcW w:w="1175" w:type="pct"/>
          </w:tcPr>
          <w:p w:rsidR="00032324" w:rsidRPr="00BF32F3" w:rsidRDefault="00032324" w:rsidP="002A0A11">
            <w:pPr>
              <w:keepLines/>
              <w:spacing w:before="40" w:after="40" w:line="240" w:lineRule="auto"/>
              <w:jc w:val="center"/>
              <w:rPr>
                <w:rFonts w:cs="Arial"/>
                <w:lang w:val="en-GB"/>
              </w:rPr>
            </w:pPr>
            <w:r w:rsidRPr="00BF32F3">
              <w:rPr>
                <w:rFonts w:cs="Arial"/>
                <w:lang w:val="en-GB"/>
              </w:rPr>
              <w:t>L01EL02; L01XE51 (from 2021)</w:t>
            </w:r>
          </w:p>
        </w:tc>
        <w:tc>
          <w:tcPr>
            <w:tcW w:w="1308" w:type="pct"/>
          </w:tcPr>
          <w:p w:rsidR="00032324" w:rsidRPr="00BF32F3" w:rsidRDefault="00032324" w:rsidP="002A0A11">
            <w:pPr>
              <w:keepLines/>
              <w:spacing w:before="40" w:after="40" w:line="240" w:lineRule="auto"/>
              <w:jc w:val="center"/>
              <w:rPr>
                <w:rFonts w:cs="Arial"/>
                <w:lang w:val="en-GB"/>
              </w:rPr>
            </w:pPr>
            <w:r w:rsidRPr="00BF32F3">
              <w:rPr>
                <w:rFonts w:cs="Arial"/>
                <w:color w:val="000000"/>
                <w:lang w:val="en-GB"/>
              </w:rPr>
              <w:t>6-00d.1</w:t>
            </w:r>
          </w:p>
        </w:tc>
      </w:tr>
      <w:tr w:rsidR="00032324" w:rsidRPr="00BF32F3" w:rsidTr="002A0A11">
        <w:trPr>
          <w:trHeight w:val="119"/>
        </w:trPr>
        <w:tc>
          <w:tcPr>
            <w:tcW w:w="1151" w:type="pct"/>
            <w:vMerge/>
          </w:tcPr>
          <w:p w:rsidR="00032324" w:rsidRPr="00BF32F3" w:rsidRDefault="00032324" w:rsidP="002A0A11">
            <w:pPr>
              <w:keepLines/>
              <w:spacing w:before="40" w:after="40" w:line="240" w:lineRule="auto"/>
              <w:rPr>
                <w:rFonts w:cs="Arial"/>
                <w:lang w:val="en-GB"/>
              </w:rPr>
            </w:pPr>
          </w:p>
        </w:tc>
        <w:tc>
          <w:tcPr>
            <w:tcW w:w="1367"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Ibrutinib</w:t>
            </w:r>
          </w:p>
        </w:tc>
        <w:tc>
          <w:tcPr>
            <w:tcW w:w="1175"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L01EL01; L01XE27 (from 2021)</w:t>
            </w:r>
          </w:p>
        </w:tc>
        <w:tc>
          <w:tcPr>
            <w:tcW w:w="1308" w:type="pct"/>
          </w:tcPr>
          <w:p w:rsidR="00032324" w:rsidRPr="00BF32F3" w:rsidRDefault="00032324" w:rsidP="002A0A11">
            <w:pPr>
              <w:keepLines/>
              <w:spacing w:before="40" w:after="40" w:line="240" w:lineRule="auto"/>
              <w:jc w:val="center"/>
              <w:rPr>
                <w:rFonts w:cs="Arial"/>
                <w:lang w:val="en-GB"/>
              </w:rPr>
            </w:pPr>
            <w:r w:rsidRPr="00BF32F3">
              <w:rPr>
                <w:rFonts w:cs="Arial"/>
                <w:color w:val="000000"/>
                <w:lang w:val="en-GB"/>
              </w:rPr>
              <w:t>6-007.e</w:t>
            </w:r>
          </w:p>
        </w:tc>
      </w:tr>
      <w:tr w:rsidR="00032324" w:rsidRPr="00BF32F3" w:rsidTr="002A0A11">
        <w:trPr>
          <w:trHeight w:val="119"/>
        </w:trPr>
        <w:tc>
          <w:tcPr>
            <w:tcW w:w="1151" w:type="pct"/>
            <w:vMerge/>
          </w:tcPr>
          <w:p w:rsidR="00032324" w:rsidRPr="00BF32F3" w:rsidRDefault="00032324" w:rsidP="002A0A11">
            <w:pPr>
              <w:keepLines/>
              <w:spacing w:before="40" w:after="40" w:line="240" w:lineRule="auto"/>
              <w:rPr>
                <w:rFonts w:cs="Arial"/>
                <w:lang w:val="en-GB"/>
              </w:rPr>
            </w:pPr>
          </w:p>
        </w:tc>
        <w:tc>
          <w:tcPr>
            <w:tcW w:w="1367"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Zanubrutinib</w:t>
            </w:r>
          </w:p>
        </w:tc>
        <w:tc>
          <w:tcPr>
            <w:tcW w:w="1175"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L01EL03</w:t>
            </w:r>
          </w:p>
        </w:tc>
        <w:tc>
          <w:tcPr>
            <w:tcW w:w="1308" w:type="pct"/>
          </w:tcPr>
          <w:p w:rsidR="00032324" w:rsidRPr="00BF32F3" w:rsidRDefault="00032324" w:rsidP="002A0A11">
            <w:pPr>
              <w:keepLines/>
              <w:spacing w:before="40" w:after="40" w:line="240" w:lineRule="auto"/>
              <w:jc w:val="center"/>
              <w:rPr>
                <w:rFonts w:cs="Arial"/>
                <w:lang w:val="en-GB"/>
              </w:rPr>
            </w:pPr>
            <w:r w:rsidRPr="00BF32F3">
              <w:rPr>
                <w:rFonts w:cs="Arial"/>
                <w:color w:val="000000"/>
                <w:lang w:val="en-GB"/>
              </w:rPr>
              <w:t>6-00f.n</w:t>
            </w:r>
          </w:p>
        </w:tc>
      </w:tr>
      <w:tr w:rsidR="00032324" w:rsidRPr="00BF32F3" w:rsidTr="002A0A11">
        <w:trPr>
          <w:trHeight w:val="208"/>
        </w:trPr>
        <w:tc>
          <w:tcPr>
            <w:tcW w:w="1151" w:type="pct"/>
            <w:vMerge w:val="restart"/>
          </w:tcPr>
          <w:p w:rsidR="00032324" w:rsidRPr="00BF32F3" w:rsidRDefault="00032324" w:rsidP="002A0A11">
            <w:pPr>
              <w:keepLines/>
              <w:spacing w:before="40" w:after="40" w:line="240" w:lineRule="auto"/>
              <w:rPr>
                <w:rFonts w:cs="Arial"/>
                <w:lang w:val="en-GB"/>
              </w:rPr>
            </w:pPr>
            <w:r w:rsidRPr="00BF32F3">
              <w:rPr>
                <w:rFonts w:cs="Arial"/>
                <w:lang w:val="en-GB"/>
              </w:rPr>
              <w:t>PI3K</w:t>
            </w:r>
            <w:r>
              <w:rPr>
                <w:rFonts w:cs="Arial"/>
                <w:lang w:val="en-GB"/>
              </w:rPr>
              <w:t>i</w:t>
            </w:r>
          </w:p>
        </w:tc>
        <w:tc>
          <w:tcPr>
            <w:tcW w:w="1367"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Duvelisib</w:t>
            </w:r>
          </w:p>
        </w:tc>
        <w:tc>
          <w:tcPr>
            <w:tcW w:w="1175"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L01EM04</w:t>
            </w:r>
          </w:p>
        </w:tc>
        <w:tc>
          <w:tcPr>
            <w:tcW w:w="1308"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6-00e.b</w:t>
            </w:r>
          </w:p>
        </w:tc>
      </w:tr>
      <w:tr w:rsidR="00032324" w:rsidRPr="00BF32F3" w:rsidTr="002A0A11">
        <w:trPr>
          <w:trHeight w:val="119"/>
        </w:trPr>
        <w:tc>
          <w:tcPr>
            <w:tcW w:w="1151" w:type="pct"/>
            <w:vMerge/>
          </w:tcPr>
          <w:p w:rsidR="00032324" w:rsidRPr="00BF32F3" w:rsidRDefault="00032324" w:rsidP="002A0A11">
            <w:pPr>
              <w:keepLines/>
              <w:spacing w:before="40" w:after="40" w:line="240" w:lineRule="auto"/>
              <w:rPr>
                <w:rFonts w:cs="Arial"/>
                <w:lang w:val="en-GB"/>
              </w:rPr>
            </w:pPr>
          </w:p>
        </w:tc>
        <w:tc>
          <w:tcPr>
            <w:tcW w:w="1367"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Idelalisib</w:t>
            </w:r>
          </w:p>
        </w:tc>
        <w:tc>
          <w:tcPr>
            <w:tcW w:w="1175"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L01EM01; L01XX47</w:t>
            </w:r>
          </w:p>
        </w:tc>
        <w:tc>
          <w:tcPr>
            <w:tcW w:w="1308"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6-007.f</w:t>
            </w:r>
          </w:p>
        </w:tc>
      </w:tr>
      <w:tr w:rsidR="00032324" w:rsidRPr="00BF32F3" w:rsidTr="002A0A11">
        <w:trPr>
          <w:trHeight w:val="119"/>
        </w:trPr>
        <w:tc>
          <w:tcPr>
            <w:tcW w:w="1151" w:type="pct"/>
            <w:vMerge/>
          </w:tcPr>
          <w:p w:rsidR="00032324" w:rsidRPr="00BF32F3" w:rsidRDefault="00032324" w:rsidP="002A0A11">
            <w:pPr>
              <w:keepLines/>
              <w:spacing w:before="40" w:after="40" w:line="240" w:lineRule="auto"/>
              <w:rPr>
                <w:rFonts w:cs="Arial"/>
                <w:lang w:val="en-GB"/>
              </w:rPr>
            </w:pPr>
          </w:p>
        </w:tc>
        <w:tc>
          <w:tcPr>
            <w:tcW w:w="1367" w:type="pct"/>
          </w:tcPr>
          <w:p w:rsidR="00032324" w:rsidRPr="00BF32F3" w:rsidRDefault="00032324" w:rsidP="002A0A11">
            <w:pPr>
              <w:keepLines/>
              <w:spacing w:before="40" w:after="40" w:line="240" w:lineRule="auto"/>
              <w:jc w:val="center"/>
              <w:rPr>
                <w:rFonts w:cs="Arial"/>
                <w:color w:val="000000"/>
                <w:lang w:val="en-GB"/>
              </w:rPr>
            </w:pPr>
            <w:r w:rsidRPr="00BF32F3">
              <w:rPr>
                <w:rFonts w:cs="Arial"/>
                <w:color w:val="000000"/>
                <w:lang w:val="en-GB"/>
              </w:rPr>
              <w:t>Copanlisib</w:t>
            </w:r>
          </w:p>
        </w:tc>
        <w:tc>
          <w:tcPr>
            <w:tcW w:w="1175" w:type="pct"/>
          </w:tcPr>
          <w:p w:rsidR="00032324" w:rsidRPr="00BF32F3" w:rsidRDefault="00032324" w:rsidP="002A0A11">
            <w:pPr>
              <w:keepLines/>
              <w:spacing w:before="40" w:after="40" w:line="240" w:lineRule="auto"/>
              <w:jc w:val="center"/>
              <w:rPr>
                <w:rFonts w:cs="Arial"/>
                <w:color w:val="000000"/>
                <w:lang w:val="en-GB"/>
              </w:rPr>
            </w:pPr>
            <w:r w:rsidRPr="00BF32F3">
              <w:rPr>
                <w:rFonts w:cs="Arial"/>
                <w:color w:val="000000"/>
                <w:lang w:val="en-GB"/>
              </w:rPr>
              <w:t>L01EM02</w:t>
            </w:r>
          </w:p>
        </w:tc>
        <w:tc>
          <w:tcPr>
            <w:tcW w:w="1308" w:type="pct"/>
          </w:tcPr>
          <w:p w:rsidR="00032324" w:rsidRPr="00BF32F3" w:rsidRDefault="00032324" w:rsidP="002A0A11">
            <w:pPr>
              <w:keepLines/>
              <w:spacing w:before="40" w:after="40" w:line="240" w:lineRule="auto"/>
              <w:jc w:val="center"/>
              <w:rPr>
                <w:rFonts w:cs="Arial"/>
                <w:color w:val="000000"/>
                <w:lang w:val="en-GB"/>
              </w:rPr>
            </w:pPr>
            <w:r w:rsidRPr="00BF32F3">
              <w:rPr>
                <w:rFonts w:cs="Arial"/>
                <w:color w:val="000000"/>
                <w:lang w:val="en-GB"/>
              </w:rPr>
              <w:t>n/a</w:t>
            </w:r>
          </w:p>
        </w:tc>
      </w:tr>
      <w:tr w:rsidR="00032324" w:rsidRPr="00BF32F3" w:rsidTr="002A0A11">
        <w:trPr>
          <w:trHeight w:val="119"/>
        </w:trPr>
        <w:tc>
          <w:tcPr>
            <w:tcW w:w="1151" w:type="pct"/>
            <w:vMerge/>
          </w:tcPr>
          <w:p w:rsidR="00032324" w:rsidRPr="00BF32F3" w:rsidRDefault="00032324" w:rsidP="002A0A11">
            <w:pPr>
              <w:keepLines/>
              <w:spacing w:before="40" w:after="40" w:line="240" w:lineRule="auto"/>
              <w:rPr>
                <w:rFonts w:cs="Arial"/>
                <w:lang w:val="en-GB"/>
              </w:rPr>
            </w:pPr>
          </w:p>
        </w:tc>
        <w:tc>
          <w:tcPr>
            <w:tcW w:w="1367" w:type="pct"/>
          </w:tcPr>
          <w:p w:rsidR="00032324" w:rsidRPr="00BF32F3" w:rsidRDefault="00032324" w:rsidP="002A0A11">
            <w:pPr>
              <w:keepLines/>
              <w:spacing w:before="40" w:after="40" w:line="240" w:lineRule="auto"/>
              <w:jc w:val="center"/>
              <w:rPr>
                <w:rFonts w:cs="Arial"/>
                <w:color w:val="000000"/>
                <w:lang w:val="en-GB"/>
              </w:rPr>
            </w:pPr>
            <w:r w:rsidRPr="00BF32F3">
              <w:rPr>
                <w:rFonts w:cs="Arial"/>
                <w:color w:val="000000"/>
                <w:lang w:val="en-GB"/>
              </w:rPr>
              <w:t>Alpelisib</w:t>
            </w:r>
          </w:p>
        </w:tc>
        <w:tc>
          <w:tcPr>
            <w:tcW w:w="1175" w:type="pct"/>
          </w:tcPr>
          <w:p w:rsidR="00032324" w:rsidRPr="00BF32F3" w:rsidRDefault="00032324" w:rsidP="002A0A11">
            <w:pPr>
              <w:keepLines/>
              <w:spacing w:before="40" w:after="40" w:line="240" w:lineRule="auto"/>
              <w:jc w:val="center"/>
              <w:rPr>
                <w:rFonts w:cs="Arial"/>
                <w:color w:val="000000"/>
                <w:lang w:val="en-GB"/>
              </w:rPr>
            </w:pPr>
            <w:r w:rsidRPr="00BF32F3">
              <w:rPr>
                <w:rFonts w:cs="Arial"/>
                <w:color w:val="000000"/>
                <w:lang w:val="en-GB"/>
              </w:rPr>
              <w:t>L01EM03</w:t>
            </w:r>
          </w:p>
        </w:tc>
        <w:tc>
          <w:tcPr>
            <w:tcW w:w="1308" w:type="pct"/>
          </w:tcPr>
          <w:p w:rsidR="00032324" w:rsidRPr="00BF32F3" w:rsidRDefault="00032324" w:rsidP="002A0A11">
            <w:pPr>
              <w:keepLines/>
              <w:spacing w:before="40" w:after="40" w:line="240" w:lineRule="auto"/>
              <w:jc w:val="center"/>
              <w:rPr>
                <w:rFonts w:cs="Arial"/>
                <w:color w:val="000000"/>
                <w:lang w:val="en-GB"/>
              </w:rPr>
            </w:pPr>
            <w:r w:rsidRPr="00BF32F3">
              <w:rPr>
                <w:rFonts w:cs="Arial"/>
                <w:color w:val="000000"/>
                <w:lang w:val="en-GB"/>
              </w:rPr>
              <w:t>6-00d.2</w:t>
            </w:r>
          </w:p>
        </w:tc>
      </w:tr>
      <w:tr w:rsidR="00032324" w:rsidRPr="00BF32F3" w:rsidTr="002A0A11">
        <w:trPr>
          <w:trHeight w:val="208"/>
        </w:trPr>
        <w:tc>
          <w:tcPr>
            <w:tcW w:w="5000" w:type="pct"/>
            <w:gridSpan w:val="4"/>
          </w:tcPr>
          <w:p w:rsidR="00032324" w:rsidRPr="00BF32F3" w:rsidRDefault="00032324" w:rsidP="002A0A11">
            <w:pPr>
              <w:keepLines/>
              <w:spacing w:before="40" w:after="40" w:line="240" w:lineRule="auto"/>
              <w:rPr>
                <w:rFonts w:cs="Arial"/>
                <w:b/>
                <w:bCs/>
                <w:i/>
                <w:color w:val="404040"/>
                <w:lang w:val="en-GB"/>
              </w:rPr>
            </w:pPr>
            <w:r w:rsidRPr="00BF32F3">
              <w:rPr>
                <w:rFonts w:cs="Arial"/>
                <w:b/>
                <w:bCs/>
                <w:i/>
                <w:lang w:val="en-GB"/>
              </w:rPr>
              <w:t>Monoclonal antibodies</w:t>
            </w:r>
          </w:p>
        </w:tc>
      </w:tr>
      <w:tr w:rsidR="00032324" w:rsidRPr="00BF32F3" w:rsidTr="002A0A11">
        <w:trPr>
          <w:trHeight w:val="428"/>
        </w:trPr>
        <w:tc>
          <w:tcPr>
            <w:tcW w:w="1151" w:type="pct"/>
            <w:vMerge w:val="restart"/>
          </w:tcPr>
          <w:p w:rsidR="00032324" w:rsidRPr="00BF32F3" w:rsidRDefault="00032324" w:rsidP="002A0A11">
            <w:pPr>
              <w:keepLines/>
              <w:spacing w:before="40" w:after="40" w:line="240" w:lineRule="auto"/>
              <w:rPr>
                <w:rFonts w:cs="Arial"/>
                <w:lang w:val="en-GB"/>
              </w:rPr>
            </w:pPr>
            <w:r w:rsidRPr="00BF32F3">
              <w:rPr>
                <w:rFonts w:cs="Arial"/>
                <w:lang w:val="en-GB"/>
              </w:rPr>
              <w:t>Anti-CD20</w:t>
            </w:r>
          </w:p>
        </w:tc>
        <w:tc>
          <w:tcPr>
            <w:tcW w:w="1367"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Obinutuzumab</w:t>
            </w:r>
          </w:p>
        </w:tc>
        <w:tc>
          <w:tcPr>
            <w:tcW w:w="1175"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L01XC15; L01FA03 (from 2022)</w:t>
            </w:r>
          </w:p>
        </w:tc>
        <w:tc>
          <w:tcPr>
            <w:tcW w:w="1308"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6-007.j</w:t>
            </w:r>
          </w:p>
        </w:tc>
      </w:tr>
      <w:tr w:rsidR="00032324" w:rsidRPr="00BF32F3" w:rsidTr="002A0A11">
        <w:trPr>
          <w:trHeight w:val="119"/>
        </w:trPr>
        <w:tc>
          <w:tcPr>
            <w:tcW w:w="1151" w:type="pct"/>
            <w:vMerge/>
          </w:tcPr>
          <w:p w:rsidR="00032324" w:rsidRPr="00BF32F3" w:rsidRDefault="00032324" w:rsidP="002A0A11">
            <w:pPr>
              <w:keepLines/>
              <w:spacing w:before="40" w:after="40" w:line="240" w:lineRule="auto"/>
              <w:rPr>
                <w:rFonts w:cs="Arial"/>
                <w:lang w:val="en-GB"/>
              </w:rPr>
            </w:pPr>
          </w:p>
        </w:tc>
        <w:tc>
          <w:tcPr>
            <w:tcW w:w="1367"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Ofatumumab</w:t>
            </w:r>
          </w:p>
        </w:tc>
        <w:tc>
          <w:tcPr>
            <w:tcW w:w="1175"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L01XC10; L01FA02 (from 2022)</w:t>
            </w:r>
          </w:p>
        </w:tc>
        <w:tc>
          <w:tcPr>
            <w:tcW w:w="1308"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6-006.4</w:t>
            </w:r>
          </w:p>
        </w:tc>
      </w:tr>
      <w:tr w:rsidR="00032324" w:rsidRPr="00BF32F3" w:rsidTr="002A0A11">
        <w:trPr>
          <w:trHeight w:val="119"/>
        </w:trPr>
        <w:tc>
          <w:tcPr>
            <w:tcW w:w="1151" w:type="pct"/>
            <w:vMerge/>
          </w:tcPr>
          <w:p w:rsidR="00032324" w:rsidRPr="00BF32F3" w:rsidRDefault="00032324" w:rsidP="002A0A11">
            <w:pPr>
              <w:keepLines/>
              <w:spacing w:before="40" w:after="40" w:line="240" w:lineRule="auto"/>
              <w:rPr>
                <w:rFonts w:cs="Arial"/>
                <w:lang w:val="en-GB"/>
              </w:rPr>
            </w:pPr>
          </w:p>
        </w:tc>
        <w:tc>
          <w:tcPr>
            <w:tcW w:w="1367"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Rituximab</w:t>
            </w:r>
          </w:p>
        </w:tc>
        <w:tc>
          <w:tcPr>
            <w:tcW w:w="1175"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L01XC02; L01FA01 (from 2022)</w:t>
            </w:r>
          </w:p>
        </w:tc>
        <w:tc>
          <w:tcPr>
            <w:tcW w:w="1308"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6-001.h; 6-001.j; 6-001.6</w:t>
            </w:r>
          </w:p>
        </w:tc>
      </w:tr>
      <w:tr w:rsidR="00032324" w:rsidRPr="00BF32F3" w:rsidTr="002A0A11">
        <w:trPr>
          <w:trHeight w:val="243"/>
        </w:trPr>
        <w:tc>
          <w:tcPr>
            <w:tcW w:w="1151" w:type="pct"/>
          </w:tcPr>
          <w:p w:rsidR="00032324" w:rsidRPr="00BF32F3" w:rsidRDefault="00032324" w:rsidP="002A0A11">
            <w:pPr>
              <w:keepLines/>
              <w:spacing w:before="40" w:after="40" w:line="240" w:lineRule="auto"/>
              <w:rPr>
                <w:rFonts w:cs="Arial"/>
                <w:lang w:val="en-GB"/>
              </w:rPr>
            </w:pPr>
            <w:r w:rsidRPr="00BF32F3">
              <w:rPr>
                <w:rFonts w:cs="Arial"/>
                <w:lang w:val="en-GB"/>
              </w:rPr>
              <w:t>Anti-CD52</w:t>
            </w:r>
          </w:p>
        </w:tc>
        <w:tc>
          <w:tcPr>
            <w:tcW w:w="1367"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Alemtuzumab</w:t>
            </w:r>
          </w:p>
        </w:tc>
        <w:tc>
          <w:tcPr>
            <w:tcW w:w="1175" w:type="pct"/>
          </w:tcPr>
          <w:p w:rsidR="00032324" w:rsidRPr="00BF32F3" w:rsidRDefault="00032324" w:rsidP="002A0A11">
            <w:pPr>
              <w:keepLines/>
              <w:spacing w:before="40" w:after="40" w:line="240" w:lineRule="auto"/>
              <w:jc w:val="center"/>
              <w:rPr>
                <w:rFonts w:cs="Arial"/>
                <w:color w:val="000000"/>
                <w:lang w:val="en-GB"/>
              </w:rPr>
            </w:pPr>
            <w:r w:rsidRPr="00BF32F3">
              <w:rPr>
                <w:rFonts w:cs="Arial"/>
                <w:color w:val="000000"/>
                <w:lang w:val="en-GB"/>
              </w:rPr>
              <w:t>L01XC04; L04AA34</w:t>
            </w:r>
          </w:p>
        </w:tc>
        <w:tc>
          <w:tcPr>
            <w:tcW w:w="1308" w:type="pct"/>
          </w:tcPr>
          <w:p w:rsidR="00032324" w:rsidRPr="00BF32F3" w:rsidRDefault="00032324" w:rsidP="002A0A11">
            <w:pPr>
              <w:keepLines/>
              <w:spacing w:before="40" w:after="40" w:line="240" w:lineRule="auto"/>
              <w:jc w:val="center"/>
              <w:rPr>
                <w:rFonts w:cs="Arial"/>
                <w:color w:val="000000"/>
                <w:lang w:val="en-GB"/>
              </w:rPr>
            </w:pPr>
            <w:r w:rsidRPr="00BF32F3">
              <w:rPr>
                <w:rFonts w:cs="Arial"/>
                <w:color w:val="000000"/>
                <w:lang w:val="en-GB"/>
              </w:rPr>
              <w:t>6-001.0</w:t>
            </w:r>
          </w:p>
        </w:tc>
      </w:tr>
      <w:tr w:rsidR="00032324" w:rsidRPr="00BF32F3" w:rsidTr="002A0A11">
        <w:trPr>
          <w:trHeight w:val="208"/>
        </w:trPr>
        <w:tc>
          <w:tcPr>
            <w:tcW w:w="5000" w:type="pct"/>
            <w:gridSpan w:val="4"/>
          </w:tcPr>
          <w:p w:rsidR="00032324" w:rsidRPr="00BF32F3" w:rsidRDefault="00032324" w:rsidP="002A0A11">
            <w:pPr>
              <w:keepLines/>
              <w:spacing w:before="40" w:after="40" w:line="240" w:lineRule="auto"/>
              <w:rPr>
                <w:rFonts w:cs="Arial"/>
                <w:b/>
                <w:bCs/>
                <w:i/>
                <w:iCs/>
                <w:color w:val="404040"/>
                <w:lang w:val="en-GB"/>
              </w:rPr>
            </w:pPr>
            <w:r w:rsidRPr="00BF32F3">
              <w:rPr>
                <w:rFonts w:cs="Arial"/>
                <w:b/>
                <w:bCs/>
                <w:i/>
                <w:iCs/>
                <w:lang w:val="en-GB"/>
              </w:rPr>
              <w:t>Other therapies</w:t>
            </w:r>
          </w:p>
        </w:tc>
      </w:tr>
      <w:tr w:rsidR="00032324" w:rsidRPr="00BF32F3" w:rsidTr="002A0A11">
        <w:trPr>
          <w:trHeight w:val="648"/>
        </w:trPr>
        <w:tc>
          <w:tcPr>
            <w:tcW w:w="1151" w:type="pct"/>
          </w:tcPr>
          <w:p w:rsidR="00032324" w:rsidRPr="00BF32F3" w:rsidRDefault="00032324" w:rsidP="002A0A11">
            <w:pPr>
              <w:keepLines/>
              <w:spacing w:before="40" w:after="40" w:line="240" w:lineRule="auto"/>
              <w:rPr>
                <w:rFonts w:cs="Arial"/>
                <w:lang w:val="en-GB"/>
              </w:rPr>
            </w:pPr>
            <w:r w:rsidRPr="00BF32F3">
              <w:rPr>
                <w:rFonts w:cs="Arial"/>
                <w:lang w:val="en-GB"/>
              </w:rPr>
              <w:t>BCL-2 inhibitor</w:t>
            </w:r>
          </w:p>
        </w:tc>
        <w:tc>
          <w:tcPr>
            <w:tcW w:w="1367"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iCs/>
                <w:lang w:val="en-GB"/>
              </w:rPr>
              <w:t>Venetoclax</w:t>
            </w:r>
          </w:p>
        </w:tc>
        <w:tc>
          <w:tcPr>
            <w:tcW w:w="1175"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L01XX52</w:t>
            </w:r>
          </w:p>
        </w:tc>
        <w:tc>
          <w:tcPr>
            <w:tcW w:w="1308"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6-00a.k</w:t>
            </w:r>
          </w:p>
        </w:tc>
      </w:tr>
      <w:tr w:rsidR="00032324" w:rsidRPr="00BF32F3" w:rsidTr="002A0A11">
        <w:trPr>
          <w:trHeight w:val="208"/>
        </w:trPr>
        <w:tc>
          <w:tcPr>
            <w:tcW w:w="1151" w:type="pct"/>
          </w:tcPr>
          <w:p w:rsidR="00032324" w:rsidRPr="00BF32F3" w:rsidRDefault="00032324" w:rsidP="002A0A11">
            <w:pPr>
              <w:keepLines/>
              <w:spacing w:before="40" w:after="40" w:line="240" w:lineRule="auto"/>
              <w:rPr>
                <w:rFonts w:cs="Arial"/>
                <w:lang w:val="en-GB"/>
              </w:rPr>
            </w:pPr>
            <w:r w:rsidRPr="00BF32F3">
              <w:rPr>
                <w:rFonts w:cs="Arial"/>
                <w:lang w:val="en-GB"/>
              </w:rPr>
              <w:t>Purine analogues</w:t>
            </w:r>
          </w:p>
        </w:tc>
        <w:tc>
          <w:tcPr>
            <w:tcW w:w="1367"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Fludarabine</w:t>
            </w:r>
          </w:p>
        </w:tc>
        <w:tc>
          <w:tcPr>
            <w:tcW w:w="1175"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color w:val="000000"/>
                <w:lang w:val="en-GB"/>
              </w:rPr>
              <w:t>L01BB05</w:t>
            </w:r>
          </w:p>
        </w:tc>
        <w:tc>
          <w:tcPr>
            <w:tcW w:w="1308" w:type="pct"/>
          </w:tcPr>
          <w:p w:rsidR="00032324" w:rsidRPr="00BF32F3" w:rsidRDefault="00032324" w:rsidP="002A0A11">
            <w:pPr>
              <w:keepLines/>
              <w:spacing w:before="40" w:after="40" w:line="240" w:lineRule="auto"/>
              <w:jc w:val="center"/>
              <w:rPr>
                <w:rFonts w:cs="Arial"/>
                <w:iCs/>
                <w:color w:val="404040"/>
                <w:lang w:val="en-GB"/>
              </w:rPr>
            </w:pPr>
            <w:r w:rsidRPr="00BF32F3">
              <w:rPr>
                <w:rFonts w:cs="Arial"/>
                <w:iCs/>
                <w:color w:val="404040"/>
                <w:lang w:val="en-GB"/>
              </w:rPr>
              <w:t>n/a</w:t>
            </w:r>
          </w:p>
        </w:tc>
      </w:tr>
      <w:tr w:rsidR="00032324" w:rsidRPr="00BF32F3" w:rsidTr="002A0A11">
        <w:trPr>
          <w:trHeight w:val="243"/>
        </w:trPr>
        <w:tc>
          <w:tcPr>
            <w:tcW w:w="1151" w:type="pct"/>
            <w:vMerge w:val="restart"/>
          </w:tcPr>
          <w:p w:rsidR="00032324" w:rsidRPr="00BF32F3" w:rsidRDefault="00032324" w:rsidP="002A0A11">
            <w:pPr>
              <w:keepLines/>
              <w:spacing w:before="40" w:after="40" w:line="240" w:lineRule="auto"/>
              <w:rPr>
                <w:rFonts w:cs="Arial"/>
                <w:lang w:val="en-GB"/>
              </w:rPr>
            </w:pPr>
            <w:r w:rsidRPr="00BF32F3">
              <w:rPr>
                <w:rFonts w:cs="Arial"/>
                <w:lang w:val="en-GB"/>
              </w:rPr>
              <w:t>Alkylating agent</w:t>
            </w:r>
          </w:p>
        </w:tc>
        <w:tc>
          <w:tcPr>
            <w:tcW w:w="1367"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Bendamustine</w:t>
            </w:r>
          </w:p>
        </w:tc>
        <w:tc>
          <w:tcPr>
            <w:tcW w:w="1175"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L01AA09</w:t>
            </w:r>
          </w:p>
        </w:tc>
        <w:tc>
          <w:tcPr>
            <w:tcW w:w="1308"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n/a</w:t>
            </w:r>
          </w:p>
        </w:tc>
      </w:tr>
      <w:tr w:rsidR="00032324" w:rsidRPr="00BF32F3" w:rsidTr="002A0A11">
        <w:trPr>
          <w:trHeight w:val="119"/>
        </w:trPr>
        <w:tc>
          <w:tcPr>
            <w:tcW w:w="1151" w:type="pct"/>
            <w:vMerge/>
          </w:tcPr>
          <w:p w:rsidR="00032324" w:rsidRPr="00BF32F3" w:rsidRDefault="00032324" w:rsidP="002A0A11">
            <w:pPr>
              <w:keepLines/>
              <w:spacing w:before="40" w:after="40" w:line="240" w:lineRule="auto"/>
              <w:rPr>
                <w:rFonts w:cs="Arial"/>
                <w:lang w:val="en-GB"/>
              </w:rPr>
            </w:pPr>
          </w:p>
        </w:tc>
        <w:tc>
          <w:tcPr>
            <w:tcW w:w="1367"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Chlorambucil</w:t>
            </w:r>
          </w:p>
        </w:tc>
        <w:tc>
          <w:tcPr>
            <w:tcW w:w="1175"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L01AA02</w:t>
            </w:r>
          </w:p>
        </w:tc>
        <w:tc>
          <w:tcPr>
            <w:tcW w:w="1308"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n/a</w:t>
            </w:r>
          </w:p>
        </w:tc>
      </w:tr>
      <w:tr w:rsidR="00032324" w:rsidRPr="00BF32F3" w:rsidTr="002A0A11">
        <w:trPr>
          <w:trHeight w:val="119"/>
        </w:trPr>
        <w:tc>
          <w:tcPr>
            <w:tcW w:w="1151" w:type="pct"/>
            <w:vMerge/>
          </w:tcPr>
          <w:p w:rsidR="00032324" w:rsidRPr="00BF32F3" w:rsidRDefault="00032324" w:rsidP="002A0A11">
            <w:pPr>
              <w:keepLines/>
              <w:spacing w:before="40" w:after="40" w:line="240" w:lineRule="auto"/>
              <w:rPr>
                <w:rFonts w:cs="Arial"/>
                <w:lang w:val="en-GB"/>
              </w:rPr>
            </w:pPr>
          </w:p>
        </w:tc>
        <w:tc>
          <w:tcPr>
            <w:tcW w:w="1367"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Cyclophosphamide</w:t>
            </w:r>
          </w:p>
        </w:tc>
        <w:tc>
          <w:tcPr>
            <w:tcW w:w="1175"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L01AA01</w:t>
            </w:r>
          </w:p>
        </w:tc>
        <w:tc>
          <w:tcPr>
            <w:tcW w:w="1308"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n/a</w:t>
            </w:r>
          </w:p>
        </w:tc>
      </w:tr>
      <w:tr w:rsidR="00032324" w:rsidRPr="00BF32F3" w:rsidTr="002A0A11">
        <w:trPr>
          <w:trHeight w:val="243"/>
        </w:trPr>
        <w:tc>
          <w:tcPr>
            <w:tcW w:w="1151" w:type="pct"/>
          </w:tcPr>
          <w:p w:rsidR="00032324" w:rsidRPr="00BF32F3" w:rsidRDefault="00032324" w:rsidP="002A0A11">
            <w:pPr>
              <w:keepLines/>
              <w:spacing w:before="40" w:after="40" w:line="240" w:lineRule="auto"/>
              <w:rPr>
                <w:rFonts w:cs="Arial"/>
                <w:lang w:val="en-GB"/>
              </w:rPr>
            </w:pPr>
            <w:r w:rsidRPr="00BF32F3">
              <w:rPr>
                <w:rFonts w:cs="Arial"/>
                <w:lang w:val="en-GB"/>
              </w:rPr>
              <w:t>Immunomodulator</w:t>
            </w:r>
          </w:p>
        </w:tc>
        <w:tc>
          <w:tcPr>
            <w:tcW w:w="1367"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Lenalidomide</w:t>
            </w:r>
          </w:p>
        </w:tc>
        <w:tc>
          <w:tcPr>
            <w:tcW w:w="1175"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L04AX04</w:t>
            </w:r>
          </w:p>
        </w:tc>
        <w:tc>
          <w:tcPr>
            <w:tcW w:w="1308" w:type="pct"/>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6-003.g</w:t>
            </w:r>
          </w:p>
        </w:tc>
      </w:tr>
      <w:tr w:rsidR="00032324" w:rsidRPr="00BF32F3" w:rsidTr="002A0A11">
        <w:trPr>
          <w:trHeight w:val="416"/>
        </w:trPr>
        <w:tc>
          <w:tcPr>
            <w:tcW w:w="1151" w:type="pct"/>
            <w:tcBorders>
              <w:bottom w:val="single" w:sz="4" w:space="0" w:color="auto"/>
            </w:tcBorders>
          </w:tcPr>
          <w:p w:rsidR="00032324" w:rsidRPr="00BF32F3" w:rsidRDefault="00032324" w:rsidP="002A0A11">
            <w:pPr>
              <w:keepLines/>
              <w:spacing w:before="40" w:after="40" w:line="240" w:lineRule="auto"/>
              <w:rPr>
                <w:rFonts w:cs="Arial"/>
                <w:lang w:val="en-GB"/>
              </w:rPr>
            </w:pPr>
            <w:r w:rsidRPr="00BF32F3">
              <w:rPr>
                <w:rFonts w:cs="Arial"/>
                <w:lang w:val="en-GB"/>
              </w:rPr>
              <w:t>Other chemotherapy</w:t>
            </w:r>
          </w:p>
        </w:tc>
        <w:tc>
          <w:tcPr>
            <w:tcW w:w="1367" w:type="pct"/>
            <w:tcBorders>
              <w:bottom w:val="single" w:sz="4" w:space="0" w:color="auto"/>
            </w:tcBorders>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Unspecified Chemotherapy</w:t>
            </w:r>
          </w:p>
        </w:tc>
        <w:tc>
          <w:tcPr>
            <w:tcW w:w="1175" w:type="pct"/>
            <w:tcBorders>
              <w:bottom w:val="single" w:sz="4" w:space="0" w:color="auto"/>
            </w:tcBorders>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n/a</w:t>
            </w:r>
          </w:p>
        </w:tc>
        <w:tc>
          <w:tcPr>
            <w:tcW w:w="1308" w:type="pct"/>
            <w:tcBorders>
              <w:bottom w:val="single" w:sz="4" w:space="0" w:color="auto"/>
            </w:tcBorders>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8-542 to 8-544</w:t>
            </w:r>
          </w:p>
        </w:tc>
      </w:tr>
      <w:tr w:rsidR="00032324" w:rsidRPr="00BF32F3" w:rsidTr="002A0A11">
        <w:trPr>
          <w:trHeight w:val="289"/>
        </w:trPr>
        <w:tc>
          <w:tcPr>
            <w:tcW w:w="5000" w:type="pct"/>
            <w:gridSpan w:val="4"/>
            <w:tcBorders>
              <w:bottom w:val="single" w:sz="4" w:space="0" w:color="auto"/>
            </w:tcBorders>
          </w:tcPr>
          <w:p w:rsidR="00032324" w:rsidRPr="00BF32F3" w:rsidRDefault="00032324" w:rsidP="002A0A11">
            <w:pPr>
              <w:spacing w:before="40" w:after="40" w:line="240" w:lineRule="auto"/>
              <w:rPr>
                <w:rFonts w:eastAsia="SimSun" w:cs="Arial"/>
                <w:b/>
                <w:bCs/>
                <w:i/>
                <w:iCs/>
                <w:color w:val="000000"/>
                <w:lang w:val="en-GB"/>
              </w:rPr>
            </w:pPr>
            <w:r w:rsidRPr="00BF32F3">
              <w:rPr>
                <w:rFonts w:eastAsia="SimSun" w:cs="Arial"/>
                <w:b/>
                <w:bCs/>
                <w:i/>
                <w:iCs/>
                <w:color w:val="000000"/>
                <w:lang w:val="en-GB"/>
              </w:rPr>
              <w:t>Non-pharmacological interventions</w:t>
            </w:r>
          </w:p>
        </w:tc>
      </w:tr>
      <w:tr w:rsidR="00032324" w:rsidRPr="00BF32F3" w:rsidTr="002A0A11">
        <w:trPr>
          <w:trHeight w:val="416"/>
        </w:trPr>
        <w:tc>
          <w:tcPr>
            <w:tcW w:w="2517" w:type="pct"/>
            <w:gridSpan w:val="2"/>
            <w:tcBorders>
              <w:bottom w:val="single" w:sz="4" w:space="0" w:color="auto"/>
            </w:tcBorders>
          </w:tcPr>
          <w:p w:rsidR="00032324" w:rsidRPr="00BF32F3" w:rsidRDefault="00032324" w:rsidP="002A0A11">
            <w:pPr>
              <w:spacing w:before="40" w:after="40" w:line="240" w:lineRule="auto"/>
              <w:rPr>
                <w:rFonts w:eastAsia="SimSun" w:cs="Arial"/>
                <w:color w:val="000000"/>
                <w:lang w:val="en-GB"/>
              </w:rPr>
            </w:pPr>
            <w:r w:rsidRPr="00BF32F3">
              <w:rPr>
                <w:rFonts w:eastAsia="SimSun" w:cs="Arial"/>
                <w:color w:val="000000"/>
                <w:lang w:val="en-GB"/>
              </w:rPr>
              <w:t>Autologous stem cell transplantation</w:t>
            </w:r>
          </w:p>
        </w:tc>
        <w:tc>
          <w:tcPr>
            <w:tcW w:w="1175" w:type="pct"/>
            <w:tcBorders>
              <w:bottom w:val="single" w:sz="4" w:space="0" w:color="auto"/>
            </w:tcBorders>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n/a</w:t>
            </w:r>
          </w:p>
        </w:tc>
        <w:tc>
          <w:tcPr>
            <w:tcW w:w="1308" w:type="pct"/>
            <w:tcBorders>
              <w:bottom w:val="single" w:sz="4" w:space="0" w:color="auto"/>
            </w:tcBorders>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5-411.0, 8-860.-, 8-805.0</w:t>
            </w:r>
          </w:p>
        </w:tc>
      </w:tr>
      <w:tr w:rsidR="00032324" w:rsidRPr="00BF32F3" w:rsidTr="002A0A11">
        <w:trPr>
          <w:trHeight w:val="416"/>
        </w:trPr>
        <w:tc>
          <w:tcPr>
            <w:tcW w:w="2517" w:type="pct"/>
            <w:gridSpan w:val="2"/>
            <w:tcBorders>
              <w:bottom w:val="single" w:sz="4" w:space="0" w:color="auto"/>
            </w:tcBorders>
          </w:tcPr>
          <w:p w:rsidR="00032324" w:rsidRPr="00BF32F3" w:rsidRDefault="00032324" w:rsidP="002A0A11">
            <w:pPr>
              <w:spacing w:before="40" w:after="40" w:line="240" w:lineRule="auto"/>
              <w:rPr>
                <w:rFonts w:eastAsia="SimSun" w:cs="Arial"/>
                <w:color w:val="000000"/>
                <w:lang w:val="en-GB"/>
              </w:rPr>
            </w:pPr>
            <w:r w:rsidRPr="00BF32F3">
              <w:rPr>
                <w:rFonts w:eastAsia="SimSun" w:cs="Arial"/>
                <w:color w:val="000000"/>
                <w:lang w:val="en-GB"/>
              </w:rPr>
              <w:t>Allogeneic stem cell transplantation</w:t>
            </w:r>
          </w:p>
        </w:tc>
        <w:tc>
          <w:tcPr>
            <w:tcW w:w="1175" w:type="pct"/>
            <w:tcBorders>
              <w:bottom w:val="single" w:sz="4" w:space="0" w:color="auto"/>
            </w:tcBorders>
            <w:shd w:val="clear" w:color="auto" w:fill="FFFFFF"/>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n/a</w:t>
            </w:r>
          </w:p>
        </w:tc>
        <w:tc>
          <w:tcPr>
            <w:tcW w:w="1308" w:type="pct"/>
            <w:tcBorders>
              <w:bottom w:val="single" w:sz="4" w:space="0" w:color="auto"/>
            </w:tcBorders>
            <w:shd w:val="clear" w:color="auto" w:fill="FFFFFF"/>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5-411.2 to 5-411.5, 8-863, 8-805.2 to 8-805.5</w:t>
            </w:r>
          </w:p>
        </w:tc>
      </w:tr>
      <w:tr w:rsidR="00032324" w:rsidRPr="00BF32F3" w:rsidTr="002A0A11">
        <w:trPr>
          <w:trHeight w:val="416"/>
        </w:trPr>
        <w:tc>
          <w:tcPr>
            <w:tcW w:w="2517" w:type="pct"/>
            <w:gridSpan w:val="2"/>
            <w:tcBorders>
              <w:bottom w:val="single" w:sz="4" w:space="0" w:color="auto"/>
            </w:tcBorders>
          </w:tcPr>
          <w:p w:rsidR="00032324" w:rsidRPr="00BF32F3" w:rsidRDefault="00032324" w:rsidP="002A0A11">
            <w:pPr>
              <w:spacing w:before="40" w:after="40" w:line="240" w:lineRule="auto"/>
              <w:rPr>
                <w:rFonts w:eastAsia="SimSun" w:cs="Arial"/>
                <w:color w:val="000000"/>
                <w:lang w:val="en-GB"/>
              </w:rPr>
            </w:pPr>
            <w:r w:rsidRPr="00BF32F3">
              <w:rPr>
                <w:rFonts w:eastAsia="SimSun" w:cs="Arial"/>
                <w:color w:val="000000"/>
                <w:lang w:val="en-GB"/>
              </w:rPr>
              <w:t>Unspecified transfusion of h</w:t>
            </w:r>
            <w:r>
              <w:rPr>
                <w:rFonts w:eastAsia="SimSun" w:cs="Arial"/>
                <w:color w:val="000000"/>
                <w:lang w:val="en-GB"/>
              </w:rPr>
              <w:t>a</w:t>
            </w:r>
            <w:r w:rsidRPr="00BF32F3">
              <w:rPr>
                <w:rFonts w:eastAsia="SimSun" w:cs="Arial"/>
                <w:color w:val="000000"/>
                <w:lang w:val="en-GB"/>
              </w:rPr>
              <w:t>ematopoietic stem cells</w:t>
            </w:r>
          </w:p>
        </w:tc>
        <w:tc>
          <w:tcPr>
            <w:tcW w:w="1175" w:type="pct"/>
            <w:tcBorders>
              <w:bottom w:val="single" w:sz="4" w:space="0" w:color="auto"/>
            </w:tcBorders>
            <w:shd w:val="clear" w:color="auto" w:fill="FFFFFF"/>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n/a</w:t>
            </w:r>
          </w:p>
        </w:tc>
        <w:tc>
          <w:tcPr>
            <w:tcW w:w="1308" w:type="pct"/>
            <w:tcBorders>
              <w:bottom w:val="single" w:sz="4" w:space="0" w:color="auto"/>
            </w:tcBorders>
            <w:shd w:val="clear" w:color="auto" w:fill="FFFFFF"/>
          </w:tcPr>
          <w:p w:rsidR="00032324" w:rsidRPr="00BF32F3" w:rsidRDefault="00032324" w:rsidP="002A0A11">
            <w:pPr>
              <w:spacing w:before="40" w:after="40" w:line="240" w:lineRule="auto"/>
              <w:jc w:val="center"/>
              <w:rPr>
                <w:rFonts w:eastAsia="SimSun" w:cs="Arial"/>
                <w:color w:val="000000"/>
                <w:lang w:val="en-GB"/>
              </w:rPr>
            </w:pPr>
            <w:r w:rsidRPr="00BF32F3">
              <w:rPr>
                <w:rFonts w:eastAsia="SimSun" w:cs="Arial"/>
                <w:color w:val="000000"/>
                <w:lang w:val="en-GB"/>
              </w:rPr>
              <w:t>8-805.x, 8-805.y</w:t>
            </w:r>
          </w:p>
        </w:tc>
      </w:tr>
    </w:tbl>
    <w:p w:rsidR="00032324" w:rsidRDefault="00032324" w:rsidP="00032324">
      <w:pPr>
        <w:spacing w:before="180" w:after="60" w:line="276" w:lineRule="auto"/>
        <w:rPr>
          <w:rFonts w:eastAsia="SimSun" w:cs="Arial"/>
          <w:color w:val="000000"/>
          <w:sz w:val="18"/>
          <w:szCs w:val="18"/>
        </w:rPr>
      </w:pPr>
      <w:r w:rsidRPr="00BF32F3">
        <w:rPr>
          <w:rFonts w:eastAsia="SimSun" w:cs="Arial"/>
          <w:color w:val="000000"/>
          <w:sz w:val="18"/>
          <w:szCs w:val="18"/>
        </w:rPr>
        <w:t xml:space="preserve">ATC, </w:t>
      </w:r>
      <w:r>
        <w:rPr>
          <w:rFonts w:eastAsia="SimSun" w:cs="Arial"/>
          <w:color w:val="000000"/>
          <w:sz w:val="18"/>
          <w:szCs w:val="18"/>
        </w:rPr>
        <w:t>a</w:t>
      </w:r>
      <w:r w:rsidRPr="00BF32F3">
        <w:rPr>
          <w:rFonts w:eastAsia="SimSun" w:cs="Arial"/>
          <w:color w:val="000000"/>
          <w:sz w:val="18"/>
          <w:szCs w:val="18"/>
        </w:rPr>
        <w:t xml:space="preserve">natomical therapeutical chemical; </w:t>
      </w:r>
      <w:r>
        <w:rPr>
          <w:rFonts w:eastAsia="SimSun" w:cs="Arial"/>
          <w:color w:val="000000"/>
          <w:sz w:val="18"/>
          <w:szCs w:val="18"/>
        </w:rPr>
        <w:t xml:space="preserve">BCL-2, </w:t>
      </w:r>
      <w:r w:rsidRPr="00CB27D9">
        <w:rPr>
          <w:rFonts w:eastAsia="SimSun" w:cs="Arial"/>
          <w:color w:val="000000"/>
          <w:sz w:val="18"/>
          <w:szCs w:val="18"/>
        </w:rPr>
        <w:t>B-cell lymphoma 2</w:t>
      </w:r>
      <w:r>
        <w:rPr>
          <w:rFonts w:eastAsia="SimSun" w:cs="Arial"/>
          <w:color w:val="000000"/>
          <w:sz w:val="18"/>
          <w:szCs w:val="18"/>
        </w:rPr>
        <w:t xml:space="preserve">; cBTKi, covalent Bruton’s tyrosine kinase inhibitor; </w:t>
      </w:r>
      <w:r w:rsidRPr="00BF32F3">
        <w:rPr>
          <w:rFonts w:eastAsia="SimSun" w:cs="Arial"/>
          <w:color w:val="000000"/>
          <w:sz w:val="18"/>
          <w:szCs w:val="18"/>
        </w:rPr>
        <w:t>CLL, Chronic lymphocytic leuk</w:t>
      </w:r>
      <w:r>
        <w:rPr>
          <w:rFonts w:eastAsia="SimSun" w:cs="Arial"/>
          <w:color w:val="000000"/>
          <w:sz w:val="18"/>
          <w:szCs w:val="18"/>
        </w:rPr>
        <w:t>a</w:t>
      </w:r>
      <w:r w:rsidRPr="00BF32F3">
        <w:rPr>
          <w:rFonts w:eastAsia="SimSun" w:cs="Arial"/>
          <w:color w:val="000000"/>
          <w:sz w:val="18"/>
          <w:szCs w:val="18"/>
        </w:rPr>
        <w:t>emia; n/a, not applicable; OPS, Operationen- und Prozedurenschlüssel (Operation and procedure classification system)</w:t>
      </w:r>
      <w:r>
        <w:rPr>
          <w:rFonts w:eastAsia="SimSun" w:cs="Arial"/>
          <w:color w:val="000000"/>
          <w:sz w:val="18"/>
          <w:szCs w:val="18"/>
        </w:rPr>
        <w:t>; PI3K, phosphoinositide-3 kinase</w:t>
      </w:r>
      <w:r w:rsidRPr="00BF32F3">
        <w:rPr>
          <w:rFonts w:eastAsia="SimSun" w:cs="Arial"/>
          <w:color w:val="000000"/>
          <w:sz w:val="18"/>
          <w:szCs w:val="18"/>
        </w:rPr>
        <w:t>.</w:t>
      </w:r>
    </w:p>
    <w:p w:rsidR="00032324" w:rsidRDefault="00032324" w:rsidP="00032324">
      <w:pPr>
        <w:spacing w:after="0" w:line="240" w:lineRule="auto"/>
        <w:rPr>
          <w:rFonts w:eastAsia="SimSun" w:cs="Arial"/>
          <w:color w:val="000000"/>
          <w:sz w:val="18"/>
          <w:szCs w:val="18"/>
        </w:rPr>
      </w:pPr>
      <w:r>
        <w:rPr>
          <w:rFonts w:eastAsia="SimSun" w:cs="Arial"/>
          <w:color w:val="000000"/>
          <w:sz w:val="18"/>
          <w:szCs w:val="18"/>
        </w:rPr>
        <w:br w:type="page"/>
      </w:r>
    </w:p>
    <w:p w:rsidR="00032324" w:rsidRDefault="00032324" w:rsidP="00032324">
      <w:pPr>
        <w:pStyle w:val="Heading2"/>
        <w:rPr>
          <w:b w:val="0"/>
          <w:bCs w:val="0"/>
          <w:i w:val="0"/>
          <w:iCs w:val="0"/>
          <w:sz w:val="22"/>
          <w:szCs w:val="22"/>
        </w:rPr>
      </w:pPr>
      <w:r>
        <w:rPr>
          <w:i w:val="0"/>
          <w:iCs w:val="0"/>
          <w:sz w:val="22"/>
          <w:szCs w:val="22"/>
        </w:rPr>
        <w:lastRenderedPageBreak/>
        <w:t>Supplementary T</w:t>
      </w:r>
      <w:r w:rsidRPr="0771F353">
        <w:rPr>
          <w:i w:val="0"/>
          <w:iCs w:val="0"/>
          <w:sz w:val="22"/>
          <w:szCs w:val="22"/>
        </w:rPr>
        <w:t xml:space="preserve">able </w:t>
      </w:r>
      <w:r>
        <w:rPr>
          <w:i w:val="0"/>
          <w:iCs w:val="0"/>
          <w:sz w:val="22"/>
          <w:szCs w:val="22"/>
        </w:rPr>
        <w:t>S3</w:t>
      </w:r>
      <w:r w:rsidRPr="0771F353">
        <w:rPr>
          <w:i w:val="0"/>
          <w:iCs w:val="0"/>
          <w:sz w:val="22"/>
          <w:szCs w:val="22"/>
        </w:rPr>
        <w:t xml:space="preserve"> </w:t>
      </w:r>
      <w:r w:rsidRPr="0771F353">
        <w:rPr>
          <w:b w:val="0"/>
          <w:bCs w:val="0"/>
          <w:i w:val="0"/>
          <w:iCs w:val="0"/>
          <w:sz w:val="22"/>
          <w:szCs w:val="22"/>
        </w:rPr>
        <w:t>Annual number of patients with CLL treated with cBTKi</w:t>
      </w:r>
      <w:r w:rsidRPr="00F616CF">
        <w:rPr>
          <w:b w:val="0"/>
          <w:bCs w:val="0"/>
          <w:i w:val="0"/>
          <w:iCs w:val="0"/>
          <w:sz w:val="22"/>
          <w:szCs w:val="22"/>
        </w:rPr>
        <w:t xml:space="preserve"> and who received post-cBTK</w:t>
      </w:r>
      <w:r>
        <w:rPr>
          <w:b w:val="0"/>
          <w:bCs w:val="0"/>
          <w:i w:val="0"/>
          <w:iCs w:val="0"/>
          <w:sz w:val="22"/>
          <w:szCs w:val="22"/>
        </w:rPr>
        <w:t>i</w:t>
      </w:r>
      <w:r w:rsidRPr="00F616CF">
        <w:rPr>
          <w:b w:val="0"/>
          <w:bCs w:val="0"/>
          <w:i w:val="0"/>
          <w:iCs w:val="0"/>
          <w:sz w:val="22"/>
          <w:szCs w:val="22"/>
        </w:rPr>
        <w:t xml:space="preserve"> treatment </w:t>
      </w:r>
      <w:r w:rsidRPr="0771F353">
        <w:rPr>
          <w:b w:val="0"/>
          <w:bCs w:val="0"/>
          <w:i w:val="0"/>
          <w:iCs w:val="0"/>
          <w:sz w:val="22"/>
          <w:szCs w:val="22"/>
        </w:rPr>
        <w:t>(2014-2022)</w:t>
      </w:r>
      <w:r w:rsidRPr="0771F353">
        <w:rPr>
          <w:b w:val="0"/>
          <w:bCs w:val="0"/>
          <w:i w:val="0"/>
          <w:iCs w:val="0"/>
          <w:sz w:val="22"/>
          <w:szCs w:val="22"/>
          <w:vertAlign w:val="superscript"/>
        </w:rPr>
        <w:t>a</w:t>
      </w:r>
      <w:r w:rsidRPr="0771F353">
        <w:rPr>
          <w:b w:val="0"/>
          <w:bCs w:val="0"/>
          <w:i w:val="0"/>
          <w:iCs w:val="0"/>
          <w:sz w:val="22"/>
          <w:szCs w:val="22"/>
        </w:rPr>
        <w:t xml:space="preserve"> in the study population</w:t>
      </w:r>
      <w:r>
        <w:rPr>
          <w:b w:val="0"/>
          <w:bCs w:val="0"/>
          <w:i w:val="0"/>
          <w:iCs w:val="0"/>
          <w:sz w:val="22"/>
          <w:szCs w:val="22"/>
        </w:rPr>
        <w:t>.</w:t>
      </w:r>
    </w:p>
    <w:tbl>
      <w:tblPr>
        <w:tblStyle w:val="TableGrid"/>
        <w:tblW w:w="8155" w:type="dxa"/>
        <w:tblLayout w:type="fixed"/>
        <w:tblCellMar>
          <w:left w:w="28" w:type="dxa"/>
          <w:right w:w="28" w:type="dxa"/>
        </w:tblCellMar>
        <w:tblLook w:val="04A0" w:firstRow="1" w:lastRow="0" w:firstColumn="1" w:lastColumn="0" w:noHBand="0" w:noVBand="1"/>
      </w:tblPr>
      <w:tblGrid>
        <w:gridCol w:w="1413"/>
        <w:gridCol w:w="501"/>
        <w:gridCol w:w="1705"/>
        <w:gridCol w:w="567"/>
        <w:gridCol w:w="1701"/>
        <w:gridCol w:w="567"/>
        <w:gridCol w:w="1701"/>
      </w:tblGrid>
      <w:tr w:rsidR="00032324" w:rsidRPr="00657C01" w:rsidTr="002A0A11">
        <w:trPr>
          <w:trHeight w:val="460"/>
        </w:trPr>
        <w:tc>
          <w:tcPr>
            <w:tcW w:w="1413" w:type="dxa"/>
            <w:vMerge w:val="restart"/>
            <w:vAlign w:val="bottom"/>
          </w:tcPr>
          <w:p w:rsidR="00032324" w:rsidRPr="00657C01" w:rsidRDefault="00032324" w:rsidP="002A0A11">
            <w:pPr>
              <w:spacing w:before="120" w:line="360" w:lineRule="auto"/>
              <w:ind w:left="113"/>
            </w:pPr>
            <w:r w:rsidRPr="00657C01">
              <w:rPr>
                <w:b/>
                <w:bCs/>
              </w:rPr>
              <w:t>Year</w:t>
            </w:r>
          </w:p>
        </w:tc>
        <w:tc>
          <w:tcPr>
            <w:tcW w:w="2206" w:type="dxa"/>
            <w:gridSpan w:val="2"/>
            <w:vAlign w:val="bottom"/>
          </w:tcPr>
          <w:p w:rsidR="00032324" w:rsidRPr="00657C01" w:rsidRDefault="00032324" w:rsidP="002A0A11">
            <w:pPr>
              <w:spacing w:before="120" w:line="360" w:lineRule="auto"/>
              <w:jc w:val="center"/>
              <w:rPr>
                <w:b/>
                <w:bCs/>
              </w:rPr>
            </w:pPr>
            <w:r w:rsidRPr="00657C01">
              <w:rPr>
                <w:b/>
                <w:bCs/>
              </w:rPr>
              <w:t>Male</w:t>
            </w:r>
          </w:p>
        </w:tc>
        <w:tc>
          <w:tcPr>
            <w:tcW w:w="2268" w:type="dxa"/>
            <w:gridSpan w:val="2"/>
            <w:vAlign w:val="bottom"/>
          </w:tcPr>
          <w:p w:rsidR="00032324" w:rsidRPr="00657C01" w:rsidRDefault="00032324" w:rsidP="002A0A11">
            <w:pPr>
              <w:spacing w:before="120" w:line="360" w:lineRule="auto"/>
              <w:jc w:val="center"/>
              <w:rPr>
                <w:b/>
                <w:bCs/>
              </w:rPr>
            </w:pPr>
            <w:r w:rsidRPr="00657C01">
              <w:rPr>
                <w:b/>
                <w:bCs/>
              </w:rPr>
              <w:t>Female</w:t>
            </w:r>
          </w:p>
        </w:tc>
        <w:tc>
          <w:tcPr>
            <w:tcW w:w="2268" w:type="dxa"/>
            <w:gridSpan w:val="2"/>
            <w:vAlign w:val="bottom"/>
          </w:tcPr>
          <w:p w:rsidR="00032324" w:rsidRPr="00657C01" w:rsidRDefault="00032324" w:rsidP="002A0A11">
            <w:pPr>
              <w:spacing w:before="120" w:line="360" w:lineRule="auto"/>
              <w:jc w:val="center"/>
              <w:rPr>
                <w:b/>
                <w:bCs/>
              </w:rPr>
            </w:pPr>
            <w:r w:rsidRPr="00657C01">
              <w:rPr>
                <w:b/>
                <w:bCs/>
              </w:rPr>
              <w:t>All</w:t>
            </w:r>
          </w:p>
        </w:tc>
      </w:tr>
      <w:tr w:rsidR="00032324" w:rsidRPr="00657C01" w:rsidTr="002A0A11">
        <w:trPr>
          <w:trHeight w:val="170"/>
        </w:trPr>
        <w:tc>
          <w:tcPr>
            <w:tcW w:w="1413" w:type="dxa"/>
            <w:vMerge/>
            <w:vAlign w:val="bottom"/>
          </w:tcPr>
          <w:p w:rsidR="00032324" w:rsidRPr="00657C01" w:rsidRDefault="00032324" w:rsidP="002A0A11">
            <w:pPr>
              <w:spacing w:before="120" w:line="360" w:lineRule="auto"/>
              <w:ind w:left="113"/>
              <w:rPr>
                <w:b/>
                <w:bCs/>
              </w:rPr>
            </w:pPr>
          </w:p>
        </w:tc>
        <w:tc>
          <w:tcPr>
            <w:tcW w:w="501" w:type="dxa"/>
            <w:vAlign w:val="bottom"/>
          </w:tcPr>
          <w:p w:rsidR="00032324" w:rsidRPr="00657C01" w:rsidRDefault="00032324" w:rsidP="002A0A11">
            <w:pPr>
              <w:spacing w:before="120" w:line="360" w:lineRule="auto"/>
              <w:jc w:val="center"/>
              <w:rPr>
                <w:b/>
                <w:bCs/>
              </w:rPr>
            </w:pPr>
            <w:r w:rsidRPr="00657C01">
              <w:rPr>
                <w:b/>
                <w:bCs/>
              </w:rPr>
              <w:t>n</w:t>
            </w:r>
          </w:p>
        </w:tc>
        <w:tc>
          <w:tcPr>
            <w:tcW w:w="1705" w:type="dxa"/>
            <w:vAlign w:val="bottom"/>
          </w:tcPr>
          <w:p w:rsidR="00032324" w:rsidRPr="00657C01" w:rsidRDefault="00032324" w:rsidP="002A0A11">
            <w:pPr>
              <w:spacing w:before="120" w:line="360" w:lineRule="auto"/>
              <w:jc w:val="center"/>
              <w:rPr>
                <w:b/>
                <w:bCs/>
              </w:rPr>
            </w:pPr>
            <w:r w:rsidRPr="00657C01">
              <w:rPr>
                <w:b/>
                <w:bCs/>
              </w:rPr>
              <w:t>n per 100,000</w:t>
            </w:r>
          </w:p>
        </w:tc>
        <w:tc>
          <w:tcPr>
            <w:tcW w:w="567" w:type="dxa"/>
            <w:vAlign w:val="bottom"/>
          </w:tcPr>
          <w:p w:rsidR="00032324" w:rsidRPr="00657C01" w:rsidRDefault="00032324" w:rsidP="002A0A11">
            <w:pPr>
              <w:spacing w:before="120" w:line="360" w:lineRule="auto"/>
              <w:jc w:val="center"/>
              <w:rPr>
                <w:b/>
                <w:bCs/>
              </w:rPr>
            </w:pPr>
            <w:r w:rsidRPr="00657C01">
              <w:rPr>
                <w:b/>
                <w:bCs/>
              </w:rPr>
              <w:t>n</w:t>
            </w:r>
          </w:p>
        </w:tc>
        <w:tc>
          <w:tcPr>
            <w:tcW w:w="1701" w:type="dxa"/>
            <w:vAlign w:val="bottom"/>
          </w:tcPr>
          <w:p w:rsidR="00032324" w:rsidRPr="00657C01" w:rsidRDefault="00032324" w:rsidP="002A0A11">
            <w:pPr>
              <w:spacing w:before="120" w:line="360" w:lineRule="auto"/>
              <w:jc w:val="center"/>
              <w:rPr>
                <w:b/>
                <w:bCs/>
              </w:rPr>
            </w:pPr>
            <w:r w:rsidRPr="00657C01">
              <w:rPr>
                <w:b/>
                <w:bCs/>
              </w:rPr>
              <w:t>n per 100,000</w:t>
            </w:r>
          </w:p>
        </w:tc>
        <w:tc>
          <w:tcPr>
            <w:tcW w:w="567" w:type="dxa"/>
            <w:vAlign w:val="bottom"/>
          </w:tcPr>
          <w:p w:rsidR="00032324" w:rsidRPr="00657C01" w:rsidRDefault="00032324" w:rsidP="002A0A11">
            <w:pPr>
              <w:spacing w:before="120" w:line="360" w:lineRule="auto"/>
              <w:jc w:val="center"/>
              <w:rPr>
                <w:b/>
                <w:bCs/>
              </w:rPr>
            </w:pPr>
            <w:r w:rsidRPr="00657C01">
              <w:rPr>
                <w:b/>
                <w:bCs/>
              </w:rPr>
              <w:t>n</w:t>
            </w:r>
          </w:p>
        </w:tc>
        <w:tc>
          <w:tcPr>
            <w:tcW w:w="1701" w:type="dxa"/>
            <w:vAlign w:val="bottom"/>
          </w:tcPr>
          <w:p w:rsidR="00032324" w:rsidRPr="00657C01" w:rsidRDefault="00032324" w:rsidP="002A0A11">
            <w:pPr>
              <w:spacing w:before="120" w:line="360" w:lineRule="auto"/>
              <w:jc w:val="center"/>
              <w:rPr>
                <w:b/>
                <w:bCs/>
              </w:rPr>
            </w:pPr>
            <w:r w:rsidRPr="00657C01">
              <w:rPr>
                <w:b/>
                <w:bCs/>
              </w:rPr>
              <w:t>n per 100,000</w:t>
            </w:r>
          </w:p>
        </w:tc>
      </w:tr>
      <w:tr w:rsidR="00032324" w:rsidRPr="00657C01" w:rsidTr="002A0A11">
        <w:trPr>
          <w:trHeight w:val="170"/>
        </w:trPr>
        <w:tc>
          <w:tcPr>
            <w:tcW w:w="8155" w:type="dxa"/>
            <w:gridSpan w:val="7"/>
            <w:vAlign w:val="bottom"/>
          </w:tcPr>
          <w:p w:rsidR="00032324" w:rsidRPr="00657C01" w:rsidRDefault="00032324" w:rsidP="002A0A11">
            <w:pPr>
              <w:spacing w:before="120" w:line="360" w:lineRule="auto"/>
            </w:pPr>
            <w:r>
              <w:rPr>
                <w:b/>
                <w:bCs/>
              </w:rPr>
              <w:t>P</w:t>
            </w:r>
            <w:r w:rsidRPr="00657C01">
              <w:rPr>
                <w:b/>
                <w:bCs/>
              </w:rPr>
              <w:t>atients who received cBTKi therapy</w:t>
            </w:r>
          </w:p>
        </w:tc>
      </w:tr>
      <w:tr w:rsidR="00032324" w:rsidRPr="00657C01" w:rsidTr="002A0A11">
        <w:trPr>
          <w:trHeight w:val="170"/>
        </w:trPr>
        <w:tc>
          <w:tcPr>
            <w:tcW w:w="1413" w:type="dxa"/>
          </w:tcPr>
          <w:p w:rsidR="00032324" w:rsidRPr="00657C01" w:rsidRDefault="00032324" w:rsidP="002A0A11">
            <w:pPr>
              <w:spacing w:before="120" w:line="360" w:lineRule="auto"/>
              <w:ind w:left="113"/>
              <w:rPr>
                <w:b/>
                <w:bCs/>
              </w:rPr>
            </w:pPr>
            <w:r w:rsidRPr="00657C01">
              <w:rPr>
                <w:b/>
                <w:bCs/>
              </w:rPr>
              <w:t>2015</w:t>
            </w:r>
          </w:p>
        </w:tc>
        <w:tc>
          <w:tcPr>
            <w:tcW w:w="501" w:type="dxa"/>
          </w:tcPr>
          <w:p w:rsidR="00032324" w:rsidRPr="00657C01" w:rsidRDefault="00032324" w:rsidP="002A0A11">
            <w:pPr>
              <w:spacing w:before="120" w:line="360" w:lineRule="auto"/>
              <w:jc w:val="center"/>
            </w:pPr>
            <w:r w:rsidRPr="00657C01">
              <w:t>37</w:t>
            </w:r>
          </w:p>
        </w:tc>
        <w:tc>
          <w:tcPr>
            <w:tcW w:w="1705" w:type="dxa"/>
          </w:tcPr>
          <w:p w:rsidR="00032324" w:rsidRPr="00657C01" w:rsidRDefault="00032324" w:rsidP="002A0A11">
            <w:pPr>
              <w:spacing w:before="120" w:line="360" w:lineRule="auto"/>
              <w:jc w:val="center"/>
            </w:pPr>
            <w:r w:rsidRPr="00657C01">
              <w:t>3.6</w:t>
            </w:r>
          </w:p>
        </w:tc>
        <w:tc>
          <w:tcPr>
            <w:tcW w:w="567" w:type="dxa"/>
          </w:tcPr>
          <w:p w:rsidR="00032324" w:rsidRPr="00657C01" w:rsidRDefault="00032324" w:rsidP="002A0A11">
            <w:pPr>
              <w:spacing w:before="120" w:line="360" w:lineRule="auto"/>
              <w:jc w:val="center"/>
            </w:pPr>
            <w:r w:rsidRPr="00657C01">
              <w:t>25</w:t>
            </w:r>
          </w:p>
        </w:tc>
        <w:tc>
          <w:tcPr>
            <w:tcW w:w="1701" w:type="dxa"/>
          </w:tcPr>
          <w:p w:rsidR="00032324" w:rsidRPr="00657C01" w:rsidRDefault="00032324" w:rsidP="002A0A11">
            <w:pPr>
              <w:spacing w:before="120" w:line="360" w:lineRule="auto"/>
              <w:jc w:val="center"/>
            </w:pPr>
            <w:r w:rsidRPr="00657C01">
              <w:t>2.1</w:t>
            </w:r>
          </w:p>
        </w:tc>
        <w:tc>
          <w:tcPr>
            <w:tcW w:w="567" w:type="dxa"/>
          </w:tcPr>
          <w:p w:rsidR="00032324" w:rsidRPr="00657C01" w:rsidRDefault="00032324" w:rsidP="002A0A11">
            <w:pPr>
              <w:spacing w:before="120" w:line="360" w:lineRule="auto"/>
              <w:jc w:val="center"/>
            </w:pPr>
            <w:r w:rsidRPr="00657C01">
              <w:t>62</w:t>
            </w:r>
          </w:p>
        </w:tc>
        <w:tc>
          <w:tcPr>
            <w:tcW w:w="1701" w:type="dxa"/>
          </w:tcPr>
          <w:p w:rsidR="00032324" w:rsidRPr="00657C01" w:rsidRDefault="00032324" w:rsidP="002A0A11">
            <w:pPr>
              <w:spacing w:before="120" w:line="360" w:lineRule="auto"/>
              <w:jc w:val="center"/>
            </w:pPr>
            <w:r w:rsidRPr="00657C01">
              <w:t>2.8</w:t>
            </w:r>
          </w:p>
        </w:tc>
      </w:tr>
      <w:tr w:rsidR="00032324" w:rsidRPr="00657C01" w:rsidTr="002A0A11">
        <w:trPr>
          <w:trHeight w:val="170"/>
        </w:trPr>
        <w:tc>
          <w:tcPr>
            <w:tcW w:w="1413" w:type="dxa"/>
            <w:vAlign w:val="bottom"/>
          </w:tcPr>
          <w:p w:rsidR="00032324" w:rsidRPr="00657C01" w:rsidRDefault="00032324" w:rsidP="002A0A11">
            <w:pPr>
              <w:spacing w:before="120" w:line="360" w:lineRule="auto"/>
              <w:ind w:left="113"/>
              <w:rPr>
                <w:b/>
                <w:bCs/>
              </w:rPr>
            </w:pPr>
            <w:r w:rsidRPr="00657C01">
              <w:rPr>
                <w:b/>
                <w:bCs/>
              </w:rPr>
              <w:t>2016</w:t>
            </w:r>
          </w:p>
        </w:tc>
        <w:tc>
          <w:tcPr>
            <w:tcW w:w="501" w:type="dxa"/>
            <w:vAlign w:val="bottom"/>
          </w:tcPr>
          <w:p w:rsidR="00032324" w:rsidRPr="00657C01" w:rsidRDefault="00032324" w:rsidP="002A0A11">
            <w:pPr>
              <w:spacing w:before="120" w:line="360" w:lineRule="auto"/>
              <w:jc w:val="center"/>
            </w:pPr>
            <w:r w:rsidRPr="00657C01">
              <w:t>69</w:t>
            </w:r>
          </w:p>
        </w:tc>
        <w:tc>
          <w:tcPr>
            <w:tcW w:w="1705" w:type="dxa"/>
          </w:tcPr>
          <w:p w:rsidR="00032324" w:rsidRPr="00657C01" w:rsidRDefault="00032324" w:rsidP="002A0A11">
            <w:pPr>
              <w:spacing w:before="120" w:line="360" w:lineRule="auto"/>
              <w:jc w:val="center"/>
            </w:pPr>
            <w:r w:rsidRPr="00657C01">
              <w:t>6.6</w:t>
            </w:r>
          </w:p>
        </w:tc>
        <w:tc>
          <w:tcPr>
            <w:tcW w:w="567" w:type="dxa"/>
            <w:vAlign w:val="bottom"/>
          </w:tcPr>
          <w:p w:rsidR="00032324" w:rsidRPr="00657C01" w:rsidRDefault="00032324" w:rsidP="002A0A11">
            <w:pPr>
              <w:spacing w:before="120" w:line="360" w:lineRule="auto"/>
              <w:jc w:val="center"/>
            </w:pPr>
            <w:r w:rsidRPr="00657C01">
              <w:t>35</w:t>
            </w:r>
          </w:p>
        </w:tc>
        <w:tc>
          <w:tcPr>
            <w:tcW w:w="1701" w:type="dxa"/>
          </w:tcPr>
          <w:p w:rsidR="00032324" w:rsidRPr="00657C01" w:rsidRDefault="00032324" w:rsidP="002A0A11">
            <w:pPr>
              <w:spacing w:before="120"/>
              <w:jc w:val="center"/>
            </w:pPr>
            <w:r w:rsidRPr="00657C01">
              <w:t>2.9</w:t>
            </w:r>
          </w:p>
        </w:tc>
        <w:tc>
          <w:tcPr>
            <w:tcW w:w="567" w:type="dxa"/>
            <w:vAlign w:val="bottom"/>
          </w:tcPr>
          <w:p w:rsidR="00032324" w:rsidRPr="00657C01" w:rsidRDefault="00032324" w:rsidP="002A0A11">
            <w:pPr>
              <w:spacing w:before="120" w:line="360" w:lineRule="auto"/>
              <w:jc w:val="center"/>
            </w:pPr>
            <w:r w:rsidRPr="00657C01">
              <w:t>104</w:t>
            </w:r>
          </w:p>
        </w:tc>
        <w:tc>
          <w:tcPr>
            <w:tcW w:w="1701" w:type="dxa"/>
          </w:tcPr>
          <w:p w:rsidR="00032324" w:rsidRPr="00657C01" w:rsidRDefault="00032324" w:rsidP="002A0A11">
            <w:pPr>
              <w:spacing w:before="120" w:line="360" w:lineRule="auto"/>
              <w:jc w:val="center"/>
            </w:pPr>
            <w:r w:rsidRPr="00657C01">
              <w:t>4.6</w:t>
            </w:r>
          </w:p>
        </w:tc>
      </w:tr>
      <w:tr w:rsidR="00032324" w:rsidRPr="00657C01" w:rsidTr="002A0A11">
        <w:trPr>
          <w:trHeight w:val="170"/>
        </w:trPr>
        <w:tc>
          <w:tcPr>
            <w:tcW w:w="1413" w:type="dxa"/>
          </w:tcPr>
          <w:p w:rsidR="00032324" w:rsidRPr="00657C01" w:rsidRDefault="00032324" w:rsidP="002A0A11">
            <w:pPr>
              <w:spacing w:before="120" w:line="360" w:lineRule="auto"/>
              <w:ind w:left="113"/>
              <w:rPr>
                <w:b/>
                <w:bCs/>
              </w:rPr>
            </w:pPr>
            <w:r w:rsidRPr="00657C01">
              <w:rPr>
                <w:b/>
                <w:bCs/>
              </w:rPr>
              <w:t>2017</w:t>
            </w:r>
          </w:p>
        </w:tc>
        <w:tc>
          <w:tcPr>
            <w:tcW w:w="501" w:type="dxa"/>
          </w:tcPr>
          <w:p w:rsidR="00032324" w:rsidRPr="00657C01" w:rsidRDefault="00032324" w:rsidP="002A0A11">
            <w:pPr>
              <w:spacing w:before="120" w:line="360" w:lineRule="auto"/>
              <w:jc w:val="center"/>
            </w:pPr>
            <w:r w:rsidRPr="00657C01">
              <w:t>89</w:t>
            </w:r>
          </w:p>
        </w:tc>
        <w:tc>
          <w:tcPr>
            <w:tcW w:w="1705" w:type="dxa"/>
          </w:tcPr>
          <w:p w:rsidR="00032324" w:rsidRPr="00657C01" w:rsidRDefault="00032324" w:rsidP="002A0A11">
            <w:pPr>
              <w:spacing w:before="120" w:line="360" w:lineRule="auto"/>
              <w:jc w:val="center"/>
            </w:pPr>
            <w:r w:rsidRPr="00657C01">
              <w:t>7.5</w:t>
            </w:r>
          </w:p>
        </w:tc>
        <w:tc>
          <w:tcPr>
            <w:tcW w:w="567" w:type="dxa"/>
          </w:tcPr>
          <w:p w:rsidR="00032324" w:rsidRPr="00657C01" w:rsidRDefault="00032324" w:rsidP="002A0A11">
            <w:pPr>
              <w:spacing w:before="120" w:line="360" w:lineRule="auto"/>
              <w:jc w:val="center"/>
            </w:pPr>
            <w:r w:rsidRPr="00657C01">
              <w:t>65</w:t>
            </w:r>
          </w:p>
        </w:tc>
        <w:tc>
          <w:tcPr>
            <w:tcW w:w="1701" w:type="dxa"/>
          </w:tcPr>
          <w:p w:rsidR="00032324" w:rsidRPr="00657C01" w:rsidRDefault="00032324" w:rsidP="002A0A11">
            <w:pPr>
              <w:spacing w:before="120" w:line="360" w:lineRule="auto"/>
              <w:jc w:val="center"/>
            </w:pPr>
            <w:r w:rsidRPr="00657C01">
              <w:t>4.8</w:t>
            </w:r>
          </w:p>
        </w:tc>
        <w:tc>
          <w:tcPr>
            <w:tcW w:w="567" w:type="dxa"/>
          </w:tcPr>
          <w:p w:rsidR="00032324" w:rsidRPr="00657C01" w:rsidRDefault="00032324" w:rsidP="002A0A11">
            <w:pPr>
              <w:spacing w:before="120" w:line="360" w:lineRule="auto"/>
              <w:jc w:val="center"/>
            </w:pPr>
            <w:r w:rsidRPr="00657C01">
              <w:t>154</w:t>
            </w:r>
          </w:p>
        </w:tc>
        <w:tc>
          <w:tcPr>
            <w:tcW w:w="1701" w:type="dxa"/>
          </w:tcPr>
          <w:p w:rsidR="00032324" w:rsidRPr="00657C01" w:rsidRDefault="00032324" w:rsidP="002A0A11">
            <w:pPr>
              <w:spacing w:before="120"/>
              <w:jc w:val="center"/>
            </w:pPr>
            <w:r w:rsidRPr="00657C01">
              <w:t>6.1</w:t>
            </w:r>
          </w:p>
        </w:tc>
      </w:tr>
      <w:tr w:rsidR="00032324" w:rsidRPr="00657C01" w:rsidTr="002A0A11">
        <w:trPr>
          <w:trHeight w:val="170"/>
        </w:trPr>
        <w:tc>
          <w:tcPr>
            <w:tcW w:w="1413" w:type="dxa"/>
          </w:tcPr>
          <w:p w:rsidR="00032324" w:rsidRPr="00657C01" w:rsidRDefault="00032324" w:rsidP="002A0A11">
            <w:pPr>
              <w:spacing w:before="120" w:line="360" w:lineRule="auto"/>
              <w:ind w:left="113"/>
              <w:rPr>
                <w:b/>
                <w:bCs/>
              </w:rPr>
            </w:pPr>
            <w:r w:rsidRPr="00657C01">
              <w:rPr>
                <w:b/>
                <w:bCs/>
              </w:rPr>
              <w:t>2018</w:t>
            </w:r>
          </w:p>
        </w:tc>
        <w:tc>
          <w:tcPr>
            <w:tcW w:w="501" w:type="dxa"/>
            <w:vAlign w:val="bottom"/>
          </w:tcPr>
          <w:p w:rsidR="00032324" w:rsidRPr="00657C01" w:rsidRDefault="00032324" w:rsidP="002A0A11">
            <w:pPr>
              <w:spacing w:before="120" w:line="360" w:lineRule="auto"/>
              <w:jc w:val="center"/>
            </w:pPr>
            <w:r w:rsidRPr="00657C01">
              <w:t>102</w:t>
            </w:r>
          </w:p>
        </w:tc>
        <w:tc>
          <w:tcPr>
            <w:tcW w:w="1705" w:type="dxa"/>
          </w:tcPr>
          <w:p w:rsidR="00032324" w:rsidRPr="00657C01" w:rsidRDefault="00032324" w:rsidP="002A0A11">
            <w:pPr>
              <w:spacing w:before="120" w:line="360" w:lineRule="auto"/>
              <w:jc w:val="center"/>
            </w:pPr>
            <w:r w:rsidRPr="00657C01">
              <w:t>8.4</w:t>
            </w:r>
          </w:p>
        </w:tc>
        <w:tc>
          <w:tcPr>
            <w:tcW w:w="567" w:type="dxa"/>
            <w:vAlign w:val="bottom"/>
          </w:tcPr>
          <w:p w:rsidR="00032324" w:rsidRPr="00657C01" w:rsidRDefault="00032324" w:rsidP="002A0A11">
            <w:pPr>
              <w:spacing w:before="120" w:line="360" w:lineRule="auto"/>
              <w:jc w:val="center"/>
            </w:pPr>
            <w:r w:rsidRPr="00657C01">
              <w:t>80</w:t>
            </w:r>
          </w:p>
        </w:tc>
        <w:tc>
          <w:tcPr>
            <w:tcW w:w="1701" w:type="dxa"/>
          </w:tcPr>
          <w:p w:rsidR="00032324" w:rsidRPr="00657C01" w:rsidRDefault="00032324" w:rsidP="002A0A11">
            <w:pPr>
              <w:spacing w:before="120" w:line="360" w:lineRule="auto"/>
              <w:jc w:val="center"/>
            </w:pPr>
            <w:r w:rsidRPr="00657C01">
              <w:t>5.8</w:t>
            </w:r>
          </w:p>
        </w:tc>
        <w:tc>
          <w:tcPr>
            <w:tcW w:w="567" w:type="dxa"/>
            <w:vAlign w:val="bottom"/>
          </w:tcPr>
          <w:p w:rsidR="00032324" w:rsidRPr="00657C01" w:rsidRDefault="00032324" w:rsidP="002A0A11">
            <w:pPr>
              <w:spacing w:before="120" w:line="360" w:lineRule="auto"/>
              <w:jc w:val="center"/>
            </w:pPr>
            <w:r w:rsidRPr="00657C01">
              <w:t>182</w:t>
            </w:r>
          </w:p>
        </w:tc>
        <w:tc>
          <w:tcPr>
            <w:tcW w:w="1701" w:type="dxa"/>
          </w:tcPr>
          <w:p w:rsidR="00032324" w:rsidRPr="00657C01" w:rsidRDefault="00032324" w:rsidP="002A0A11">
            <w:pPr>
              <w:spacing w:before="120"/>
              <w:jc w:val="center"/>
            </w:pPr>
            <w:r w:rsidRPr="00657C01">
              <w:t>7.0</w:t>
            </w:r>
          </w:p>
        </w:tc>
      </w:tr>
      <w:tr w:rsidR="00032324" w:rsidRPr="00657C01" w:rsidTr="002A0A11">
        <w:trPr>
          <w:trHeight w:val="170"/>
        </w:trPr>
        <w:tc>
          <w:tcPr>
            <w:tcW w:w="1413" w:type="dxa"/>
          </w:tcPr>
          <w:p w:rsidR="00032324" w:rsidRPr="00657C01" w:rsidRDefault="00032324" w:rsidP="002A0A11">
            <w:pPr>
              <w:spacing w:before="120" w:line="360" w:lineRule="auto"/>
              <w:ind w:left="113"/>
              <w:rPr>
                <w:b/>
                <w:bCs/>
              </w:rPr>
            </w:pPr>
            <w:r w:rsidRPr="00657C01">
              <w:rPr>
                <w:b/>
                <w:bCs/>
              </w:rPr>
              <w:t>2019</w:t>
            </w:r>
          </w:p>
        </w:tc>
        <w:tc>
          <w:tcPr>
            <w:tcW w:w="501" w:type="dxa"/>
          </w:tcPr>
          <w:p w:rsidR="00032324" w:rsidRPr="00657C01" w:rsidRDefault="00032324" w:rsidP="002A0A11">
            <w:pPr>
              <w:spacing w:before="120" w:line="360" w:lineRule="auto"/>
              <w:jc w:val="center"/>
            </w:pPr>
            <w:r w:rsidRPr="00657C01">
              <w:t>168</w:t>
            </w:r>
          </w:p>
        </w:tc>
        <w:tc>
          <w:tcPr>
            <w:tcW w:w="1705" w:type="dxa"/>
          </w:tcPr>
          <w:p w:rsidR="00032324" w:rsidRPr="00657C01" w:rsidRDefault="00032324" w:rsidP="002A0A11">
            <w:pPr>
              <w:spacing w:before="120"/>
              <w:jc w:val="center"/>
            </w:pPr>
            <w:r w:rsidRPr="00657C01">
              <w:t>13.6</w:t>
            </w:r>
          </w:p>
        </w:tc>
        <w:tc>
          <w:tcPr>
            <w:tcW w:w="567" w:type="dxa"/>
          </w:tcPr>
          <w:p w:rsidR="00032324" w:rsidRPr="00657C01" w:rsidRDefault="00032324" w:rsidP="002A0A11">
            <w:pPr>
              <w:spacing w:before="120" w:line="360" w:lineRule="auto"/>
              <w:jc w:val="center"/>
            </w:pPr>
            <w:r w:rsidRPr="00657C01">
              <w:t>117</w:t>
            </w:r>
          </w:p>
        </w:tc>
        <w:tc>
          <w:tcPr>
            <w:tcW w:w="1701" w:type="dxa"/>
          </w:tcPr>
          <w:p w:rsidR="00032324" w:rsidRPr="00657C01" w:rsidRDefault="00032324" w:rsidP="002A0A11">
            <w:pPr>
              <w:spacing w:before="120"/>
              <w:jc w:val="center"/>
            </w:pPr>
            <w:r w:rsidRPr="00657C01">
              <w:t>8.3</w:t>
            </w:r>
          </w:p>
        </w:tc>
        <w:tc>
          <w:tcPr>
            <w:tcW w:w="567" w:type="dxa"/>
          </w:tcPr>
          <w:p w:rsidR="00032324" w:rsidRPr="00657C01" w:rsidRDefault="00032324" w:rsidP="002A0A11">
            <w:pPr>
              <w:spacing w:before="120" w:line="360" w:lineRule="auto"/>
              <w:jc w:val="center"/>
            </w:pPr>
            <w:r w:rsidRPr="00657C01">
              <w:t>285</w:t>
            </w:r>
          </w:p>
        </w:tc>
        <w:tc>
          <w:tcPr>
            <w:tcW w:w="1701" w:type="dxa"/>
          </w:tcPr>
          <w:p w:rsidR="00032324" w:rsidRPr="00657C01" w:rsidRDefault="00032324" w:rsidP="002A0A11">
            <w:pPr>
              <w:spacing w:before="120"/>
              <w:jc w:val="center"/>
            </w:pPr>
            <w:r w:rsidRPr="00657C01">
              <w:t>10.8</w:t>
            </w:r>
          </w:p>
        </w:tc>
      </w:tr>
      <w:tr w:rsidR="00032324" w:rsidRPr="00657C01" w:rsidTr="002A0A11">
        <w:trPr>
          <w:trHeight w:val="170"/>
        </w:trPr>
        <w:tc>
          <w:tcPr>
            <w:tcW w:w="1413" w:type="dxa"/>
          </w:tcPr>
          <w:p w:rsidR="00032324" w:rsidRPr="00657C01" w:rsidRDefault="00032324" w:rsidP="002A0A11">
            <w:pPr>
              <w:spacing w:before="120" w:line="360" w:lineRule="auto"/>
              <w:ind w:left="113"/>
              <w:rPr>
                <w:b/>
                <w:bCs/>
              </w:rPr>
            </w:pPr>
            <w:r w:rsidRPr="00657C01">
              <w:rPr>
                <w:b/>
                <w:bCs/>
              </w:rPr>
              <w:t>2020</w:t>
            </w:r>
          </w:p>
        </w:tc>
        <w:tc>
          <w:tcPr>
            <w:tcW w:w="501" w:type="dxa"/>
          </w:tcPr>
          <w:p w:rsidR="00032324" w:rsidRPr="00657C01" w:rsidRDefault="00032324" w:rsidP="002A0A11">
            <w:pPr>
              <w:spacing w:before="120" w:line="360" w:lineRule="auto"/>
              <w:jc w:val="center"/>
            </w:pPr>
            <w:r w:rsidRPr="00657C01">
              <w:t>206</w:t>
            </w:r>
          </w:p>
        </w:tc>
        <w:tc>
          <w:tcPr>
            <w:tcW w:w="1705" w:type="dxa"/>
          </w:tcPr>
          <w:p w:rsidR="00032324" w:rsidRPr="00657C01" w:rsidRDefault="00032324" w:rsidP="002A0A11">
            <w:pPr>
              <w:spacing w:before="120"/>
              <w:jc w:val="center"/>
            </w:pPr>
            <w:r w:rsidRPr="00657C01">
              <w:t>16.3</w:t>
            </w:r>
          </w:p>
        </w:tc>
        <w:tc>
          <w:tcPr>
            <w:tcW w:w="567" w:type="dxa"/>
          </w:tcPr>
          <w:p w:rsidR="00032324" w:rsidRPr="00657C01" w:rsidRDefault="00032324" w:rsidP="002A0A11">
            <w:pPr>
              <w:spacing w:before="120" w:line="360" w:lineRule="auto"/>
              <w:jc w:val="center"/>
            </w:pPr>
            <w:r w:rsidRPr="00657C01">
              <w:t>135</w:t>
            </w:r>
          </w:p>
        </w:tc>
        <w:tc>
          <w:tcPr>
            <w:tcW w:w="1701" w:type="dxa"/>
          </w:tcPr>
          <w:p w:rsidR="00032324" w:rsidRPr="00657C01" w:rsidRDefault="00032324" w:rsidP="002A0A11">
            <w:pPr>
              <w:spacing w:before="120"/>
              <w:jc w:val="center"/>
            </w:pPr>
            <w:r w:rsidRPr="00657C01">
              <w:t>9.5</w:t>
            </w:r>
          </w:p>
        </w:tc>
        <w:tc>
          <w:tcPr>
            <w:tcW w:w="567" w:type="dxa"/>
          </w:tcPr>
          <w:p w:rsidR="00032324" w:rsidRPr="00657C01" w:rsidRDefault="00032324" w:rsidP="002A0A11">
            <w:pPr>
              <w:spacing w:before="120" w:line="360" w:lineRule="auto"/>
              <w:jc w:val="center"/>
            </w:pPr>
            <w:r w:rsidRPr="00657C01">
              <w:t>341</w:t>
            </w:r>
          </w:p>
        </w:tc>
        <w:tc>
          <w:tcPr>
            <w:tcW w:w="1701" w:type="dxa"/>
          </w:tcPr>
          <w:p w:rsidR="00032324" w:rsidRPr="00657C01" w:rsidRDefault="00032324" w:rsidP="002A0A11">
            <w:pPr>
              <w:spacing w:before="120"/>
              <w:jc w:val="center"/>
            </w:pPr>
            <w:r w:rsidRPr="00657C01">
              <w:t>12.7</w:t>
            </w:r>
          </w:p>
        </w:tc>
      </w:tr>
      <w:tr w:rsidR="00032324" w:rsidRPr="00657C01" w:rsidTr="002A0A11">
        <w:trPr>
          <w:trHeight w:val="170"/>
        </w:trPr>
        <w:tc>
          <w:tcPr>
            <w:tcW w:w="1413" w:type="dxa"/>
          </w:tcPr>
          <w:p w:rsidR="00032324" w:rsidRPr="00657C01" w:rsidRDefault="00032324" w:rsidP="002A0A11">
            <w:pPr>
              <w:spacing w:before="120" w:line="360" w:lineRule="auto"/>
              <w:ind w:left="113"/>
              <w:rPr>
                <w:b/>
                <w:bCs/>
              </w:rPr>
            </w:pPr>
            <w:r w:rsidRPr="00657C01">
              <w:rPr>
                <w:b/>
                <w:bCs/>
              </w:rPr>
              <w:t>2021</w:t>
            </w:r>
          </w:p>
        </w:tc>
        <w:tc>
          <w:tcPr>
            <w:tcW w:w="501" w:type="dxa"/>
          </w:tcPr>
          <w:p w:rsidR="00032324" w:rsidRPr="00657C01" w:rsidRDefault="00032324" w:rsidP="002A0A11">
            <w:pPr>
              <w:spacing w:before="120" w:line="360" w:lineRule="auto"/>
              <w:jc w:val="center"/>
            </w:pPr>
            <w:r w:rsidRPr="00657C01">
              <w:t>250</w:t>
            </w:r>
          </w:p>
        </w:tc>
        <w:tc>
          <w:tcPr>
            <w:tcW w:w="1705" w:type="dxa"/>
          </w:tcPr>
          <w:p w:rsidR="00032324" w:rsidRPr="00657C01" w:rsidRDefault="00032324" w:rsidP="002A0A11">
            <w:pPr>
              <w:spacing w:before="120"/>
              <w:jc w:val="center"/>
            </w:pPr>
            <w:r w:rsidRPr="00657C01">
              <w:t>19.8</w:t>
            </w:r>
          </w:p>
        </w:tc>
        <w:tc>
          <w:tcPr>
            <w:tcW w:w="567" w:type="dxa"/>
          </w:tcPr>
          <w:p w:rsidR="00032324" w:rsidRPr="00657C01" w:rsidRDefault="00032324" w:rsidP="002A0A11">
            <w:pPr>
              <w:spacing w:before="120" w:line="360" w:lineRule="auto"/>
              <w:jc w:val="center"/>
            </w:pPr>
            <w:r w:rsidRPr="00657C01">
              <w:t>155</w:t>
            </w:r>
          </w:p>
        </w:tc>
        <w:tc>
          <w:tcPr>
            <w:tcW w:w="1701" w:type="dxa"/>
          </w:tcPr>
          <w:p w:rsidR="00032324" w:rsidRPr="00657C01" w:rsidRDefault="00032324" w:rsidP="002A0A11">
            <w:pPr>
              <w:spacing w:before="120"/>
              <w:jc w:val="center"/>
            </w:pPr>
            <w:r w:rsidRPr="00657C01">
              <w:t>10.8</w:t>
            </w:r>
          </w:p>
        </w:tc>
        <w:tc>
          <w:tcPr>
            <w:tcW w:w="567" w:type="dxa"/>
          </w:tcPr>
          <w:p w:rsidR="00032324" w:rsidRPr="00657C01" w:rsidRDefault="00032324" w:rsidP="002A0A11">
            <w:pPr>
              <w:spacing w:before="120" w:line="360" w:lineRule="auto"/>
              <w:jc w:val="center"/>
            </w:pPr>
            <w:r w:rsidRPr="00657C01">
              <w:t>405</w:t>
            </w:r>
          </w:p>
        </w:tc>
        <w:tc>
          <w:tcPr>
            <w:tcW w:w="1701" w:type="dxa"/>
          </w:tcPr>
          <w:p w:rsidR="00032324" w:rsidRPr="00657C01" w:rsidRDefault="00032324" w:rsidP="002A0A11">
            <w:pPr>
              <w:spacing w:before="120"/>
              <w:jc w:val="center"/>
            </w:pPr>
            <w:r w:rsidRPr="00657C01">
              <w:t>15.0</w:t>
            </w:r>
          </w:p>
        </w:tc>
      </w:tr>
      <w:tr w:rsidR="00032324" w:rsidRPr="00657C01" w:rsidTr="002A0A11">
        <w:trPr>
          <w:trHeight w:val="170"/>
        </w:trPr>
        <w:tc>
          <w:tcPr>
            <w:tcW w:w="1413" w:type="dxa"/>
          </w:tcPr>
          <w:p w:rsidR="00032324" w:rsidRPr="00657C01" w:rsidRDefault="00032324" w:rsidP="002A0A11">
            <w:pPr>
              <w:spacing w:before="120" w:line="360" w:lineRule="auto"/>
              <w:ind w:left="113"/>
              <w:rPr>
                <w:b/>
                <w:bCs/>
              </w:rPr>
            </w:pPr>
            <w:r w:rsidRPr="00657C01">
              <w:rPr>
                <w:b/>
                <w:bCs/>
              </w:rPr>
              <w:t>2022</w:t>
            </w:r>
          </w:p>
        </w:tc>
        <w:tc>
          <w:tcPr>
            <w:tcW w:w="501" w:type="dxa"/>
          </w:tcPr>
          <w:p w:rsidR="00032324" w:rsidRPr="00657C01" w:rsidRDefault="00032324" w:rsidP="002A0A11">
            <w:pPr>
              <w:spacing w:before="120" w:line="360" w:lineRule="auto"/>
              <w:jc w:val="center"/>
            </w:pPr>
            <w:r w:rsidRPr="00657C01">
              <w:t>276</w:t>
            </w:r>
          </w:p>
        </w:tc>
        <w:tc>
          <w:tcPr>
            <w:tcW w:w="1705" w:type="dxa"/>
          </w:tcPr>
          <w:p w:rsidR="00032324" w:rsidRPr="00657C01" w:rsidRDefault="00032324" w:rsidP="002A0A11">
            <w:pPr>
              <w:spacing w:before="120"/>
              <w:jc w:val="center"/>
            </w:pPr>
            <w:r w:rsidRPr="00657C01">
              <w:t>21.8</w:t>
            </w:r>
          </w:p>
        </w:tc>
        <w:tc>
          <w:tcPr>
            <w:tcW w:w="567" w:type="dxa"/>
          </w:tcPr>
          <w:p w:rsidR="00032324" w:rsidRPr="00657C01" w:rsidRDefault="00032324" w:rsidP="002A0A11">
            <w:pPr>
              <w:spacing w:before="120" w:line="360" w:lineRule="auto"/>
              <w:jc w:val="center"/>
            </w:pPr>
            <w:r w:rsidRPr="00657C01">
              <w:t>185</w:t>
            </w:r>
          </w:p>
        </w:tc>
        <w:tc>
          <w:tcPr>
            <w:tcW w:w="1701" w:type="dxa"/>
          </w:tcPr>
          <w:p w:rsidR="00032324" w:rsidRPr="00657C01" w:rsidRDefault="00032324" w:rsidP="002A0A11">
            <w:pPr>
              <w:spacing w:before="120"/>
              <w:jc w:val="center"/>
            </w:pPr>
            <w:r w:rsidRPr="00657C01">
              <w:t>12.9</w:t>
            </w:r>
          </w:p>
        </w:tc>
        <w:tc>
          <w:tcPr>
            <w:tcW w:w="567" w:type="dxa"/>
          </w:tcPr>
          <w:p w:rsidR="00032324" w:rsidRPr="00657C01" w:rsidRDefault="00032324" w:rsidP="002A0A11">
            <w:pPr>
              <w:spacing w:before="120" w:line="360" w:lineRule="auto"/>
              <w:jc w:val="center"/>
            </w:pPr>
            <w:r w:rsidRPr="00657C01">
              <w:t>461</w:t>
            </w:r>
          </w:p>
        </w:tc>
        <w:tc>
          <w:tcPr>
            <w:tcW w:w="1701" w:type="dxa"/>
          </w:tcPr>
          <w:p w:rsidR="00032324" w:rsidRPr="00657C01" w:rsidRDefault="00032324" w:rsidP="002A0A11">
            <w:pPr>
              <w:spacing w:before="120"/>
              <w:jc w:val="center"/>
            </w:pPr>
            <w:r w:rsidRPr="00657C01">
              <w:t>17.0</w:t>
            </w:r>
          </w:p>
        </w:tc>
      </w:tr>
      <w:tr w:rsidR="00032324" w:rsidRPr="00657C01" w:rsidTr="002A0A11">
        <w:trPr>
          <w:trHeight w:val="170"/>
        </w:trPr>
        <w:tc>
          <w:tcPr>
            <w:tcW w:w="8155" w:type="dxa"/>
            <w:gridSpan w:val="7"/>
            <w:vAlign w:val="bottom"/>
          </w:tcPr>
          <w:p w:rsidR="00032324" w:rsidRPr="00657C01" w:rsidRDefault="00032324" w:rsidP="002A0A11">
            <w:pPr>
              <w:spacing w:before="120"/>
            </w:pPr>
            <w:r w:rsidRPr="79A58E44">
              <w:rPr>
                <w:b/>
                <w:bCs/>
              </w:rPr>
              <w:t>Patients who received post-cBTKi therapy</w:t>
            </w:r>
          </w:p>
        </w:tc>
      </w:tr>
      <w:tr w:rsidR="00032324" w:rsidRPr="00657C01" w:rsidTr="002A0A11">
        <w:trPr>
          <w:trHeight w:val="170"/>
        </w:trPr>
        <w:tc>
          <w:tcPr>
            <w:tcW w:w="1413" w:type="dxa"/>
          </w:tcPr>
          <w:p w:rsidR="00032324" w:rsidRPr="00657C01" w:rsidRDefault="00032324" w:rsidP="002A0A11">
            <w:pPr>
              <w:spacing w:before="120" w:line="360" w:lineRule="auto"/>
              <w:ind w:left="113"/>
              <w:rPr>
                <w:b/>
                <w:bCs/>
              </w:rPr>
            </w:pPr>
            <w:r w:rsidRPr="00657C01">
              <w:rPr>
                <w:b/>
                <w:bCs/>
              </w:rPr>
              <w:t>2015</w:t>
            </w:r>
          </w:p>
        </w:tc>
        <w:tc>
          <w:tcPr>
            <w:tcW w:w="501" w:type="dxa"/>
          </w:tcPr>
          <w:p w:rsidR="00032324" w:rsidRPr="00657C01" w:rsidRDefault="00032324" w:rsidP="002A0A11">
            <w:pPr>
              <w:spacing w:before="120" w:line="360" w:lineRule="auto"/>
              <w:jc w:val="center"/>
            </w:pPr>
            <w:r w:rsidRPr="00657C01">
              <w:t>4</w:t>
            </w:r>
          </w:p>
        </w:tc>
        <w:tc>
          <w:tcPr>
            <w:tcW w:w="1705" w:type="dxa"/>
          </w:tcPr>
          <w:p w:rsidR="00032324" w:rsidRPr="00657C01" w:rsidRDefault="00032324" w:rsidP="002A0A11">
            <w:pPr>
              <w:spacing w:before="120"/>
              <w:jc w:val="center"/>
            </w:pPr>
            <w:r w:rsidRPr="00657C01">
              <w:t>0.4</w:t>
            </w:r>
          </w:p>
        </w:tc>
        <w:tc>
          <w:tcPr>
            <w:tcW w:w="567" w:type="dxa"/>
          </w:tcPr>
          <w:p w:rsidR="00032324" w:rsidRPr="00657C01" w:rsidRDefault="00032324" w:rsidP="002A0A11">
            <w:pPr>
              <w:spacing w:before="120" w:line="360" w:lineRule="auto"/>
              <w:jc w:val="center"/>
            </w:pPr>
            <w:r w:rsidRPr="00657C01">
              <w:t>0</w:t>
            </w:r>
          </w:p>
        </w:tc>
        <w:tc>
          <w:tcPr>
            <w:tcW w:w="1701" w:type="dxa"/>
          </w:tcPr>
          <w:p w:rsidR="00032324" w:rsidRPr="00657C01" w:rsidRDefault="00032324" w:rsidP="002A0A11">
            <w:pPr>
              <w:spacing w:before="120"/>
              <w:jc w:val="center"/>
            </w:pPr>
            <w:r w:rsidRPr="00657C01">
              <w:t>0</w:t>
            </w:r>
          </w:p>
        </w:tc>
        <w:tc>
          <w:tcPr>
            <w:tcW w:w="567" w:type="dxa"/>
          </w:tcPr>
          <w:p w:rsidR="00032324" w:rsidRPr="00657C01" w:rsidRDefault="00032324" w:rsidP="002A0A11">
            <w:pPr>
              <w:spacing w:before="120" w:line="360" w:lineRule="auto"/>
              <w:jc w:val="center"/>
            </w:pPr>
            <w:r w:rsidRPr="00657C01">
              <w:t>4</w:t>
            </w:r>
          </w:p>
        </w:tc>
        <w:tc>
          <w:tcPr>
            <w:tcW w:w="1701" w:type="dxa"/>
          </w:tcPr>
          <w:p w:rsidR="00032324" w:rsidRPr="00657C01" w:rsidRDefault="00032324" w:rsidP="002A0A11">
            <w:pPr>
              <w:spacing w:before="120"/>
              <w:jc w:val="center"/>
            </w:pPr>
            <w:r w:rsidRPr="00657C01">
              <w:t>0.2</w:t>
            </w:r>
          </w:p>
        </w:tc>
      </w:tr>
      <w:tr w:rsidR="00032324" w:rsidRPr="00657C01" w:rsidTr="002A0A11">
        <w:trPr>
          <w:trHeight w:val="170"/>
        </w:trPr>
        <w:tc>
          <w:tcPr>
            <w:tcW w:w="1413" w:type="dxa"/>
            <w:vAlign w:val="bottom"/>
          </w:tcPr>
          <w:p w:rsidR="00032324" w:rsidRPr="00657C01" w:rsidRDefault="00032324" w:rsidP="002A0A11">
            <w:pPr>
              <w:spacing w:before="120" w:line="360" w:lineRule="auto"/>
              <w:ind w:left="113"/>
              <w:rPr>
                <w:b/>
                <w:bCs/>
              </w:rPr>
            </w:pPr>
            <w:r w:rsidRPr="00657C01">
              <w:rPr>
                <w:b/>
                <w:bCs/>
              </w:rPr>
              <w:t>2016</w:t>
            </w:r>
          </w:p>
        </w:tc>
        <w:tc>
          <w:tcPr>
            <w:tcW w:w="501" w:type="dxa"/>
          </w:tcPr>
          <w:p w:rsidR="00032324" w:rsidRPr="00657C01" w:rsidRDefault="00032324" w:rsidP="002A0A11">
            <w:pPr>
              <w:spacing w:before="120" w:line="360" w:lineRule="auto"/>
              <w:jc w:val="center"/>
            </w:pPr>
            <w:r w:rsidRPr="00657C01">
              <w:t>11</w:t>
            </w:r>
          </w:p>
        </w:tc>
        <w:tc>
          <w:tcPr>
            <w:tcW w:w="1705" w:type="dxa"/>
          </w:tcPr>
          <w:p w:rsidR="00032324" w:rsidRPr="00657C01" w:rsidRDefault="00032324" w:rsidP="002A0A11">
            <w:pPr>
              <w:spacing w:before="120"/>
              <w:jc w:val="center"/>
            </w:pPr>
            <w:r w:rsidRPr="00657C01">
              <w:t>1.1</w:t>
            </w:r>
          </w:p>
        </w:tc>
        <w:tc>
          <w:tcPr>
            <w:tcW w:w="567" w:type="dxa"/>
          </w:tcPr>
          <w:p w:rsidR="00032324" w:rsidRPr="00657C01" w:rsidRDefault="00032324" w:rsidP="002A0A11">
            <w:pPr>
              <w:spacing w:before="120" w:line="360" w:lineRule="auto"/>
              <w:jc w:val="center"/>
            </w:pPr>
            <w:r w:rsidRPr="00657C01">
              <w:t>4</w:t>
            </w:r>
          </w:p>
        </w:tc>
        <w:tc>
          <w:tcPr>
            <w:tcW w:w="1701" w:type="dxa"/>
          </w:tcPr>
          <w:p w:rsidR="00032324" w:rsidRPr="00657C01" w:rsidRDefault="00032324" w:rsidP="002A0A11">
            <w:pPr>
              <w:spacing w:before="120"/>
              <w:jc w:val="center"/>
            </w:pPr>
            <w:r w:rsidRPr="00657C01">
              <w:t>0.3</w:t>
            </w:r>
          </w:p>
        </w:tc>
        <w:tc>
          <w:tcPr>
            <w:tcW w:w="567" w:type="dxa"/>
          </w:tcPr>
          <w:p w:rsidR="00032324" w:rsidRPr="00657C01" w:rsidRDefault="00032324" w:rsidP="002A0A11">
            <w:pPr>
              <w:spacing w:before="120" w:line="360" w:lineRule="auto"/>
              <w:jc w:val="center"/>
            </w:pPr>
            <w:r w:rsidRPr="00657C01">
              <w:t>15</w:t>
            </w:r>
          </w:p>
        </w:tc>
        <w:tc>
          <w:tcPr>
            <w:tcW w:w="1701" w:type="dxa"/>
          </w:tcPr>
          <w:p w:rsidR="00032324" w:rsidRPr="00657C01" w:rsidRDefault="00032324" w:rsidP="002A0A11">
            <w:pPr>
              <w:spacing w:before="120"/>
              <w:jc w:val="center"/>
            </w:pPr>
            <w:r w:rsidRPr="00657C01">
              <w:t>0.7</w:t>
            </w:r>
          </w:p>
        </w:tc>
      </w:tr>
      <w:tr w:rsidR="00032324" w:rsidRPr="00657C01" w:rsidTr="002A0A11">
        <w:trPr>
          <w:trHeight w:val="170"/>
        </w:trPr>
        <w:tc>
          <w:tcPr>
            <w:tcW w:w="1413" w:type="dxa"/>
          </w:tcPr>
          <w:p w:rsidR="00032324" w:rsidRPr="00657C01" w:rsidRDefault="00032324" w:rsidP="002A0A11">
            <w:pPr>
              <w:spacing w:before="120" w:line="360" w:lineRule="auto"/>
              <w:ind w:left="113"/>
              <w:rPr>
                <w:b/>
                <w:bCs/>
              </w:rPr>
            </w:pPr>
            <w:r w:rsidRPr="00657C01">
              <w:rPr>
                <w:b/>
                <w:bCs/>
              </w:rPr>
              <w:t>2017</w:t>
            </w:r>
          </w:p>
        </w:tc>
        <w:tc>
          <w:tcPr>
            <w:tcW w:w="501" w:type="dxa"/>
          </w:tcPr>
          <w:p w:rsidR="00032324" w:rsidRPr="00657C01" w:rsidRDefault="00032324" w:rsidP="002A0A11">
            <w:pPr>
              <w:spacing w:before="120" w:line="360" w:lineRule="auto"/>
              <w:jc w:val="center"/>
            </w:pPr>
            <w:r w:rsidRPr="00657C01">
              <w:t>18</w:t>
            </w:r>
          </w:p>
        </w:tc>
        <w:tc>
          <w:tcPr>
            <w:tcW w:w="1705" w:type="dxa"/>
          </w:tcPr>
          <w:p w:rsidR="00032324" w:rsidRPr="00657C01" w:rsidRDefault="00032324" w:rsidP="002A0A11">
            <w:pPr>
              <w:spacing w:before="120"/>
              <w:jc w:val="center"/>
            </w:pPr>
            <w:r w:rsidRPr="00657C01">
              <w:t>1.5</w:t>
            </w:r>
          </w:p>
        </w:tc>
        <w:tc>
          <w:tcPr>
            <w:tcW w:w="567" w:type="dxa"/>
          </w:tcPr>
          <w:p w:rsidR="00032324" w:rsidRPr="00657C01" w:rsidRDefault="00032324" w:rsidP="002A0A11">
            <w:pPr>
              <w:spacing w:before="120" w:line="360" w:lineRule="auto"/>
              <w:jc w:val="center"/>
            </w:pPr>
            <w:r w:rsidRPr="00657C01">
              <w:t>12</w:t>
            </w:r>
          </w:p>
        </w:tc>
        <w:tc>
          <w:tcPr>
            <w:tcW w:w="1701" w:type="dxa"/>
          </w:tcPr>
          <w:p w:rsidR="00032324" w:rsidRPr="00657C01" w:rsidRDefault="00032324" w:rsidP="002A0A11">
            <w:pPr>
              <w:spacing w:before="120"/>
              <w:jc w:val="center"/>
            </w:pPr>
            <w:r w:rsidRPr="00657C01">
              <w:t>0.9</w:t>
            </w:r>
          </w:p>
        </w:tc>
        <w:tc>
          <w:tcPr>
            <w:tcW w:w="567" w:type="dxa"/>
          </w:tcPr>
          <w:p w:rsidR="00032324" w:rsidRPr="00657C01" w:rsidRDefault="00032324" w:rsidP="002A0A11">
            <w:pPr>
              <w:spacing w:before="120" w:line="360" w:lineRule="auto"/>
              <w:jc w:val="center"/>
            </w:pPr>
            <w:r w:rsidRPr="00657C01">
              <w:t>30</w:t>
            </w:r>
          </w:p>
        </w:tc>
        <w:tc>
          <w:tcPr>
            <w:tcW w:w="1701" w:type="dxa"/>
          </w:tcPr>
          <w:p w:rsidR="00032324" w:rsidRPr="00657C01" w:rsidRDefault="00032324" w:rsidP="002A0A11">
            <w:pPr>
              <w:spacing w:before="120"/>
              <w:jc w:val="center"/>
            </w:pPr>
            <w:r w:rsidRPr="00657C01">
              <w:t>1.2</w:t>
            </w:r>
          </w:p>
        </w:tc>
      </w:tr>
      <w:tr w:rsidR="00032324" w:rsidRPr="00657C01" w:rsidTr="002A0A11">
        <w:trPr>
          <w:trHeight w:val="170"/>
        </w:trPr>
        <w:tc>
          <w:tcPr>
            <w:tcW w:w="1413" w:type="dxa"/>
          </w:tcPr>
          <w:p w:rsidR="00032324" w:rsidRPr="00657C01" w:rsidRDefault="00032324" w:rsidP="002A0A11">
            <w:pPr>
              <w:spacing w:before="120" w:line="360" w:lineRule="auto"/>
              <w:ind w:left="113"/>
              <w:rPr>
                <w:b/>
                <w:bCs/>
              </w:rPr>
            </w:pPr>
            <w:r w:rsidRPr="00657C01">
              <w:rPr>
                <w:b/>
                <w:bCs/>
              </w:rPr>
              <w:t>2018</w:t>
            </w:r>
          </w:p>
        </w:tc>
        <w:tc>
          <w:tcPr>
            <w:tcW w:w="501" w:type="dxa"/>
          </w:tcPr>
          <w:p w:rsidR="00032324" w:rsidRPr="00657C01" w:rsidRDefault="00032324" w:rsidP="002A0A11">
            <w:pPr>
              <w:spacing w:before="120" w:line="360" w:lineRule="auto"/>
              <w:jc w:val="center"/>
            </w:pPr>
            <w:r w:rsidRPr="00657C01">
              <w:t>28</w:t>
            </w:r>
          </w:p>
        </w:tc>
        <w:tc>
          <w:tcPr>
            <w:tcW w:w="1705" w:type="dxa"/>
          </w:tcPr>
          <w:p w:rsidR="00032324" w:rsidRPr="00657C01" w:rsidRDefault="00032324" w:rsidP="002A0A11">
            <w:pPr>
              <w:spacing w:before="120"/>
              <w:jc w:val="center"/>
            </w:pPr>
            <w:r w:rsidRPr="00657C01">
              <w:t>2.3</w:t>
            </w:r>
          </w:p>
        </w:tc>
        <w:tc>
          <w:tcPr>
            <w:tcW w:w="567" w:type="dxa"/>
          </w:tcPr>
          <w:p w:rsidR="00032324" w:rsidRPr="00657C01" w:rsidRDefault="00032324" w:rsidP="002A0A11">
            <w:pPr>
              <w:spacing w:before="120" w:line="360" w:lineRule="auto"/>
              <w:jc w:val="center"/>
            </w:pPr>
            <w:r w:rsidRPr="00657C01">
              <w:t>16</w:t>
            </w:r>
          </w:p>
        </w:tc>
        <w:tc>
          <w:tcPr>
            <w:tcW w:w="1701" w:type="dxa"/>
          </w:tcPr>
          <w:p w:rsidR="00032324" w:rsidRPr="00657C01" w:rsidRDefault="00032324" w:rsidP="002A0A11">
            <w:pPr>
              <w:spacing w:before="120"/>
              <w:jc w:val="center"/>
            </w:pPr>
            <w:r w:rsidRPr="00657C01">
              <w:t>1.2</w:t>
            </w:r>
          </w:p>
        </w:tc>
        <w:tc>
          <w:tcPr>
            <w:tcW w:w="567" w:type="dxa"/>
          </w:tcPr>
          <w:p w:rsidR="00032324" w:rsidRPr="00657C01" w:rsidRDefault="00032324" w:rsidP="002A0A11">
            <w:pPr>
              <w:spacing w:before="120" w:line="360" w:lineRule="auto"/>
              <w:jc w:val="center"/>
            </w:pPr>
            <w:r w:rsidRPr="00657C01">
              <w:t>44</w:t>
            </w:r>
          </w:p>
        </w:tc>
        <w:tc>
          <w:tcPr>
            <w:tcW w:w="1701" w:type="dxa"/>
          </w:tcPr>
          <w:p w:rsidR="00032324" w:rsidRPr="00657C01" w:rsidRDefault="00032324" w:rsidP="002A0A11">
            <w:pPr>
              <w:spacing w:before="120"/>
              <w:jc w:val="center"/>
            </w:pPr>
            <w:r w:rsidRPr="00657C01">
              <w:t>1.7</w:t>
            </w:r>
          </w:p>
        </w:tc>
      </w:tr>
      <w:tr w:rsidR="00032324" w:rsidRPr="00657C01" w:rsidTr="002A0A11">
        <w:trPr>
          <w:trHeight w:val="170"/>
        </w:trPr>
        <w:tc>
          <w:tcPr>
            <w:tcW w:w="1413" w:type="dxa"/>
          </w:tcPr>
          <w:p w:rsidR="00032324" w:rsidRPr="00657C01" w:rsidRDefault="00032324" w:rsidP="002A0A11">
            <w:pPr>
              <w:spacing w:before="120" w:line="360" w:lineRule="auto"/>
              <w:ind w:left="113"/>
              <w:rPr>
                <w:b/>
                <w:bCs/>
              </w:rPr>
            </w:pPr>
            <w:r w:rsidRPr="00657C01">
              <w:rPr>
                <w:b/>
                <w:bCs/>
              </w:rPr>
              <w:t>2019</w:t>
            </w:r>
          </w:p>
        </w:tc>
        <w:tc>
          <w:tcPr>
            <w:tcW w:w="501" w:type="dxa"/>
          </w:tcPr>
          <w:p w:rsidR="00032324" w:rsidRPr="00657C01" w:rsidRDefault="00032324" w:rsidP="002A0A11">
            <w:pPr>
              <w:spacing w:before="120" w:line="360" w:lineRule="auto"/>
              <w:jc w:val="center"/>
            </w:pPr>
            <w:r w:rsidRPr="00657C01">
              <w:t>40</w:t>
            </w:r>
          </w:p>
        </w:tc>
        <w:tc>
          <w:tcPr>
            <w:tcW w:w="1705" w:type="dxa"/>
          </w:tcPr>
          <w:p w:rsidR="00032324" w:rsidRPr="00657C01" w:rsidRDefault="00032324" w:rsidP="002A0A11">
            <w:pPr>
              <w:spacing w:before="120"/>
              <w:jc w:val="center"/>
            </w:pPr>
            <w:r w:rsidRPr="00657C01">
              <w:t>3.2</w:t>
            </w:r>
          </w:p>
        </w:tc>
        <w:tc>
          <w:tcPr>
            <w:tcW w:w="567" w:type="dxa"/>
          </w:tcPr>
          <w:p w:rsidR="00032324" w:rsidRPr="00657C01" w:rsidRDefault="00032324" w:rsidP="002A0A11">
            <w:pPr>
              <w:spacing w:before="120" w:line="360" w:lineRule="auto"/>
              <w:jc w:val="center"/>
            </w:pPr>
            <w:r w:rsidRPr="00657C01">
              <w:t>20</w:t>
            </w:r>
          </w:p>
        </w:tc>
        <w:tc>
          <w:tcPr>
            <w:tcW w:w="1701" w:type="dxa"/>
          </w:tcPr>
          <w:p w:rsidR="00032324" w:rsidRPr="00657C01" w:rsidRDefault="00032324" w:rsidP="002A0A11">
            <w:pPr>
              <w:spacing w:before="120"/>
              <w:jc w:val="center"/>
            </w:pPr>
            <w:r w:rsidRPr="00657C01">
              <w:t>1.4</w:t>
            </w:r>
          </w:p>
        </w:tc>
        <w:tc>
          <w:tcPr>
            <w:tcW w:w="567" w:type="dxa"/>
          </w:tcPr>
          <w:p w:rsidR="00032324" w:rsidRPr="00657C01" w:rsidRDefault="00032324" w:rsidP="002A0A11">
            <w:pPr>
              <w:spacing w:before="120" w:line="360" w:lineRule="auto"/>
              <w:jc w:val="center"/>
            </w:pPr>
            <w:r w:rsidRPr="00657C01">
              <w:t>60</w:t>
            </w:r>
          </w:p>
        </w:tc>
        <w:tc>
          <w:tcPr>
            <w:tcW w:w="1701" w:type="dxa"/>
          </w:tcPr>
          <w:p w:rsidR="00032324" w:rsidRPr="00657C01" w:rsidRDefault="00032324" w:rsidP="002A0A11">
            <w:pPr>
              <w:spacing w:before="120"/>
              <w:jc w:val="center"/>
            </w:pPr>
            <w:r w:rsidRPr="00657C01">
              <w:t>2.3</w:t>
            </w:r>
          </w:p>
        </w:tc>
      </w:tr>
      <w:tr w:rsidR="00032324" w:rsidRPr="00657C01" w:rsidTr="002A0A11">
        <w:trPr>
          <w:trHeight w:val="170"/>
        </w:trPr>
        <w:tc>
          <w:tcPr>
            <w:tcW w:w="1413" w:type="dxa"/>
          </w:tcPr>
          <w:p w:rsidR="00032324" w:rsidRPr="00657C01" w:rsidRDefault="00032324" w:rsidP="002A0A11">
            <w:pPr>
              <w:spacing w:before="120" w:line="360" w:lineRule="auto"/>
              <w:ind w:left="113"/>
              <w:rPr>
                <w:b/>
                <w:bCs/>
              </w:rPr>
            </w:pPr>
            <w:r w:rsidRPr="00657C01">
              <w:rPr>
                <w:b/>
                <w:bCs/>
              </w:rPr>
              <w:t>2020</w:t>
            </w:r>
          </w:p>
        </w:tc>
        <w:tc>
          <w:tcPr>
            <w:tcW w:w="501" w:type="dxa"/>
          </w:tcPr>
          <w:p w:rsidR="00032324" w:rsidRPr="00657C01" w:rsidRDefault="00032324" w:rsidP="002A0A11">
            <w:pPr>
              <w:spacing w:before="120" w:line="360" w:lineRule="auto"/>
              <w:jc w:val="center"/>
            </w:pPr>
            <w:r w:rsidRPr="00657C01">
              <w:t>42</w:t>
            </w:r>
          </w:p>
        </w:tc>
        <w:tc>
          <w:tcPr>
            <w:tcW w:w="1705" w:type="dxa"/>
          </w:tcPr>
          <w:p w:rsidR="00032324" w:rsidRPr="00657C01" w:rsidRDefault="00032324" w:rsidP="002A0A11">
            <w:pPr>
              <w:spacing w:before="120"/>
              <w:jc w:val="center"/>
            </w:pPr>
            <w:r w:rsidRPr="00657C01">
              <w:t>3.3</w:t>
            </w:r>
          </w:p>
        </w:tc>
        <w:tc>
          <w:tcPr>
            <w:tcW w:w="567" w:type="dxa"/>
          </w:tcPr>
          <w:p w:rsidR="00032324" w:rsidRPr="00657C01" w:rsidRDefault="00032324" w:rsidP="002A0A11">
            <w:pPr>
              <w:spacing w:before="120" w:line="360" w:lineRule="auto"/>
              <w:jc w:val="center"/>
            </w:pPr>
            <w:r w:rsidRPr="00657C01">
              <w:t>31</w:t>
            </w:r>
          </w:p>
        </w:tc>
        <w:tc>
          <w:tcPr>
            <w:tcW w:w="1701" w:type="dxa"/>
          </w:tcPr>
          <w:p w:rsidR="00032324" w:rsidRPr="00657C01" w:rsidRDefault="00032324" w:rsidP="002A0A11">
            <w:pPr>
              <w:spacing w:before="120"/>
              <w:jc w:val="center"/>
            </w:pPr>
            <w:r w:rsidRPr="00657C01">
              <w:t>2.2</w:t>
            </w:r>
          </w:p>
        </w:tc>
        <w:tc>
          <w:tcPr>
            <w:tcW w:w="567" w:type="dxa"/>
          </w:tcPr>
          <w:p w:rsidR="00032324" w:rsidRPr="00657C01" w:rsidRDefault="00032324" w:rsidP="002A0A11">
            <w:pPr>
              <w:spacing w:before="120" w:line="360" w:lineRule="auto"/>
              <w:jc w:val="center"/>
            </w:pPr>
            <w:r w:rsidRPr="00657C01">
              <w:t>73</w:t>
            </w:r>
          </w:p>
        </w:tc>
        <w:tc>
          <w:tcPr>
            <w:tcW w:w="1701" w:type="dxa"/>
          </w:tcPr>
          <w:p w:rsidR="00032324" w:rsidRPr="00657C01" w:rsidRDefault="00032324" w:rsidP="002A0A11">
            <w:pPr>
              <w:spacing w:before="120"/>
              <w:jc w:val="center"/>
            </w:pPr>
            <w:r w:rsidRPr="00657C01">
              <w:t>2.7</w:t>
            </w:r>
          </w:p>
        </w:tc>
      </w:tr>
      <w:tr w:rsidR="00032324" w:rsidRPr="00657C01" w:rsidTr="002A0A11">
        <w:trPr>
          <w:trHeight w:val="170"/>
        </w:trPr>
        <w:tc>
          <w:tcPr>
            <w:tcW w:w="1413" w:type="dxa"/>
          </w:tcPr>
          <w:p w:rsidR="00032324" w:rsidRPr="00657C01" w:rsidRDefault="00032324" w:rsidP="002A0A11">
            <w:pPr>
              <w:spacing w:before="120" w:line="360" w:lineRule="auto"/>
              <w:ind w:left="113"/>
              <w:rPr>
                <w:b/>
                <w:bCs/>
              </w:rPr>
            </w:pPr>
            <w:r w:rsidRPr="00657C01">
              <w:rPr>
                <w:b/>
                <w:bCs/>
              </w:rPr>
              <w:t>2021</w:t>
            </w:r>
          </w:p>
        </w:tc>
        <w:tc>
          <w:tcPr>
            <w:tcW w:w="501" w:type="dxa"/>
          </w:tcPr>
          <w:p w:rsidR="00032324" w:rsidRPr="00657C01" w:rsidRDefault="00032324" w:rsidP="002A0A11">
            <w:pPr>
              <w:spacing w:before="120" w:line="360" w:lineRule="auto"/>
              <w:jc w:val="center"/>
            </w:pPr>
            <w:r w:rsidRPr="00657C01">
              <w:t>59</w:t>
            </w:r>
          </w:p>
        </w:tc>
        <w:tc>
          <w:tcPr>
            <w:tcW w:w="1705" w:type="dxa"/>
          </w:tcPr>
          <w:p w:rsidR="00032324" w:rsidRPr="00657C01" w:rsidRDefault="00032324" w:rsidP="002A0A11">
            <w:pPr>
              <w:spacing w:before="120"/>
              <w:jc w:val="center"/>
            </w:pPr>
            <w:r w:rsidRPr="00657C01">
              <w:t>4.7</w:t>
            </w:r>
          </w:p>
        </w:tc>
        <w:tc>
          <w:tcPr>
            <w:tcW w:w="567" w:type="dxa"/>
          </w:tcPr>
          <w:p w:rsidR="00032324" w:rsidRPr="00657C01" w:rsidRDefault="00032324" w:rsidP="002A0A11">
            <w:pPr>
              <w:spacing w:before="120" w:line="360" w:lineRule="auto"/>
              <w:jc w:val="center"/>
            </w:pPr>
            <w:r w:rsidRPr="00657C01">
              <w:t>44</w:t>
            </w:r>
          </w:p>
        </w:tc>
        <w:tc>
          <w:tcPr>
            <w:tcW w:w="1701" w:type="dxa"/>
          </w:tcPr>
          <w:p w:rsidR="00032324" w:rsidRPr="00657C01" w:rsidRDefault="00032324" w:rsidP="002A0A11">
            <w:pPr>
              <w:spacing w:before="120"/>
              <w:jc w:val="center"/>
            </w:pPr>
            <w:r w:rsidRPr="00657C01">
              <w:t>3.1</w:t>
            </w:r>
          </w:p>
        </w:tc>
        <w:tc>
          <w:tcPr>
            <w:tcW w:w="567" w:type="dxa"/>
          </w:tcPr>
          <w:p w:rsidR="00032324" w:rsidRPr="00657C01" w:rsidRDefault="00032324" w:rsidP="002A0A11">
            <w:pPr>
              <w:spacing w:before="120" w:line="360" w:lineRule="auto"/>
              <w:jc w:val="center"/>
            </w:pPr>
            <w:r w:rsidRPr="00657C01">
              <w:t>103</w:t>
            </w:r>
          </w:p>
        </w:tc>
        <w:tc>
          <w:tcPr>
            <w:tcW w:w="1701" w:type="dxa"/>
          </w:tcPr>
          <w:p w:rsidR="00032324" w:rsidRPr="00657C01" w:rsidRDefault="00032324" w:rsidP="002A0A11">
            <w:pPr>
              <w:spacing w:before="120"/>
              <w:jc w:val="center"/>
            </w:pPr>
            <w:r w:rsidRPr="00657C01">
              <w:t>3.8</w:t>
            </w:r>
          </w:p>
        </w:tc>
      </w:tr>
      <w:tr w:rsidR="00032324" w:rsidRPr="00657C01" w:rsidTr="002A0A11">
        <w:trPr>
          <w:trHeight w:val="170"/>
        </w:trPr>
        <w:tc>
          <w:tcPr>
            <w:tcW w:w="1413" w:type="dxa"/>
          </w:tcPr>
          <w:p w:rsidR="00032324" w:rsidRPr="00657C01" w:rsidRDefault="00032324" w:rsidP="002A0A11">
            <w:pPr>
              <w:spacing w:before="120" w:line="360" w:lineRule="auto"/>
              <w:ind w:left="113"/>
              <w:rPr>
                <w:b/>
                <w:bCs/>
              </w:rPr>
            </w:pPr>
            <w:r w:rsidRPr="00657C01">
              <w:rPr>
                <w:b/>
                <w:bCs/>
              </w:rPr>
              <w:t>2022</w:t>
            </w:r>
          </w:p>
        </w:tc>
        <w:tc>
          <w:tcPr>
            <w:tcW w:w="501" w:type="dxa"/>
          </w:tcPr>
          <w:p w:rsidR="00032324" w:rsidRPr="00657C01" w:rsidRDefault="00032324" w:rsidP="002A0A11">
            <w:pPr>
              <w:spacing w:before="120" w:line="360" w:lineRule="auto"/>
              <w:jc w:val="center"/>
            </w:pPr>
            <w:r w:rsidRPr="00657C01">
              <w:t>69</w:t>
            </w:r>
          </w:p>
        </w:tc>
        <w:tc>
          <w:tcPr>
            <w:tcW w:w="1705" w:type="dxa"/>
          </w:tcPr>
          <w:p w:rsidR="00032324" w:rsidRPr="00657C01" w:rsidRDefault="00032324" w:rsidP="002A0A11">
            <w:pPr>
              <w:spacing w:before="120"/>
              <w:jc w:val="center"/>
            </w:pPr>
            <w:r w:rsidRPr="00657C01">
              <w:t>5.5</w:t>
            </w:r>
          </w:p>
        </w:tc>
        <w:tc>
          <w:tcPr>
            <w:tcW w:w="567" w:type="dxa"/>
          </w:tcPr>
          <w:p w:rsidR="00032324" w:rsidRPr="00657C01" w:rsidRDefault="00032324" w:rsidP="002A0A11">
            <w:pPr>
              <w:spacing w:before="120" w:line="360" w:lineRule="auto"/>
              <w:jc w:val="center"/>
            </w:pPr>
            <w:r w:rsidRPr="00657C01">
              <w:t>64</w:t>
            </w:r>
          </w:p>
        </w:tc>
        <w:tc>
          <w:tcPr>
            <w:tcW w:w="1701" w:type="dxa"/>
          </w:tcPr>
          <w:p w:rsidR="00032324" w:rsidRPr="00657C01" w:rsidRDefault="00032324" w:rsidP="002A0A11">
            <w:pPr>
              <w:spacing w:before="120"/>
              <w:jc w:val="center"/>
            </w:pPr>
            <w:r w:rsidRPr="00657C01">
              <w:t>4.5</w:t>
            </w:r>
          </w:p>
        </w:tc>
        <w:tc>
          <w:tcPr>
            <w:tcW w:w="567" w:type="dxa"/>
          </w:tcPr>
          <w:p w:rsidR="00032324" w:rsidRPr="00657C01" w:rsidRDefault="00032324" w:rsidP="002A0A11">
            <w:pPr>
              <w:spacing w:before="120" w:line="360" w:lineRule="auto"/>
              <w:jc w:val="center"/>
            </w:pPr>
            <w:r w:rsidRPr="00657C01">
              <w:t>133</w:t>
            </w:r>
          </w:p>
        </w:tc>
        <w:tc>
          <w:tcPr>
            <w:tcW w:w="1701" w:type="dxa"/>
          </w:tcPr>
          <w:p w:rsidR="00032324" w:rsidRPr="00657C01" w:rsidRDefault="00032324" w:rsidP="002A0A11">
            <w:pPr>
              <w:spacing w:before="120"/>
              <w:jc w:val="center"/>
            </w:pPr>
            <w:r w:rsidRPr="00657C01">
              <w:t>4.9</w:t>
            </w:r>
          </w:p>
        </w:tc>
      </w:tr>
    </w:tbl>
    <w:p w:rsidR="00032324" w:rsidRPr="00BF32F3" w:rsidRDefault="00032324" w:rsidP="00032324">
      <w:pPr>
        <w:pStyle w:val="Body"/>
        <w:spacing w:after="60" w:line="276" w:lineRule="auto"/>
        <w:rPr>
          <w:sz w:val="18"/>
          <w:szCs w:val="18"/>
        </w:rPr>
      </w:pPr>
      <w:r w:rsidRPr="00BF32F3">
        <w:rPr>
          <w:sz w:val="18"/>
          <w:szCs w:val="18"/>
          <w:vertAlign w:val="superscript"/>
        </w:rPr>
        <w:t>a</w:t>
      </w:r>
      <w:r w:rsidRPr="00BF32F3">
        <w:rPr>
          <w:sz w:val="18"/>
          <w:szCs w:val="18"/>
        </w:rPr>
        <w:t>As no patients in the study population received cBTKi during 2014, data for this year are not presented.</w:t>
      </w:r>
    </w:p>
    <w:p w:rsidR="00032324" w:rsidRDefault="00032324" w:rsidP="00032324">
      <w:pPr>
        <w:spacing w:before="180" w:after="60" w:line="276" w:lineRule="auto"/>
        <w:rPr>
          <w:i/>
          <w:iCs/>
        </w:rPr>
      </w:pPr>
      <w:r>
        <w:rPr>
          <w:sz w:val="18"/>
          <w:szCs w:val="18"/>
        </w:rPr>
        <w:t xml:space="preserve">cBTKi, covalent Bruton’s tyrosine kinase inhibitor; </w:t>
      </w:r>
      <w:r w:rsidRPr="00BF32F3">
        <w:rPr>
          <w:sz w:val="18"/>
          <w:szCs w:val="18"/>
        </w:rPr>
        <w:t>CLL,</w:t>
      </w:r>
      <w:r>
        <w:rPr>
          <w:sz w:val="18"/>
          <w:szCs w:val="18"/>
        </w:rPr>
        <w:t xml:space="preserve"> c</w:t>
      </w:r>
      <w:r w:rsidRPr="00BF32F3">
        <w:rPr>
          <w:sz w:val="18"/>
          <w:szCs w:val="18"/>
        </w:rPr>
        <w:t>hronic lymphocytic leukaemia</w:t>
      </w:r>
      <w:r>
        <w:rPr>
          <w:sz w:val="18"/>
          <w:szCs w:val="18"/>
        </w:rPr>
        <w:t>.</w:t>
      </w:r>
    </w:p>
    <w:p w:rsidR="00032324" w:rsidRDefault="00032324" w:rsidP="00032324">
      <w:pPr>
        <w:spacing w:after="0" w:line="240" w:lineRule="auto"/>
        <w:rPr>
          <w:i/>
          <w:iCs/>
        </w:rPr>
        <w:sectPr w:rsidR="00032324" w:rsidSect="00741A65">
          <w:footerReference w:type="default" r:id="rId5"/>
          <w:pgSz w:w="11906" w:h="16838" w:code="9"/>
          <w:pgMar w:top="1418" w:right="1701" w:bottom="1418" w:left="1701" w:header="709" w:footer="1134" w:gutter="0"/>
          <w:cols w:space="720"/>
          <w:docGrid w:linePitch="360"/>
        </w:sectPr>
      </w:pPr>
    </w:p>
    <w:p w:rsidR="00032324" w:rsidRPr="00BF32F3" w:rsidRDefault="00032324" w:rsidP="00032324">
      <w:pPr>
        <w:pStyle w:val="Heading2"/>
        <w:rPr>
          <w:highlight w:val="yellow"/>
        </w:rPr>
      </w:pPr>
      <w:r>
        <w:rPr>
          <w:i w:val="0"/>
          <w:iCs w:val="0"/>
          <w:sz w:val="22"/>
          <w:szCs w:val="22"/>
        </w:rPr>
        <w:lastRenderedPageBreak/>
        <w:t>Supplementary T</w:t>
      </w:r>
      <w:r w:rsidRPr="0771F353">
        <w:rPr>
          <w:i w:val="0"/>
          <w:iCs w:val="0"/>
          <w:sz w:val="22"/>
          <w:szCs w:val="22"/>
        </w:rPr>
        <w:t xml:space="preserve">able </w:t>
      </w:r>
      <w:r>
        <w:rPr>
          <w:i w:val="0"/>
          <w:iCs w:val="0"/>
          <w:sz w:val="22"/>
          <w:szCs w:val="22"/>
        </w:rPr>
        <w:t>S4</w:t>
      </w:r>
      <w:r w:rsidRPr="0771F353">
        <w:rPr>
          <w:b w:val="0"/>
          <w:bCs w:val="0"/>
          <w:i w:val="0"/>
          <w:iCs w:val="0"/>
          <w:sz w:val="22"/>
          <w:szCs w:val="22"/>
        </w:rPr>
        <w:t xml:space="preserve"> Annual number of patients with CLL who had received post-cBTKi treatment and </w:t>
      </w:r>
      <w:r>
        <w:rPr>
          <w:b w:val="0"/>
          <w:bCs w:val="0"/>
          <w:i w:val="0"/>
          <w:iCs w:val="0"/>
          <w:sz w:val="22"/>
          <w:szCs w:val="22"/>
        </w:rPr>
        <w:t xml:space="preserve">those who also </w:t>
      </w:r>
      <w:r w:rsidRPr="0771F353">
        <w:rPr>
          <w:b w:val="0"/>
          <w:bCs w:val="0"/>
          <w:i w:val="0"/>
          <w:iCs w:val="0"/>
          <w:sz w:val="22"/>
          <w:szCs w:val="22"/>
        </w:rPr>
        <w:t>received</w:t>
      </w:r>
      <w:r>
        <w:rPr>
          <w:b w:val="0"/>
          <w:bCs w:val="0"/>
          <w:i w:val="0"/>
          <w:iCs w:val="0"/>
          <w:sz w:val="22"/>
          <w:szCs w:val="22"/>
        </w:rPr>
        <w:t xml:space="preserve"> </w:t>
      </w:r>
      <w:r w:rsidRPr="0771F353">
        <w:rPr>
          <w:b w:val="0"/>
          <w:bCs w:val="0"/>
          <w:i w:val="0"/>
          <w:iCs w:val="0"/>
          <w:sz w:val="22"/>
          <w:szCs w:val="22"/>
        </w:rPr>
        <w:t>venetoclax</w:t>
      </w:r>
      <w:r>
        <w:rPr>
          <w:b w:val="0"/>
          <w:bCs w:val="0"/>
          <w:i w:val="0"/>
          <w:iCs w:val="0"/>
          <w:sz w:val="22"/>
          <w:szCs w:val="22"/>
        </w:rPr>
        <w:t xml:space="preserve"> (</w:t>
      </w:r>
      <w:r w:rsidRPr="00476D45">
        <w:rPr>
          <w:b w:val="0"/>
          <w:bCs w:val="0"/>
          <w:i w:val="0"/>
          <w:iCs w:val="0"/>
          <w:sz w:val="22"/>
          <w:szCs w:val="22"/>
        </w:rPr>
        <w:t>before, concurrent with or after cBTKi treatment</w:t>
      </w:r>
      <w:r>
        <w:rPr>
          <w:b w:val="0"/>
          <w:bCs w:val="0"/>
          <w:i w:val="0"/>
          <w:iCs w:val="0"/>
          <w:sz w:val="22"/>
          <w:szCs w:val="22"/>
        </w:rPr>
        <w:t>)</w:t>
      </w:r>
      <w:r w:rsidRPr="0771F353">
        <w:rPr>
          <w:b w:val="0"/>
          <w:bCs w:val="0"/>
          <w:i w:val="0"/>
          <w:iCs w:val="0"/>
          <w:sz w:val="22"/>
          <w:szCs w:val="22"/>
        </w:rPr>
        <w:t xml:space="preserve">, stratified by overall, </w:t>
      </w:r>
      <w:r>
        <w:rPr>
          <w:b w:val="0"/>
          <w:bCs w:val="0"/>
          <w:i w:val="0"/>
          <w:iCs w:val="0"/>
          <w:sz w:val="22"/>
          <w:szCs w:val="22"/>
        </w:rPr>
        <w:t xml:space="preserve">ongoing or </w:t>
      </w:r>
      <w:r w:rsidRPr="0771F353">
        <w:rPr>
          <w:b w:val="0"/>
          <w:bCs w:val="0"/>
          <w:i w:val="0"/>
          <w:iCs w:val="0"/>
          <w:sz w:val="22"/>
          <w:szCs w:val="22"/>
        </w:rPr>
        <w:t>completed venetoclax therapy, or who had not received venetoclax (2020–2022)</w:t>
      </w:r>
      <w:r>
        <w:rPr>
          <w:b w:val="0"/>
          <w:bCs w:val="0"/>
          <w:i w:val="0"/>
          <w:iCs w:val="0"/>
          <w:sz w:val="22"/>
          <w:szCs w:val="22"/>
          <w:vertAlign w:val="superscript"/>
        </w:rPr>
        <w:t>a</w:t>
      </w:r>
      <w:r w:rsidRPr="0771F353">
        <w:rPr>
          <w:b w:val="0"/>
          <w:bCs w:val="0"/>
          <w:i w:val="0"/>
          <w:iCs w:val="0"/>
          <w:sz w:val="22"/>
          <w:szCs w:val="22"/>
        </w:rPr>
        <w:t xml:space="preserve"> in the study population</w:t>
      </w:r>
      <w:r>
        <w:rPr>
          <w:b w:val="0"/>
          <w:bCs w:val="0"/>
          <w:i w:val="0"/>
          <w:iCs w:val="0"/>
          <w:sz w:val="22"/>
          <w:szCs w:val="22"/>
        </w:rPr>
        <w:t>.</w:t>
      </w:r>
    </w:p>
    <w:tbl>
      <w:tblPr>
        <w:tblStyle w:val="TableGrid"/>
        <w:tblW w:w="7650" w:type="dxa"/>
        <w:tblLayout w:type="fixed"/>
        <w:tblLook w:val="04A0" w:firstRow="1" w:lastRow="0" w:firstColumn="1" w:lastColumn="0" w:noHBand="0" w:noVBand="1"/>
      </w:tblPr>
      <w:tblGrid>
        <w:gridCol w:w="3397"/>
        <w:gridCol w:w="1134"/>
        <w:gridCol w:w="993"/>
        <w:gridCol w:w="2126"/>
      </w:tblGrid>
      <w:tr w:rsidR="00032324" w:rsidRPr="00BF32F3" w:rsidTr="002A0A11">
        <w:trPr>
          <w:trHeight w:val="170"/>
        </w:trPr>
        <w:tc>
          <w:tcPr>
            <w:tcW w:w="3397" w:type="dxa"/>
            <w:vAlign w:val="bottom"/>
          </w:tcPr>
          <w:p w:rsidR="00032324" w:rsidRPr="001A581B" w:rsidRDefault="00032324" w:rsidP="002A0A11">
            <w:pPr>
              <w:spacing w:before="40" w:after="40" w:line="360" w:lineRule="auto"/>
              <w:rPr>
                <w:b/>
                <w:bCs/>
              </w:rPr>
            </w:pPr>
            <w:r>
              <w:rPr>
                <w:b/>
                <w:bCs/>
              </w:rPr>
              <w:t>Year</w:t>
            </w:r>
          </w:p>
        </w:tc>
        <w:tc>
          <w:tcPr>
            <w:tcW w:w="1134" w:type="dxa"/>
            <w:vAlign w:val="bottom"/>
          </w:tcPr>
          <w:p w:rsidR="00032324" w:rsidRPr="00961806" w:rsidRDefault="00032324" w:rsidP="002A0A11">
            <w:pPr>
              <w:spacing w:before="40" w:after="40" w:line="360" w:lineRule="auto"/>
              <w:jc w:val="center"/>
              <w:rPr>
                <w:b/>
                <w:bCs/>
              </w:rPr>
            </w:pPr>
            <w:r w:rsidRPr="00961806">
              <w:rPr>
                <w:b/>
                <w:bCs/>
              </w:rPr>
              <w:t>n</w:t>
            </w:r>
          </w:p>
        </w:tc>
        <w:tc>
          <w:tcPr>
            <w:tcW w:w="993" w:type="dxa"/>
            <w:vAlign w:val="bottom"/>
          </w:tcPr>
          <w:p w:rsidR="00032324" w:rsidRPr="00961806" w:rsidRDefault="00032324" w:rsidP="002A0A11">
            <w:pPr>
              <w:spacing w:before="40" w:after="40" w:line="360" w:lineRule="auto"/>
              <w:jc w:val="center"/>
              <w:rPr>
                <w:b/>
                <w:bCs/>
                <w:vertAlign w:val="superscript"/>
              </w:rPr>
            </w:pPr>
            <w:r w:rsidRPr="00961806">
              <w:rPr>
                <w:b/>
                <w:bCs/>
              </w:rPr>
              <w:t>%</w:t>
            </w:r>
            <w:r>
              <w:rPr>
                <w:b/>
                <w:bCs/>
                <w:vertAlign w:val="superscript"/>
              </w:rPr>
              <w:t>b</w:t>
            </w:r>
          </w:p>
        </w:tc>
        <w:tc>
          <w:tcPr>
            <w:tcW w:w="2126" w:type="dxa"/>
            <w:vAlign w:val="bottom"/>
          </w:tcPr>
          <w:p w:rsidR="00032324" w:rsidRPr="00961806" w:rsidRDefault="00032324" w:rsidP="002A0A11">
            <w:pPr>
              <w:spacing w:before="40" w:after="40" w:line="360" w:lineRule="auto"/>
              <w:jc w:val="center"/>
              <w:rPr>
                <w:b/>
                <w:bCs/>
              </w:rPr>
            </w:pPr>
            <w:r w:rsidRPr="00961806">
              <w:rPr>
                <w:b/>
                <w:bCs/>
              </w:rPr>
              <w:t>n per 100,000</w:t>
            </w:r>
            <w:r>
              <w:rPr>
                <w:b/>
                <w:bCs/>
              </w:rPr>
              <w:t xml:space="preserve"> of the study population</w:t>
            </w:r>
          </w:p>
        </w:tc>
      </w:tr>
      <w:tr w:rsidR="00032324" w:rsidRPr="00BF32F3" w:rsidTr="002A0A11">
        <w:trPr>
          <w:trHeight w:val="170"/>
        </w:trPr>
        <w:tc>
          <w:tcPr>
            <w:tcW w:w="7650" w:type="dxa"/>
            <w:gridSpan w:val="4"/>
            <w:vAlign w:val="bottom"/>
          </w:tcPr>
          <w:p w:rsidR="00032324" w:rsidRPr="00BF32F3" w:rsidRDefault="00032324" w:rsidP="002A0A11">
            <w:pPr>
              <w:spacing w:before="40" w:after="40" w:line="360" w:lineRule="auto"/>
              <w:rPr>
                <w:rFonts w:cs="Arial"/>
                <w:b/>
                <w:bCs/>
                <w:i/>
                <w:iCs/>
              </w:rPr>
            </w:pPr>
            <w:r w:rsidRPr="705FC028">
              <w:rPr>
                <w:rFonts w:cs="Arial"/>
                <w:b/>
                <w:bCs/>
                <w:color w:val="000000" w:themeColor="text1"/>
              </w:rPr>
              <w:t>Received post-cBTKi treatment</w:t>
            </w:r>
          </w:p>
        </w:tc>
      </w:tr>
      <w:tr w:rsidR="00032324" w:rsidRPr="00BF32F3" w:rsidTr="002A0A11">
        <w:trPr>
          <w:trHeight w:val="170"/>
        </w:trPr>
        <w:tc>
          <w:tcPr>
            <w:tcW w:w="3397" w:type="dxa"/>
            <w:vAlign w:val="bottom"/>
          </w:tcPr>
          <w:p w:rsidR="00032324" w:rsidRPr="00BF32F3" w:rsidRDefault="00032324" w:rsidP="002A0A11">
            <w:pPr>
              <w:spacing w:before="40" w:after="40" w:line="360" w:lineRule="auto"/>
              <w:ind w:left="284"/>
              <w:rPr>
                <w:rFonts w:cs="Arial"/>
                <w:b/>
                <w:bCs/>
              </w:rPr>
            </w:pPr>
            <w:r w:rsidRPr="00BF32F3">
              <w:rPr>
                <w:rFonts w:cs="Arial"/>
                <w:b/>
                <w:bCs/>
                <w:color w:val="000000"/>
              </w:rPr>
              <w:t>2020</w:t>
            </w:r>
          </w:p>
        </w:tc>
        <w:tc>
          <w:tcPr>
            <w:tcW w:w="1134" w:type="dxa"/>
            <w:vAlign w:val="center"/>
          </w:tcPr>
          <w:p w:rsidR="00032324" w:rsidRPr="00BF32F3" w:rsidRDefault="00032324" w:rsidP="002A0A11">
            <w:pPr>
              <w:spacing w:before="40" w:after="40" w:line="360" w:lineRule="auto"/>
              <w:jc w:val="center"/>
              <w:rPr>
                <w:rFonts w:cs="Arial"/>
              </w:rPr>
            </w:pPr>
            <w:r>
              <w:rPr>
                <w:rFonts w:cs="Arial"/>
              </w:rPr>
              <w:t>73</w:t>
            </w:r>
          </w:p>
        </w:tc>
        <w:tc>
          <w:tcPr>
            <w:tcW w:w="993" w:type="dxa"/>
            <w:vAlign w:val="center"/>
          </w:tcPr>
          <w:p w:rsidR="00032324" w:rsidRPr="002842BD" w:rsidRDefault="00032324" w:rsidP="002A0A11">
            <w:pPr>
              <w:spacing w:before="40" w:after="40" w:line="360" w:lineRule="auto"/>
              <w:jc w:val="center"/>
              <w:rPr>
                <w:rFonts w:cs="Arial"/>
              </w:rPr>
            </w:pPr>
            <w:r w:rsidRPr="002842BD">
              <w:rPr>
                <w:rFonts w:cs="Arial"/>
              </w:rPr>
              <w:t>–</w:t>
            </w:r>
          </w:p>
        </w:tc>
        <w:tc>
          <w:tcPr>
            <w:tcW w:w="2126" w:type="dxa"/>
            <w:vAlign w:val="center"/>
          </w:tcPr>
          <w:p w:rsidR="00032324" w:rsidRPr="00BF32F3" w:rsidRDefault="00032324" w:rsidP="002A0A11">
            <w:pPr>
              <w:spacing w:before="40" w:after="40" w:line="360" w:lineRule="auto"/>
              <w:jc w:val="center"/>
              <w:rPr>
                <w:rFonts w:cs="Arial"/>
              </w:rPr>
            </w:pPr>
            <w:r>
              <w:rPr>
                <w:rFonts w:cs="Arial"/>
              </w:rPr>
              <w:t>2.7</w:t>
            </w:r>
          </w:p>
        </w:tc>
      </w:tr>
      <w:tr w:rsidR="00032324" w:rsidRPr="00BF32F3" w:rsidTr="002A0A11">
        <w:trPr>
          <w:trHeight w:val="170"/>
        </w:trPr>
        <w:tc>
          <w:tcPr>
            <w:tcW w:w="3397" w:type="dxa"/>
            <w:vAlign w:val="bottom"/>
          </w:tcPr>
          <w:p w:rsidR="00032324" w:rsidRPr="00BF32F3" w:rsidRDefault="00032324" w:rsidP="002A0A11">
            <w:pPr>
              <w:spacing w:before="40" w:after="40" w:line="360" w:lineRule="auto"/>
              <w:ind w:left="284"/>
              <w:rPr>
                <w:rFonts w:cs="Arial"/>
                <w:b/>
                <w:bCs/>
              </w:rPr>
            </w:pPr>
            <w:r w:rsidRPr="00BF32F3">
              <w:rPr>
                <w:rFonts w:cs="Arial"/>
                <w:b/>
                <w:bCs/>
                <w:color w:val="000000"/>
              </w:rPr>
              <w:t>2021</w:t>
            </w:r>
          </w:p>
        </w:tc>
        <w:tc>
          <w:tcPr>
            <w:tcW w:w="1134" w:type="dxa"/>
            <w:vAlign w:val="center"/>
          </w:tcPr>
          <w:p w:rsidR="00032324" w:rsidRPr="00BF32F3" w:rsidRDefault="00032324" w:rsidP="002A0A11">
            <w:pPr>
              <w:spacing w:before="40" w:after="40" w:line="360" w:lineRule="auto"/>
              <w:jc w:val="center"/>
              <w:rPr>
                <w:rFonts w:cs="Arial"/>
              </w:rPr>
            </w:pPr>
            <w:r>
              <w:rPr>
                <w:rFonts w:cs="Arial"/>
              </w:rPr>
              <w:t>103</w:t>
            </w:r>
          </w:p>
        </w:tc>
        <w:tc>
          <w:tcPr>
            <w:tcW w:w="993" w:type="dxa"/>
            <w:vAlign w:val="center"/>
          </w:tcPr>
          <w:p w:rsidR="00032324" w:rsidRPr="002842BD" w:rsidRDefault="00032324" w:rsidP="002A0A11">
            <w:pPr>
              <w:spacing w:before="40" w:after="40" w:line="360" w:lineRule="auto"/>
              <w:jc w:val="center"/>
              <w:rPr>
                <w:rFonts w:cs="Arial"/>
              </w:rPr>
            </w:pPr>
            <w:r w:rsidRPr="002842BD">
              <w:rPr>
                <w:rFonts w:cs="Arial"/>
              </w:rPr>
              <w:t>–</w:t>
            </w:r>
          </w:p>
        </w:tc>
        <w:tc>
          <w:tcPr>
            <w:tcW w:w="2126" w:type="dxa"/>
            <w:vAlign w:val="center"/>
          </w:tcPr>
          <w:p w:rsidR="00032324" w:rsidRPr="00BF32F3" w:rsidRDefault="00032324" w:rsidP="002A0A11">
            <w:pPr>
              <w:spacing w:before="40" w:after="40" w:line="360" w:lineRule="auto"/>
              <w:jc w:val="center"/>
              <w:rPr>
                <w:rFonts w:cs="Arial"/>
              </w:rPr>
            </w:pPr>
            <w:r>
              <w:rPr>
                <w:rFonts w:cs="Arial"/>
              </w:rPr>
              <w:t>3.8</w:t>
            </w:r>
          </w:p>
        </w:tc>
      </w:tr>
      <w:tr w:rsidR="00032324" w:rsidRPr="00BF32F3" w:rsidTr="002A0A11">
        <w:trPr>
          <w:trHeight w:val="170"/>
        </w:trPr>
        <w:tc>
          <w:tcPr>
            <w:tcW w:w="3397" w:type="dxa"/>
            <w:vAlign w:val="bottom"/>
          </w:tcPr>
          <w:p w:rsidR="00032324" w:rsidRPr="00BF32F3" w:rsidRDefault="00032324" w:rsidP="002A0A11">
            <w:pPr>
              <w:spacing w:before="40" w:after="40" w:line="360" w:lineRule="auto"/>
              <w:ind w:left="284"/>
              <w:rPr>
                <w:rFonts w:cs="Arial"/>
                <w:b/>
                <w:bCs/>
                <w:color w:val="000000"/>
              </w:rPr>
            </w:pPr>
            <w:r w:rsidRPr="00BF32F3">
              <w:rPr>
                <w:rFonts w:cs="Arial"/>
                <w:b/>
                <w:bCs/>
                <w:color w:val="000000"/>
              </w:rPr>
              <w:t>2022</w:t>
            </w:r>
          </w:p>
        </w:tc>
        <w:tc>
          <w:tcPr>
            <w:tcW w:w="1134" w:type="dxa"/>
            <w:vAlign w:val="center"/>
          </w:tcPr>
          <w:p w:rsidR="00032324" w:rsidRPr="00BF32F3" w:rsidRDefault="00032324" w:rsidP="002A0A11">
            <w:pPr>
              <w:spacing w:before="40" w:after="40" w:line="360" w:lineRule="auto"/>
              <w:jc w:val="center"/>
              <w:rPr>
                <w:rFonts w:cs="Arial"/>
                <w:color w:val="000000"/>
              </w:rPr>
            </w:pPr>
            <w:r>
              <w:rPr>
                <w:rFonts w:cs="Arial"/>
              </w:rPr>
              <w:t>133</w:t>
            </w:r>
          </w:p>
        </w:tc>
        <w:tc>
          <w:tcPr>
            <w:tcW w:w="993" w:type="dxa"/>
            <w:vAlign w:val="center"/>
          </w:tcPr>
          <w:p w:rsidR="00032324" w:rsidRPr="002842BD" w:rsidRDefault="00032324" w:rsidP="002A0A11">
            <w:pPr>
              <w:spacing w:before="40" w:after="40" w:line="360" w:lineRule="auto"/>
              <w:jc w:val="center"/>
              <w:rPr>
                <w:rFonts w:cs="Arial"/>
              </w:rPr>
            </w:pPr>
            <w:r w:rsidRPr="002842BD">
              <w:rPr>
                <w:rFonts w:cs="Arial"/>
              </w:rPr>
              <w:t>–</w:t>
            </w:r>
          </w:p>
        </w:tc>
        <w:tc>
          <w:tcPr>
            <w:tcW w:w="2126" w:type="dxa"/>
            <w:vAlign w:val="center"/>
          </w:tcPr>
          <w:p w:rsidR="00032324" w:rsidRPr="00BF32F3" w:rsidRDefault="00032324" w:rsidP="002A0A11">
            <w:pPr>
              <w:spacing w:before="40" w:after="40" w:line="360" w:lineRule="auto"/>
              <w:jc w:val="center"/>
              <w:rPr>
                <w:rFonts w:cs="Arial"/>
                <w:color w:val="000000"/>
              </w:rPr>
            </w:pPr>
            <w:r>
              <w:rPr>
                <w:rFonts w:cs="Arial"/>
              </w:rPr>
              <w:t>4.9</w:t>
            </w:r>
          </w:p>
        </w:tc>
      </w:tr>
      <w:tr w:rsidR="00032324" w:rsidRPr="00BF32F3" w:rsidTr="002A0A11">
        <w:trPr>
          <w:trHeight w:val="170"/>
        </w:trPr>
        <w:tc>
          <w:tcPr>
            <w:tcW w:w="7650" w:type="dxa"/>
            <w:gridSpan w:val="4"/>
            <w:vAlign w:val="bottom"/>
          </w:tcPr>
          <w:p w:rsidR="00032324" w:rsidRPr="00476D45" w:rsidRDefault="00032324" w:rsidP="002A0A11">
            <w:pPr>
              <w:spacing w:before="40" w:after="40" w:line="360" w:lineRule="auto"/>
              <w:rPr>
                <w:rFonts w:cs="Arial"/>
                <w:color w:val="000000"/>
              </w:rPr>
            </w:pPr>
            <w:r w:rsidRPr="00BF32F3">
              <w:rPr>
                <w:rFonts w:cs="Arial"/>
                <w:b/>
                <w:bCs/>
                <w:color w:val="000000"/>
              </w:rPr>
              <w:t>Overall venetoclax treated</w:t>
            </w:r>
          </w:p>
        </w:tc>
      </w:tr>
      <w:tr w:rsidR="00032324" w:rsidRPr="00BF32F3" w:rsidTr="002A0A11">
        <w:trPr>
          <w:trHeight w:val="170"/>
        </w:trPr>
        <w:tc>
          <w:tcPr>
            <w:tcW w:w="3397" w:type="dxa"/>
            <w:vAlign w:val="bottom"/>
          </w:tcPr>
          <w:p w:rsidR="00032324" w:rsidRPr="00BF32F3" w:rsidRDefault="00032324" w:rsidP="002A0A11">
            <w:pPr>
              <w:spacing w:before="40" w:after="40" w:line="360" w:lineRule="auto"/>
              <w:ind w:left="284"/>
              <w:rPr>
                <w:rFonts w:cs="Arial"/>
                <w:b/>
                <w:bCs/>
                <w:color w:val="000000"/>
              </w:rPr>
            </w:pPr>
            <w:r w:rsidRPr="00BF32F3">
              <w:rPr>
                <w:rFonts w:cs="Arial"/>
                <w:b/>
                <w:bCs/>
                <w:color w:val="000000"/>
              </w:rPr>
              <w:t>2020</w:t>
            </w:r>
          </w:p>
        </w:tc>
        <w:tc>
          <w:tcPr>
            <w:tcW w:w="1134" w:type="dxa"/>
            <w:vAlign w:val="center"/>
          </w:tcPr>
          <w:p w:rsidR="00032324" w:rsidRPr="00BF32F3" w:rsidRDefault="00032324" w:rsidP="002A0A11">
            <w:pPr>
              <w:spacing w:before="40" w:after="40" w:line="360" w:lineRule="auto"/>
              <w:jc w:val="center"/>
              <w:rPr>
                <w:rFonts w:cs="Arial"/>
                <w:color w:val="000000"/>
              </w:rPr>
            </w:pPr>
            <w:r w:rsidRPr="00BF32F3">
              <w:rPr>
                <w:rFonts w:cs="Arial"/>
                <w:color w:val="000000"/>
              </w:rPr>
              <w:t>30</w:t>
            </w:r>
          </w:p>
        </w:tc>
        <w:tc>
          <w:tcPr>
            <w:tcW w:w="993" w:type="dxa"/>
            <w:vAlign w:val="center"/>
          </w:tcPr>
          <w:p w:rsidR="00032324" w:rsidRPr="00561FAD" w:rsidRDefault="00032324" w:rsidP="002A0A11">
            <w:pPr>
              <w:spacing w:before="40" w:after="40" w:line="360" w:lineRule="auto"/>
              <w:jc w:val="center"/>
              <w:rPr>
                <w:rFonts w:cs="Arial"/>
              </w:rPr>
            </w:pPr>
            <w:r w:rsidRPr="00561FAD">
              <w:rPr>
                <w:rFonts w:cs="Arial"/>
              </w:rPr>
              <w:t>41.1</w:t>
            </w:r>
          </w:p>
        </w:tc>
        <w:tc>
          <w:tcPr>
            <w:tcW w:w="2126" w:type="dxa"/>
            <w:vAlign w:val="center"/>
          </w:tcPr>
          <w:p w:rsidR="00032324" w:rsidRPr="00561FAD" w:rsidRDefault="00032324" w:rsidP="002A0A11">
            <w:pPr>
              <w:spacing w:before="40" w:after="40" w:line="360" w:lineRule="auto"/>
              <w:jc w:val="center"/>
              <w:rPr>
                <w:rFonts w:cs="Arial"/>
              </w:rPr>
            </w:pPr>
            <w:r w:rsidRPr="00561FAD">
              <w:rPr>
                <w:rFonts w:cs="Arial"/>
              </w:rPr>
              <w:t>1.1</w:t>
            </w:r>
          </w:p>
        </w:tc>
      </w:tr>
      <w:tr w:rsidR="00032324" w:rsidRPr="00BF32F3" w:rsidTr="002A0A11">
        <w:trPr>
          <w:trHeight w:val="170"/>
        </w:trPr>
        <w:tc>
          <w:tcPr>
            <w:tcW w:w="3397" w:type="dxa"/>
            <w:vAlign w:val="bottom"/>
          </w:tcPr>
          <w:p w:rsidR="00032324" w:rsidRPr="00BF32F3" w:rsidRDefault="00032324" w:rsidP="002A0A11">
            <w:pPr>
              <w:spacing w:before="40" w:after="40" w:line="360" w:lineRule="auto"/>
              <w:ind w:left="284"/>
              <w:rPr>
                <w:rFonts w:cs="Arial"/>
                <w:b/>
                <w:bCs/>
              </w:rPr>
            </w:pPr>
            <w:r w:rsidRPr="00BF32F3">
              <w:rPr>
                <w:rFonts w:cs="Arial"/>
                <w:b/>
                <w:bCs/>
                <w:color w:val="000000"/>
              </w:rPr>
              <w:t>2021</w:t>
            </w:r>
          </w:p>
        </w:tc>
        <w:tc>
          <w:tcPr>
            <w:tcW w:w="1134" w:type="dxa"/>
            <w:vAlign w:val="center"/>
          </w:tcPr>
          <w:p w:rsidR="00032324" w:rsidRPr="00BF32F3" w:rsidRDefault="00032324" w:rsidP="002A0A11">
            <w:pPr>
              <w:spacing w:before="40" w:after="40" w:line="360" w:lineRule="auto"/>
              <w:jc w:val="center"/>
              <w:rPr>
                <w:rFonts w:cs="Arial"/>
              </w:rPr>
            </w:pPr>
            <w:r w:rsidRPr="00BF32F3">
              <w:rPr>
                <w:rFonts w:cs="Arial"/>
                <w:color w:val="000000"/>
              </w:rPr>
              <w:t>44</w:t>
            </w:r>
          </w:p>
        </w:tc>
        <w:tc>
          <w:tcPr>
            <w:tcW w:w="993" w:type="dxa"/>
            <w:vAlign w:val="center"/>
          </w:tcPr>
          <w:p w:rsidR="00032324" w:rsidRPr="00561FAD" w:rsidRDefault="00032324" w:rsidP="002A0A11">
            <w:pPr>
              <w:spacing w:before="40" w:after="40" w:line="360" w:lineRule="auto"/>
              <w:jc w:val="center"/>
              <w:rPr>
                <w:rFonts w:cs="Arial"/>
              </w:rPr>
            </w:pPr>
            <w:r w:rsidRPr="00561FAD">
              <w:rPr>
                <w:rFonts w:cs="Arial"/>
              </w:rPr>
              <w:t>42.7</w:t>
            </w:r>
          </w:p>
        </w:tc>
        <w:tc>
          <w:tcPr>
            <w:tcW w:w="2126" w:type="dxa"/>
            <w:vAlign w:val="center"/>
          </w:tcPr>
          <w:p w:rsidR="00032324" w:rsidRPr="00561FAD" w:rsidRDefault="00032324" w:rsidP="002A0A11">
            <w:pPr>
              <w:spacing w:before="40" w:after="40" w:line="360" w:lineRule="auto"/>
              <w:jc w:val="center"/>
              <w:rPr>
                <w:rFonts w:cs="Arial"/>
              </w:rPr>
            </w:pPr>
            <w:r w:rsidRPr="00561FAD">
              <w:rPr>
                <w:rFonts w:cs="Arial"/>
              </w:rPr>
              <w:t>1.6</w:t>
            </w:r>
          </w:p>
        </w:tc>
      </w:tr>
      <w:tr w:rsidR="00032324" w:rsidRPr="00BF32F3" w:rsidTr="002A0A11">
        <w:trPr>
          <w:trHeight w:val="170"/>
        </w:trPr>
        <w:tc>
          <w:tcPr>
            <w:tcW w:w="3397" w:type="dxa"/>
            <w:vAlign w:val="bottom"/>
          </w:tcPr>
          <w:p w:rsidR="00032324" w:rsidRPr="00BF32F3" w:rsidRDefault="00032324" w:rsidP="002A0A11">
            <w:pPr>
              <w:spacing w:before="40" w:after="40" w:line="360" w:lineRule="auto"/>
              <w:ind w:left="284"/>
              <w:rPr>
                <w:rFonts w:cs="Arial"/>
                <w:b/>
                <w:bCs/>
              </w:rPr>
            </w:pPr>
            <w:r w:rsidRPr="00BF32F3">
              <w:rPr>
                <w:rFonts w:cs="Arial"/>
                <w:b/>
                <w:bCs/>
                <w:color w:val="000000"/>
              </w:rPr>
              <w:t>2022</w:t>
            </w:r>
          </w:p>
        </w:tc>
        <w:tc>
          <w:tcPr>
            <w:tcW w:w="1134" w:type="dxa"/>
            <w:vAlign w:val="center"/>
          </w:tcPr>
          <w:p w:rsidR="00032324" w:rsidRPr="00BF32F3" w:rsidRDefault="00032324" w:rsidP="002A0A11">
            <w:pPr>
              <w:spacing w:before="40" w:after="40" w:line="360" w:lineRule="auto"/>
              <w:jc w:val="center"/>
              <w:rPr>
                <w:rFonts w:cs="Arial"/>
              </w:rPr>
            </w:pPr>
            <w:r w:rsidRPr="00BF32F3">
              <w:rPr>
                <w:rFonts w:cs="Arial"/>
                <w:color w:val="000000"/>
              </w:rPr>
              <w:t>53</w:t>
            </w:r>
          </w:p>
        </w:tc>
        <w:tc>
          <w:tcPr>
            <w:tcW w:w="993" w:type="dxa"/>
            <w:vAlign w:val="center"/>
          </w:tcPr>
          <w:p w:rsidR="00032324" w:rsidRPr="00561FAD" w:rsidRDefault="00032324" w:rsidP="002A0A11">
            <w:pPr>
              <w:spacing w:before="40" w:after="40" w:line="360" w:lineRule="auto"/>
              <w:jc w:val="center"/>
              <w:rPr>
                <w:rFonts w:cs="Arial"/>
              </w:rPr>
            </w:pPr>
            <w:r w:rsidRPr="00561FAD">
              <w:rPr>
                <w:rFonts w:cs="Arial"/>
              </w:rPr>
              <w:t>39.8</w:t>
            </w:r>
          </w:p>
        </w:tc>
        <w:tc>
          <w:tcPr>
            <w:tcW w:w="2126" w:type="dxa"/>
            <w:vAlign w:val="center"/>
          </w:tcPr>
          <w:p w:rsidR="00032324" w:rsidRPr="00561FAD" w:rsidRDefault="00032324" w:rsidP="002A0A11">
            <w:pPr>
              <w:spacing w:before="40" w:after="40" w:line="360" w:lineRule="auto"/>
              <w:jc w:val="center"/>
              <w:rPr>
                <w:rFonts w:cs="Arial"/>
              </w:rPr>
            </w:pPr>
            <w:r w:rsidRPr="00561FAD">
              <w:rPr>
                <w:rFonts w:cs="Arial"/>
              </w:rPr>
              <w:t>2.0</w:t>
            </w:r>
          </w:p>
        </w:tc>
      </w:tr>
      <w:tr w:rsidR="00032324" w:rsidRPr="00BF32F3" w:rsidTr="002A0A11">
        <w:trPr>
          <w:trHeight w:val="170"/>
        </w:trPr>
        <w:tc>
          <w:tcPr>
            <w:tcW w:w="7650" w:type="dxa"/>
            <w:gridSpan w:val="4"/>
            <w:vAlign w:val="bottom"/>
          </w:tcPr>
          <w:p w:rsidR="00032324" w:rsidRPr="00561FAD" w:rsidRDefault="00032324" w:rsidP="002A0A11">
            <w:pPr>
              <w:spacing w:before="40" w:after="40" w:line="360" w:lineRule="auto"/>
              <w:rPr>
                <w:rFonts w:cs="Arial"/>
                <w:b/>
                <w:bCs/>
                <w:i/>
                <w:iCs/>
              </w:rPr>
            </w:pPr>
            <w:r w:rsidRPr="00561FAD">
              <w:rPr>
                <w:rFonts w:cs="Arial"/>
                <w:b/>
                <w:bCs/>
              </w:rPr>
              <w:t>Ongoing venetoclax</w:t>
            </w:r>
          </w:p>
        </w:tc>
      </w:tr>
      <w:tr w:rsidR="00032324" w:rsidRPr="00BF32F3" w:rsidTr="002A0A11">
        <w:trPr>
          <w:trHeight w:val="170"/>
        </w:trPr>
        <w:tc>
          <w:tcPr>
            <w:tcW w:w="3397" w:type="dxa"/>
            <w:vAlign w:val="bottom"/>
          </w:tcPr>
          <w:p w:rsidR="00032324" w:rsidRPr="00BF32F3" w:rsidRDefault="00032324" w:rsidP="002A0A11">
            <w:pPr>
              <w:spacing w:before="40" w:after="40" w:line="360" w:lineRule="auto"/>
              <w:ind w:left="284"/>
              <w:rPr>
                <w:rFonts w:cs="Arial"/>
                <w:b/>
                <w:bCs/>
              </w:rPr>
            </w:pPr>
            <w:r w:rsidRPr="00BF32F3">
              <w:rPr>
                <w:rFonts w:cs="Arial"/>
                <w:b/>
                <w:bCs/>
                <w:color w:val="000000"/>
              </w:rPr>
              <w:t>2020</w:t>
            </w:r>
          </w:p>
        </w:tc>
        <w:tc>
          <w:tcPr>
            <w:tcW w:w="1134" w:type="dxa"/>
            <w:vAlign w:val="center"/>
          </w:tcPr>
          <w:p w:rsidR="00032324" w:rsidRPr="00BF32F3" w:rsidRDefault="00032324" w:rsidP="002A0A11">
            <w:pPr>
              <w:spacing w:before="40" w:after="40" w:line="360" w:lineRule="auto"/>
              <w:jc w:val="center"/>
              <w:rPr>
                <w:rFonts w:cs="Arial"/>
              </w:rPr>
            </w:pPr>
            <w:r w:rsidRPr="00BF32F3">
              <w:rPr>
                <w:rFonts w:cs="Arial"/>
                <w:color w:val="000000"/>
              </w:rPr>
              <w:t>25</w:t>
            </w:r>
          </w:p>
        </w:tc>
        <w:tc>
          <w:tcPr>
            <w:tcW w:w="993" w:type="dxa"/>
            <w:vAlign w:val="center"/>
          </w:tcPr>
          <w:p w:rsidR="00032324" w:rsidRPr="00561FAD" w:rsidRDefault="00032324" w:rsidP="002A0A11">
            <w:pPr>
              <w:spacing w:before="40" w:after="40" w:line="360" w:lineRule="auto"/>
              <w:jc w:val="center"/>
              <w:rPr>
                <w:rFonts w:cs="Arial"/>
              </w:rPr>
            </w:pPr>
            <w:r w:rsidRPr="00561FAD">
              <w:rPr>
                <w:rFonts w:cs="Arial"/>
              </w:rPr>
              <w:t>34.2</w:t>
            </w:r>
          </w:p>
        </w:tc>
        <w:tc>
          <w:tcPr>
            <w:tcW w:w="2126" w:type="dxa"/>
            <w:vAlign w:val="center"/>
          </w:tcPr>
          <w:p w:rsidR="00032324" w:rsidRPr="00561FAD" w:rsidRDefault="00032324" w:rsidP="002A0A11">
            <w:pPr>
              <w:spacing w:before="40" w:after="40" w:line="360" w:lineRule="auto"/>
              <w:jc w:val="center"/>
              <w:rPr>
                <w:rFonts w:cs="Arial"/>
              </w:rPr>
            </w:pPr>
            <w:r w:rsidRPr="00561FAD">
              <w:rPr>
                <w:rFonts w:cs="Arial"/>
              </w:rPr>
              <w:t>0.9</w:t>
            </w:r>
          </w:p>
        </w:tc>
      </w:tr>
      <w:tr w:rsidR="00032324" w:rsidRPr="00BF32F3" w:rsidTr="002A0A11">
        <w:trPr>
          <w:trHeight w:val="170"/>
        </w:trPr>
        <w:tc>
          <w:tcPr>
            <w:tcW w:w="3397" w:type="dxa"/>
            <w:vAlign w:val="bottom"/>
          </w:tcPr>
          <w:p w:rsidR="00032324" w:rsidRPr="00BF32F3" w:rsidRDefault="00032324" w:rsidP="002A0A11">
            <w:pPr>
              <w:spacing w:before="40" w:after="40" w:line="360" w:lineRule="auto"/>
              <w:ind w:left="284"/>
              <w:rPr>
                <w:rFonts w:cs="Arial"/>
                <w:b/>
                <w:bCs/>
              </w:rPr>
            </w:pPr>
            <w:r w:rsidRPr="00BF32F3">
              <w:rPr>
                <w:rFonts w:cs="Arial"/>
                <w:b/>
                <w:bCs/>
                <w:color w:val="000000"/>
              </w:rPr>
              <w:t>2021</w:t>
            </w:r>
          </w:p>
        </w:tc>
        <w:tc>
          <w:tcPr>
            <w:tcW w:w="1134" w:type="dxa"/>
            <w:vAlign w:val="center"/>
          </w:tcPr>
          <w:p w:rsidR="00032324" w:rsidRPr="00BF32F3" w:rsidRDefault="00032324" w:rsidP="002A0A11">
            <w:pPr>
              <w:spacing w:before="40" w:after="40" w:line="360" w:lineRule="auto"/>
              <w:jc w:val="center"/>
              <w:rPr>
                <w:rFonts w:cs="Arial"/>
              </w:rPr>
            </w:pPr>
            <w:r w:rsidRPr="00BF32F3">
              <w:rPr>
                <w:rFonts w:cs="Arial"/>
                <w:color w:val="000000"/>
              </w:rPr>
              <w:t>33</w:t>
            </w:r>
          </w:p>
        </w:tc>
        <w:tc>
          <w:tcPr>
            <w:tcW w:w="993" w:type="dxa"/>
            <w:vAlign w:val="center"/>
          </w:tcPr>
          <w:p w:rsidR="00032324" w:rsidRPr="00561FAD" w:rsidRDefault="00032324" w:rsidP="002A0A11">
            <w:pPr>
              <w:spacing w:before="40" w:after="40" w:line="360" w:lineRule="auto"/>
              <w:jc w:val="center"/>
              <w:rPr>
                <w:rFonts w:cs="Arial"/>
              </w:rPr>
            </w:pPr>
            <w:r w:rsidRPr="00561FAD">
              <w:rPr>
                <w:rFonts w:cs="Arial"/>
              </w:rPr>
              <w:t>32.0</w:t>
            </w:r>
          </w:p>
        </w:tc>
        <w:tc>
          <w:tcPr>
            <w:tcW w:w="2126" w:type="dxa"/>
            <w:vAlign w:val="center"/>
          </w:tcPr>
          <w:p w:rsidR="00032324" w:rsidRPr="00561FAD" w:rsidRDefault="00032324" w:rsidP="002A0A11">
            <w:pPr>
              <w:spacing w:before="40" w:after="40" w:line="360" w:lineRule="auto"/>
              <w:jc w:val="center"/>
              <w:rPr>
                <w:rFonts w:cs="Arial"/>
              </w:rPr>
            </w:pPr>
            <w:r w:rsidRPr="00561FAD">
              <w:rPr>
                <w:rFonts w:cs="Arial"/>
              </w:rPr>
              <w:t>1.2</w:t>
            </w:r>
          </w:p>
        </w:tc>
      </w:tr>
      <w:tr w:rsidR="00032324" w:rsidRPr="00BF32F3" w:rsidTr="002A0A11">
        <w:trPr>
          <w:trHeight w:val="170"/>
        </w:trPr>
        <w:tc>
          <w:tcPr>
            <w:tcW w:w="3397" w:type="dxa"/>
            <w:vAlign w:val="bottom"/>
          </w:tcPr>
          <w:p w:rsidR="00032324" w:rsidRPr="00BF32F3" w:rsidRDefault="00032324" w:rsidP="002A0A11">
            <w:pPr>
              <w:spacing w:before="40" w:after="40" w:line="360" w:lineRule="auto"/>
              <w:ind w:left="284"/>
              <w:rPr>
                <w:rFonts w:cs="Arial"/>
                <w:b/>
                <w:bCs/>
              </w:rPr>
            </w:pPr>
            <w:r w:rsidRPr="00BF32F3">
              <w:rPr>
                <w:rFonts w:cs="Arial"/>
                <w:b/>
                <w:bCs/>
                <w:color w:val="000000"/>
              </w:rPr>
              <w:t>2022</w:t>
            </w:r>
          </w:p>
        </w:tc>
        <w:tc>
          <w:tcPr>
            <w:tcW w:w="1134" w:type="dxa"/>
            <w:vAlign w:val="center"/>
          </w:tcPr>
          <w:p w:rsidR="00032324" w:rsidRPr="00BF32F3" w:rsidRDefault="00032324" w:rsidP="002A0A11">
            <w:pPr>
              <w:spacing w:before="40" w:after="40" w:line="360" w:lineRule="auto"/>
              <w:jc w:val="center"/>
              <w:rPr>
                <w:rFonts w:cs="Arial"/>
              </w:rPr>
            </w:pPr>
            <w:r w:rsidRPr="00BF32F3">
              <w:rPr>
                <w:rFonts w:cs="Arial"/>
                <w:color w:val="000000"/>
              </w:rPr>
              <w:t>33</w:t>
            </w:r>
          </w:p>
        </w:tc>
        <w:tc>
          <w:tcPr>
            <w:tcW w:w="993" w:type="dxa"/>
            <w:vAlign w:val="center"/>
          </w:tcPr>
          <w:p w:rsidR="00032324" w:rsidRPr="00561FAD" w:rsidRDefault="00032324" w:rsidP="002A0A11">
            <w:pPr>
              <w:spacing w:before="40" w:after="40" w:line="360" w:lineRule="auto"/>
              <w:jc w:val="center"/>
              <w:rPr>
                <w:rFonts w:cs="Arial"/>
              </w:rPr>
            </w:pPr>
            <w:r w:rsidRPr="00561FAD">
              <w:rPr>
                <w:rFonts w:cs="Arial"/>
              </w:rPr>
              <w:t>24.8</w:t>
            </w:r>
          </w:p>
        </w:tc>
        <w:tc>
          <w:tcPr>
            <w:tcW w:w="2126" w:type="dxa"/>
            <w:vAlign w:val="center"/>
          </w:tcPr>
          <w:p w:rsidR="00032324" w:rsidRPr="00561FAD" w:rsidRDefault="00032324" w:rsidP="002A0A11">
            <w:pPr>
              <w:spacing w:before="40" w:after="40" w:line="360" w:lineRule="auto"/>
              <w:jc w:val="center"/>
              <w:rPr>
                <w:rFonts w:cs="Arial"/>
              </w:rPr>
            </w:pPr>
            <w:r w:rsidRPr="00561FAD">
              <w:rPr>
                <w:rFonts w:cs="Arial"/>
              </w:rPr>
              <w:t>1.2</w:t>
            </w:r>
          </w:p>
        </w:tc>
      </w:tr>
      <w:tr w:rsidR="00032324" w:rsidRPr="00BF32F3" w:rsidTr="002A0A11">
        <w:trPr>
          <w:trHeight w:val="170"/>
        </w:trPr>
        <w:tc>
          <w:tcPr>
            <w:tcW w:w="7650" w:type="dxa"/>
            <w:gridSpan w:val="4"/>
            <w:vAlign w:val="bottom"/>
          </w:tcPr>
          <w:p w:rsidR="00032324" w:rsidRPr="00561FAD" w:rsidRDefault="00032324" w:rsidP="002A0A11">
            <w:pPr>
              <w:spacing w:before="40" w:after="40" w:line="360" w:lineRule="auto"/>
              <w:rPr>
                <w:rFonts w:cs="Arial"/>
                <w:b/>
                <w:bCs/>
                <w:i/>
                <w:iCs/>
              </w:rPr>
            </w:pPr>
            <w:r w:rsidRPr="00561FAD">
              <w:rPr>
                <w:rFonts w:cs="Arial"/>
                <w:b/>
                <w:bCs/>
              </w:rPr>
              <w:t>Completed venetoclax</w:t>
            </w:r>
          </w:p>
        </w:tc>
      </w:tr>
      <w:tr w:rsidR="00032324" w:rsidRPr="00BF32F3" w:rsidTr="002A0A11">
        <w:trPr>
          <w:trHeight w:val="170"/>
        </w:trPr>
        <w:tc>
          <w:tcPr>
            <w:tcW w:w="3397" w:type="dxa"/>
            <w:vAlign w:val="bottom"/>
          </w:tcPr>
          <w:p w:rsidR="00032324" w:rsidRPr="00BF32F3" w:rsidRDefault="00032324" w:rsidP="002A0A11">
            <w:pPr>
              <w:spacing w:before="40" w:after="40" w:line="360" w:lineRule="auto"/>
              <w:ind w:left="284"/>
              <w:rPr>
                <w:rFonts w:cs="Arial"/>
                <w:b/>
                <w:bCs/>
              </w:rPr>
            </w:pPr>
            <w:r w:rsidRPr="00BF32F3">
              <w:rPr>
                <w:rFonts w:cs="Arial"/>
                <w:b/>
                <w:bCs/>
                <w:color w:val="000000"/>
              </w:rPr>
              <w:t>2020</w:t>
            </w:r>
          </w:p>
        </w:tc>
        <w:tc>
          <w:tcPr>
            <w:tcW w:w="1134" w:type="dxa"/>
            <w:vAlign w:val="center"/>
          </w:tcPr>
          <w:p w:rsidR="00032324" w:rsidRPr="00BF32F3" w:rsidRDefault="00032324" w:rsidP="002A0A11">
            <w:pPr>
              <w:spacing w:before="40" w:after="40" w:line="360" w:lineRule="auto"/>
              <w:jc w:val="center"/>
              <w:rPr>
                <w:rFonts w:cs="Arial"/>
              </w:rPr>
            </w:pPr>
            <w:r w:rsidRPr="00BF32F3">
              <w:rPr>
                <w:rFonts w:cs="Arial"/>
                <w:color w:val="000000"/>
              </w:rPr>
              <w:t>5</w:t>
            </w:r>
          </w:p>
        </w:tc>
        <w:tc>
          <w:tcPr>
            <w:tcW w:w="993" w:type="dxa"/>
            <w:vAlign w:val="center"/>
          </w:tcPr>
          <w:p w:rsidR="00032324" w:rsidRPr="00561FAD" w:rsidRDefault="00032324" w:rsidP="002A0A11">
            <w:pPr>
              <w:spacing w:before="40" w:after="40" w:line="360" w:lineRule="auto"/>
              <w:jc w:val="center"/>
              <w:rPr>
                <w:rFonts w:cs="Arial"/>
              </w:rPr>
            </w:pPr>
            <w:r w:rsidRPr="00561FAD">
              <w:rPr>
                <w:rFonts w:cs="Arial"/>
              </w:rPr>
              <w:t>6.8</w:t>
            </w:r>
          </w:p>
        </w:tc>
        <w:tc>
          <w:tcPr>
            <w:tcW w:w="2126" w:type="dxa"/>
            <w:vAlign w:val="center"/>
          </w:tcPr>
          <w:p w:rsidR="00032324" w:rsidRPr="00561FAD" w:rsidRDefault="00032324" w:rsidP="002A0A11">
            <w:pPr>
              <w:spacing w:before="40" w:after="40" w:line="360" w:lineRule="auto"/>
              <w:jc w:val="center"/>
              <w:rPr>
                <w:rFonts w:cs="Arial"/>
              </w:rPr>
            </w:pPr>
            <w:r w:rsidRPr="00561FAD">
              <w:rPr>
                <w:rFonts w:cs="Arial"/>
              </w:rPr>
              <w:t>0.2</w:t>
            </w:r>
          </w:p>
        </w:tc>
      </w:tr>
      <w:tr w:rsidR="00032324" w:rsidRPr="00BF32F3" w:rsidTr="002A0A11">
        <w:trPr>
          <w:trHeight w:val="170"/>
        </w:trPr>
        <w:tc>
          <w:tcPr>
            <w:tcW w:w="3397" w:type="dxa"/>
            <w:vAlign w:val="bottom"/>
          </w:tcPr>
          <w:p w:rsidR="00032324" w:rsidRPr="00BF32F3" w:rsidRDefault="00032324" w:rsidP="002A0A11">
            <w:pPr>
              <w:spacing w:before="40" w:after="40" w:line="360" w:lineRule="auto"/>
              <w:ind w:left="284"/>
              <w:rPr>
                <w:rFonts w:cs="Arial"/>
                <w:b/>
                <w:bCs/>
              </w:rPr>
            </w:pPr>
            <w:r w:rsidRPr="00BF32F3">
              <w:rPr>
                <w:rFonts w:cs="Arial"/>
                <w:b/>
                <w:bCs/>
                <w:color w:val="000000"/>
              </w:rPr>
              <w:t>2021</w:t>
            </w:r>
          </w:p>
        </w:tc>
        <w:tc>
          <w:tcPr>
            <w:tcW w:w="1134" w:type="dxa"/>
            <w:vAlign w:val="center"/>
          </w:tcPr>
          <w:p w:rsidR="00032324" w:rsidRPr="00BF32F3" w:rsidRDefault="00032324" w:rsidP="002A0A11">
            <w:pPr>
              <w:spacing w:before="40" w:after="40" w:line="360" w:lineRule="auto"/>
              <w:jc w:val="center"/>
              <w:rPr>
                <w:rFonts w:cs="Arial"/>
              </w:rPr>
            </w:pPr>
            <w:r w:rsidRPr="00BF32F3">
              <w:rPr>
                <w:rFonts w:cs="Arial"/>
                <w:color w:val="000000"/>
              </w:rPr>
              <w:t>11</w:t>
            </w:r>
          </w:p>
        </w:tc>
        <w:tc>
          <w:tcPr>
            <w:tcW w:w="993" w:type="dxa"/>
            <w:vAlign w:val="center"/>
          </w:tcPr>
          <w:p w:rsidR="00032324" w:rsidRPr="00561FAD" w:rsidRDefault="00032324" w:rsidP="002A0A11">
            <w:pPr>
              <w:spacing w:before="40" w:after="40" w:line="360" w:lineRule="auto"/>
              <w:jc w:val="center"/>
              <w:rPr>
                <w:rFonts w:cs="Arial"/>
              </w:rPr>
            </w:pPr>
            <w:r w:rsidRPr="00561FAD">
              <w:rPr>
                <w:rFonts w:cs="Arial"/>
              </w:rPr>
              <w:t>10.7</w:t>
            </w:r>
          </w:p>
        </w:tc>
        <w:tc>
          <w:tcPr>
            <w:tcW w:w="2126" w:type="dxa"/>
            <w:vAlign w:val="center"/>
          </w:tcPr>
          <w:p w:rsidR="00032324" w:rsidRPr="00561FAD" w:rsidRDefault="00032324" w:rsidP="002A0A11">
            <w:pPr>
              <w:spacing w:before="40" w:after="40" w:line="360" w:lineRule="auto"/>
              <w:jc w:val="center"/>
              <w:rPr>
                <w:rFonts w:cs="Arial"/>
              </w:rPr>
            </w:pPr>
            <w:r w:rsidRPr="00561FAD">
              <w:rPr>
                <w:rFonts w:cs="Arial"/>
              </w:rPr>
              <w:t>0.4</w:t>
            </w:r>
          </w:p>
        </w:tc>
      </w:tr>
      <w:tr w:rsidR="00032324" w:rsidRPr="00BF32F3" w:rsidTr="002A0A11">
        <w:trPr>
          <w:trHeight w:val="170"/>
        </w:trPr>
        <w:tc>
          <w:tcPr>
            <w:tcW w:w="3397" w:type="dxa"/>
            <w:vAlign w:val="bottom"/>
          </w:tcPr>
          <w:p w:rsidR="00032324" w:rsidRPr="00BF32F3" w:rsidRDefault="00032324" w:rsidP="002A0A11">
            <w:pPr>
              <w:spacing w:before="40" w:after="40" w:line="360" w:lineRule="auto"/>
              <w:ind w:left="284"/>
              <w:rPr>
                <w:rFonts w:cs="Arial"/>
                <w:b/>
                <w:bCs/>
              </w:rPr>
            </w:pPr>
            <w:r w:rsidRPr="00BF32F3">
              <w:rPr>
                <w:rFonts w:cs="Arial"/>
                <w:b/>
                <w:bCs/>
                <w:color w:val="000000"/>
              </w:rPr>
              <w:t>2022</w:t>
            </w:r>
          </w:p>
        </w:tc>
        <w:tc>
          <w:tcPr>
            <w:tcW w:w="1134" w:type="dxa"/>
            <w:vAlign w:val="center"/>
          </w:tcPr>
          <w:p w:rsidR="00032324" w:rsidRPr="00BF32F3" w:rsidRDefault="00032324" w:rsidP="002A0A11">
            <w:pPr>
              <w:spacing w:before="40" w:after="40" w:line="360" w:lineRule="auto"/>
              <w:jc w:val="center"/>
              <w:rPr>
                <w:rFonts w:cs="Arial"/>
              </w:rPr>
            </w:pPr>
            <w:r w:rsidRPr="00BF32F3">
              <w:rPr>
                <w:rFonts w:cs="Arial"/>
                <w:color w:val="000000"/>
              </w:rPr>
              <w:t>20</w:t>
            </w:r>
          </w:p>
        </w:tc>
        <w:tc>
          <w:tcPr>
            <w:tcW w:w="993" w:type="dxa"/>
            <w:vAlign w:val="center"/>
          </w:tcPr>
          <w:p w:rsidR="00032324" w:rsidRPr="00561FAD" w:rsidRDefault="00032324" w:rsidP="002A0A11">
            <w:pPr>
              <w:spacing w:before="40" w:after="40" w:line="360" w:lineRule="auto"/>
              <w:jc w:val="center"/>
              <w:rPr>
                <w:rFonts w:cs="Arial"/>
              </w:rPr>
            </w:pPr>
            <w:r w:rsidRPr="00561FAD">
              <w:rPr>
                <w:rFonts w:cs="Arial"/>
              </w:rPr>
              <w:t>15.0</w:t>
            </w:r>
          </w:p>
        </w:tc>
        <w:tc>
          <w:tcPr>
            <w:tcW w:w="2126" w:type="dxa"/>
            <w:vAlign w:val="center"/>
          </w:tcPr>
          <w:p w:rsidR="00032324" w:rsidRPr="00561FAD" w:rsidRDefault="00032324" w:rsidP="002A0A11">
            <w:pPr>
              <w:spacing w:before="40" w:after="40" w:line="360" w:lineRule="auto"/>
              <w:jc w:val="center"/>
              <w:rPr>
                <w:rFonts w:cs="Arial"/>
              </w:rPr>
            </w:pPr>
            <w:r w:rsidRPr="00561FAD">
              <w:rPr>
                <w:rFonts w:cs="Arial"/>
              </w:rPr>
              <w:t>0.7</w:t>
            </w:r>
          </w:p>
        </w:tc>
      </w:tr>
      <w:tr w:rsidR="00032324" w:rsidRPr="00BF32F3" w:rsidTr="002A0A11">
        <w:trPr>
          <w:trHeight w:val="170"/>
        </w:trPr>
        <w:tc>
          <w:tcPr>
            <w:tcW w:w="7650" w:type="dxa"/>
            <w:gridSpan w:val="4"/>
            <w:vAlign w:val="bottom"/>
          </w:tcPr>
          <w:p w:rsidR="00032324" w:rsidRPr="00561FAD" w:rsidRDefault="00032324" w:rsidP="002A0A11">
            <w:pPr>
              <w:spacing w:before="40" w:after="40" w:line="360" w:lineRule="auto"/>
              <w:rPr>
                <w:rFonts w:cs="Arial"/>
                <w:b/>
                <w:bCs/>
              </w:rPr>
            </w:pPr>
            <w:r w:rsidRPr="00561FAD">
              <w:rPr>
                <w:rFonts w:cs="Arial"/>
                <w:b/>
                <w:bCs/>
              </w:rPr>
              <w:t>No venetoclax</w:t>
            </w:r>
          </w:p>
        </w:tc>
      </w:tr>
      <w:tr w:rsidR="00032324" w:rsidRPr="00BF32F3" w:rsidTr="002A0A11">
        <w:trPr>
          <w:trHeight w:val="170"/>
        </w:trPr>
        <w:tc>
          <w:tcPr>
            <w:tcW w:w="3397" w:type="dxa"/>
            <w:vAlign w:val="bottom"/>
          </w:tcPr>
          <w:p w:rsidR="00032324" w:rsidRPr="00BF32F3" w:rsidRDefault="00032324" w:rsidP="002A0A11">
            <w:pPr>
              <w:spacing w:before="40" w:after="40" w:line="360" w:lineRule="auto"/>
              <w:ind w:left="284"/>
              <w:rPr>
                <w:rFonts w:cs="Arial"/>
                <w:b/>
                <w:bCs/>
                <w:color w:val="000000"/>
              </w:rPr>
            </w:pPr>
            <w:r w:rsidRPr="00BF32F3">
              <w:rPr>
                <w:rFonts w:cs="Arial"/>
                <w:b/>
                <w:bCs/>
                <w:color w:val="000000"/>
              </w:rPr>
              <w:t>2020</w:t>
            </w:r>
          </w:p>
        </w:tc>
        <w:tc>
          <w:tcPr>
            <w:tcW w:w="1134" w:type="dxa"/>
            <w:vAlign w:val="center"/>
          </w:tcPr>
          <w:p w:rsidR="00032324" w:rsidRPr="00BF32F3" w:rsidRDefault="00032324" w:rsidP="002A0A11">
            <w:pPr>
              <w:spacing w:before="40" w:after="40" w:line="360" w:lineRule="auto"/>
              <w:jc w:val="center"/>
              <w:rPr>
                <w:rFonts w:cs="Arial"/>
                <w:color w:val="000000"/>
              </w:rPr>
            </w:pPr>
            <w:r w:rsidRPr="00BF32F3">
              <w:rPr>
                <w:rFonts w:cs="Arial"/>
                <w:color w:val="000000"/>
              </w:rPr>
              <w:t>43</w:t>
            </w:r>
          </w:p>
        </w:tc>
        <w:tc>
          <w:tcPr>
            <w:tcW w:w="993" w:type="dxa"/>
            <w:vAlign w:val="center"/>
          </w:tcPr>
          <w:p w:rsidR="00032324" w:rsidRPr="00561FAD" w:rsidRDefault="00032324" w:rsidP="002A0A11">
            <w:pPr>
              <w:spacing w:before="40" w:after="40" w:line="360" w:lineRule="auto"/>
              <w:jc w:val="center"/>
              <w:rPr>
                <w:rFonts w:cs="Arial"/>
              </w:rPr>
            </w:pPr>
            <w:r w:rsidRPr="00561FAD">
              <w:rPr>
                <w:rFonts w:cs="Arial"/>
              </w:rPr>
              <w:t>58.9</w:t>
            </w:r>
          </w:p>
        </w:tc>
        <w:tc>
          <w:tcPr>
            <w:tcW w:w="2126" w:type="dxa"/>
            <w:vAlign w:val="center"/>
          </w:tcPr>
          <w:p w:rsidR="00032324" w:rsidRPr="00561FAD" w:rsidRDefault="00032324" w:rsidP="002A0A11">
            <w:pPr>
              <w:spacing w:before="40" w:after="40" w:line="360" w:lineRule="auto"/>
              <w:jc w:val="center"/>
              <w:rPr>
                <w:rFonts w:cs="Arial"/>
              </w:rPr>
            </w:pPr>
            <w:r w:rsidRPr="00561FAD">
              <w:rPr>
                <w:rFonts w:cs="Arial"/>
              </w:rPr>
              <w:t>1.6</w:t>
            </w:r>
          </w:p>
        </w:tc>
      </w:tr>
      <w:tr w:rsidR="00032324" w:rsidRPr="00BF32F3" w:rsidTr="002A0A11">
        <w:trPr>
          <w:trHeight w:val="170"/>
        </w:trPr>
        <w:tc>
          <w:tcPr>
            <w:tcW w:w="3397" w:type="dxa"/>
            <w:vAlign w:val="bottom"/>
          </w:tcPr>
          <w:p w:rsidR="00032324" w:rsidRPr="00BF32F3" w:rsidRDefault="00032324" w:rsidP="002A0A11">
            <w:pPr>
              <w:spacing w:before="40" w:after="40" w:line="360" w:lineRule="auto"/>
              <w:ind w:left="284"/>
              <w:rPr>
                <w:rFonts w:cs="Arial"/>
                <w:b/>
                <w:bCs/>
                <w:color w:val="000000"/>
              </w:rPr>
            </w:pPr>
            <w:r w:rsidRPr="00BF32F3">
              <w:rPr>
                <w:rFonts w:cs="Arial"/>
                <w:b/>
                <w:bCs/>
                <w:color w:val="000000"/>
              </w:rPr>
              <w:t>2021</w:t>
            </w:r>
          </w:p>
        </w:tc>
        <w:tc>
          <w:tcPr>
            <w:tcW w:w="1134" w:type="dxa"/>
            <w:vAlign w:val="center"/>
          </w:tcPr>
          <w:p w:rsidR="00032324" w:rsidRPr="00BF32F3" w:rsidRDefault="00032324" w:rsidP="002A0A11">
            <w:pPr>
              <w:spacing w:before="40" w:after="40" w:line="360" w:lineRule="auto"/>
              <w:jc w:val="center"/>
              <w:rPr>
                <w:rFonts w:cs="Arial"/>
                <w:color w:val="000000"/>
              </w:rPr>
            </w:pPr>
            <w:r w:rsidRPr="00BF32F3">
              <w:rPr>
                <w:rFonts w:cs="Arial"/>
                <w:color w:val="000000"/>
              </w:rPr>
              <w:t>59</w:t>
            </w:r>
          </w:p>
        </w:tc>
        <w:tc>
          <w:tcPr>
            <w:tcW w:w="993" w:type="dxa"/>
            <w:vAlign w:val="center"/>
          </w:tcPr>
          <w:p w:rsidR="00032324" w:rsidRPr="00561FAD" w:rsidRDefault="00032324" w:rsidP="002A0A11">
            <w:pPr>
              <w:spacing w:before="40" w:after="40" w:line="360" w:lineRule="auto"/>
              <w:jc w:val="center"/>
              <w:rPr>
                <w:rFonts w:cs="Arial"/>
              </w:rPr>
            </w:pPr>
            <w:r w:rsidRPr="00561FAD">
              <w:rPr>
                <w:rFonts w:cs="Arial"/>
              </w:rPr>
              <w:t>57.3</w:t>
            </w:r>
          </w:p>
        </w:tc>
        <w:tc>
          <w:tcPr>
            <w:tcW w:w="2126" w:type="dxa"/>
            <w:vAlign w:val="center"/>
          </w:tcPr>
          <w:p w:rsidR="00032324" w:rsidRPr="00561FAD" w:rsidRDefault="00032324" w:rsidP="002A0A11">
            <w:pPr>
              <w:spacing w:before="40" w:after="40" w:line="360" w:lineRule="auto"/>
              <w:jc w:val="center"/>
              <w:rPr>
                <w:rFonts w:cs="Arial"/>
              </w:rPr>
            </w:pPr>
            <w:r w:rsidRPr="00561FAD">
              <w:rPr>
                <w:rFonts w:cs="Arial"/>
              </w:rPr>
              <w:t>2.2</w:t>
            </w:r>
          </w:p>
        </w:tc>
      </w:tr>
      <w:tr w:rsidR="00032324" w:rsidRPr="00BF32F3" w:rsidTr="002A0A11">
        <w:trPr>
          <w:trHeight w:val="170"/>
        </w:trPr>
        <w:tc>
          <w:tcPr>
            <w:tcW w:w="3397" w:type="dxa"/>
            <w:vAlign w:val="bottom"/>
          </w:tcPr>
          <w:p w:rsidR="00032324" w:rsidRPr="00BF32F3" w:rsidRDefault="00032324" w:rsidP="002A0A11">
            <w:pPr>
              <w:spacing w:before="40" w:after="40" w:line="360" w:lineRule="auto"/>
              <w:ind w:left="284"/>
              <w:rPr>
                <w:rFonts w:cs="Arial"/>
                <w:b/>
                <w:bCs/>
                <w:color w:val="000000"/>
              </w:rPr>
            </w:pPr>
            <w:r w:rsidRPr="00BF32F3">
              <w:rPr>
                <w:rFonts w:cs="Arial"/>
                <w:b/>
                <w:bCs/>
                <w:color w:val="000000"/>
              </w:rPr>
              <w:t>2022</w:t>
            </w:r>
          </w:p>
        </w:tc>
        <w:tc>
          <w:tcPr>
            <w:tcW w:w="1134" w:type="dxa"/>
            <w:vAlign w:val="center"/>
          </w:tcPr>
          <w:p w:rsidR="00032324" w:rsidRPr="00BF32F3" w:rsidRDefault="00032324" w:rsidP="002A0A11">
            <w:pPr>
              <w:spacing w:before="40" w:after="40" w:line="360" w:lineRule="auto"/>
              <w:jc w:val="center"/>
              <w:rPr>
                <w:rFonts w:cs="Arial"/>
                <w:color w:val="000000"/>
              </w:rPr>
            </w:pPr>
            <w:r w:rsidRPr="00BF32F3">
              <w:rPr>
                <w:rFonts w:cs="Arial"/>
                <w:color w:val="000000"/>
              </w:rPr>
              <w:t>80</w:t>
            </w:r>
          </w:p>
        </w:tc>
        <w:tc>
          <w:tcPr>
            <w:tcW w:w="993" w:type="dxa"/>
            <w:vAlign w:val="center"/>
          </w:tcPr>
          <w:p w:rsidR="00032324" w:rsidRPr="00561FAD" w:rsidRDefault="00032324" w:rsidP="002A0A11">
            <w:pPr>
              <w:spacing w:before="40" w:after="40" w:line="360" w:lineRule="auto"/>
              <w:jc w:val="center"/>
              <w:rPr>
                <w:rFonts w:cs="Arial"/>
              </w:rPr>
            </w:pPr>
            <w:r w:rsidRPr="00561FAD">
              <w:rPr>
                <w:rFonts w:cs="Arial"/>
              </w:rPr>
              <w:t>60.2</w:t>
            </w:r>
          </w:p>
        </w:tc>
        <w:tc>
          <w:tcPr>
            <w:tcW w:w="2126" w:type="dxa"/>
            <w:vAlign w:val="center"/>
          </w:tcPr>
          <w:p w:rsidR="00032324" w:rsidRPr="00561FAD" w:rsidRDefault="00032324" w:rsidP="002A0A11">
            <w:pPr>
              <w:spacing w:before="40" w:after="40" w:line="360" w:lineRule="auto"/>
              <w:jc w:val="center"/>
              <w:rPr>
                <w:rFonts w:cs="Arial"/>
              </w:rPr>
            </w:pPr>
            <w:r w:rsidRPr="00561FAD">
              <w:rPr>
                <w:rFonts w:cs="Arial"/>
              </w:rPr>
              <w:t>3.0</w:t>
            </w:r>
          </w:p>
        </w:tc>
      </w:tr>
    </w:tbl>
    <w:p w:rsidR="00032324" w:rsidRPr="00476D45" w:rsidRDefault="00032324" w:rsidP="00032324">
      <w:pPr>
        <w:pStyle w:val="Body"/>
        <w:spacing w:after="60" w:line="276" w:lineRule="auto"/>
        <w:rPr>
          <w:sz w:val="18"/>
          <w:szCs w:val="18"/>
        </w:rPr>
      </w:pPr>
      <w:r w:rsidRPr="00476D45">
        <w:rPr>
          <w:sz w:val="18"/>
          <w:szCs w:val="18"/>
          <w:vertAlign w:val="superscript"/>
        </w:rPr>
        <w:t>a</w:t>
      </w:r>
      <w:r w:rsidRPr="00476D45">
        <w:rPr>
          <w:sz w:val="18"/>
          <w:szCs w:val="18"/>
        </w:rPr>
        <w:t>Treatment patterns including use of venetoclax were only analysed between 2020 and 2022.</w:t>
      </w:r>
    </w:p>
    <w:p w:rsidR="00032324" w:rsidRDefault="00032324" w:rsidP="00032324">
      <w:pPr>
        <w:pStyle w:val="Body"/>
        <w:spacing w:before="0" w:after="60" w:line="276" w:lineRule="auto"/>
        <w:rPr>
          <w:sz w:val="18"/>
          <w:szCs w:val="18"/>
        </w:rPr>
      </w:pPr>
      <w:r w:rsidRPr="00476D45">
        <w:rPr>
          <w:sz w:val="18"/>
          <w:szCs w:val="18"/>
          <w:vertAlign w:val="superscript"/>
        </w:rPr>
        <w:t>b</w:t>
      </w:r>
      <w:r w:rsidRPr="00476D45">
        <w:rPr>
          <w:sz w:val="18"/>
          <w:szCs w:val="18"/>
        </w:rPr>
        <w:t>Percentage of the total number of patients in the study population with CLL who received post-cBTKi treatment</w:t>
      </w:r>
      <w:r>
        <w:rPr>
          <w:sz w:val="18"/>
          <w:szCs w:val="18"/>
        </w:rPr>
        <w:t xml:space="preserve"> for each corresponding year.</w:t>
      </w:r>
    </w:p>
    <w:p w:rsidR="00032324" w:rsidRPr="00BF32F3" w:rsidRDefault="00032324" w:rsidP="00032324">
      <w:pPr>
        <w:pStyle w:val="Body"/>
        <w:spacing w:before="120" w:after="60" w:line="276" w:lineRule="auto"/>
        <w:rPr>
          <w:sz w:val="18"/>
          <w:szCs w:val="18"/>
        </w:rPr>
      </w:pPr>
      <w:r>
        <w:rPr>
          <w:sz w:val="18"/>
          <w:szCs w:val="18"/>
        </w:rPr>
        <w:t xml:space="preserve">cBTKi, covalent Bruton’s tyrosine kinase inhibitor; </w:t>
      </w:r>
      <w:r w:rsidRPr="00BF32F3">
        <w:rPr>
          <w:sz w:val="18"/>
          <w:szCs w:val="18"/>
        </w:rPr>
        <w:t xml:space="preserve">CLL, </w:t>
      </w:r>
      <w:r>
        <w:rPr>
          <w:sz w:val="18"/>
          <w:szCs w:val="18"/>
        </w:rPr>
        <w:t>c</w:t>
      </w:r>
      <w:r w:rsidRPr="00BF32F3">
        <w:rPr>
          <w:sz w:val="18"/>
          <w:szCs w:val="18"/>
        </w:rPr>
        <w:t>hronic lymphocytic leuk</w:t>
      </w:r>
      <w:r>
        <w:rPr>
          <w:sz w:val="18"/>
          <w:szCs w:val="18"/>
        </w:rPr>
        <w:t>a</w:t>
      </w:r>
      <w:r w:rsidRPr="00BF32F3">
        <w:rPr>
          <w:sz w:val="18"/>
          <w:szCs w:val="18"/>
        </w:rPr>
        <w:t>emia.</w:t>
      </w:r>
    </w:p>
    <w:p w:rsidR="00032324" w:rsidRDefault="00032324" w:rsidP="00032324">
      <w:pPr>
        <w:spacing w:after="0" w:line="240" w:lineRule="auto"/>
        <w:rPr>
          <w:i/>
          <w:iCs/>
        </w:rPr>
        <w:sectPr w:rsidR="00032324" w:rsidSect="004757BC">
          <w:pgSz w:w="11906" w:h="16838" w:code="9"/>
          <w:pgMar w:top="1418" w:right="1701" w:bottom="1418" w:left="1701" w:header="709" w:footer="1134" w:gutter="0"/>
          <w:cols w:space="720"/>
          <w:docGrid w:linePitch="360"/>
        </w:sectPr>
      </w:pPr>
    </w:p>
    <w:p w:rsidR="00032324" w:rsidRPr="00BF32F3" w:rsidRDefault="00032324" w:rsidP="00032324">
      <w:pPr>
        <w:pStyle w:val="Heading2"/>
        <w:rPr>
          <w:highlight w:val="yellow"/>
        </w:rPr>
      </w:pPr>
      <w:r>
        <w:rPr>
          <w:i w:val="0"/>
          <w:iCs w:val="0"/>
          <w:sz w:val="22"/>
          <w:szCs w:val="22"/>
        </w:rPr>
        <w:lastRenderedPageBreak/>
        <w:t>Supplementary T</w:t>
      </w:r>
      <w:r w:rsidRPr="0771F353">
        <w:rPr>
          <w:i w:val="0"/>
          <w:iCs w:val="0"/>
          <w:sz w:val="22"/>
          <w:szCs w:val="22"/>
        </w:rPr>
        <w:t xml:space="preserve">able </w:t>
      </w:r>
      <w:r>
        <w:rPr>
          <w:i w:val="0"/>
          <w:iCs w:val="0"/>
          <w:sz w:val="22"/>
          <w:szCs w:val="22"/>
        </w:rPr>
        <w:t>S5</w:t>
      </w:r>
      <w:r w:rsidRPr="0771F353">
        <w:rPr>
          <w:b w:val="0"/>
          <w:bCs w:val="0"/>
          <w:i w:val="0"/>
          <w:iCs w:val="0"/>
          <w:sz w:val="22"/>
          <w:szCs w:val="22"/>
        </w:rPr>
        <w:t xml:space="preserve"> </w:t>
      </w:r>
      <w:r>
        <w:rPr>
          <w:b w:val="0"/>
          <w:bCs w:val="0"/>
          <w:i w:val="0"/>
          <w:iCs w:val="0"/>
          <w:sz w:val="22"/>
          <w:szCs w:val="22"/>
        </w:rPr>
        <w:t>Treatments administered prior or subsequent to cBTKi treatment in Cohort 2</w:t>
      </w:r>
      <w:r>
        <w:rPr>
          <w:b w:val="0"/>
          <w:bCs w:val="0"/>
          <w:i w:val="0"/>
          <w:iCs w:val="0"/>
          <w:sz w:val="22"/>
          <w:szCs w:val="22"/>
          <w:vertAlign w:val="superscript"/>
        </w:rPr>
        <w:t>a</w:t>
      </w:r>
      <w:r>
        <w:rPr>
          <w:b w:val="0"/>
          <w:bCs w:val="0"/>
          <w:i w:val="0"/>
          <w:iCs w:val="0"/>
          <w:sz w:val="22"/>
          <w:szCs w:val="22"/>
        </w:rPr>
        <w:t>.</w:t>
      </w:r>
    </w:p>
    <w:tbl>
      <w:tblPr>
        <w:tblStyle w:val="TableGrid"/>
        <w:tblW w:w="9918" w:type="dxa"/>
        <w:tblLayout w:type="fixed"/>
        <w:tblLook w:val="04A0" w:firstRow="1" w:lastRow="0" w:firstColumn="1" w:lastColumn="0" w:noHBand="0" w:noVBand="1"/>
      </w:tblPr>
      <w:tblGrid>
        <w:gridCol w:w="4106"/>
        <w:gridCol w:w="1937"/>
        <w:gridCol w:w="1937"/>
        <w:gridCol w:w="1938"/>
      </w:tblGrid>
      <w:tr w:rsidR="00032324" w:rsidRPr="005D62B3" w:rsidTr="002A0A11">
        <w:trPr>
          <w:trHeight w:val="170"/>
        </w:trPr>
        <w:tc>
          <w:tcPr>
            <w:tcW w:w="4106" w:type="dxa"/>
            <w:vAlign w:val="bottom"/>
          </w:tcPr>
          <w:p w:rsidR="00032324" w:rsidRPr="005D62B3" w:rsidRDefault="00032324" w:rsidP="002A0A11">
            <w:pPr>
              <w:spacing w:before="40" w:after="40" w:line="360" w:lineRule="auto"/>
              <w:rPr>
                <w:b/>
                <w:bCs/>
              </w:rPr>
            </w:pPr>
            <w:r w:rsidRPr="005D62B3">
              <w:rPr>
                <w:b/>
                <w:bCs/>
              </w:rPr>
              <w:t>Treatment</w:t>
            </w:r>
          </w:p>
        </w:tc>
        <w:tc>
          <w:tcPr>
            <w:tcW w:w="1937" w:type="dxa"/>
          </w:tcPr>
          <w:p w:rsidR="00032324" w:rsidRPr="005D62B3" w:rsidRDefault="00032324" w:rsidP="002A0A11">
            <w:pPr>
              <w:spacing w:before="40" w:after="40" w:line="360" w:lineRule="auto"/>
              <w:jc w:val="center"/>
              <w:rPr>
                <w:b/>
                <w:bCs/>
              </w:rPr>
            </w:pPr>
            <w:r w:rsidRPr="005D62B3">
              <w:rPr>
                <w:rFonts w:cs="Arial"/>
                <w:b/>
                <w:bCs/>
                <w:color w:val="000000" w:themeColor="text1"/>
              </w:rPr>
              <w:t>Cohort 2</w:t>
            </w:r>
            <w:r>
              <w:rPr>
                <w:rFonts w:cs="Arial"/>
                <w:b/>
                <w:bCs/>
                <w:color w:val="000000" w:themeColor="text1"/>
                <w:vertAlign w:val="superscript"/>
              </w:rPr>
              <w:t>a</w:t>
            </w:r>
            <w:r w:rsidRPr="005D62B3">
              <w:rPr>
                <w:rFonts w:cs="Arial"/>
                <w:b/>
                <w:bCs/>
                <w:color w:val="000000" w:themeColor="text1"/>
              </w:rPr>
              <w:br/>
              <w:t>Newly initiated cBTKi</w:t>
            </w:r>
            <w:r w:rsidRPr="005D62B3">
              <w:rPr>
                <w:rFonts w:cs="Arial"/>
                <w:b/>
                <w:bCs/>
                <w:color w:val="000000" w:themeColor="text1"/>
              </w:rPr>
              <w:br/>
              <w:t>(N=371)</w:t>
            </w:r>
          </w:p>
        </w:tc>
        <w:tc>
          <w:tcPr>
            <w:tcW w:w="1937" w:type="dxa"/>
          </w:tcPr>
          <w:p w:rsidR="00032324" w:rsidRPr="00476D45" w:rsidRDefault="00032324" w:rsidP="002A0A11">
            <w:pPr>
              <w:spacing w:before="40" w:after="40"/>
              <w:jc w:val="center"/>
              <w:rPr>
                <w:rFonts w:cs="Arial"/>
                <w:b/>
                <w:bCs/>
                <w:color w:val="000000" w:themeColor="text1"/>
                <w:vertAlign w:val="superscript"/>
              </w:rPr>
            </w:pPr>
            <w:r w:rsidRPr="00C4732C">
              <w:rPr>
                <w:rFonts w:cs="Arial"/>
                <w:b/>
                <w:bCs/>
                <w:color w:val="000000" w:themeColor="text1"/>
              </w:rPr>
              <w:t>Cohort 2a</w:t>
            </w:r>
            <w:r>
              <w:rPr>
                <w:rFonts w:cs="Arial"/>
                <w:b/>
                <w:bCs/>
                <w:color w:val="000000" w:themeColor="text1"/>
                <w:vertAlign w:val="superscript"/>
              </w:rPr>
              <w:t>a</w:t>
            </w:r>
            <w:r w:rsidRPr="00C4732C">
              <w:rPr>
                <w:rFonts w:cs="Arial"/>
                <w:b/>
                <w:bCs/>
                <w:color w:val="000000" w:themeColor="text1"/>
              </w:rPr>
              <w:br/>
              <w:t>Newly initiated cBTKi and received venetoclax</w:t>
            </w:r>
          </w:p>
          <w:p w:rsidR="00032324" w:rsidRPr="00C4732C" w:rsidRDefault="00032324" w:rsidP="002A0A11">
            <w:pPr>
              <w:spacing w:before="40" w:after="40" w:line="360" w:lineRule="auto"/>
              <w:jc w:val="center"/>
              <w:rPr>
                <w:b/>
                <w:bCs/>
              </w:rPr>
            </w:pPr>
            <w:r w:rsidRPr="00C4732C">
              <w:rPr>
                <w:rFonts w:cs="Arial"/>
                <w:b/>
                <w:bCs/>
                <w:color w:val="000000" w:themeColor="text1"/>
              </w:rPr>
              <w:t>(N=38)</w:t>
            </w:r>
          </w:p>
        </w:tc>
        <w:tc>
          <w:tcPr>
            <w:tcW w:w="1938" w:type="dxa"/>
          </w:tcPr>
          <w:p w:rsidR="00032324" w:rsidRPr="005D62B3" w:rsidRDefault="00032324" w:rsidP="002A0A11">
            <w:pPr>
              <w:spacing w:before="40" w:after="40"/>
              <w:jc w:val="center"/>
              <w:rPr>
                <w:rFonts w:cs="Arial"/>
                <w:b/>
                <w:bCs/>
                <w:color w:val="000000" w:themeColor="text1"/>
              </w:rPr>
            </w:pPr>
            <w:r w:rsidRPr="005D62B3">
              <w:rPr>
                <w:rFonts w:cs="Arial"/>
                <w:b/>
                <w:bCs/>
                <w:color w:val="000000" w:themeColor="text1"/>
              </w:rPr>
              <w:t>Cohort 2b</w:t>
            </w:r>
            <w:r>
              <w:rPr>
                <w:rFonts w:cs="Arial"/>
                <w:b/>
                <w:bCs/>
                <w:color w:val="000000" w:themeColor="text1"/>
                <w:vertAlign w:val="superscript"/>
              </w:rPr>
              <w:t>a</w:t>
            </w:r>
            <w:r w:rsidRPr="005D62B3">
              <w:rPr>
                <w:rFonts w:cs="Arial"/>
                <w:b/>
                <w:bCs/>
                <w:color w:val="000000" w:themeColor="text1"/>
              </w:rPr>
              <w:br/>
              <w:t>Newly initiated cBTKi and no venetoclax</w:t>
            </w:r>
          </w:p>
          <w:p w:rsidR="00032324" w:rsidRPr="005D62B3" w:rsidRDefault="00032324" w:rsidP="002A0A11">
            <w:pPr>
              <w:spacing w:before="40" w:after="40" w:line="360" w:lineRule="auto"/>
              <w:jc w:val="center"/>
              <w:rPr>
                <w:b/>
                <w:bCs/>
              </w:rPr>
            </w:pPr>
            <w:r w:rsidRPr="005D62B3">
              <w:rPr>
                <w:rFonts w:cs="Arial"/>
                <w:b/>
                <w:bCs/>
                <w:color w:val="000000" w:themeColor="text1"/>
              </w:rPr>
              <w:t>(N=333)</w:t>
            </w:r>
          </w:p>
        </w:tc>
      </w:tr>
      <w:tr w:rsidR="00032324" w:rsidRPr="005D62B3" w:rsidTr="002A0A11">
        <w:trPr>
          <w:trHeight w:val="170"/>
        </w:trPr>
        <w:tc>
          <w:tcPr>
            <w:tcW w:w="9918" w:type="dxa"/>
            <w:gridSpan w:val="4"/>
            <w:vAlign w:val="bottom"/>
          </w:tcPr>
          <w:p w:rsidR="00032324" w:rsidRPr="005D62B3" w:rsidRDefault="00032324" w:rsidP="002A0A11">
            <w:pPr>
              <w:spacing w:before="40" w:after="40" w:line="360" w:lineRule="auto"/>
              <w:rPr>
                <w:rFonts w:cs="Arial"/>
                <w:b/>
                <w:bCs/>
                <w:i/>
                <w:iCs/>
              </w:rPr>
            </w:pPr>
            <w:r w:rsidRPr="005D62B3">
              <w:rPr>
                <w:rFonts w:cs="Arial"/>
                <w:b/>
                <w:bCs/>
                <w:color w:val="000000" w:themeColor="text1"/>
              </w:rPr>
              <w:t>Prior to cBTKi treatment</w:t>
            </w:r>
          </w:p>
        </w:tc>
      </w:tr>
      <w:tr w:rsidR="00032324" w:rsidRPr="005D62B3" w:rsidTr="002A0A11">
        <w:trPr>
          <w:trHeight w:val="170"/>
        </w:trPr>
        <w:tc>
          <w:tcPr>
            <w:tcW w:w="4106" w:type="dxa"/>
            <w:vAlign w:val="center"/>
          </w:tcPr>
          <w:p w:rsidR="00032324" w:rsidRPr="006E279A" w:rsidRDefault="00032324" w:rsidP="002A0A11">
            <w:pPr>
              <w:spacing w:before="40" w:after="40" w:line="360" w:lineRule="auto"/>
              <w:rPr>
                <w:rFonts w:cs="Arial"/>
              </w:rPr>
            </w:pPr>
            <w:r w:rsidRPr="006E279A">
              <w:rPr>
                <w:rFonts w:cs="Arial"/>
              </w:rPr>
              <w:t>Kinase inhibitors</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7 (1.9%)</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3 (7.9%)</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4 (1.2%)</w:t>
            </w:r>
          </w:p>
        </w:tc>
      </w:tr>
      <w:tr w:rsidR="00032324" w:rsidRPr="005D62B3" w:rsidTr="002A0A11">
        <w:trPr>
          <w:trHeight w:val="170"/>
        </w:trPr>
        <w:tc>
          <w:tcPr>
            <w:tcW w:w="4106" w:type="dxa"/>
            <w:vAlign w:val="center"/>
          </w:tcPr>
          <w:p w:rsidR="00032324" w:rsidRPr="006E279A" w:rsidRDefault="00032324" w:rsidP="002A0A11">
            <w:pPr>
              <w:spacing w:before="40" w:after="40" w:line="360" w:lineRule="auto"/>
              <w:ind w:left="170"/>
              <w:rPr>
                <w:rFonts w:cs="Arial"/>
                <w:color w:val="000000"/>
              </w:rPr>
            </w:pPr>
            <w:r w:rsidRPr="006E279A">
              <w:rPr>
                <w:rFonts w:cs="Arial"/>
              </w:rPr>
              <w:t>PI3K inhibitors</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7 (1.9%)</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3 (7.9%)</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4 (1.2%)</w:t>
            </w:r>
          </w:p>
        </w:tc>
      </w:tr>
      <w:tr w:rsidR="00032324" w:rsidRPr="005D62B3" w:rsidTr="002A0A11">
        <w:trPr>
          <w:trHeight w:val="170"/>
        </w:trPr>
        <w:tc>
          <w:tcPr>
            <w:tcW w:w="4106" w:type="dxa"/>
            <w:vAlign w:val="center"/>
          </w:tcPr>
          <w:p w:rsidR="00032324" w:rsidRPr="006E279A" w:rsidRDefault="00032324" w:rsidP="002A0A11">
            <w:pPr>
              <w:spacing w:before="40" w:after="40" w:line="360" w:lineRule="auto"/>
              <w:ind w:left="284"/>
              <w:rPr>
                <w:rFonts w:cs="Arial"/>
                <w:color w:val="000000"/>
              </w:rPr>
            </w:pPr>
            <w:r w:rsidRPr="006E279A">
              <w:rPr>
                <w:rFonts w:cs="Arial"/>
              </w:rPr>
              <w:t>Idelalisib</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7 (1.9%)</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3 (7.9%)</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4 (1.2%)</w:t>
            </w:r>
          </w:p>
        </w:tc>
      </w:tr>
      <w:tr w:rsidR="00032324" w:rsidRPr="005D62B3" w:rsidTr="002A0A11">
        <w:trPr>
          <w:trHeight w:val="170"/>
        </w:trPr>
        <w:tc>
          <w:tcPr>
            <w:tcW w:w="4106" w:type="dxa"/>
            <w:vAlign w:val="bottom"/>
          </w:tcPr>
          <w:p w:rsidR="00032324" w:rsidRPr="006E279A" w:rsidRDefault="00032324" w:rsidP="002A0A11">
            <w:pPr>
              <w:spacing w:before="40" w:after="40" w:line="360" w:lineRule="auto"/>
              <w:rPr>
                <w:rFonts w:cs="Arial"/>
                <w:color w:val="000000"/>
              </w:rPr>
            </w:pPr>
            <w:r w:rsidRPr="006E279A">
              <w:rPr>
                <w:rFonts w:cs="Arial"/>
                <w:color w:val="000000"/>
              </w:rPr>
              <w:t xml:space="preserve">Monoclonal antibodies </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146 (39.4%)</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22 (57.9%)</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124 (37.2%)</w:t>
            </w:r>
          </w:p>
        </w:tc>
      </w:tr>
      <w:tr w:rsidR="00032324" w:rsidRPr="005D62B3" w:rsidTr="002A0A11">
        <w:trPr>
          <w:trHeight w:val="170"/>
        </w:trPr>
        <w:tc>
          <w:tcPr>
            <w:tcW w:w="4106" w:type="dxa"/>
            <w:vAlign w:val="bottom"/>
          </w:tcPr>
          <w:p w:rsidR="00032324" w:rsidRPr="006E279A" w:rsidRDefault="00032324" w:rsidP="002A0A11">
            <w:pPr>
              <w:spacing w:before="40" w:after="40" w:line="360" w:lineRule="auto"/>
              <w:ind w:left="170"/>
              <w:rPr>
                <w:rFonts w:cs="Arial"/>
                <w:color w:val="000000"/>
              </w:rPr>
            </w:pPr>
            <w:r w:rsidRPr="006E279A">
              <w:rPr>
                <w:rFonts w:cs="Arial"/>
                <w:color w:val="000000"/>
              </w:rPr>
              <w:t>Anti-CD20</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146 (39.4%)</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22 (57.9%)</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124 (37.2%)</w:t>
            </w:r>
          </w:p>
        </w:tc>
      </w:tr>
      <w:tr w:rsidR="00032324" w:rsidRPr="005D62B3" w:rsidTr="002A0A11">
        <w:trPr>
          <w:trHeight w:val="170"/>
        </w:trPr>
        <w:tc>
          <w:tcPr>
            <w:tcW w:w="4106" w:type="dxa"/>
            <w:vAlign w:val="bottom"/>
          </w:tcPr>
          <w:p w:rsidR="00032324" w:rsidRPr="006E279A" w:rsidRDefault="00032324" w:rsidP="002A0A11">
            <w:pPr>
              <w:spacing w:before="40" w:after="40" w:line="360" w:lineRule="auto"/>
              <w:ind w:left="284"/>
              <w:rPr>
                <w:rFonts w:cs="Arial"/>
                <w:color w:val="000000"/>
              </w:rPr>
            </w:pPr>
            <w:r w:rsidRPr="006E279A">
              <w:rPr>
                <w:rFonts w:cs="Arial"/>
                <w:color w:val="000000"/>
              </w:rPr>
              <w:t>Obinutuzumab</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19 (5.1%)</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3 (7.9%)</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16 (4.8%)</w:t>
            </w:r>
          </w:p>
        </w:tc>
      </w:tr>
      <w:tr w:rsidR="00032324" w:rsidRPr="005D62B3" w:rsidTr="002A0A11">
        <w:trPr>
          <w:trHeight w:val="170"/>
        </w:trPr>
        <w:tc>
          <w:tcPr>
            <w:tcW w:w="4106" w:type="dxa"/>
            <w:vAlign w:val="bottom"/>
          </w:tcPr>
          <w:p w:rsidR="00032324" w:rsidRPr="006E279A" w:rsidRDefault="00032324" w:rsidP="002A0A11">
            <w:pPr>
              <w:spacing w:before="40" w:after="40" w:line="360" w:lineRule="auto"/>
              <w:ind w:left="284"/>
              <w:rPr>
                <w:rFonts w:cs="Arial"/>
                <w:color w:val="000000"/>
              </w:rPr>
            </w:pPr>
            <w:r w:rsidRPr="006E279A">
              <w:rPr>
                <w:rFonts w:cs="Arial"/>
                <w:color w:val="000000"/>
              </w:rPr>
              <w:t>Rituximab</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132 (35.6%)</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20 (52.6%)</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112 (33.6%)</w:t>
            </w:r>
          </w:p>
        </w:tc>
      </w:tr>
      <w:tr w:rsidR="00032324" w:rsidRPr="005D62B3" w:rsidTr="002A0A11">
        <w:trPr>
          <w:trHeight w:val="170"/>
        </w:trPr>
        <w:tc>
          <w:tcPr>
            <w:tcW w:w="4106" w:type="dxa"/>
            <w:vAlign w:val="bottom"/>
          </w:tcPr>
          <w:p w:rsidR="00032324" w:rsidRPr="006E279A" w:rsidRDefault="00032324" w:rsidP="002A0A11">
            <w:pPr>
              <w:spacing w:before="40" w:after="40" w:line="360" w:lineRule="auto"/>
              <w:rPr>
                <w:rFonts w:cs="Arial"/>
                <w:color w:val="000000"/>
              </w:rPr>
            </w:pPr>
            <w:r w:rsidRPr="006E279A">
              <w:rPr>
                <w:rFonts w:cs="Arial"/>
                <w:color w:val="000000"/>
              </w:rPr>
              <w:t>Anti-CD52</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0 (0.0%)</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r>
      <w:tr w:rsidR="00032324" w:rsidRPr="005D62B3" w:rsidTr="002A0A11">
        <w:trPr>
          <w:trHeight w:val="170"/>
        </w:trPr>
        <w:tc>
          <w:tcPr>
            <w:tcW w:w="4106" w:type="dxa"/>
            <w:vAlign w:val="bottom"/>
          </w:tcPr>
          <w:p w:rsidR="00032324" w:rsidRPr="006E279A" w:rsidRDefault="00032324" w:rsidP="002A0A11">
            <w:pPr>
              <w:spacing w:before="40" w:after="40" w:line="360" w:lineRule="auto"/>
              <w:rPr>
                <w:rFonts w:cs="Arial"/>
                <w:color w:val="000000"/>
              </w:rPr>
            </w:pPr>
            <w:r w:rsidRPr="006E279A">
              <w:rPr>
                <w:rFonts w:cs="Arial"/>
                <w:color w:val="000000"/>
              </w:rPr>
              <w:t>Other therapies</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150 (40.4%)</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22 (57.9%)</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128 (38.4%)</w:t>
            </w:r>
          </w:p>
        </w:tc>
      </w:tr>
      <w:tr w:rsidR="00032324" w:rsidRPr="005D62B3" w:rsidTr="002A0A11">
        <w:trPr>
          <w:trHeight w:val="170"/>
        </w:trPr>
        <w:tc>
          <w:tcPr>
            <w:tcW w:w="4106" w:type="dxa"/>
            <w:vAlign w:val="bottom"/>
          </w:tcPr>
          <w:p w:rsidR="00032324" w:rsidRPr="006E279A" w:rsidRDefault="00032324" w:rsidP="002A0A11">
            <w:pPr>
              <w:spacing w:before="40" w:after="40" w:line="360" w:lineRule="auto"/>
              <w:ind w:left="170"/>
              <w:rPr>
                <w:rFonts w:cs="Arial"/>
                <w:color w:val="000000"/>
              </w:rPr>
            </w:pPr>
            <w:r w:rsidRPr="006E279A">
              <w:rPr>
                <w:rFonts w:cs="Arial"/>
                <w:color w:val="000000"/>
              </w:rPr>
              <w:t>BCL-2 inhibitor</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 (0.5%)</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 (5.3%)</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r>
      <w:tr w:rsidR="00032324" w:rsidRPr="005D62B3" w:rsidTr="002A0A11">
        <w:trPr>
          <w:trHeight w:val="170"/>
        </w:trPr>
        <w:tc>
          <w:tcPr>
            <w:tcW w:w="4106" w:type="dxa"/>
            <w:vAlign w:val="bottom"/>
          </w:tcPr>
          <w:p w:rsidR="00032324" w:rsidRPr="006E279A" w:rsidRDefault="00032324" w:rsidP="002A0A11">
            <w:pPr>
              <w:spacing w:before="40" w:after="40" w:line="360" w:lineRule="auto"/>
              <w:ind w:left="284"/>
              <w:rPr>
                <w:rFonts w:cs="Arial"/>
                <w:color w:val="000000"/>
              </w:rPr>
            </w:pPr>
            <w:r w:rsidRPr="006E279A">
              <w:rPr>
                <w:rFonts w:cs="Arial"/>
                <w:color w:val="000000"/>
              </w:rPr>
              <w:t>Venetoclax</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 (0.5%)</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 (5.3%)</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r>
      <w:tr w:rsidR="00032324" w:rsidRPr="005D62B3" w:rsidTr="002A0A11">
        <w:trPr>
          <w:trHeight w:val="170"/>
        </w:trPr>
        <w:tc>
          <w:tcPr>
            <w:tcW w:w="4106" w:type="dxa"/>
            <w:vAlign w:val="bottom"/>
          </w:tcPr>
          <w:p w:rsidR="00032324" w:rsidRPr="006E279A" w:rsidRDefault="00032324" w:rsidP="002A0A11">
            <w:pPr>
              <w:spacing w:before="40" w:after="40" w:line="360" w:lineRule="auto"/>
              <w:ind w:left="170"/>
              <w:rPr>
                <w:rFonts w:cs="Arial"/>
                <w:color w:val="000000"/>
              </w:rPr>
            </w:pPr>
            <w:r w:rsidRPr="006E279A">
              <w:rPr>
                <w:rFonts w:cs="Arial"/>
                <w:color w:val="000000"/>
              </w:rPr>
              <w:t>Purine analogues</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18 (4.9%)</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8 (21.1%)</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10 (3.0%)</w:t>
            </w:r>
          </w:p>
        </w:tc>
      </w:tr>
      <w:tr w:rsidR="00032324" w:rsidRPr="005D62B3" w:rsidTr="002A0A11">
        <w:trPr>
          <w:trHeight w:val="170"/>
        </w:trPr>
        <w:tc>
          <w:tcPr>
            <w:tcW w:w="4106" w:type="dxa"/>
            <w:vAlign w:val="bottom"/>
          </w:tcPr>
          <w:p w:rsidR="00032324" w:rsidRPr="006E279A" w:rsidRDefault="00032324" w:rsidP="002A0A11">
            <w:pPr>
              <w:spacing w:before="40" w:after="40" w:line="360" w:lineRule="auto"/>
              <w:ind w:left="284"/>
              <w:rPr>
                <w:rFonts w:cs="Arial"/>
                <w:color w:val="000000"/>
              </w:rPr>
            </w:pPr>
            <w:r w:rsidRPr="006E279A">
              <w:rPr>
                <w:rFonts w:cs="Arial"/>
                <w:color w:val="000000"/>
              </w:rPr>
              <w:t>Fludarabine</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18 (4.9%)</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8 (21.1%)</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10 (3.0%)</w:t>
            </w:r>
          </w:p>
        </w:tc>
      </w:tr>
      <w:tr w:rsidR="00032324" w:rsidRPr="005D62B3" w:rsidTr="002A0A11">
        <w:trPr>
          <w:trHeight w:val="170"/>
        </w:trPr>
        <w:tc>
          <w:tcPr>
            <w:tcW w:w="4106" w:type="dxa"/>
            <w:vAlign w:val="bottom"/>
          </w:tcPr>
          <w:p w:rsidR="00032324" w:rsidRPr="006E279A" w:rsidRDefault="00032324" w:rsidP="002A0A11">
            <w:pPr>
              <w:spacing w:before="40" w:after="40" w:line="360" w:lineRule="auto"/>
              <w:ind w:left="170"/>
              <w:rPr>
                <w:rFonts w:cs="Arial"/>
                <w:color w:val="000000"/>
              </w:rPr>
            </w:pPr>
            <w:r w:rsidRPr="006E279A">
              <w:rPr>
                <w:rFonts w:cs="Arial"/>
                <w:color w:val="000000"/>
              </w:rPr>
              <w:t>Alkylating agents</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116 (31.3%)</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20 (52.6%)</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96 (28.8%)</w:t>
            </w:r>
          </w:p>
        </w:tc>
      </w:tr>
      <w:tr w:rsidR="00032324" w:rsidRPr="005D62B3" w:rsidTr="002A0A11">
        <w:trPr>
          <w:trHeight w:val="170"/>
        </w:trPr>
        <w:tc>
          <w:tcPr>
            <w:tcW w:w="4106" w:type="dxa"/>
            <w:vAlign w:val="bottom"/>
          </w:tcPr>
          <w:p w:rsidR="00032324" w:rsidRPr="006E279A" w:rsidRDefault="00032324" w:rsidP="002A0A11">
            <w:pPr>
              <w:spacing w:before="40" w:after="40" w:line="360" w:lineRule="auto"/>
              <w:ind w:left="284"/>
              <w:rPr>
                <w:rFonts w:cs="Arial"/>
                <w:color w:val="000000"/>
              </w:rPr>
            </w:pPr>
            <w:r w:rsidRPr="006E279A">
              <w:rPr>
                <w:rFonts w:cs="Arial"/>
                <w:color w:val="000000"/>
              </w:rPr>
              <w:t>Bendamustine</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83 (22.4%)</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13 (34.2%)</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70 (21.0%)</w:t>
            </w:r>
          </w:p>
        </w:tc>
      </w:tr>
      <w:tr w:rsidR="00032324" w:rsidRPr="005D62B3" w:rsidTr="002A0A11">
        <w:trPr>
          <w:trHeight w:val="170"/>
        </w:trPr>
        <w:tc>
          <w:tcPr>
            <w:tcW w:w="4106" w:type="dxa"/>
            <w:vAlign w:val="bottom"/>
          </w:tcPr>
          <w:p w:rsidR="00032324" w:rsidRPr="006E279A" w:rsidRDefault="00032324" w:rsidP="002A0A11">
            <w:pPr>
              <w:spacing w:before="40" w:after="40" w:line="360" w:lineRule="auto"/>
              <w:ind w:left="284"/>
              <w:rPr>
                <w:rFonts w:cs="Arial"/>
                <w:color w:val="000000"/>
              </w:rPr>
            </w:pPr>
            <w:r w:rsidRPr="006E279A">
              <w:rPr>
                <w:rFonts w:cs="Arial"/>
                <w:color w:val="000000"/>
              </w:rPr>
              <w:t>Chlorambucil</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31 (8.4%)</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6 (15.8%)</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25 (7.5%)</w:t>
            </w:r>
          </w:p>
        </w:tc>
      </w:tr>
      <w:tr w:rsidR="00032324" w:rsidRPr="005D62B3" w:rsidTr="002A0A11">
        <w:trPr>
          <w:trHeight w:val="170"/>
        </w:trPr>
        <w:tc>
          <w:tcPr>
            <w:tcW w:w="4106" w:type="dxa"/>
            <w:vAlign w:val="bottom"/>
          </w:tcPr>
          <w:p w:rsidR="00032324" w:rsidRPr="006E279A" w:rsidRDefault="00032324" w:rsidP="002A0A11">
            <w:pPr>
              <w:spacing w:before="40" w:after="40" w:line="360" w:lineRule="auto"/>
              <w:ind w:left="284"/>
              <w:rPr>
                <w:rFonts w:cs="Arial"/>
                <w:color w:val="000000"/>
              </w:rPr>
            </w:pPr>
            <w:r w:rsidRPr="006E279A">
              <w:rPr>
                <w:rFonts w:cs="Arial"/>
                <w:color w:val="000000"/>
              </w:rPr>
              <w:t>Cyclophosphamide</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17 (4.6%)</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6 (15.8%)</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11 (3.3%)</w:t>
            </w:r>
          </w:p>
        </w:tc>
      </w:tr>
      <w:tr w:rsidR="00032324" w:rsidRPr="005D62B3" w:rsidTr="002A0A11">
        <w:trPr>
          <w:trHeight w:val="170"/>
        </w:trPr>
        <w:tc>
          <w:tcPr>
            <w:tcW w:w="4106" w:type="dxa"/>
            <w:vAlign w:val="bottom"/>
          </w:tcPr>
          <w:p w:rsidR="00032324" w:rsidRPr="006E279A" w:rsidRDefault="00032324" w:rsidP="002A0A11">
            <w:pPr>
              <w:spacing w:before="40" w:after="40" w:line="360" w:lineRule="auto"/>
              <w:ind w:left="170"/>
              <w:rPr>
                <w:rFonts w:cs="Arial"/>
                <w:color w:val="000000"/>
              </w:rPr>
            </w:pPr>
            <w:r w:rsidRPr="006E279A">
              <w:rPr>
                <w:rFonts w:cs="Arial"/>
                <w:color w:val="000000"/>
              </w:rPr>
              <w:t>Immunomodulator</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r>
      <w:tr w:rsidR="00032324" w:rsidRPr="005D62B3" w:rsidTr="002A0A11">
        <w:trPr>
          <w:trHeight w:val="170"/>
        </w:trPr>
        <w:tc>
          <w:tcPr>
            <w:tcW w:w="4106" w:type="dxa"/>
            <w:vAlign w:val="bottom"/>
          </w:tcPr>
          <w:p w:rsidR="00032324" w:rsidRPr="006E279A" w:rsidRDefault="00032324" w:rsidP="002A0A11">
            <w:pPr>
              <w:spacing w:before="40" w:after="40" w:line="360" w:lineRule="auto"/>
              <w:ind w:left="284"/>
              <w:rPr>
                <w:rFonts w:cs="Arial"/>
                <w:color w:val="000000"/>
              </w:rPr>
            </w:pPr>
            <w:r w:rsidRPr="006E279A">
              <w:rPr>
                <w:rFonts w:cs="Arial"/>
                <w:color w:val="000000"/>
              </w:rPr>
              <w:t>Lenalidomide</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r>
      <w:tr w:rsidR="00032324" w:rsidRPr="005D62B3" w:rsidTr="002A0A11">
        <w:trPr>
          <w:trHeight w:val="170"/>
        </w:trPr>
        <w:tc>
          <w:tcPr>
            <w:tcW w:w="4106" w:type="dxa"/>
            <w:vAlign w:val="bottom"/>
          </w:tcPr>
          <w:p w:rsidR="00032324" w:rsidRPr="006E279A" w:rsidRDefault="00032324" w:rsidP="002A0A11">
            <w:pPr>
              <w:spacing w:before="40" w:after="40" w:line="360" w:lineRule="auto"/>
              <w:ind w:left="170"/>
              <w:rPr>
                <w:rFonts w:cs="Arial"/>
                <w:color w:val="000000"/>
              </w:rPr>
            </w:pPr>
            <w:r w:rsidRPr="006E279A">
              <w:rPr>
                <w:rFonts w:cs="Arial"/>
                <w:color w:val="000000"/>
              </w:rPr>
              <w:t>Unspecified chemotherapy</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56 (15.1%)</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3 (7.9%)</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53 (15.9%)</w:t>
            </w:r>
          </w:p>
        </w:tc>
      </w:tr>
      <w:tr w:rsidR="00032324" w:rsidRPr="005D62B3" w:rsidTr="002A0A11">
        <w:trPr>
          <w:trHeight w:val="170"/>
        </w:trPr>
        <w:tc>
          <w:tcPr>
            <w:tcW w:w="9918" w:type="dxa"/>
            <w:gridSpan w:val="4"/>
            <w:vAlign w:val="bottom"/>
          </w:tcPr>
          <w:p w:rsidR="00032324" w:rsidRPr="005D62B3" w:rsidRDefault="00032324" w:rsidP="002A0A11">
            <w:pPr>
              <w:spacing w:before="40" w:after="40" w:line="360" w:lineRule="auto"/>
              <w:rPr>
                <w:rFonts w:cs="Arial"/>
                <w:color w:val="000000"/>
              </w:rPr>
            </w:pPr>
            <w:r w:rsidRPr="005D62B3">
              <w:rPr>
                <w:rFonts w:cs="Arial"/>
                <w:b/>
                <w:bCs/>
                <w:color w:val="000000"/>
              </w:rPr>
              <w:t>Subsequent treatments (after cBTKi discontinuation)</w:t>
            </w:r>
          </w:p>
        </w:tc>
      </w:tr>
      <w:tr w:rsidR="00032324" w:rsidRPr="005D62B3" w:rsidTr="002A0A11">
        <w:trPr>
          <w:trHeight w:val="170"/>
        </w:trPr>
        <w:tc>
          <w:tcPr>
            <w:tcW w:w="4106" w:type="dxa"/>
            <w:vAlign w:val="center"/>
          </w:tcPr>
          <w:p w:rsidR="00032324" w:rsidRPr="008A505D" w:rsidRDefault="00032324" w:rsidP="002A0A11">
            <w:pPr>
              <w:spacing w:before="40" w:after="40" w:line="360" w:lineRule="auto"/>
              <w:rPr>
                <w:rFonts w:cs="Arial"/>
                <w:color w:val="000000"/>
              </w:rPr>
            </w:pPr>
            <w:r w:rsidRPr="008A505D">
              <w:rPr>
                <w:rFonts w:cs="Arial"/>
              </w:rPr>
              <w:t>Kinase inhibitors</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56 (53.8%)</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6 (18.2%)</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50 (70.4%)</w:t>
            </w:r>
          </w:p>
        </w:tc>
      </w:tr>
      <w:tr w:rsidR="00032324" w:rsidRPr="005D62B3" w:rsidTr="002A0A11">
        <w:trPr>
          <w:trHeight w:val="170"/>
        </w:trPr>
        <w:tc>
          <w:tcPr>
            <w:tcW w:w="4106" w:type="dxa"/>
            <w:vAlign w:val="center"/>
          </w:tcPr>
          <w:p w:rsidR="00032324" w:rsidRPr="008A505D" w:rsidRDefault="00032324" w:rsidP="002A0A11">
            <w:pPr>
              <w:spacing w:before="40" w:after="40" w:line="360" w:lineRule="auto"/>
              <w:ind w:left="170"/>
              <w:rPr>
                <w:rFonts w:cs="Arial"/>
              </w:rPr>
            </w:pPr>
            <w:r w:rsidRPr="008A505D">
              <w:rPr>
                <w:rFonts w:cs="Arial"/>
              </w:rPr>
              <w:t>cBTKi</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56 (53.8%)</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6 (18.2%)</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50 (70.4%)</w:t>
            </w:r>
          </w:p>
        </w:tc>
      </w:tr>
      <w:tr w:rsidR="00032324" w:rsidRPr="005D62B3" w:rsidTr="002A0A11">
        <w:trPr>
          <w:trHeight w:val="170"/>
        </w:trPr>
        <w:tc>
          <w:tcPr>
            <w:tcW w:w="4106" w:type="dxa"/>
            <w:vAlign w:val="center"/>
          </w:tcPr>
          <w:p w:rsidR="00032324" w:rsidRPr="008A505D" w:rsidRDefault="00032324" w:rsidP="002A0A11">
            <w:pPr>
              <w:spacing w:before="40" w:after="40" w:line="360" w:lineRule="auto"/>
              <w:ind w:left="284"/>
              <w:rPr>
                <w:rFonts w:cs="Arial"/>
                <w:color w:val="000000"/>
              </w:rPr>
            </w:pPr>
            <w:r w:rsidRPr="008A505D">
              <w:rPr>
                <w:rFonts w:cs="Arial"/>
              </w:rPr>
              <w:t>Acalabrutinib</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26 (25.0%)</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3 (9.1%)</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23 (32.4%)</w:t>
            </w:r>
          </w:p>
        </w:tc>
      </w:tr>
      <w:tr w:rsidR="00032324" w:rsidRPr="005D62B3" w:rsidTr="002A0A11">
        <w:trPr>
          <w:trHeight w:val="170"/>
        </w:trPr>
        <w:tc>
          <w:tcPr>
            <w:tcW w:w="4106" w:type="dxa"/>
            <w:vAlign w:val="center"/>
          </w:tcPr>
          <w:p w:rsidR="00032324" w:rsidRPr="008A505D" w:rsidRDefault="00032324" w:rsidP="002A0A11">
            <w:pPr>
              <w:spacing w:before="40" w:after="40" w:line="360" w:lineRule="auto"/>
              <w:ind w:left="284"/>
              <w:rPr>
                <w:rFonts w:cs="Arial"/>
                <w:color w:val="000000"/>
              </w:rPr>
            </w:pPr>
            <w:r w:rsidRPr="008A505D">
              <w:rPr>
                <w:rFonts w:cs="Arial"/>
              </w:rPr>
              <w:lastRenderedPageBreak/>
              <w:t>Ibrutinib</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36 (34.6%)</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4 (12.1%)</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32 (45.1%)</w:t>
            </w:r>
          </w:p>
        </w:tc>
      </w:tr>
      <w:tr w:rsidR="00032324" w:rsidRPr="005D62B3" w:rsidTr="002A0A11">
        <w:trPr>
          <w:trHeight w:val="170"/>
        </w:trPr>
        <w:tc>
          <w:tcPr>
            <w:tcW w:w="4106" w:type="dxa"/>
            <w:vAlign w:val="center"/>
          </w:tcPr>
          <w:p w:rsidR="00032324" w:rsidRPr="008A505D" w:rsidRDefault="00032324" w:rsidP="002A0A11">
            <w:pPr>
              <w:spacing w:before="40" w:after="40" w:line="360" w:lineRule="auto"/>
              <w:ind w:left="170"/>
              <w:rPr>
                <w:rFonts w:cs="Arial"/>
                <w:color w:val="000000"/>
              </w:rPr>
            </w:pPr>
            <w:r w:rsidRPr="008A505D">
              <w:rPr>
                <w:rFonts w:cs="Arial"/>
              </w:rPr>
              <w:t>PI3K inhibitors</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0 (0.0%)</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rPr>
                <w:rFonts w:cs="Arial"/>
                <w:color w:val="000000"/>
              </w:rPr>
            </w:pPr>
            <w:r w:rsidRPr="008A505D">
              <w:rPr>
                <w:rFonts w:cs="Arial"/>
                <w:color w:val="000000"/>
              </w:rPr>
              <w:t xml:space="preserve">Monoclonal antibodies </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43 (41.3%)</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23 (69.7%)</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20 (28.2%)</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170"/>
              <w:rPr>
                <w:rFonts w:cs="Arial"/>
                <w:color w:val="000000"/>
              </w:rPr>
            </w:pPr>
            <w:r w:rsidRPr="008A505D">
              <w:rPr>
                <w:rFonts w:cs="Arial"/>
                <w:color w:val="000000"/>
              </w:rPr>
              <w:t>Anti-CD20</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43 (41.3%)</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23 (69.7%)</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20 (28.2%)</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284"/>
              <w:rPr>
                <w:rFonts w:cs="Arial"/>
                <w:color w:val="000000"/>
              </w:rPr>
            </w:pPr>
            <w:r w:rsidRPr="008A505D">
              <w:rPr>
                <w:rFonts w:cs="Arial"/>
                <w:color w:val="000000"/>
              </w:rPr>
              <w:t>Obinutuzumab</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6 (5.8%)</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5 (15.2%)</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 (1.4%)</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284"/>
              <w:rPr>
                <w:rFonts w:cs="Arial"/>
                <w:color w:val="000000"/>
              </w:rPr>
            </w:pPr>
            <w:r w:rsidRPr="008A505D">
              <w:rPr>
                <w:rFonts w:cs="Arial"/>
                <w:color w:val="000000"/>
              </w:rPr>
              <w:t>Rituximab</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40 (38.5%)</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21 (63.6%)</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19 (26.8%)</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rPr>
                <w:rFonts w:cs="Arial"/>
                <w:color w:val="000000"/>
              </w:rPr>
            </w:pPr>
            <w:r w:rsidRPr="008A505D">
              <w:rPr>
                <w:rFonts w:cs="Arial"/>
                <w:color w:val="000000"/>
              </w:rPr>
              <w:t>Anti-CD52</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0 (0.0%)</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rPr>
                <w:rFonts w:cs="Arial"/>
                <w:color w:val="000000"/>
              </w:rPr>
            </w:pPr>
            <w:r w:rsidRPr="008A505D">
              <w:rPr>
                <w:rFonts w:cs="Arial"/>
                <w:color w:val="000000"/>
              </w:rPr>
              <w:t>Other therapies</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56 (53.8%)</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32 (97.0%)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24 (33.8%)</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170"/>
              <w:rPr>
                <w:rFonts w:cs="Arial"/>
                <w:color w:val="000000"/>
              </w:rPr>
            </w:pPr>
            <w:r w:rsidRPr="008A505D">
              <w:rPr>
                <w:rFonts w:cs="Arial"/>
                <w:color w:val="000000"/>
              </w:rPr>
              <w:t>BCL-2 inhibitor</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32 (30.8%)</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32 (97.0%)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284"/>
              <w:rPr>
                <w:rFonts w:cs="Arial"/>
                <w:color w:val="000000"/>
              </w:rPr>
            </w:pPr>
            <w:r w:rsidRPr="008A505D">
              <w:rPr>
                <w:rFonts w:cs="Arial"/>
                <w:color w:val="000000"/>
              </w:rPr>
              <w:t>Venetoclax</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32 (30.8%)</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32 (97.0%)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170"/>
              <w:rPr>
                <w:rFonts w:cs="Arial"/>
                <w:color w:val="000000"/>
              </w:rPr>
            </w:pPr>
            <w:r w:rsidRPr="008A505D">
              <w:rPr>
                <w:rFonts w:cs="Arial"/>
                <w:color w:val="000000"/>
              </w:rPr>
              <w:t>Purine analogues</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0 (0.0%)</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170"/>
              <w:rPr>
                <w:rFonts w:cs="Arial"/>
                <w:color w:val="000000"/>
              </w:rPr>
            </w:pPr>
            <w:r w:rsidRPr="008A505D">
              <w:rPr>
                <w:rFonts w:cs="Arial"/>
                <w:color w:val="000000"/>
              </w:rPr>
              <w:t>Alkylating agents</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20 (19.2%)</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8 (24.2%)</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12 (16.9%)</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284"/>
              <w:rPr>
                <w:rFonts w:cs="Arial"/>
                <w:color w:val="000000"/>
              </w:rPr>
            </w:pPr>
            <w:r w:rsidRPr="008A505D">
              <w:rPr>
                <w:rFonts w:cs="Arial"/>
                <w:color w:val="000000"/>
              </w:rPr>
              <w:t>Bendamustine</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9 (8.7%)</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3 (9.1%)</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6 (8.5%)</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284"/>
              <w:rPr>
                <w:rFonts w:cs="Arial"/>
                <w:color w:val="000000"/>
              </w:rPr>
            </w:pPr>
            <w:r w:rsidRPr="008A505D">
              <w:rPr>
                <w:rFonts w:cs="Arial"/>
                <w:color w:val="000000"/>
              </w:rPr>
              <w:t>Chlorambucil</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6 (5.8%)</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 (6.1%)</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4 (5.6%)</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284"/>
              <w:rPr>
                <w:rFonts w:cs="Arial"/>
                <w:color w:val="000000"/>
              </w:rPr>
            </w:pPr>
            <w:r w:rsidRPr="008A505D">
              <w:rPr>
                <w:rFonts w:cs="Arial"/>
                <w:color w:val="000000"/>
              </w:rPr>
              <w:t>Cyclophosphamide</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5 (4.8%)</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3 (9.1%)</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2 (2.8%)</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170"/>
              <w:rPr>
                <w:rFonts w:cs="Arial"/>
                <w:color w:val="000000"/>
              </w:rPr>
            </w:pPr>
            <w:r w:rsidRPr="008A505D">
              <w:rPr>
                <w:rFonts w:cs="Arial"/>
                <w:color w:val="000000"/>
              </w:rPr>
              <w:t>Immunomodulator</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4 (3.8%)</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1 (3.0%)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3 (4.2%)</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284"/>
              <w:rPr>
                <w:rFonts w:cs="Arial"/>
                <w:color w:val="000000"/>
              </w:rPr>
            </w:pPr>
            <w:r w:rsidRPr="008A505D">
              <w:rPr>
                <w:rFonts w:cs="Arial"/>
                <w:color w:val="000000"/>
              </w:rPr>
              <w:t>Lenalidomide</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4 (3.8%)</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1 (3.0%)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3 (4.2%)</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170"/>
              <w:rPr>
                <w:rFonts w:cs="Arial"/>
                <w:color w:val="000000"/>
              </w:rPr>
            </w:pPr>
            <w:r w:rsidRPr="008A505D">
              <w:rPr>
                <w:rFonts w:cs="Arial"/>
                <w:color w:val="000000"/>
              </w:rPr>
              <w:t>Unspecified chemotherapy</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18 (17.3%)</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7 (21.2%)</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11 (15.5%)</w:t>
            </w:r>
          </w:p>
        </w:tc>
      </w:tr>
      <w:tr w:rsidR="00032324" w:rsidRPr="005D62B3" w:rsidTr="002A0A11">
        <w:trPr>
          <w:trHeight w:val="170"/>
        </w:trPr>
        <w:tc>
          <w:tcPr>
            <w:tcW w:w="9918" w:type="dxa"/>
            <w:gridSpan w:val="4"/>
            <w:vAlign w:val="bottom"/>
          </w:tcPr>
          <w:p w:rsidR="00032324" w:rsidRPr="005D62B3" w:rsidRDefault="00032324" w:rsidP="002A0A11">
            <w:pPr>
              <w:spacing w:before="40" w:after="40" w:line="360" w:lineRule="auto"/>
              <w:rPr>
                <w:rFonts w:cs="Arial"/>
                <w:b/>
                <w:bCs/>
                <w:i/>
                <w:iCs/>
              </w:rPr>
            </w:pPr>
            <w:r w:rsidRPr="005D62B3">
              <w:rPr>
                <w:rFonts w:cs="Arial"/>
                <w:b/>
                <w:bCs/>
              </w:rPr>
              <w:t>First treatment after cBTKi discontinuation</w:t>
            </w:r>
          </w:p>
        </w:tc>
      </w:tr>
      <w:tr w:rsidR="00032324" w:rsidRPr="005D62B3" w:rsidTr="002A0A11">
        <w:trPr>
          <w:trHeight w:val="170"/>
        </w:trPr>
        <w:tc>
          <w:tcPr>
            <w:tcW w:w="4106" w:type="dxa"/>
            <w:vAlign w:val="center"/>
          </w:tcPr>
          <w:p w:rsidR="00032324" w:rsidRPr="008A505D" w:rsidRDefault="00032324" w:rsidP="002A0A11">
            <w:pPr>
              <w:spacing w:before="40" w:after="40" w:line="360" w:lineRule="auto"/>
              <w:rPr>
                <w:rFonts w:cs="Arial"/>
              </w:rPr>
            </w:pPr>
            <w:r w:rsidRPr="008A505D">
              <w:rPr>
                <w:rFonts w:cs="Arial"/>
              </w:rPr>
              <w:t>Kinase inhibitors</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50 (48.1%)</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 (6.1%)</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48 (67.6%)</w:t>
            </w:r>
          </w:p>
        </w:tc>
      </w:tr>
      <w:tr w:rsidR="00032324" w:rsidRPr="005D62B3" w:rsidTr="002A0A11">
        <w:trPr>
          <w:trHeight w:val="170"/>
        </w:trPr>
        <w:tc>
          <w:tcPr>
            <w:tcW w:w="4106" w:type="dxa"/>
            <w:vAlign w:val="center"/>
          </w:tcPr>
          <w:p w:rsidR="00032324" w:rsidRPr="008A505D" w:rsidRDefault="00032324" w:rsidP="002A0A11">
            <w:pPr>
              <w:spacing w:before="40" w:after="40" w:line="360" w:lineRule="auto"/>
              <w:ind w:left="170"/>
              <w:rPr>
                <w:rFonts w:cs="Arial"/>
                <w:color w:val="000000"/>
              </w:rPr>
            </w:pPr>
            <w:r w:rsidRPr="008A505D">
              <w:rPr>
                <w:rFonts w:cs="Arial"/>
              </w:rPr>
              <w:t>BTKi</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50 (48.1%)</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 (6.1%)</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48 (67.6%)</w:t>
            </w:r>
          </w:p>
        </w:tc>
      </w:tr>
      <w:tr w:rsidR="00032324" w:rsidRPr="005D62B3" w:rsidTr="002A0A11">
        <w:trPr>
          <w:trHeight w:val="170"/>
        </w:trPr>
        <w:tc>
          <w:tcPr>
            <w:tcW w:w="4106" w:type="dxa"/>
            <w:vAlign w:val="center"/>
          </w:tcPr>
          <w:p w:rsidR="00032324" w:rsidRPr="008A505D" w:rsidRDefault="00032324" w:rsidP="002A0A11">
            <w:pPr>
              <w:spacing w:before="40" w:after="40" w:line="360" w:lineRule="auto"/>
              <w:ind w:left="284"/>
              <w:rPr>
                <w:rFonts w:cs="Arial"/>
                <w:color w:val="000000"/>
              </w:rPr>
            </w:pPr>
            <w:r w:rsidRPr="008A505D">
              <w:rPr>
                <w:rFonts w:cs="Arial"/>
              </w:rPr>
              <w:t>Acalabrutinib</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18 (17.3%)</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18 (25.4%)</w:t>
            </w:r>
          </w:p>
        </w:tc>
      </w:tr>
      <w:tr w:rsidR="00032324" w:rsidRPr="005D62B3" w:rsidTr="002A0A11">
        <w:trPr>
          <w:trHeight w:val="170"/>
        </w:trPr>
        <w:tc>
          <w:tcPr>
            <w:tcW w:w="4106" w:type="dxa"/>
            <w:vAlign w:val="center"/>
          </w:tcPr>
          <w:p w:rsidR="00032324" w:rsidRPr="008A505D" w:rsidRDefault="00032324" w:rsidP="002A0A11">
            <w:pPr>
              <w:spacing w:before="40" w:after="40" w:line="360" w:lineRule="auto"/>
              <w:ind w:left="284"/>
              <w:rPr>
                <w:rFonts w:cs="Arial"/>
                <w:color w:val="000000"/>
              </w:rPr>
            </w:pPr>
            <w:r w:rsidRPr="008A505D">
              <w:rPr>
                <w:rFonts w:cs="Arial"/>
              </w:rPr>
              <w:t>Ibrutinib</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32 (30.8%)</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 (6.1%)</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30 (42.3%)</w:t>
            </w:r>
          </w:p>
        </w:tc>
      </w:tr>
      <w:tr w:rsidR="00032324" w:rsidRPr="005D62B3" w:rsidTr="002A0A11">
        <w:trPr>
          <w:trHeight w:val="170"/>
        </w:trPr>
        <w:tc>
          <w:tcPr>
            <w:tcW w:w="4106" w:type="dxa"/>
            <w:vAlign w:val="center"/>
          </w:tcPr>
          <w:p w:rsidR="00032324" w:rsidRPr="008A505D" w:rsidRDefault="00032324" w:rsidP="002A0A11">
            <w:pPr>
              <w:spacing w:before="40" w:after="40" w:line="360" w:lineRule="auto"/>
              <w:ind w:left="170"/>
              <w:rPr>
                <w:rFonts w:cs="Arial"/>
                <w:color w:val="000000"/>
              </w:rPr>
            </w:pPr>
            <w:r w:rsidRPr="008A505D">
              <w:rPr>
                <w:rFonts w:cs="Arial"/>
              </w:rPr>
              <w:t>PI3K inhibitors</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0 (0.0%)</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rPr>
                <w:rFonts w:cs="Arial"/>
                <w:color w:val="000000"/>
              </w:rPr>
            </w:pPr>
            <w:r w:rsidRPr="008A505D">
              <w:rPr>
                <w:rFonts w:cs="Arial"/>
                <w:color w:val="000000"/>
              </w:rPr>
              <w:t xml:space="preserve">Monoclonal antibodies </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20 (19.2%)</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7 (21.2%)</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13 (18.3%)</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170"/>
              <w:rPr>
                <w:rFonts w:cs="Arial"/>
                <w:color w:val="000000"/>
              </w:rPr>
            </w:pPr>
            <w:r w:rsidRPr="008A505D">
              <w:rPr>
                <w:rFonts w:cs="Arial"/>
                <w:color w:val="000000"/>
              </w:rPr>
              <w:t>Anti-CD20</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20 (19.2%)</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7 (21.2%)</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13 (18.3%)</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284"/>
              <w:rPr>
                <w:rFonts w:cs="Arial"/>
                <w:color w:val="000000"/>
              </w:rPr>
            </w:pPr>
            <w:r w:rsidRPr="008A505D">
              <w:rPr>
                <w:rFonts w:cs="Arial"/>
                <w:color w:val="000000"/>
              </w:rPr>
              <w:t>Obinutuzumab</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3 (2.9%)</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 (6.1%)</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 (1.4%)</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284"/>
              <w:rPr>
                <w:rFonts w:cs="Arial"/>
                <w:color w:val="000000"/>
              </w:rPr>
            </w:pPr>
            <w:r w:rsidRPr="008A505D">
              <w:rPr>
                <w:rFonts w:cs="Arial"/>
                <w:color w:val="000000"/>
              </w:rPr>
              <w:t>Rituximab</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17 (16.3%)</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5 (15.2%)</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12 (16.9%)</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rPr>
                <w:rFonts w:cs="Arial"/>
                <w:color w:val="000000"/>
              </w:rPr>
            </w:pPr>
            <w:r w:rsidRPr="008A505D">
              <w:rPr>
                <w:rFonts w:cs="Arial"/>
                <w:color w:val="000000"/>
              </w:rPr>
              <w:t>Anti-CD52</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0 (0.0%)</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rPr>
                <w:rFonts w:cs="Arial"/>
                <w:color w:val="000000"/>
              </w:rPr>
            </w:pPr>
            <w:r w:rsidRPr="008A505D">
              <w:rPr>
                <w:rFonts w:cs="Arial"/>
                <w:color w:val="000000"/>
              </w:rPr>
              <w:t>Other therapies</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42 (40.4%)</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25 (75.8%)</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17 (23.9%)</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170"/>
              <w:rPr>
                <w:rFonts w:cs="Arial"/>
                <w:color w:val="000000"/>
              </w:rPr>
            </w:pPr>
            <w:r w:rsidRPr="008A505D">
              <w:rPr>
                <w:rFonts w:cs="Arial"/>
                <w:color w:val="000000"/>
              </w:rPr>
              <w:t>BCL-2 inhibitor</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20 (19.2%)</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20 (60.6%)</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284"/>
              <w:rPr>
                <w:rFonts w:cs="Arial"/>
                <w:color w:val="000000"/>
              </w:rPr>
            </w:pPr>
            <w:r w:rsidRPr="008A505D">
              <w:rPr>
                <w:rFonts w:cs="Arial"/>
                <w:color w:val="000000"/>
              </w:rPr>
              <w:lastRenderedPageBreak/>
              <w:t>Venetoclax</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20 (19.2%)</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20 (60.6%)</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170"/>
              <w:rPr>
                <w:rFonts w:cs="Arial"/>
                <w:color w:val="000000"/>
              </w:rPr>
            </w:pPr>
            <w:r w:rsidRPr="008A505D">
              <w:rPr>
                <w:rFonts w:cs="Arial"/>
                <w:color w:val="000000"/>
              </w:rPr>
              <w:t>Purine analogues</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0 (0.0%)</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170"/>
              <w:rPr>
                <w:rFonts w:cs="Arial"/>
                <w:color w:val="000000"/>
              </w:rPr>
            </w:pPr>
            <w:r w:rsidRPr="008A505D">
              <w:rPr>
                <w:rFonts w:cs="Arial"/>
                <w:color w:val="000000"/>
              </w:rPr>
              <w:t>Alkylating agents</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13 (12.5%)</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4 (12.1%)</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9 (12.7%)</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284"/>
              <w:rPr>
                <w:rFonts w:cs="Arial"/>
                <w:color w:val="000000"/>
              </w:rPr>
            </w:pPr>
            <w:r w:rsidRPr="008A505D">
              <w:rPr>
                <w:rFonts w:cs="Arial"/>
                <w:color w:val="000000"/>
              </w:rPr>
              <w:t>Bendamustine</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5 (4.8%)</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1 (3.0%)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4 (5.6%)</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284"/>
              <w:rPr>
                <w:rFonts w:cs="Arial"/>
                <w:color w:val="000000"/>
              </w:rPr>
            </w:pPr>
            <w:r w:rsidRPr="008A505D">
              <w:rPr>
                <w:rFonts w:cs="Arial"/>
                <w:color w:val="000000"/>
              </w:rPr>
              <w:t>Chlorambucil</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5 (4.8%)</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2 (6.1%)</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3 (4.2%)</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284"/>
              <w:rPr>
                <w:rFonts w:cs="Arial"/>
                <w:color w:val="000000"/>
              </w:rPr>
            </w:pPr>
            <w:r w:rsidRPr="008A505D">
              <w:rPr>
                <w:rFonts w:cs="Arial"/>
                <w:color w:val="000000"/>
              </w:rPr>
              <w:t>Cyclophosphamide</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3 (2.9%)</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1 (3.0%)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2 (2.8%)</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170"/>
              <w:rPr>
                <w:rFonts w:cs="Arial"/>
                <w:color w:val="000000"/>
              </w:rPr>
            </w:pPr>
            <w:r w:rsidRPr="008A505D">
              <w:rPr>
                <w:rFonts w:cs="Arial"/>
                <w:color w:val="000000"/>
              </w:rPr>
              <w:t>Immunomodulator</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0 (0.0%)</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ind w:left="170"/>
              <w:rPr>
                <w:rFonts w:cs="Arial"/>
                <w:color w:val="000000"/>
              </w:rPr>
            </w:pPr>
            <w:r w:rsidRPr="008A505D">
              <w:rPr>
                <w:rFonts w:cs="Arial"/>
                <w:color w:val="000000"/>
              </w:rPr>
              <w:t>Unspecified chemotherapy</w:t>
            </w:r>
          </w:p>
        </w:tc>
        <w:tc>
          <w:tcPr>
            <w:tcW w:w="1937" w:type="dxa"/>
            <w:vAlign w:val="bottom"/>
          </w:tcPr>
          <w:p w:rsidR="00032324" w:rsidRPr="005D62B3" w:rsidRDefault="00032324" w:rsidP="002A0A11">
            <w:pPr>
              <w:spacing w:before="40" w:after="40" w:line="360" w:lineRule="auto"/>
              <w:jc w:val="center"/>
              <w:rPr>
                <w:rFonts w:cs="Arial"/>
                <w:color w:val="000000"/>
              </w:rPr>
            </w:pPr>
            <w:r w:rsidRPr="005D62B3">
              <w:rPr>
                <w:rFonts w:cs="Arial"/>
                <w:color w:val="000000"/>
              </w:rPr>
              <w:t>9 (8.7%)</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1 (3.0%)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8 (11.3%)</w:t>
            </w:r>
          </w:p>
        </w:tc>
      </w:tr>
      <w:tr w:rsidR="00032324" w:rsidRPr="005D62B3" w:rsidTr="002A0A11">
        <w:trPr>
          <w:trHeight w:val="170"/>
        </w:trPr>
        <w:tc>
          <w:tcPr>
            <w:tcW w:w="9918" w:type="dxa"/>
            <w:gridSpan w:val="4"/>
            <w:vAlign w:val="bottom"/>
          </w:tcPr>
          <w:p w:rsidR="00032324" w:rsidRPr="005D62B3" w:rsidRDefault="00032324" w:rsidP="002A0A11">
            <w:pPr>
              <w:spacing w:before="40" w:after="40" w:line="360" w:lineRule="auto"/>
              <w:rPr>
                <w:rFonts w:cs="Arial"/>
                <w:b/>
                <w:bCs/>
                <w:i/>
                <w:iCs/>
              </w:rPr>
            </w:pPr>
            <w:r w:rsidRPr="005D62B3">
              <w:rPr>
                <w:rFonts w:cs="Arial"/>
                <w:b/>
                <w:bCs/>
              </w:rPr>
              <w:t>Stem-cell transplantation</w:t>
            </w:r>
          </w:p>
        </w:tc>
      </w:tr>
      <w:tr w:rsidR="00032324" w:rsidRPr="005D62B3" w:rsidTr="002A0A11">
        <w:trPr>
          <w:trHeight w:val="170"/>
        </w:trPr>
        <w:tc>
          <w:tcPr>
            <w:tcW w:w="4106" w:type="dxa"/>
            <w:vAlign w:val="bottom"/>
          </w:tcPr>
          <w:p w:rsidR="00032324" w:rsidRPr="008A505D" w:rsidRDefault="00032324" w:rsidP="002A0A11">
            <w:pPr>
              <w:spacing w:before="40" w:after="40" w:line="360" w:lineRule="auto"/>
              <w:rPr>
                <w:rFonts w:cs="Arial"/>
              </w:rPr>
            </w:pPr>
            <w:r w:rsidRPr="008A505D">
              <w:rPr>
                <w:rFonts w:cs="Arial"/>
                <w:color w:val="000000"/>
              </w:rPr>
              <w:t>Prior to index</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0 (0.0%)</w:t>
            </w:r>
          </w:p>
        </w:tc>
      </w:tr>
      <w:tr w:rsidR="00032324" w:rsidRPr="005D62B3" w:rsidTr="002A0A11">
        <w:trPr>
          <w:trHeight w:val="58"/>
        </w:trPr>
        <w:tc>
          <w:tcPr>
            <w:tcW w:w="4106" w:type="dxa"/>
            <w:vAlign w:val="bottom"/>
          </w:tcPr>
          <w:p w:rsidR="00032324" w:rsidRPr="008A505D" w:rsidRDefault="00032324" w:rsidP="002A0A11">
            <w:pPr>
              <w:spacing w:before="40" w:after="40" w:line="360" w:lineRule="auto"/>
              <w:rPr>
                <w:rFonts w:cs="Arial"/>
              </w:rPr>
            </w:pPr>
            <w:r w:rsidRPr="008A505D">
              <w:rPr>
                <w:rFonts w:cs="Arial"/>
                <w:color w:val="000000"/>
              </w:rPr>
              <w:t>During follow-up</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5 (1.3%)</w:t>
            </w:r>
          </w:p>
        </w:tc>
        <w:tc>
          <w:tcPr>
            <w:tcW w:w="1937" w:type="dxa"/>
            <w:vAlign w:val="bottom"/>
          </w:tcPr>
          <w:p w:rsidR="00032324" w:rsidRPr="005D62B3" w:rsidRDefault="00032324" w:rsidP="002A0A11">
            <w:pPr>
              <w:spacing w:before="40" w:after="40" w:line="360" w:lineRule="auto"/>
              <w:jc w:val="center"/>
              <w:rPr>
                <w:rFonts w:cs="Arial"/>
              </w:rPr>
            </w:pPr>
            <w:r w:rsidRPr="005D62B3">
              <w:rPr>
                <w:rFonts w:cs="Arial"/>
                <w:color w:val="000000"/>
              </w:rPr>
              <w:t>3 (7.9%)</w:t>
            </w:r>
          </w:p>
        </w:tc>
        <w:tc>
          <w:tcPr>
            <w:tcW w:w="1938" w:type="dxa"/>
            <w:vAlign w:val="bottom"/>
          </w:tcPr>
          <w:p w:rsidR="00032324" w:rsidRPr="005D62B3" w:rsidRDefault="00032324" w:rsidP="002A0A11">
            <w:pPr>
              <w:spacing w:before="40" w:after="40" w:line="360" w:lineRule="auto"/>
              <w:jc w:val="center"/>
              <w:rPr>
                <w:rFonts w:cs="Arial"/>
              </w:rPr>
            </w:pPr>
            <w:r w:rsidRPr="005D62B3">
              <w:rPr>
                <w:rFonts w:cs="Arial"/>
                <w:color w:val="000000"/>
              </w:rPr>
              <w:t>2 (0.6%)</w:t>
            </w:r>
          </w:p>
        </w:tc>
      </w:tr>
    </w:tbl>
    <w:p w:rsidR="00032324" w:rsidRPr="00BA5E58" w:rsidRDefault="00032324" w:rsidP="00032324">
      <w:pPr>
        <w:spacing w:before="180" w:after="60" w:line="276" w:lineRule="auto"/>
        <w:rPr>
          <w:rFonts w:cs="Arial"/>
          <w:color w:val="000000"/>
          <w:sz w:val="18"/>
          <w:szCs w:val="18"/>
          <w:lang w:eastAsia="en-GB"/>
        </w:rPr>
      </w:pPr>
      <w:r w:rsidRPr="00BF32F3">
        <w:rPr>
          <w:rFonts w:cs="Arial"/>
          <w:color w:val="000000"/>
          <w:sz w:val="18"/>
          <w:szCs w:val="18"/>
          <w:vertAlign w:val="superscript"/>
          <w:lang w:eastAsia="en-GB"/>
        </w:rPr>
        <w:t>a</w:t>
      </w:r>
      <w:r>
        <w:rPr>
          <w:rFonts w:cs="Arial"/>
          <w:color w:val="000000"/>
          <w:sz w:val="18"/>
          <w:szCs w:val="18"/>
          <w:lang w:eastAsia="en-GB"/>
        </w:rPr>
        <w:t>Cohort 2 comprised p</w:t>
      </w:r>
      <w:r w:rsidRPr="00BA5E58">
        <w:rPr>
          <w:rFonts w:cs="Arial"/>
          <w:color w:val="000000"/>
          <w:sz w:val="18"/>
          <w:szCs w:val="18"/>
          <w:lang w:eastAsia="en-GB"/>
        </w:rPr>
        <w:t>atients</w:t>
      </w:r>
      <w:r>
        <w:rPr>
          <w:rFonts w:cs="Arial"/>
          <w:color w:val="000000"/>
          <w:sz w:val="18"/>
          <w:szCs w:val="18"/>
          <w:lang w:eastAsia="en-GB"/>
        </w:rPr>
        <w:t xml:space="preserve"> from Cohort 1 (patients newly diagnosed with CLL between 01 January 2012 and 31 March 2022)</w:t>
      </w:r>
      <w:r>
        <w:t xml:space="preserve"> </w:t>
      </w:r>
      <w:r w:rsidRPr="002B7A3C">
        <w:rPr>
          <w:rFonts w:cs="Arial"/>
          <w:color w:val="000000"/>
          <w:sz w:val="18"/>
          <w:szCs w:val="18"/>
          <w:lang w:eastAsia="en-GB"/>
        </w:rPr>
        <w:t>who initiated cBTKi therapy for the first time (any line of therapy) between 01 January 2017 and 31 March 2022</w:t>
      </w:r>
      <w:r>
        <w:rPr>
          <w:rFonts w:cs="Arial"/>
          <w:color w:val="000000"/>
          <w:sz w:val="18"/>
          <w:szCs w:val="18"/>
          <w:lang w:eastAsia="en-GB"/>
        </w:rPr>
        <w:t>. Cohort 2a were patients from Cohort 2 who had received venetoclax treatment (</w:t>
      </w:r>
      <w:r w:rsidRPr="00CC01E0">
        <w:rPr>
          <w:rFonts w:cs="Arial"/>
          <w:color w:val="000000"/>
          <w:sz w:val="18"/>
          <w:szCs w:val="18"/>
          <w:lang w:eastAsia="en-GB"/>
        </w:rPr>
        <w:t>before, concurrent with or after cBTKi treatment</w:t>
      </w:r>
      <w:r>
        <w:rPr>
          <w:rFonts w:cs="Arial"/>
          <w:color w:val="000000"/>
          <w:sz w:val="18"/>
          <w:szCs w:val="18"/>
          <w:lang w:eastAsia="en-GB"/>
        </w:rPr>
        <w:t>). Cohort 2b were patients from Cohort 2 who had not received venetoclax.</w:t>
      </w:r>
    </w:p>
    <w:p w:rsidR="00032324" w:rsidRPr="00BF32F3" w:rsidRDefault="00032324" w:rsidP="00032324">
      <w:pPr>
        <w:pStyle w:val="Body"/>
        <w:spacing w:before="120" w:after="60" w:line="276" w:lineRule="auto"/>
        <w:rPr>
          <w:sz w:val="18"/>
          <w:szCs w:val="18"/>
        </w:rPr>
      </w:pPr>
      <w:r>
        <w:rPr>
          <w:sz w:val="18"/>
          <w:szCs w:val="18"/>
        </w:rPr>
        <w:t xml:space="preserve">BCL-2, </w:t>
      </w:r>
      <w:r w:rsidRPr="004A6B75">
        <w:rPr>
          <w:sz w:val="18"/>
          <w:szCs w:val="18"/>
        </w:rPr>
        <w:t>B-cell lymphoma 2</w:t>
      </w:r>
      <w:r>
        <w:rPr>
          <w:sz w:val="18"/>
          <w:szCs w:val="18"/>
        </w:rPr>
        <w:t xml:space="preserve">; cBTKi, covalent Bruton’s tyrosine kinase inhibitor; </w:t>
      </w:r>
      <w:r w:rsidRPr="00BF32F3">
        <w:rPr>
          <w:sz w:val="18"/>
          <w:szCs w:val="18"/>
        </w:rPr>
        <w:t xml:space="preserve">CLL, </w:t>
      </w:r>
      <w:r>
        <w:rPr>
          <w:sz w:val="18"/>
          <w:szCs w:val="18"/>
        </w:rPr>
        <w:t>c</w:t>
      </w:r>
      <w:r w:rsidRPr="00BF32F3">
        <w:rPr>
          <w:sz w:val="18"/>
          <w:szCs w:val="18"/>
        </w:rPr>
        <w:t>hronic lymphocytic leuk</w:t>
      </w:r>
      <w:r>
        <w:rPr>
          <w:sz w:val="18"/>
          <w:szCs w:val="18"/>
        </w:rPr>
        <w:t>a</w:t>
      </w:r>
      <w:r w:rsidRPr="00BF32F3">
        <w:rPr>
          <w:sz w:val="18"/>
          <w:szCs w:val="18"/>
        </w:rPr>
        <w:t>emia</w:t>
      </w:r>
      <w:r>
        <w:rPr>
          <w:sz w:val="18"/>
          <w:szCs w:val="18"/>
        </w:rPr>
        <w:t xml:space="preserve">; PI3K </w:t>
      </w:r>
      <w:r w:rsidRPr="009E699D">
        <w:rPr>
          <w:sz w:val="18"/>
          <w:szCs w:val="18"/>
        </w:rPr>
        <w:t>phosphatidylinositol-3-kinase</w:t>
      </w:r>
      <w:r w:rsidRPr="00BF32F3">
        <w:rPr>
          <w:sz w:val="18"/>
          <w:szCs w:val="18"/>
        </w:rPr>
        <w:t>.</w:t>
      </w:r>
    </w:p>
    <w:p w:rsidR="00032324" w:rsidRDefault="00032324" w:rsidP="00032324">
      <w:pPr>
        <w:spacing w:after="0" w:line="240" w:lineRule="auto"/>
        <w:rPr>
          <w:i/>
          <w:iCs/>
        </w:rPr>
        <w:sectPr w:rsidR="00032324" w:rsidSect="00E425DA">
          <w:pgSz w:w="11906" w:h="16838" w:code="9"/>
          <w:pgMar w:top="1418" w:right="1701" w:bottom="1418" w:left="1701" w:header="709" w:footer="1134" w:gutter="0"/>
          <w:cols w:space="720"/>
          <w:docGrid w:linePitch="360"/>
        </w:sectPr>
      </w:pPr>
    </w:p>
    <w:p w:rsidR="00032324" w:rsidRPr="00BF32F3" w:rsidRDefault="00032324" w:rsidP="00032324">
      <w:pPr>
        <w:pStyle w:val="Heading2"/>
        <w:rPr>
          <w:i w:val="0"/>
          <w:iCs w:val="0"/>
          <w:sz w:val="22"/>
          <w:szCs w:val="22"/>
        </w:rPr>
      </w:pPr>
      <w:r w:rsidRPr="00BF32F3">
        <w:rPr>
          <w:i w:val="0"/>
          <w:iCs w:val="0"/>
          <w:sz w:val="22"/>
          <w:szCs w:val="22"/>
        </w:rPr>
        <w:lastRenderedPageBreak/>
        <w:t>Supplementary Table S</w:t>
      </w:r>
      <w:r>
        <w:rPr>
          <w:i w:val="0"/>
          <w:iCs w:val="0"/>
          <w:sz w:val="22"/>
          <w:szCs w:val="22"/>
        </w:rPr>
        <w:t>6</w:t>
      </w:r>
      <w:r w:rsidRPr="00BF32F3">
        <w:rPr>
          <w:b w:val="0"/>
          <w:bCs w:val="0"/>
          <w:i w:val="0"/>
          <w:iCs w:val="0"/>
          <w:sz w:val="22"/>
          <w:szCs w:val="22"/>
        </w:rPr>
        <w:t xml:space="preserve"> Healthcare resource util</w:t>
      </w:r>
      <w:r>
        <w:rPr>
          <w:b w:val="0"/>
          <w:bCs w:val="0"/>
          <w:i w:val="0"/>
          <w:iCs w:val="0"/>
          <w:sz w:val="22"/>
          <w:szCs w:val="22"/>
        </w:rPr>
        <w:t>isa</w:t>
      </w:r>
      <w:r w:rsidRPr="00BF32F3">
        <w:rPr>
          <w:b w:val="0"/>
          <w:bCs w:val="0"/>
          <w:i w:val="0"/>
          <w:iCs w:val="0"/>
          <w:sz w:val="22"/>
          <w:szCs w:val="22"/>
        </w:rPr>
        <w:t>tion</w:t>
      </w:r>
      <w:r>
        <w:rPr>
          <w:b w:val="0"/>
          <w:bCs w:val="0"/>
          <w:i w:val="0"/>
          <w:iCs w:val="0"/>
          <w:sz w:val="22"/>
          <w:szCs w:val="22"/>
        </w:rPr>
        <w:t>.</w:t>
      </w:r>
    </w:p>
    <w:tbl>
      <w:tblPr>
        <w:tblW w:w="14009" w:type="dxa"/>
        <w:tblInd w:w="-5" w:type="dxa"/>
        <w:tblLayout w:type="fixed"/>
        <w:tblLook w:val="04A0" w:firstRow="1" w:lastRow="0" w:firstColumn="1" w:lastColumn="0" w:noHBand="0" w:noVBand="1"/>
      </w:tblPr>
      <w:tblGrid>
        <w:gridCol w:w="2410"/>
        <w:gridCol w:w="1449"/>
        <w:gridCol w:w="1450"/>
        <w:gridCol w:w="1450"/>
        <w:gridCol w:w="1450"/>
        <w:gridCol w:w="1450"/>
        <w:gridCol w:w="1450"/>
        <w:gridCol w:w="1450"/>
        <w:gridCol w:w="1450"/>
      </w:tblGrid>
      <w:tr w:rsidR="00032324" w:rsidRPr="00D16F32" w:rsidTr="002A0A11">
        <w:trPr>
          <w:trHeight w:val="753"/>
        </w:trPr>
        <w:tc>
          <w:tcPr>
            <w:tcW w:w="2410" w:type="dxa"/>
            <w:tcBorders>
              <w:top w:val="single" w:sz="4" w:space="0" w:color="auto"/>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p>
        </w:tc>
        <w:tc>
          <w:tcPr>
            <w:tcW w:w="2899" w:type="dxa"/>
            <w:gridSpan w:val="2"/>
            <w:tcBorders>
              <w:top w:val="single" w:sz="4" w:space="0" w:color="auto"/>
              <w:left w:val="nil"/>
              <w:bottom w:val="single" w:sz="4" w:space="0" w:color="auto"/>
              <w:right w:val="single" w:sz="4" w:space="0" w:color="auto"/>
            </w:tcBorders>
            <w:vAlign w:val="bottom"/>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Cohort 1</w:t>
            </w:r>
            <w:r>
              <w:rPr>
                <w:rFonts w:cs="Arial"/>
                <w:b/>
                <w:bCs/>
                <w:color w:val="000000" w:themeColor="text1"/>
                <w:sz w:val="18"/>
                <w:szCs w:val="18"/>
                <w:vertAlign w:val="superscript"/>
                <w:lang w:eastAsia="en-GB"/>
              </w:rPr>
              <w:t>a</w:t>
            </w:r>
            <w:r w:rsidRPr="00D16F32">
              <w:rPr>
                <w:rFonts w:cs="Arial"/>
                <w:b/>
                <w:bCs/>
                <w:color w:val="000000" w:themeColor="text1"/>
                <w:sz w:val="18"/>
                <w:szCs w:val="18"/>
                <w:lang w:eastAsia="en-GB"/>
              </w:rPr>
              <w:br/>
              <w:t>Patients with newly diagnosed CLL</w:t>
            </w:r>
            <w:r w:rsidRPr="00D16F32">
              <w:rPr>
                <w:rFonts w:cs="Arial"/>
                <w:b/>
                <w:bCs/>
                <w:color w:val="000000" w:themeColor="text1"/>
                <w:sz w:val="18"/>
                <w:szCs w:val="18"/>
                <w:lang w:eastAsia="en-GB"/>
              </w:rPr>
              <w:br/>
              <w:t>(N=4901)</w:t>
            </w:r>
          </w:p>
        </w:tc>
        <w:tc>
          <w:tcPr>
            <w:tcW w:w="2900" w:type="dxa"/>
            <w:gridSpan w:val="2"/>
            <w:tcBorders>
              <w:top w:val="single" w:sz="4" w:space="0" w:color="auto"/>
              <w:left w:val="nil"/>
              <w:bottom w:val="single" w:sz="4" w:space="0" w:color="auto"/>
              <w:right w:val="single" w:sz="4" w:space="0" w:color="000000" w:themeColor="text1"/>
            </w:tcBorders>
            <w:vAlign w:val="bottom"/>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Cohort 2</w:t>
            </w:r>
            <w:r>
              <w:rPr>
                <w:rFonts w:cs="Arial"/>
                <w:b/>
                <w:bCs/>
                <w:color w:val="000000" w:themeColor="text1"/>
                <w:sz w:val="18"/>
                <w:szCs w:val="18"/>
                <w:vertAlign w:val="superscript"/>
                <w:lang w:eastAsia="en-GB"/>
              </w:rPr>
              <w:t>a</w:t>
            </w:r>
            <w:r w:rsidRPr="00D16F32">
              <w:rPr>
                <w:rFonts w:cs="Arial"/>
                <w:b/>
                <w:bCs/>
                <w:color w:val="000000" w:themeColor="text1"/>
                <w:sz w:val="18"/>
                <w:szCs w:val="18"/>
                <w:lang w:eastAsia="en-GB"/>
              </w:rPr>
              <w:br/>
              <w:t>Newly initiated cBTKi</w:t>
            </w:r>
            <w:r w:rsidRPr="00D16F32">
              <w:rPr>
                <w:rFonts w:cs="Arial"/>
                <w:b/>
                <w:bCs/>
                <w:color w:val="000000" w:themeColor="text1"/>
                <w:sz w:val="18"/>
                <w:szCs w:val="18"/>
                <w:lang w:eastAsia="en-GB"/>
              </w:rPr>
              <w:br/>
              <w:t>(</w:t>
            </w:r>
            <w:r>
              <w:rPr>
                <w:rFonts w:cs="Arial"/>
                <w:b/>
                <w:bCs/>
                <w:color w:val="000000" w:themeColor="text1"/>
                <w:sz w:val="18"/>
                <w:szCs w:val="18"/>
                <w:lang w:eastAsia="en-GB"/>
              </w:rPr>
              <w:t>n</w:t>
            </w:r>
            <w:r w:rsidRPr="00D16F32">
              <w:rPr>
                <w:rFonts w:cs="Arial"/>
                <w:b/>
                <w:bCs/>
                <w:color w:val="000000" w:themeColor="text1"/>
                <w:sz w:val="18"/>
                <w:szCs w:val="18"/>
                <w:lang w:eastAsia="en-GB"/>
              </w:rPr>
              <w:t>=371)</w:t>
            </w:r>
          </w:p>
        </w:tc>
        <w:tc>
          <w:tcPr>
            <w:tcW w:w="2900" w:type="dxa"/>
            <w:gridSpan w:val="2"/>
            <w:tcBorders>
              <w:top w:val="single" w:sz="4" w:space="0" w:color="auto"/>
              <w:left w:val="nil"/>
              <w:bottom w:val="single" w:sz="4" w:space="0" w:color="auto"/>
              <w:right w:val="single" w:sz="4" w:space="0" w:color="000000" w:themeColor="text1"/>
            </w:tcBorders>
            <w:vAlign w:val="bottom"/>
          </w:tcPr>
          <w:p w:rsidR="00032324" w:rsidRPr="00476D45" w:rsidRDefault="00032324" w:rsidP="002A0A11">
            <w:pPr>
              <w:spacing w:before="40" w:after="40" w:line="240" w:lineRule="auto"/>
              <w:jc w:val="center"/>
              <w:rPr>
                <w:rFonts w:cs="Arial"/>
                <w:b/>
                <w:bCs/>
                <w:color w:val="000000" w:themeColor="text1"/>
                <w:sz w:val="18"/>
                <w:szCs w:val="18"/>
                <w:vertAlign w:val="superscript"/>
                <w:lang w:eastAsia="en-GB"/>
              </w:rPr>
            </w:pPr>
            <w:r w:rsidRPr="00D16F32">
              <w:rPr>
                <w:rFonts w:cs="Arial"/>
                <w:b/>
                <w:bCs/>
                <w:color w:val="000000" w:themeColor="text1"/>
                <w:sz w:val="18"/>
                <w:szCs w:val="18"/>
                <w:lang w:eastAsia="en-GB"/>
              </w:rPr>
              <w:t>Cohort 2a</w:t>
            </w:r>
            <w:r>
              <w:rPr>
                <w:rFonts w:cs="Arial"/>
                <w:b/>
                <w:bCs/>
                <w:color w:val="000000" w:themeColor="text1"/>
                <w:sz w:val="18"/>
                <w:szCs w:val="18"/>
                <w:vertAlign w:val="superscript"/>
                <w:lang w:eastAsia="en-GB"/>
              </w:rPr>
              <w:t>a</w:t>
            </w:r>
            <w:r w:rsidRPr="00D16F32">
              <w:rPr>
                <w:rFonts w:cs="Arial"/>
                <w:b/>
                <w:bCs/>
                <w:color w:val="000000" w:themeColor="text1"/>
                <w:sz w:val="18"/>
                <w:szCs w:val="18"/>
                <w:lang w:eastAsia="en-GB"/>
              </w:rPr>
              <w:br/>
              <w:t xml:space="preserve">Newly initiated cBTKi and </w:t>
            </w:r>
            <w:r>
              <w:rPr>
                <w:rFonts w:cs="Arial"/>
                <w:b/>
                <w:bCs/>
                <w:color w:val="000000" w:themeColor="text1"/>
                <w:sz w:val="18"/>
                <w:szCs w:val="18"/>
                <w:lang w:eastAsia="en-GB"/>
              </w:rPr>
              <w:t xml:space="preserve">received </w:t>
            </w:r>
            <w:r w:rsidRPr="00D16F32">
              <w:rPr>
                <w:rFonts w:cs="Arial"/>
                <w:b/>
                <w:bCs/>
                <w:color w:val="000000" w:themeColor="text1"/>
                <w:sz w:val="18"/>
                <w:szCs w:val="18"/>
                <w:lang w:eastAsia="en-GB"/>
              </w:rPr>
              <w:t>venetoclax</w:t>
            </w:r>
          </w:p>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w:t>
            </w:r>
            <w:r>
              <w:rPr>
                <w:rFonts w:cs="Arial"/>
                <w:b/>
                <w:bCs/>
                <w:color w:val="000000" w:themeColor="text1"/>
                <w:sz w:val="18"/>
                <w:szCs w:val="18"/>
                <w:lang w:eastAsia="en-GB"/>
              </w:rPr>
              <w:t>n</w:t>
            </w:r>
            <w:r w:rsidRPr="00D16F32">
              <w:rPr>
                <w:rFonts w:cs="Arial"/>
                <w:b/>
                <w:bCs/>
                <w:color w:val="000000" w:themeColor="text1"/>
                <w:sz w:val="18"/>
                <w:szCs w:val="18"/>
                <w:lang w:eastAsia="en-GB"/>
              </w:rPr>
              <w:t>=38)</w:t>
            </w:r>
          </w:p>
        </w:tc>
        <w:tc>
          <w:tcPr>
            <w:tcW w:w="2900" w:type="dxa"/>
            <w:gridSpan w:val="2"/>
            <w:tcBorders>
              <w:top w:val="single" w:sz="4" w:space="0" w:color="auto"/>
              <w:left w:val="nil"/>
              <w:bottom w:val="single" w:sz="4" w:space="0" w:color="auto"/>
              <w:right w:val="single" w:sz="4" w:space="0" w:color="000000" w:themeColor="text1"/>
            </w:tcBorders>
            <w:vAlign w:val="bottom"/>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Cohort 2b</w:t>
            </w:r>
            <w:r>
              <w:rPr>
                <w:rFonts w:cs="Arial"/>
                <w:b/>
                <w:bCs/>
                <w:color w:val="000000" w:themeColor="text1"/>
                <w:sz w:val="18"/>
                <w:szCs w:val="18"/>
                <w:vertAlign w:val="superscript"/>
                <w:lang w:eastAsia="en-GB"/>
              </w:rPr>
              <w:t>a</w:t>
            </w:r>
            <w:r w:rsidRPr="00D16F32">
              <w:rPr>
                <w:rFonts w:cs="Arial"/>
                <w:b/>
                <w:bCs/>
                <w:color w:val="000000" w:themeColor="text1"/>
                <w:sz w:val="18"/>
                <w:szCs w:val="18"/>
                <w:lang w:eastAsia="en-GB"/>
              </w:rPr>
              <w:br/>
              <w:t>Newly initiated cBTKi and no venetoclax</w:t>
            </w:r>
          </w:p>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w:t>
            </w:r>
            <w:r>
              <w:rPr>
                <w:rFonts w:cs="Arial"/>
                <w:b/>
                <w:bCs/>
                <w:color w:val="000000" w:themeColor="text1"/>
                <w:sz w:val="18"/>
                <w:szCs w:val="18"/>
                <w:lang w:eastAsia="en-GB"/>
              </w:rPr>
              <w:t>n</w:t>
            </w:r>
            <w:r w:rsidRPr="00D16F32">
              <w:rPr>
                <w:rFonts w:cs="Arial"/>
                <w:b/>
                <w:bCs/>
                <w:color w:val="000000" w:themeColor="text1"/>
                <w:sz w:val="18"/>
                <w:szCs w:val="18"/>
                <w:lang w:eastAsia="en-GB"/>
              </w:rPr>
              <w:t>=333)</w:t>
            </w:r>
          </w:p>
        </w:tc>
      </w:tr>
      <w:tr w:rsidR="00032324" w:rsidRPr="00D16F32" w:rsidTr="002A0A11">
        <w:trPr>
          <w:trHeight w:val="384"/>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rPr>
                <w:rFonts w:cs="Arial"/>
                <w:b/>
                <w:bCs/>
                <w:color w:val="000000" w:themeColor="text1"/>
                <w:sz w:val="18"/>
                <w:szCs w:val="18"/>
                <w:lang w:eastAsia="en-GB"/>
              </w:rPr>
            </w:pPr>
            <w:r w:rsidRPr="00D16F32">
              <w:rPr>
                <w:rFonts w:cs="Arial"/>
                <w:b/>
                <w:bCs/>
                <w:color w:val="000000" w:themeColor="text1"/>
                <w:sz w:val="18"/>
                <w:szCs w:val="18"/>
                <w:lang w:eastAsia="en-GB"/>
              </w:rPr>
              <w:t>Follow-up</w:t>
            </w:r>
            <w:r>
              <w:rPr>
                <w:rFonts w:cs="Arial"/>
                <w:b/>
                <w:bCs/>
                <w:color w:val="000000" w:themeColor="text1"/>
                <w:sz w:val="18"/>
                <w:szCs w:val="18"/>
                <w:lang w:eastAsia="en-GB"/>
              </w:rPr>
              <w:t xml:space="preserve"> post-index</w:t>
            </w:r>
            <w:r w:rsidRPr="00D16F32">
              <w:rPr>
                <w:rFonts w:cs="Arial"/>
                <w:b/>
                <w:bCs/>
                <w:color w:val="000000" w:themeColor="text1"/>
                <w:sz w:val="18"/>
                <w:szCs w:val="18"/>
                <w:lang w:eastAsia="en-GB"/>
              </w:rPr>
              <w:t> </w:t>
            </w:r>
          </w:p>
        </w:tc>
        <w:tc>
          <w:tcPr>
            <w:tcW w:w="1449" w:type="dxa"/>
            <w:tcBorders>
              <w:top w:val="nil"/>
              <w:left w:val="nil"/>
              <w:bottom w:val="single" w:sz="4" w:space="0" w:color="auto"/>
              <w:right w:val="single" w:sz="4" w:space="0" w:color="auto"/>
            </w:tcBorders>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12-months</w:t>
            </w:r>
          </w:p>
        </w:tc>
        <w:tc>
          <w:tcPr>
            <w:tcW w:w="1450" w:type="dxa"/>
            <w:tcBorders>
              <w:top w:val="nil"/>
              <w:left w:val="nil"/>
              <w:bottom w:val="single" w:sz="4" w:space="0" w:color="auto"/>
              <w:right w:val="single" w:sz="4" w:space="0" w:color="auto"/>
            </w:tcBorders>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Complete</w:t>
            </w:r>
          </w:p>
        </w:tc>
        <w:tc>
          <w:tcPr>
            <w:tcW w:w="1450" w:type="dxa"/>
            <w:tcBorders>
              <w:top w:val="nil"/>
              <w:left w:val="nil"/>
              <w:bottom w:val="single" w:sz="4" w:space="0" w:color="auto"/>
              <w:right w:val="single" w:sz="4" w:space="0" w:color="auto"/>
            </w:tcBorders>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12-months</w:t>
            </w:r>
          </w:p>
        </w:tc>
        <w:tc>
          <w:tcPr>
            <w:tcW w:w="1450" w:type="dxa"/>
            <w:tcBorders>
              <w:top w:val="nil"/>
              <w:left w:val="nil"/>
              <w:bottom w:val="single" w:sz="4" w:space="0" w:color="auto"/>
              <w:right w:val="single" w:sz="4" w:space="0" w:color="auto"/>
            </w:tcBorders>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Complete</w:t>
            </w:r>
          </w:p>
        </w:tc>
        <w:tc>
          <w:tcPr>
            <w:tcW w:w="1450" w:type="dxa"/>
            <w:tcBorders>
              <w:top w:val="nil"/>
              <w:left w:val="nil"/>
              <w:bottom w:val="single" w:sz="4" w:space="0" w:color="auto"/>
              <w:right w:val="single" w:sz="4" w:space="0" w:color="auto"/>
            </w:tcBorders>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12-months</w:t>
            </w:r>
          </w:p>
        </w:tc>
        <w:tc>
          <w:tcPr>
            <w:tcW w:w="1450" w:type="dxa"/>
            <w:tcBorders>
              <w:top w:val="nil"/>
              <w:left w:val="nil"/>
              <w:bottom w:val="single" w:sz="4" w:space="0" w:color="auto"/>
              <w:right w:val="single" w:sz="4" w:space="0" w:color="auto"/>
            </w:tcBorders>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Complete</w:t>
            </w:r>
          </w:p>
        </w:tc>
        <w:tc>
          <w:tcPr>
            <w:tcW w:w="1450" w:type="dxa"/>
            <w:tcBorders>
              <w:top w:val="nil"/>
              <w:left w:val="nil"/>
              <w:bottom w:val="single" w:sz="4" w:space="0" w:color="auto"/>
              <w:right w:val="single" w:sz="4" w:space="0" w:color="auto"/>
            </w:tcBorders>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12-months</w:t>
            </w:r>
          </w:p>
        </w:tc>
        <w:tc>
          <w:tcPr>
            <w:tcW w:w="1450" w:type="dxa"/>
            <w:tcBorders>
              <w:top w:val="nil"/>
              <w:left w:val="nil"/>
              <w:bottom w:val="single" w:sz="4" w:space="0" w:color="auto"/>
              <w:right w:val="single" w:sz="4" w:space="0" w:color="auto"/>
            </w:tcBorders>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Complete</w:t>
            </w:r>
          </w:p>
        </w:tc>
      </w:tr>
      <w:tr w:rsidR="00032324" w:rsidRPr="00D16F32" w:rsidTr="002A0A11">
        <w:trPr>
          <w:trHeight w:val="36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rPr>
                <w:rFonts w:cs="Arial"/>
                <w:b/>
                <w:bCs/>
                <w:color w:val="000000" w:themeColor="text1"/>
                <w:sz w:val="18"/>
                <w:szCs w:val="18"/>
                <w:lang w:eastAsia="en-GB"/>
              </w:rPr>
            </w:pPr>
            <w:r w:rsidRPr="00D16F32">
              <w:rPr>
                <w:rFonts w:cs="Arial"/>
                <w:b/>
                <w:bCs/>
                <w:color w:val="000000" w:themeColor="text1"/>
                <w:sz w:val="18"/>
                <w:szCs w:val="18"/>
                <w:lang w:eastAsia="en-GB"/>
              </w:rPr>
              <w:t>Person Years</w:t>
            </w:r>
          </w:p>
        </w:tc>
        <w:tc>
          <w:tcPr>
            <w:tcW w:w="1449" w:type="dxa"/>
            <w:tcBorders>
              <w:top w:val="nil"/>
              <w:left w:val="nil"/>
              <w:bottom w:val="single" w:sz="4" w:space="0" w:color="auto"/>
              <w:right w:val="single" w:sz="4" w:space="0" w:color="auto"/>
            </w:tcBorders>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4553.46</w:t>
            </w:r>
          </w:p>
        </w:tc>
        <w:tc>
          <w:tcPr>
            <w:tcW w:w="1450" w:type="dxa"/>
            <w:tcBorders>
              <w:top w:val="nil"/>
              <w:left w:val="nil"/>
              <w:bottom w:val="single" w:sz="4" w:space="0" w:color="auto"/>
              <w:right w:val="single" w:sz="4" w:space="0" w:color="auto"/>
            </w:tcBorders>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21689.64</w:t>
            </w:r>
          </w:p>
        </w:tc>
        <w:tc>
          <w:tcPr>
            <w:tcW w:w="1450" w:type="dxa"/>
            <w:tcBorders>
              <w:top w:val="nil"/>
              <w:left w:val="nil"/>
              <w:bottom w:val="single" w:sz="4" w:space="0" w:color="auto"/>
              <w:right w:val="single" w:sz="4" w:space="0" w:color="auto"/>
            </w:tcBorders>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339.00</w:t>
            </w:r>
          </w:p>
        </w:tc>
        <w:tc>
          <w:tcPr>
            <w:tcW w:w="1450" w:type="dxa"/>
            <w:tcBorders>
              <w:top w:val="nil"/>
              <w:left w:val="nil"/>
              <w:bottom w:val="single" w:sz="4" w:space="0" w:color="auto"/>
              <w:right w:val="single" w:sz="4" w:space="0" w:color="auto"/>
            </w:tcBorders>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905.43</w:t>
            </w:r>
          </w:p>
        </w:tc>
        <w:tc>
          <w:tcPr>
            <w:tcW w:w="1450" w:type="dxa"/>
            <w:tcBorders>
              <w:top w:val="nil"/>
              <w:left w:val="nil"/>
              <w:bottom w:val="single" w:sz="4" w:space="0" w:color="auto"/>
              <w:right w:val="single" w:sz="4" w:space="0" w:color="auto"/>
            </w:tcBorders>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36.59</w:t>
            </w:r>
          </w:p>
        </w:tc>
        <w:tc>
          <w:tcPr>
            <w:tcW w:w="1450" w:type="dxa"/>
            <w:tcBorders>
              <w:top w:val="nil"/>
              <w:left w:val="nil"/>
              <w:bottom w:val="single" w:sz="4" w:space="0" w:color="auto"/>
              <w:right w:val="single" w:sz="4" w:space="0" w:color="auto"/>
            </w:tcBorders>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121.77</w:t>
            </w:r>
          </w:p>
        </w:tc>
        <w:tc>
          <w:tcPr>
            <w:tcW w:w="1450" w:type="dxa"/>
            <w:tcBorders>
              <w:top w:val="nil"/>
              <w:left w:val="nil"/>
              <w:bottom w:val="single" w:sz="4" w:space="0" w:color="auto"/>
              <w:right w:val="single" w:sz="4" w:space="0" w:color="auto"/>
            </w:tcBorders>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302.41</w:t>
            </w:r>
          </w:p>
        </w:tc>
        <w:tc>
          <w:tcPr>
            <w:tcW w:w="1450" w:type="dxa"/>
            <w:tcBorders>
              <w:top w:val="nil"/>
              <w:left w:val="nil"/>
              <w:bottom w:val="single" w:sz="4" w:space="0" w:color="auto"/>
              <w:right w:val="single" w:sz="4" w:space="0" w:color="auto"/>
            </w:tcBorders>
            <w:hideMark/>
          </w:tcPr>
          <w:p w:rsidR="00032324" w:rsidRPr="00D16F32" w:rsidRDefault="00032324" w:rsidP="002A0A11">
            <w:pPr>
              <w:spacing w:before="40" w:after="40" w:line="240" w:lineRule="auto"/>
              <w:jc w:val="center"/>
              <w:rPr>
                <w:rFonts w:cs="Arial"/>
                <w:b/>
                <w:bCs/>
                <w:color w:val="000000" w:themeColor="text1"/>
                <w:sz w:val="18"/>
                <w:szCs w:val="18"/>
                <w:lang w:eastAsia="en-GB"/>
              </w:rPr>
            </w:pPr>
            <w:r w:rsidRPr="00D16F32">
              <w:rPr>
                <w:rFonts w:cs="Arial"/>
                <w:b/>
                <w:bCs/>
                <w:color w:val="000000" w:themeColor="text1"/>
                <w:sz w:val="18"/>
                <w:szCs w:val="18"/>
                <w:lang w:eastAsia="en-GB"/>
              </w:rPr>
              <w:t>783.66</w:t>
            </w:r>
          </w:p>
        </w:tc>
      </w:tr>
      <w:tr w:rsidR="00032324" w:rsidRPr="00D16F32" w:rsidTr="002A0A11">
        <w:trPr>
          <w:trHeight w:val="280"/>
        </w:trPr>
        <w:tc>
          <w:tcPr>
            <w:tcW w:w="14009" w:type="dxa"/>
            <w:gridSpan w:val="9"/>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rPr>
                <w:rFonts w:cs="Arial"/>
                <w:color w:val="000000" w:themeColor="text1"/>
                <w:sz w:val="18"/>
                <w:szCs w:val="18"/>
                <w:lang w:eastAsia="en-GB"/>
              </w:rPr>
            </w:pPr>
            <w:r w:rsidRPr="00D16F32">
              <w:rPr>
                <w:rFonts w:cs="Arial"/>
                <w:b/>
                <w:bCs/>
                <w:color w:val="000000" w:themeColor="text1"/>
                <w:sz w:val="18"/>
                <w:szCs w:val="18"/>
                <w:lang w:eastAsia="en-GB"/>
              </w:rPr>
              <w:t>Outpatient primary care (GP) visits (CLL-related)</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n patients with ≥1 visit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2943 (60.0)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3409 (69.6)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264 (71.2)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283 (76.3)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31 (81.6)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34 (89.5)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233 (70.0)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249 (74.8)</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Rate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7.3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6.9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8.4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7.8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9.9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8.2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7.4</w:t>
            </w:r>
          </w:p>
        </w:tc>
      </w:tr>
      <w:tr w:rsidR="00032324" w:rsidRPr="00D16F32" w:rsidTr="002A0A11">
        <w:trPr>
          <w:trHeight w:val="280"/>
        </w:trPr>
        <w:tc>
          <w:tcPr>
            <w:tcW w:w="14009" w:type="dxa"/>
            <w:gridSpan w:val="9"/>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rPr>
                <w:rFonts w:cs="Arial"/>
                <w:color w:val="000000" w:themeColor="text1"/>
                <w:sz w:val="18"/>
                <w:szCs w:val="18"/>
                <w:lang w:eastAsia="en-GB"/>
              </w:rPr>
            </w:pPr>
            <w:r w:rsidRPr="00D16F32">
              <w:rPr>
                <w:rFonts w:cs="Arial"/>
                <w:b/>
                <w:bCs/>
                <w:color w:val="000000" w:themeColor="text1"/>
                <w:sz w:val="18"/>
                <w:szCs w:val="18"/>
                <w:lang w:eastAsia="en-GB"/>
              </w:rPr>
              <w:t>Outpatient primary care (GP) visits (all-cause)</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n patients with ≥1 visit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4696 (95.8)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4742 (96.8)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343 (92.5)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352 (94.9)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36 (94.7)</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37 (97.4)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307 (92.2)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315 (94.6)</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Rate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14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12.1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11.7</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10.7</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12.7</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12.2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11.6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10.5</w:t>
            </w:r>
          </w:p>
        </w:tc>
      </w:tr>
      <w:tr w:rsidR="00032324" w:rsidRPr="00D16F32" w:rsidTr="002A0A11">
        <w:trPr>
          <w:trHeight w:val="280"/>
        </w:trPr>
        <w:tc>
          <w:tcPr>
            <w:tcW w:w="14009" w:type="dxa"/>
            <w:gridSpan w:val="9"/>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rPr>
                <w:rFonts w:cs="Arial"/>
                <w:color w:val="000000" w:themeColor="text1"/>
                <w:sz w:val="18"/>
                <w:szCs w:val="18"/>
                <w:lang w:eastAsia="en-GB"/>
              </w:rPr>
            </w:pPr>
            <w:r w:rsidRPr="00D16F32">
              <w:rPr>
                <w:rFonts w:cs="Arial"/>
                <w:b/>
                <w:bCs/>
                <w:color w:val="000000" w:themeColor="text1"/>
                <w:sz w:val="18"/>
                <w:szCs w:val="18"/>
                <w:lang w:eastAsia="en-GB"/>
              </w:rPr>
              <w:t>Outpatient specialist visits (CLL-related)</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n patients with ≥1 visit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2438 (49.7)</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2798 (57.1)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246 (66.3)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269 (72.5)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28 (73.7)</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33 (86.8)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218 (65.5)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236 (70.9)</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Rate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3.4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6.5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5.3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8.9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7.8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6.2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4.9</w:t>
            </w:r>
          </w:p>
        </w:tc>
      </w:tr>
      <w:tr w:rsidR="00032324" w:rsidRPr="00D16F32" w:rsidTr="002A0A11">
        <w:trPr>
          <w:trHeight w:val="280"/>
        </w:trPr>
        <w:tc>
          <w:tcPr>
            <w:tcW w:w="14009" w:type="dxa"/>
            <w:gridSpan w:val="9"/>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rPr>
                <w:rFonts w:cs="Arial"/>
                <w:color w:val="000000" w:themeColor="text1"/>
                <w:sz w:val="18"/>
                <w:szCs w:val="18"/>
                <w:lang w:eastAsia="en-GB"/>
              </w:rPr>
            </w:pPr>
            <w:r w:rsidRPr="00D16F32">
              <w:rPr>
                <w:rFonts w:cs="Arial"/>
                <w:b/>
                <w:bCs/>
                <w:color w:val="000000" w:themeColor="text1"/>
                <w:sz w:val="18"/>
                <w:szCs w:val="18"/>
                <w:lang w:eastAsia="en-GB"/>
              </w:rPr>
              <w:t>Outpatient specialist visits (all-cause)</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n patients with ≥1 hospitalisations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4650 (94.9)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4709 (96.1)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359 (96.8)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362 (97.6)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38 (100.0)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38 (100.0)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321 (96.4)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324 (97.3)</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Rate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20.5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31.4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28.9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32.8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32.8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31.2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28.3</w:t>
            </w:r>
          </w:p>
        </w:tc>
      </w:tr>
      <w:tr w:rsidR="00032324" w:rsidRPr="00D16F32" w:rsidTr="002A0A11">
        <w:trPr>
          <w:trHeight w:val="280"/>
        </w:trPr>
        <w:tc>
          <w:tcPr>
            <w:tcW w:w="14009" w:type="dxa"/>
            <w:gridSpan w:val="9"/>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rPr>
                <w:rFonts w:cs="Arial"/>
                <w:color w:val="000000" w:themeColor="text1"/>
                <w:sz w:val="18"/>
                <w:szCs w:val="18"/>
                <w:lang w:eastAsia="en-GB"/>
              </w:rPr>
            </w:pPr>
            <w:r w:rsidRPr="00D16F32">
              <w:rPr>
                <w:rFonts w:cs="Arial"/>
                <w:b/>
                <w:bCs/>
                <w:color w:val="000000" w:themeColor="text1"/>
                <w:sz w:val="18"/>
                <w:szCs w:val="18"/>
                <w:lang w:eastAsia="en-GB"/>
              </w:rPr>
              <w:t>Hospitalisations (CLL-related)</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n patients with ≥1 hospitalisation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1900 (38.8)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2700 (55.1)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143 (38.5)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205 (55.3)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22 (57.9)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33 (86.8)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121 (36.3)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172 (51.7)</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Rate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0.7</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0.6</w:t>
            </w:r>
          </w:p>
        </w:tc>
      </w:tr>
      <w:tr w:rsidR="00032324" w:rsidRPr="00D16F32" w:rsidTr="002A0A11">
        <w:trPr>
          <w:trHeight w:val="280"/>
        </w:trPr>
        <w:tc>
          <w:tcPr>
            <w:tcW w:w="14009" w:type="dxa"/>
            <w:gridSpan w:val="9"/>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rPr>
                <w:rFonts w:cs="Arial"/>
                <w:color w:val="000000" w:themeColor="text1"/>
                <w:sz w:val="18"/>
                <w:szCs w:val="18"/>
                <w:lang w:eastAsia="en-GB"/>
              </w:rPr>
            </w:pPr>
            <w:r w:rsidRPr="00D16F32">
              <w:rPr>
                <w:rFonts w:cs="Arial"/>
                <w:b/>
                <w:bCs/>
                <w:color w:val="000000" w:themeColor="text1"/>
                <w:sz w:val="18"/>
                <w:szCs w:val="18"/>
                <w:lang w:eastAsia="en-GB"/>
              </w:rPr>
              <w:t>Hospitalisations (all-cause)</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n patients with ≥1 hospitalisation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2919 (59.6)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4192 (85.5)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205 (55.3)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279 (75.2)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29 (76.3)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35 (92.1)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176 (52.9)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244 (73.3)</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lastRenderedPageBreak/>
              <w:t>Rate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1.7</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1.1</w:t>
            </w:r>
          </w:p>
        </w:tc>
      </w:tr>
      <w:tr w:rsidR="00032324" w:rsidRPr="00D16F32" w:rsidTr="002A0A11">
        <w:trPr>
          <w:trHeight w:val="280"/>
        </w:trPr>
        <w:tc>
          <w:tcPr>
            <w:tcW w:w="14009" w:type="dxa"/>
            <w:gridSpan w:val="9"/>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rPr>
                <w:rFonts w:cs="Arial"/>
                <w:color w:val="000000" w:themeColor="text1"/>
                <w:sz w:val="18"/>
                <w:szCs w:val="18"/>
                <w:lang w:eastAsia="en-GB"/>
              </w:rPr>
            </w:pPr>
            <w:r w:rsidRPr="00D16F32">
              <w:rPr>
                <w:rFonts w:cs="Arial"/>
                <w:b/>
                <w:bCs/>
                <w:color w:val="000000" w:themeColor="text1"/>
                <w:sz w:val="18"/>
                <w:szCs w:val="18"/>
                <w:lang w:eastAsia="en-GB"/>
              </w:rPr>
              <w:t>Hospitalisation days (CLL-related)</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Days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7</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9.3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6.2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14.5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11.2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8.7</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5.4</w:t>
            </w:r>
          </w:p>
        </w:tc>
      </w:tr>
      <w:tr w:rsidR="00032324" w:rsidRPr="00D16F32" w:rsidTr="002A0A11">
        <w:trPr>
          <w:trHeight w:val="280"/>
        </w:trPr>
        <w:tc>
          <w:tcPr>
            <w:tcW w:w="14009" w:type="dxa"/>
            <w:gridSpan w:val="9"/>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rPr>
                <w:rFonts w:cs="Arial"/>
                <w:color w:val="000000" w:themeColor="text1"/>
                <w:sz w:val="18"/>
                <w:szCs w:val="18"/>
                <w:lang w:eastAsia="en-GB"/>
              </w:rPr>
            </w:pPr>
            <w:r w:rsidRPr="00D16F32">
              <w:rPr>
                <w:rFonts w:cs="Arial"/>
                <w:b/>
                <w:bCs/>
                <w:color w:val="000000" w:themeColor="text1"/>
                <w:sz w:val="18"/>
                <w:szCs w:val="18"/>
                <w:lang w:eastAsia="en-GB"/>
              </w:rPr>
              <w:t>Hospitalisation days (all-cause)</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Days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13.3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7.9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13.2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9.9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18.2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14.9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12.6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9.1</w:t>
            </w:r>
          </w:p>
        </w:tc>
      </w:tr>
      <w:tr w:rsidR="00032324" w:rsidRPr="00D16F32" w:rsidTr="002A0A11">
        <w:trPr>
          <w:trHeight w:val="280"/>
        </w:trPr>
        <w:tc>
          <w:tcPr>
            <w:tcW w:w="14009" w:type="dxa"/>
            <w:gridSpan w:val="9"/>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rPr>
                <w:rFonts w:cs="Arial"/>
                <w:color w:val="000000" w:themeColor="text1"/>
                <w:sz w:val="18"/>
                <w:szCs w:val="18"/>
                <w:lang w:eastAsia="en-GB"/>
              </w:rPr>
            </w:pPr>
            <w:r w:rsidRPr="00D16F32">
              <w:rPr>
                <w:rFonts w:cs="Arial"/>
                <w:b/>
                <w:bCs/>
                <w:color w:val="000000" w:themeColor="text1"/>
                <w:sz w:val="18"/>
                <w:szCs w:val="18"/>
                <w:lang w:eastAsia="en-GB"/>
              </w:rPr>
              <w:t>Hospitalisations resulting from ED visits (CLL-related)</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n patients with ≥1 hospitalisation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995 (20.3)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1774 (36.2)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105 (28.3)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160 (43.1)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17 (44.7)</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27 (71.1)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88 (26.4)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133 (39.9)</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Rate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0.3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0.3</w:t>
            </w:r>
          </w:p>
        </w:tc>
      </w:tr>
      <w:tr w:rsidR="00032324" w:rsidRPr="00D16F32" w:rsidTr="002A0A11">
        <w:trPr>
          <w:trHeight w:val="280"/>
        </w:trPr>
        <w:tc>
          <w:tcPr>
            <w:tcW w:w="14009" w:type="dxa"/>
            <w:gridSpan w:val="9"/>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rPr>
                <w:rFonts w:cs="Arial"/>
                <w:color w:val="000000" w:themeColor="text1"/>
                <w:sz w:val="18"/>
                <w:szCs w:val="18"/>
                <w:lang w:eastAsia="en-GB"/>
              </w:rPr>
            </w:pPr>
            <w:r w:rsidRPr="00D16F32">
              <w:rPr>
                <w:rFonts w:cs="Arial"/>
                <w:b/>
                <w:bCs/>
                <w:color w:val="000000" w:themeColor="text1"/>
                <w:sz w:val="18"/>
                <w:szCs w:val="18"/>
                <w:lang w:eastAsia="en-GB"/>
              </w:rPr>
              <w:t>Hospitalisations resulting from ED visits (all-cause)</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n patients with ≥1 hospitalisation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1745 (35.6)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3376 (68.9)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149 (40.2)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226 (60.9)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23 (60.5)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32 (84.2)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126 (37.8)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194 (58.3)</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Rate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0.6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0.6</w:t>
            </w:r>
          </w:p>
        </w:tc>
      </w:tr>
      <w:tr w:rsidR="00032324" w:rsidRPr="00D16F32" w:rsidTr="002A0A11">
        <w:trPr>
          <w:trHeight w:val="280"/>
        </w:trPr>
        <w:tc>
          <w:tcPr>
            <w:tcW w:w="14009" w:type="dxa"/>
            <w:gridSpan w:val="9"/>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rPr>
                <w:rFonts w:cs="Arial"/>
                <w:color w:val="000000" w:themeColor="text1"/>
                <w:sz w:val="18"/>
                <w:szCs w:val="18"/>
                <w:lang w:eastAsia="en-GB"/>
              </w:rPr>
            </w:pPr>
            <w:r w:rsidRPr="00D16F32">
              <w:rPr>
                <w:rFonts w:cs="Arial"/>
                <w:b/>
                <w:bCs/>
                <w:color w:val="000000" w:themeColor="text1"/>
                <w:sz w:val="18"/>
                <w:szCs w:val="18"/>
                <w:lang w:eastAsia="en-GB"/>
              </w:rPr>
              <w:t>Outpatient prescriptions (CLL-related)</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n patients with ≥1 prescription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625 (12.8)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1315 (26.8)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364 (98.1)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364 (98.1)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38 (100.0)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38 (100.0)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326 (97.9)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326 (97.9)</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Rate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1.8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10.2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7.4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9.4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8.1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10.3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7.3</w:t>
            </w:r>
          </w:p>
        </w:tc>
      </w:tr>
      <w:tr w:rsidR="00032324" w:rsidRPr="00D16F32" w:rsidTr="002A0A11">
        <w:trPr>
          <w:trHeight w:val="280"/>
        </w:trPr>
        <w:tc>
          <w:tcPr>
            <w:tcW w:w="14009" w:type="dxa"/>
            <w:gridSpan w:val="9"/>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rPr>
                <w:rFonts w:cs="Arial"/>
                <w:color w:val="000000" w:themeColor="text1"/>
                <w:sz w:val="18"/>
                <w:szCs w:val="18"/>
                <w:lang w:eastAsia="en-GB"/>
              </w:rPr>
            </w:pPr>
            <w:r w:rsidRPr="00D16F32">
              <w:rPr>
                <w:rFonts w:cs="Arial"/>
                <w:b/>
                <w:bCs/>
                <w:color w:val="000000" w:themeColor="text1"/>
                <w:sz w:val="18"/>
                <w:szCs w:val="18"/>
                <w:lang w:eastAsia="en-GB"/>
              </w:rPr>
              <w:t>Outpatient prescriptions (all-cause)</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n patients with ≥1 prescription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4681 (95.5)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4773 (97.4)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368 (99.2)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368 (99.2)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38 (100.0)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38 (100.0)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330 (99.1)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330 (99.1)</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Rate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34.5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30.8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47.1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41.8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46.6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48.1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47.1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40.8</w:t>
            </w:r>
          </w:p>
        </w:tc>
      </w:tr>
      <w:tr w:rsidR="00032324" w:rsidRPr="00D16F32" w:rsidTr="002A0A11">
        <w:trPr>
          <w:trHeight w:val="280"/>
        </w:trPr>
        <w:tc>
          <w:tcPr>
            <w:tcW w:w="14009" w:type="dxa"/>
            <w:gridSpan w:val="9"/>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rPr>
                <w:rFonts w:cs="Arial"/>
                <w:color w:val="000000" w:themeColor="text1"/>
                <w:sz w:val="18"/>
                <w:szCs w:val="18"/>
                <w:lang w:eastAsia="en-GB"/>
              </w:rPr>
            </w:pPr>
            <w:r w:rsidRPr="00D16F32">
              <w:rPr>
                <w:rFonts w:cs="Arial"/>
                <w:b/>
                <w:bCs/>
                <w:color w:val="000000" w:themeColor="text1"/>
                <w:sz w:val="18"/>
                <w:szCs w:val="18"/>
                <w:lang w:eastAsia="en-GB"/>
              </w:rPr>
              <w:t>Most frequent inpatient procedures recorded (OPS codes)</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1</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abdomen with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Need for care</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Need for care</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Need for care</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thorax with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abdomen with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Need for care</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Need for care</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2</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thorax with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abdomen with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val="en" w:eastAsia="en-GB"/>
              </w:rPr>
              <w:t>Blood t</w:t>
            </w:r>
            <w:r w:rsidRPr="004361C7">
              <w:rPr>
                <w:rFonts w:cs="Arial"/>
                <w:color w:val="000000" w:themeColor="text1"/>
                <w:sz w:val="18"/>
                <w:szCs w:val="18"/>
                <w:lang w:val="en" w:eastAsia="en-GB"/>
              </w:rPr>
              <w:t>ransfusion</w:t>
            </w:r>
            <w:r>
              <w:rPr>
                <w:rFonts w:cs="Arial"/>
                <w:color w:val="000000" w:themeColor="text1"/>
                <w:sz w:val="18"/>
                <w:szCs w:val="18"/>
                <w:vertAlign w:val="superscript"/>
                <w:lang w:val="en" w:eastAsia="en-GB"/>
              </w:rPr>
              <w:t>b</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abdomen with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val="en" w:eastAsia="en-GB"/>
              </w:rPr>
              <w:t>Blood t</w:t>
            </w:r>
            <w:r w:rsidRPr="004361C7">
              <w:rPr>
                <w:rFonts w:cs="Arial"/>
                <w:color w:val="000000" w:themeColor="text1"/>
                <w:sz w:val="18"/>
                <w:szCs w:val="18"/>
                <w:lang w:val="en" w:eastAsia="en-GB"/>
              </w:rPr>
              <w:t>ransfusion</w:t>
            </w:r>
            <w:r>
              <w:rPr>
                <w:rFonts w:cs="Arial"/>
                <w:color w:val="000000" w:themeColor="text1"/>
                <w:sz w:val="18"/>
                <w:szCs w:val="18"/>
                <w:vertAlign w:val="superscript"/>
                <w:lang w:val="en" w:eastAsia="en-GB"/>
              </w:rPr>
              <w:t>b</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val="en" w:eastAsia="en-GB"/>
              </w:rPr>
              <w:t>Blood t</w:t>
            </w:r>
            <w:r w:rsidRPr="004361C7">
              <w:rPr>
                <w:rFonts w:cs="Arial"/>
                <w:color w:val="000000" w:themeColor="text1"/>
                <w:sz w:val="18"/>
                <w:szCs w:val="18"/>
                <w:lang w:val="en" w:eastAsia="en-GB"/>
              </w:rPr>
              <w:t>ransfusion</w:t>
            </w:r>
            <w:r>
              <w:rPr>
                <w:rFonts w:cs="Arial"/>
                <w:color w:val="000000" w:themeColor="text1"/>
                <w:sz w:val="18"/>
                <w:szCs w:val="18"/>
                <w:vertAlign w:val="superscript"/>
                <w:lang w:val="en" w:eastAsia="en-GB"/>
              </w:rPr>
              <w:t>b</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val="en" w:eastAsia="en-GB"/>
              </w:rPr>
              <w:t>Blood t</w:t>
            </w:r>
            <w:r w:rsidRPr="004361C7">
              <w:rPr>
                <w:rFonts w:cs="Arial"/>
                <w:color w:val="000000" w:themeColor="text1"/>
                <w:sz w:val="18"/>
                <w:szCs w:val="18"/>
                <w:lang w:val="en" w:eastAsia="en-GB"/>
              </w:rPr>
              <w:t>ransfusion</w:t>
            </w:r>
            <w:r>
              <w:rPr>
                <w:rFonts w:cs="Arial"/>
                <w:color w:val="000000" w:themeColor="text1"/>
                <w:sz w:val="18"/>
                <w:szCs w:val="18"/>
                <w:vertAlign w:val="superscript"/>
                <w:lang w:val="en" w:eastAsia="en-GB"/>
              </w:rPr>
              <w:t>b</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abdomen with contrast</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3</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Biopsy excl. bone marrow incision</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thorax with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thorax with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thorax with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abdomen with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thorax with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abdomen with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thorax with contrast</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lastRenderedPageBreak/>
              <w:t>4</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val="en" w:eastAsia="en-GB"/>
              </w:rPr>
              <w:t>Blood t</w:t>
            </w:r>
            <w:r w:rsidRPr="004361C7">
              <w:rPr>
                <w:rFonts w:cs="Arial"/>
                <w:color w:val="000000" w:themeColor="text1"/>
                <w:sz w:val="18"/>
                <w:szCs w:val="18"/>
                <w:lang w:val="en" w:eastAsia="en-GB"/>
              </w:rPr>
              <w:t>ransfusion</w:t>
            </w:r>
            <w:r>
              <w:rPr>
                <w:rFonts w:cs="Arial"/>
                <w:color w:val="000000" w:themeColor="text1"/>
                <w:sz w:val="18"/>
                <w:szCs w:val="18"/>
                <w:vertAlign w:val="superscript"/>
                <w:lang w:val="en" w:eastAsia="en-GB"/>
              </w:rPr>
              <w:t>b</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skull without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abdomen with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val="en" w:eastAsia="en-GB"/>
              </w:rPr>
              <w:t>Blood t</w:t>
            </w:r>
            <w:r w:rsidRPr="004361C7">
              <w:rPr>
                <w:rFonts w:cs="Arial"/>
                <w:color w:val="000000" w:themeColor="text1"/>
                <w:sz w:val="18"/>
                <w:szCs w:val="18"/>
                <w:lang w:val="en" w:eastAsia="en-GB"/>
              </w:rPr>
              <w:t>ransfusion</w:t>
            </w:r>
            <w:r>
              <w:rPr>
                <w:rFonts w:cs="Arial"/>
                <w:color w:val="000000" w:themeColor="text1"/>
                <w:sz w:val="18"/>
                <w:szCs w:val="18"/>
                <w:vertAlign w:val="superscript"/>
                <w:lang w:val="en" w:eastAsia="en-GB"/>
              </w:rPr>
              <w:t>b</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Biopsy excl. bone marrow incision</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Need for care</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Administer posaconazole (orally)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val="en" w:eastAsia="en-GB"/>
              </w:rPr>
              <w:t>Blood t</w:t>
            </w:r>
            <w:r w:rsidRPr="004361C7">
              <w:rPr>
                <w:rFonts w:cs="Arial"/>
                <w:color w:val="000000" w:themeColor="text1"/>
                <w:sz w:val="18"/>
                <w:szCs w:val="18"/>
                <w:lang w:val="en" w:eastAsia="en-GB"/>
              </w:rPr>
              <w:t>ransfusion</w:t>
            </w:r>
            <w:r>
              <w:rPr>
                <w:rFonts w:cs="Arial"/>
                <w:color w:val="000000" w:themeColor="text1"/>
                <w:sz w:val="18"/>
                <w:szCs w:val="18"/>
                <w:vertAlign w:val="superscript"/>
                <w:lang w:val="en" w:eastAsia="en-GB"/>
              </w:rPr>
              <w:t>b</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5</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Computer-aided 3D imaging</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val="en" w:eastAsia="en-GB"/>
              </w:rPr>
              <w:t>Blood t</w:t>
            </w:r>
            <w:r w:rsidRPr="004361C7">
              <w:rPr>
                <w:rFonts w:cs="Arial"/>
                <w:color w:val="000000" w:themeColor="text1"/>
                <w:sz w:val="18"/>
                <w:szCs w:val="18"/>
                <w:lang w:val="en" w:eastAsia="en-GB"/>
              </w:rPr>
              <w:t>ransfusion</w:t>
            </w:r>
            <w:r>
              <w:rPr>
                <w:rFonts w:cs="Arial"/>
                <w:color w:val="000000" w:themeColor="text1"/>
                <w:sz w:val="18"/>
                <w:szCs w:val="18"/>
                <w:vertAlign w:val="superscript"/>
                <w:lang w:val="en" w:eastAsia="en-GB"/>
              </w:rPr>
              <w:t>b</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Administer posaconazole (orally)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Computer-aided 3D imaging</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TEE</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Computer-aided 3D imaging</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thorax with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Computer-aided 3D imaging</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6</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skull without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Computer-aided 3D imaging</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thorax without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skull without contrast</w:t>
            </w:r>
          </w:p>
        </w:tc>
        <w:tc>
          <w:tcPr>
            <w:tcW w:w="1450" w:type="dxa"/>
            <w:tcBorders>
              <w:top w:val="nil"/>
              <w:left w:val="nil"/>
              <w:bottom w:val="single" w:sz="4" w:space="0" w:color="auto"/>
              <w:right w:val="single" w:sz="4" w:space="0" w:color="auto"/>
            </w:tcBorders>
            <w:noWrap/>
            <w:hideMark/>
          </w:tcPr>
          <w:p w:rsidR="00032324" w:rsidRPr="00762229" w:rsidRDefault="00032324" w:rsidP="002A0A11">
            <w:pPr>
              <w:spacing w:before="40" w:after="40" w:line="240" w:lineRule="auto"/>
              <w:jc w:val="center"/>
              <w:rPr>
                <w:rFonts w:cs="Arial"/>
                <w:color w:val="000000" w:themeColor="text1"/>
                <w:sz w:val="18"/>
                <w:szCs w:val="18"/>
                <w:vertAlign w:val="superscript"/>
                <w:lang w:eastAsia="en-GB"/>
              </w:rPr>
            </w:pPr>
            <w:r>
              <w:rPr>
                <w:rFonts w:cs="Arial"/>
                <w:color w:val="000000" w:themeColor="text1"/>
                <w:sz w:val="18"/>
                <w:szCs w:val="18"/>
                <w:lang w:eastAsia="en-GB"/>
              </w:rPr>
              <w:t>Plasma transfusion</w:t>
            </w:r>
            <w:r>
              <w:rPr>
                <w:rFonts w:cs="Arial"/>
                <w:color w:val="000000" w:themeColor="text1"/>
                <w:sz w:val="18"/>
                <w:szCs w:val="18"/>
                <w:vertAlign w:val="superscript"/>
                <w:lang w:eastAsia="en-GB"/>
              </w:rPr>
              <w:t>c</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Plasma transfusion</w:t>
            </w:r>
            <w:r>
              <w:rPr>
                <w:rFonts w:cs="Arial"/>
                <w:color w:val="000000" w:themeColor="text1"/>
                <w:sz w:val="18"/>
                <w:szCs w:val="18"/>
                <w:vertAlign w:val="superscript"/>
                <w:lang w:eastAsia="en-GB"/>
              </w:rPr>
              <w:t>c</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thorax without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skull without contrast</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7</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BA4A4A">
              <w:rPr>
                <w:rFonts w:cs="Arial"/>
                <w:color w:val="000000" w:themeColor="text1"/>
                <w:sz w:val="18"/>
                <w:szCs w:val="18"/>
                <w:lang w:val="en" w:eastAsia="en-GB"/>
              </w:rPr>
              <w:t>D</w:t>
            </w:r>
            <w:r>
              <w:rPr>
                <w:rFonts w:cs="Arial"/>
                <w:color w:val="000000" w:themeColor="text1"/>
                <w:sz w:val="18"/>
                <w:szCs w:val="18"/>
                <w:lang w:val="en" w:eastAsia="en-GB"/>
              </w:rPr>
              <w:t>x</w:t>
            </w:r>
            <w:r w:rsidRPr="00BA4A4A">
              <w:rPr>
                <w:rFonts w:cs="Arial"/>
                <w:color w:val="000000" w:themeColor="text1"/>
                <w:sz w:val="18"/>
                <w:szCs w:val="18"/>
                <w:lang w:val="en" w:eastAsia="en-GB"/>
              </w:rPr>
              <w:t xml:space="preserve"> esophagogastroduodenoscopy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BA4A4A">
              <w:rPr>
                <w:rFonts w:cs="Arial"/>
                <w:color w:val="000000" w:themeColor="text1"/>
                <w:sz w:val="18"/>
                <w:szCs w:val="18"/>
                <w:lang w:val="en" w:eastAsia="en-GB"/>
              </w:rPr>
              <w:t>Monitor respiration, heart and circulation</w:t>
            </w:r>
            <w:r>
              <w:rPr>
                <w:rFonts w:cs="Arial"/>
                <w:color w:val="000000" w:themeColor="text1"/>
                <w:sz w:val="18"/>
                <w:szCs w:val="18"/>
                <w:lang w:val="en" w:eastAsia="en-GB"/>
              </w:rPr>
              <w:t xml:space="preserve"> excl. PAP and CVP</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Computer-aided 3D imaging</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thorax without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Need for care</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thorax without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skull without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Administer posaconazole (orally)</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8</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Need for care</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Dx esophagogastroduodenoscopy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skull without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Administer posaconazole (orally)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Other immunotherapy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Other immunotherapy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Computer-aided 3D imaging</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thorax without contrast</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9</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Monitor respiration, heart and circulation excl. PAP and CVP</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Insert/replace peripheral and central venous catheters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Insert/replace peripheral and central venous catheters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Insert/replace peripheral and central venous catheters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Whole-body plethysmography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skull without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Monitor respiration, heart and circulation excl. PAP and CVP</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Monitor respiration, heart and circulation excl. PAP and CVP</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10</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Whole-body plethysmography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Biopsy excl. bone marrow</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Monitor respiration, heart and circulation excl. PAP and CVP</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Monitor respiration, heart and circulation excl. PAP and CVP</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Administer a</w:t>
            </w:r>
            <w:r w:rsidRPr="00B16519">
              <w:rPr>
                <w:rFonts w:cs="Arial"/>
                <w:color w:val="000000" w:themeColor="text1"/>
                <w:sz w:val="18"/>
                <w:szCs w:val="18"/>
                <w:lang w:eastAsia="en-GB"/>
              </w:rPr>
              <w:t>lemtuzumab</w:t>
            </w:r>
            <w:r>
              <w:rPr>
                <w:rFonts w:cs="Arial"/>
                <w:color w:val="000000" w:themeColor="text1"/>
                <w:sz w:val="18"/>
                <w:szCs w:val="18"/>
                <w:lang w:eastAsia="en-GB"/>
              </w:rPr>
              <w:t xml:space="preserve"> (parenteral)</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Administer a</w:t>
            </w:r>
            <w:r w:rsidRPr="00B16519">
              <w:rPr>
                <w:rFonts w:cs="Arial"/>
                <w:color w:val="000000" w:themeColor="text1"/>
                <w:sz w:val="18"/>
                <w:szCs w:val="18"/>
                <w:lang w:eastAsia="en-GB"/>
              </w:rPr>
              <w:t>lemtuzumab</w:t>
            </w:r>
            <w:r>
              <w:rPr>
                <w:rFonts w:cs="Arial"/>
                <w:color w:val="000000" w:themeColor="text1"/>
                <w:sz w:val="18"/>
                <w:szCs w:val="18"/>
                <w:lang w:eastAsia="en-GB"/>
              </w:rPr>
              <w:t xml:space="preserve"> (parenteral)</w:t>
            </w:r>
          </w:p>
        </w:tc>
        <w:tc>
          <w:tcPr>
            <w:tcW w:w="1450" w:type="dxa"/>
            <w:tcBorders>
              <w:top w:val="nil"/>
              <w:left w:val="nil"/>
              <w:bottom w:val="single" w:sz="4" w:space="0" w:color="auto"/>
              <w:right w:val="single" w:sz="4" w:space="0" w:color="auto"/>
            </w:tcBorders>
            <w:noWrap/>
            <w:hideMark/>
          </w:tcPr>
          <w:p w:rsidR="00032324" w:rsidRPr="00B16519"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Insert/replace peripheral and central venous catheters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Insert/replace peripheral and central venous catheters</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11</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FB66D0">
              <w:rPr>
                <w:rFonts w:cs="Arial"/>
                <w:color w:val="000000" w:themeColor="text1"/>
                <w:sz w:val="18"/>
                <w:szCs w:val="18"/>
                <w:lang w:val="en-NZ" w:eastAsia="en-GB"/>
              </w:rPr>
              <w:t>Endoscopic biopsy upper digestive tract, bile ducts and pancreas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thorax without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Plasma transfusion</w:t>
            </w:r>
            <w:r>
              <w:rPr>
                <w:rFonts w:cs="Arial"/>
                <w:color w:val="000000" w:themeColor="text1"/>
                <w:sz w:val="18"/>
                <w:szCs w:val="18"/>
                <w:vertAlign w:val="superscript"/>
                <w:lang w:eastAsia="en-GB"/>
              </w:rPr>
              <w:t>c</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Dx esophagogastroduodenoscopy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Insert/replace peripheral and central venous catheters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Whole-body plethysmography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Dx oesophagogastroduodenoscopy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Dx oesophagogastroduodenoscopy</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12</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CT thorax without contrast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Whole-body plethysmography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Dx oesophagogastroduodenoscopy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Complex Tx for non-MRP, requiring isolation</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Computer-aided 3D imaging</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Insert/replace peripheral and central venous catheters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Plasma transfusion</w:t>
            </w:r>
            <w:r>
              <w:rPr>
                <w:rFonts w:cs="Arial"/>
                <w:color w:val="000000" w:themeColor="text1"/>
                <w:sz w:val="18"/>
                <w:szCs w:val="18"/>
                <w:vertAlign w:val="superscript"/>
                <w:lang w:eastAsia="en-GB"/>
              </w:rPr>
              <w:t>c</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Complex Tx for non-MRP, requiring isolation</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lastRenderedPageBreak/>
              <w:t>13</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Other immunotherapy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067E08">
              <w:rPr>
                <w:rFonts w:cs="Arial"/>
                <w:color w:val="000000" w:themeColor="text1"/>
                <w:sz w:val="18"/>
                <w:szCs w:val="18"/>
                <w:lang w:val="en" w:eastAsia="en-GB"/>
              </w:rPr>
              <w:t>Endoscopic biopsy of upper digestive tract, bile ducts and pancreas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Other immunotherapy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Other immunotherapy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603B5A">
              <w:rPr>
                <w:rFonts w:cs="Arial"/>
                <w:color w:val="000000" w:themeColor="text1"/>
                <w:sz w:val="18"/>
                <w:szCs w:val="18"/>
                <w:lang w:val="en" w:eastAsia="en-GB"/>
              </w:rPr>
              <w:t>External electrical defibrillation</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Biopsy excl. bone marrow</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Other immunotherapy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Other immunotherapy</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14</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Insert/replace peripheral and central venous catheters</w:t>
            </w:r>
          </w:p>
        </w:tc>
        <w:tc>
          <w:tcPr>
            <w:tcW w:w="1450" w:type="dxa"/>
            <w:tcBorders>
              <w:top w:val="nil"/>
              <w:left w:val="nil"/>
              <w:bottom w:val="single" w:sz="4" w:space="0" w:color="auto"/>
              <w:right w:val="single" w:sz="4" w:space="0" w:color="auto"/>
            </w:tcBorders>
            <w:noWrap/>
            <w:hideMark/>
          </w:tcPr>
          <w:p w:rsidR="00032324" w:rsidRPr="0072356B" w:rsidRDefault="00032324" w:rsidP="002A0A11">
            <w:pPr>
              <w:spacing w:before="40" w:after="40" w:line="240" w:lineRule="auto"/>
              <w:jc w:val="center"/>
              <w:rPr>
                <w:rFonts w:cs="Arial"/>
                <w:color w:val="000000" w:themeColor="text1"/>
                <w:sz w:val="18"/>
                <w:szCs w:val="18"/>
                <w:lang w:val="en-NZ" w:eastAsia="en-GB"/>
              </w:rPr>
            </w:pPr>
            <w:r w:rsidRPr="0072356B">
              <w:rPr>
                <w:rFonts w:cs="Arial"/>
                <w:color w:val="000000" w:themeColor="text1"/>
                <w:sz w:val="18"/>
                <w:szCs w:val="18"/>
                <w:lang w:val="en" w:eastAsia="en-GB"/>
              </w:rPr>
              <w:t>D</w:t>
            </w:r>
            <w:r>
              <w:rPr>
                <w:rFonts w:cs="Arial"/>
                <w:color w:val="000000" w:themeColor="text1"/>
                <w:sz w:val="18"/>
                <w:szCs w:val="18"/>
                <w:lang w:val="en" w:eastAsia="en-GB"/>
              </w:rPr>
              <w:t>x</w:t>
            </w:r>
            <w:r w:rsidRPr="0072356B">
              <w:rPr>
                <w:rFonts w:cs="Arial"/>
                <w:color w:val="000000" w:themeColor="text1"/>
                <w:sz w:val="18"/>
                <w:szCs w:val="18"/>
                <w:lang w:val="en" w:eastAsia="en-GB"/>
              </w:rPr>
              <w:t xml:space="preserve"> colonoscopy</w:t>
            </w:r>
          </w:p>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Whole-body plethysmography</w:t>
            </w:r>
          </w:p>
        </w:tc>
        <w:tc>
          <w:tcPr>
            <w:tcW w:w="1450" w:type="dxa"/>
            <w:tcBorders>
              <w:top w:val="nil"/>
              <w:left w:val="nil"/>
              <w:bottom w:val="single" w:sz="4" w:space="0" w:color="auto"/>
              <w:right w:val="single" w:sz="4" w:space="0" w:color="auto"/>
            </w:tcBorders>
            <w:noWrap/>
            <w:hideMark/>
          </w:tcPr>
          <w:p w:rsidR="00032324" w:rsidRPr="005A1A56"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Plasma transfusion</w:t>
            </w:r>
            <w:r>
              <w:rPr>
                <w:rFonts w:cs="Arial"/>
                <w:color w:val="000000" w:themeColor="text1"/>
                <w:sz w:val="18"/>
                <w:szCs w:val="18"/>
                <w:vertAlign w:val="superscript"/>
                <w:lang w:eastAsia="en-GB"/>
              </w:rPr>
              <w:t>c</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Non-complex chemotherapy</w:t>
            </w:r>
          </w:p>
        </w:tc>
        <w:tc>
          <w:tcPr>
            <w:tcW w:w="1450" w:type="dxa"/>
            <w:tcBorders>
              <w:top w:val="nil"/>
              <w:left w:val="nil"/>
              <w:bottom w:val="single" w:sz="4" w:space="0" w:color="auto"/>
              <w:right w:val="single" w:sz="4" w:space="0" w:color="auto"/>
            </w:tcBorders>
            <w:noWrap/>
            <w:hideMark/>
          </w:tcPr>
          <w:p w:rsidR="00032324" w:rsidRPr="00A06C08" w:rsidRDefault="00032324" w:rsidP="002A0A11">
            <w:pPr>
              <w:spacing w:before="40" w:after="40" w:line="240" w:lineRule="auto"/>
              <w:jc w:val="center"/>
              <w:rPr>
                <w:rFonts w:cs="Arial"/>
                <w:color w:val="000000" w:themeColor="text1"/>
                <w:sz w:val="18"/>
                <w:szCs w:val="18"/>
                <w:lang w:val="en-NZ" w:eastAsia="en-GB"/>
              </w:rPr>
            </w:pPr>
            <w:r w:rsidRPr="00A06C08">
              <w:rPr>
                <w:rFonts w:cs="Arial"/>
                <w:color w:val="000000" w:themeColor="text1"/>
                <w:sz w:val="18"/>
                <w:szCs w:val="18"/>
                <w:lang w:val="en" w:eastAsia="en-GB"/>
              </w:rPr>
              <w:t>C</w:t>
            </w:r>
            <w:r>
              <w:rPr>
                <w:rFonts w:cs="Arial"/>
                <w:color w:val="000000" w:themeColor="text1"/>
                <w:sz w:val="18"/>
                <w:szCs w:val="18"/>
                <w:lang w:val="en" w:eastAsia="en-GB"/>
              </w:rPr>
              <w:t>T</w:t>
            </w:r>
            <w:r w:rsidRPr="00A06C08">
              <w:rPr>
                <w:rFonts w:cs="Arial"/>
                <w:color w:val="000000" w:themeColor="text1"/>
                <w:sz w:val="18"/>
                <w:szCs w:val="18"/>
                <w:lang w:val="en" w:eastAsia="en-GB"/>
              </w:rPr>
              <w:t xml:space="preserve"> neck with contrast</w:t>
            </w:r>
          </w:p>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AB5A1F">
              <w:rPr>
                <w:rFonts w:cs="Arial"/>
                <w:color w:val="000000" w:themeColor="text1"/>
                <w:sz w:val="18"/>
                <w:szCs w:val="18"/>
                <w:lang w:val="en" w:eastAsia="en-GB"/>
              </w:rPr>
              <w:t>Psychosocial intervention</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Plasma transfusion</w:t>
            </w:r>
            <w:r>
              <w:rPr>
                <w:rFonts w:cs="Arial"/>
                <w:color w:val="000000" w:themeColor="text1"/>
                <w:sz w:val="18"/>
                <w:szCs w:val="18"/>
                <w:vertAlign w:val="superscript"/>
                <w:lang w:eastAsia="en-GB"/>
              </w:rPr>
              <w:t>c</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15</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9D6833">
              <w:rPr>
                <w:rFonts w:cs="Arial"/>
                <w:color w:val="000000" w:themeColor="text1"/>
                <w:sz w:val="18"/>
                <w:szCs w:val="18"/>
                <w:lang w:eastAsia="en-GB"/>
              </w:rPr>
              <w:br/>
              <w:t>C</w:t>
            </w:r>
            <w:r>
              <w:rPr>
                <w:rFonts w:cs="Arial"/>
                <w:color w:val="000000" w:themeColor="text1"/>
                <w:sz w:val="18"/>
                <w:szCs w:val="18"/>
                <w:lang w:eastAsia="en-GB"/>
              </w:rPr>
              <w:t xml:space="preserve">T </w:t>
            </w:r>
            <w:r w:rsidRPr="009D6833">
              <w:rPr>
                <w:rFonts w:cs="Arial"/>
                <w:color w:val="000000" w:themeColor="text1"/>
                <w:sz w:val="18"/>
                <w:szCs w:val="18"/>
                <w:lang w:eastAsia="en-GB"/>
              </w:rPr>
              <w:t>pelvis with contrast</w:t>
            </w:r>
          </w:p>
        </w:tc>
        <w:tc>
          <w:tcPr>
            <w:tcW w:w="1450" w:type="dxa"/>
            <w:tcBorders>
              <w:top w:val="nil"/>
              <w:left w:val="nil"/>
              <w:bottom w:val="single" w:sz="4" w:space="0" w:color="auto"/>
              <w:right w:val="single" w:sz="4" w:space="0" w:color="auto"/>
            </w:tcBorders>
            <w:noWrap/>
            <w:hideMark/>
          </w:tcPr>
          <w:p w:rsidR="00032324" w:rsidRPr="00A06C08" w:rsidRDefault="00032324" w:rsidP="002A0A11">
            <w:pPr>
              <w:spacing w:before="40" w:after="40" w:line="240" w:lineRule="auto"/>
              <w:jc w:val="center"/>
              <w:rPr>
                <w:rFonts w:cs="Arial"/>
                <w:color w:val="000000" w:themeColor="text1"/>
                <w:sz w:val="18"/>
                <w:szCs w:val="18"/>
                <w:lang w:val="en-NZ" w:eastAsia="en-GB"/>
              </w:rPr>
            </w:pPr>
            <w:r w:rsidRPr="00A06C08">
              <w:rPr>
                <w:rFonts w:cs="Arial"/>
                <w:color w:val="000000" w:themeColor="text1"/>
                <w:sz w:val="18"/>
                <w:szCs w:val="18"/>
                <w:lang w:val="en" w:eastAsia="en-GB"/>
              </w:rPr>
              <w:t>C</w:t>
            </w:r>
            <w:r>
              <w:rPr>
                <w:rFonts w:cs="Arial"/>
                <w:color w:val="000000" w:themeColor="text1"/>
                <w:sz w:val="18"/>
                <w:szCs w:val="18"/>
                <w:lang w:val="en" w:eastAsia="en-GB"/>
              </w:rPr>
              <w:t>T</w:t>
            </w:r>
            <w:r w:rsidRPr="00A06C08">
              <w:rPr>
                <w:rFonts w:cs="Arial"/>
                <w:color w:val="000000" w:themeColor="text1"/>
                <w:sz w:val="18"/>
                <w:szCs w:val="18"/>
                <w:lang w:val="en" w:eastAsia="en-GB"/>
              </w:rPr>
              <w:t xml:space="preserve"> neck with contrast</w:t>
            </w:r>
          </w:p>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Biopsy excl. bone marrow</w:t>
            </w:r>
          </w:p>
        </w:tc>
        <w:tc>
          <w:tcPr>
            <w:tcW w:w="1450" w:type="dxa"/>
            <w:tcBorders>
              <w:top w:val="nil"/>
              <w:left w:val="nil"/>
              <w:bottom w:val="single" w:sz="4" w:space="0" w:color="auto"/>
              <w:right w:val="single" w:sz="4" w:space="0" w:color="auto"/>
            </w:tcBorders>
            <w:noWrap/>
            <w:hideMark/>
          </w:tcPr>
          <w:p w:rsidR="00032324" w:rsidRPr="00A06C08" w:rsidRDefault="00032324" w:rsidP="002A0A11">
            <w:pPr>
              <w:spacing w:before="40" w:after="40" w:line="240" w:lineRule="auto"/>
              <w:jc w:val="center"/>
              <w:rPr>
                <w:rFonts w:cs="Arial"/>
                <w:color w:val="000000" w:themeColor="text1"/>
                <w:sz w:val="18"/>
                <w:szCs w:val="18"/>
                <w:lang w:val="en-NZ" w:eastAsia="en-GB"/>
              </w:rPr>
            </w:pPr>
            <w:r w:rsidRPr="00A06C08">
              <w:rPr>
                <w:rFonts w:cs="Arial"/>
                <w:color w:val="000000" w:themeColor="text1"/>
                <w:sz w:val="18"/>
                <w:szCs w:val="18"/>
                <w:lang w:val="en" w:eastAsia="en-GB"/>
              </w:rPr>
              <w:t>C</w:t>
            </w:r>
            <w:r>
              <w:rPr>
                <w:rFonts w:cs="Arial"/>
                <w:color w:val="000000" w:themeColor="text1"/>
                <w:sz w:val="18"/>
                <w:szCs w:val="18"/>
                <w:lang w:val="en" w:eastAsia="en-GB"/>
              </w:rPr>
              <w:t>T</w:t>
            </w:r>
            <w:r w:rsidRPr="00A06C08">
              <w:rPr>
                <w:rFonts w:cs="Arial"/>
                <w:color w:val="000000" w:themeColor="text1"/>
                <w:sz w:val="18"/>
                <w:szCs w:val="18"/>
                <w:lang w:val="en" w:eastAsia="en-GB"/>
              </w:rPr>
              <w:t xml:space="preserve"> neck with contrast</w:t>
            </w:r>
          </w:p>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Complex Tx for non-MRP, requiring isolation</w:t>
            </w:r>
          </w:p>
        </w:tc>
        <w:tc>
          <w:tcPr>
            <w:tcW w:w="1450" w:type="dxa"/>
            <w:tcBorders>
              <w:top w:val="nil"/>
              <w:left w:val="nil"/>
              <w:bottom w:val="single" w:sz="4" w:space="0" w:color="auto"/>
              <w:right w:val="single" w:sz="4" w:space="0" w:color="auto"/>
            </w:tcBorders>
            <w:noWrap/>
            <w:hideMark/>
          </w:tcPr>
          <w:p w:rsidR="00032324" w:rsidRPr="00195384" w:rsidRDefault="00032324" w:rsidP="002A0A11">
            <w:pPr>
              <w:spacing w:before="40" w:after="40" w:line="240" w:lineRule="auto"/>
              <w:jc w:val="center"/>
              <w:rPr>
                <w:rFonts w:cs="Arial"/>
                <w:color w:val="000000" w:themeColor="text1"/>
                <w:sz w:val="18"/>
                <w:szCs w:val="18"/>
                <w:lang w:val="en-NZ" w:eastAsia="en-GB"/>
              </w:rPr>
            </w:pPr>
            <w:r w:rsidRPr="00195384">
              <w:rPr>
                <w:rFonts w:cs="Arial"/>
                <w:color w:val="000000" w:themeColor="text1"/>
                <w:sz w:val="18"/>
                <w:szCs w:val="18"/>
                <w:lang w:val="en" w:eastAsia="en-GB"/>
              </w:rPr>
              <w:t>D</w:t>
            </w:r>
            <w:r>
              <w:rPr>
                <w:rFonts w:cs="Arial"/>
                <w:color w:val="000000" w:themeColor="text1"/>
                <w:sz w:val="18"/>
                <w:szCs w:val="18"/>
                <w:lang w:val="en" w:eastAsia="en-GB"/>
              </w:rPr>
              <w:t>x t</w:t>
            </w:r>
            <w:r w:rsidRPr="00195384">
              <w:rPr>
                <w:rFonts w:cs="Arial"/>
                <w:color w:val="000000" w:themeColor="text1"/>
                <w:sz w:val="18"/>
                <w:szCs w:val="18"/>
                <w:lang w:val="en" w:eastAsia="en-GB"/>
              </w:rPr>
              <w:t>racheobronchoscopy</w:t>
            </w:r>
          </w:p>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Whole-body plethysmography</w:t>
            </w:r>
          </w:p>
        </w:tc>
        <w:tc>
          <w:tcPr>
            <w:tcW w:w="1450" w:type="dxa"/>
            <w:tcBorders>
              <w:top w:val="nil"/>
              <w:left w:val="nil"/>
              <w:bottom w:val="single" w:sz="4" w:space="0" w:color="auto"/>
              <w:right w:val="single" w:sz="4" w:space="0" w:color="auto"/>
            </w:tcBorders>
            <w:noWrap/>
            <w:hideMark/>
          </w:tcPr>
          <w:p w:rsidR="00032324" w:rsidRPr="00A06C08" w:rsidRDefault="00032324" w:rsidP="002A0A11">
            <w:pPr>
              <w:spacing w:before="40" w:after="40" w:line="240" w:lineRule="auto"/>
              <w:jc w:val="center"/>
              <w:rPr>
                <w:rFonts w:cs="Arial"/>
                <w:color w:val="000000" w:themeColor="text1"/>
                <w:sz w:val="18"/>
                <w:szCs w:val="18"/>
                <w:lang w:val="en-NZ" w:eastAsia="en-GB"/>
              </w:rPr>
            </w:pPr>
            <w:r w:rsidRPr="00A06C08">
              <w:rPr>
                <w:rFonts w:cs="Arial"/>
                <w:color w:val="000000" w:themeColor="text1"/>
                <w:sz w:val="18"/>
                <w:szCs w:val="18"/>
                <w:lang w:val="en" w:eastAsia="en-GB"/>
              </w:rPr>
              <w:t>C</w:t>
            </w:r>
            <w:r>
              <w:rPr>
                <w:rFonts w:cs="Arial"/>
                <w:color w:val="000000" w:themeColor="text1"/>
                <w:sz w:val="18"/>
                <w:szCs w:val="18"/>
                <w:lang w:val="en" w:eastAsia="en-GB"/>
              </w:rPr>
              <w:t>T</w:t>
            </w:r>
            <w:r w:rsidRPr="00A06C08">
              <w:rPr>
                <w:rFonts w:cs="Arial"/>
                <w:color w:val="000000" w:themeColor="text1"/>
                <w:sz w:val="18"/>
                <w:szCs w:val="18"/>
                <w:lang w:val="en" w:eastAsia="en-GB"/>
              </w:rPr>
              <w:t xml:space="preserve"> neck with contrast</w:t>
            </w:r>
          </w:p>
          <w:p w:rsidR="00032324" w:rsidRPr="00D16F32" w:rsidRDefault="00032324" w:rsidP="002A0A11">
            <w:pPr>
              <w:spacing w:before="40" w:after="40" w:line="240" w:lineRule="auto"/>
              <w:jc w:val="center"/>
              <w:rPr>
                <w:rFonts w:cs="Arial"/>
                <w:color w:val="000000" w:themeColor="text1"/>
                <w:sz w:val="18"/>
                <w:szCs w:val="18"/>
                <w:lang w:eastAsia="en-GB"/>
              </w:rPr>
            </w:pPr>
          </w:p>
        </w:tc>
      </w:tr>
      <w:tr w:rsidR="00032324" w:rsidRPr="00D16F32" w:rsidTr="002A0A11">
        <w:trPr>
          <w:trHeight w:val="280"/>
        </w:trPr>
        <w:tc>
          <w:tcPr>
            <w:tcW w:w="14009" w:type="dxa"/>
            <w:gridSpan w:val="9"/>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rPr>
                <w:rFonts w:cs="Arial"/>
                <w:color w:val="000000" w:themeColor="text1"/>
                <w:sz w:val="18"/>
                <w:szCs w:val="18"/>
                <w:lang w:eastAsia="en-GB"/>
              </w:rPr>
            </w:pPr>
            <w:r w:rsidRPr="5A46D408">
              <w:rPr>
                <w:rFonts w:cs="Arial"/>
                <w:b/>
                <w:bCs/>
                <w:color w:val="000000" w:themeColor="text1"/>
                <w:sz w:val="18"/>
                <w:szCs w:val="18"/>
                <w:lang w:eastAsia="en-GB"/>
              </w:rPr>
              <w:t>Most frequent outpatient procedures recorded (EBM codes)</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1</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68D">
              <w:rPr>
                <w:rFonts w:cs="Arial"/>
                <w:color w:val="000000" w:themeColor="text1"/>
                <w:sz w:val="18"/>
                <w:szCs w:val="18"/>
                <w:lang w:val="en-NZ" w:eastAsia="en-GB"/>
              </w:rPr>
              <w:t>Economic provision and/or initiation of services under sections 32.2 and/or 32.3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68D">
              <w:rPr>
                <w:rFonts w:cs="Arial"/>
                <w:color w:val="000000" w:themeColor="text1"/>
                <w:sz w:val="18"/>
                <w:szCs w:val="18"/>
                <w:lang w:val="en-NZ" w:eastAsia="en-GB"/>
              </w:rPr>
              <w:t>Economic provision and/or initiation of services under sections 32.2 and/or 32.3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68D">
              <w:rPr>
                <w:rFonts w:cs="Arial"/>
                <w:color w:val="000000" w:themeColor="text1"/>
                <w:sz w:val="18"/>
                <w:szCs w:val="18"/>
                <w:lang w:val="en-NZ" w:eastAsia="en-GB"/>
              </w:rPr>
              <w:t>Economic provision and/or initiation of services under sections 32.2 and/or 32.3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68D">
              <w:rPr>
                <w:rFonts w:cs="Arial"/>
                <w:color w:val="000000" w:themeColor="text1"/>
                <w:sz w:val="18"/>
                <w:szCs w:val="18"/>
                <w:lang w:val="en-NZ" w:eastAsia="en-GB"/>
              </w:rPr>
              <w:t>Economic provision and/or initiation of services under sections 32.2 and/or 32.3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68D">
              <w:rPr>
                <w:rFonts w:cs="Arial"/>
                <w:color w:val="000000" w:themeColor="text1"/>
                <w:sz w:val="18"/>
                <w:szCs w:val="18"/>
                <w:lang w:val="en-NZ" w:eastAsia="en-GB"/>
              </w:rPr>
              <w:t>Economic provision and/or initiation of services under sections 32.2 and/or 32.3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68D">
              <w:rPr>
                <w:rFonts w:cs="Arial"/>
                <w:color w:val="000000" w:themeColor="text1"/>
                <w:sz w:val="18"/>
                <w:szCs w:val="18"/>
                <w:lang w:val="en-NZ" w:eastAsia="en-GB"/>
              </w:rPr>
              <w:t>Quantitative determination of thyrotropin (TSH)</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68D">
              <w:rPr>
                <w:rFonts w:cs="Arial"/>
                <w:color w:val="000000" w:themeColor="text1"/>
                <w:sz w:val="18"/>
                <w:szCs w:val="18"/>
                <w:lang w:val="en-NZ" w:eastAsia="en-GB"/>
              </w:rPr>
              <w:t>Economic provision and/or initiation of services under sections 32.2 and/or 32.3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68D">
              <w:rPr>
                <w:rFonts w:cs="Arial"/>
                <w:color w:val="000000" w:themeColor="text1"/>
                <w:sz w:val="18"/>
                <w:szCs w:val="18"/>
                <w:lang w:val="en-NZ" w:eastAsia="en-GB"/>
              </w:rPr>
              <w:t>Economic provision and/or initiation of services under sections 32.2 and/or 32.3</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2</w:t>
            </w:r>
          </w:p>
        </w:tc>
        <w:tc>
          <w:tcPr>
            <w:tcW w:w="1449" w:type="dxa"/>
            <w:tcBorders>
              <w:top w:val="nil"/>
              <w:left w:val="nil"/>
              <w:bottom w:val="single" w:sz="4" w:space="0" w:color="auto"/>
              <w:right w:val="single" w:sz="4" w:space="0" w:color="auto"/>
            </w:tcBorders>
            <w:noWrap/>
            <w:hideMark/>
          </w:tcPr>
          <w:p w:rsidR="00032324" w:rsidRPr="000D504A" w:rsidRDefault="00032324" w:rsidP="002A0A11">
            <w:pPr>
              <w:spacing w:before="40" w:after="40" w:line="240" w:lineRule="auto"/>
              <w:jc w:val="center"/>
              <w:rPr>
                <w:rFonts w:cs="Arial"/>
                <w:color w:val="000000" w:themeColor="text1"/>
                <w:sz w:val="18"/>
                <w:szCs w:val="18"/>
                <w:highlight w:val="yellow"/>
                <w:lang w:eastAsia="en-GB"/>
              </w:rPr>
            </w:pPr>
            <w:r w:rsidRPr="00721BA7">
              <w:rPr>
                <w:rFonts w:cs="Arial"/>
                <w:color w:val="000000" w:themeColor="text1"/>
                <w:sz w:val="18"/>
                <w:szCs w:val="18"/>
                <w:lang w:val="en-NZ" w:eastAsia="en-GB"/>
              </w:rPr>
              <w:t>Excision of malignant skin lesion, trunk, arms, or legs; lesion diameter 0.5 cm or less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t xml:space="preserve"> </w:t>
            </w:r>
            <w:r w:rsidRPr="000D504A">
              <w:rPr>
                <w:rFonts w:cs="Arial"/>
                <w:color w:val="000000" w:themeColor="text1"/>
                <w:sz w:val="18"/>
                <w:szCs w:val="18"/>
                <w:lang w:eastAsia="en-GB"/>
              </w:rPr>
              <w:t>Additional flat rate to the fee schedule items 03000 and 03030 for the performance of the general practitioner's care mandate in accordance with Section 73 (1) SGB V</w:t>
            </w:r>
          </w:p>
        </w:tc>
        <w:tc>
          <w:tcPr>
            <w:tcW w:w="1450" w:type="dxa"/>
            <w:tcBorders>
              <w:top w:val="nil"/>
              <w:left w:val="nil"/>
              <w:bottom w:val="single" w:sz="4" w:space="0" w:color="auto"/>
              <w:right w:val="single" w:sz="4" w:space="0" w:color="auto"/>
            </w:tcBorders>
            <w:noWrap/>
            <w:hideMark/>
          </w:tcPr>
          <w:p w:rsidR="00032324" w:rsidRPr="00721BA7" w:rsidRDefault="00032324" w:rsidP="002A0A11">
            <w:pPr>
              <w:spacing w:before="40" w:after="40" w:line="240" w:lineRule="auto"/>
              <w:jc w:val="center"/>
              <w:rPr>
                <w:rFonts w:cs="Arial"/>
                <w:color w:val="000000" w:themeColor="text1"/>
                <w:sz w:val="18"/>
                <w:szCs w:val="18"/>
                <w:lang w:val="en-NZ" w:eastAsia="en-GB"/>
              </w:rPr>
            </w:pPr>
            <w:r w:rsidRPr="00721BA7">
              <w:rPr>
                <w:rFonts w:cs="Arial"/>
                <w:color w:val="000000" w:themeColor="text1"/>
                <w:sz w:val="18"/>
                <w:szCs w:val="18"/>
                <w:lang w:val="en-NZ" w:eastAsia="en-GB"/>
              </w:rPr>
              <w:t>Excision of malignant skin lesion, trunk, arms, or legs; lesion diameter 0.5 cm or less</w:t>
            </w:r>
          </w:p>
        </w:tc>
        <w:tc>
          <w:tcPr>
            <w:tcW w:w="1450" w:type="dxa"/>
            <w:tcBorders>
              <w:top w:val="nil"/>
              <w:left w:val="nil"/>
              <w:bottom w:val="single" w:sz="4" w:space="0" w:color="auto"/>
              <w:right w:val="single" w:sz="4" w:space="0" w:color="auto"/>
            </w:tcBorders>
            <w:noWrap/>
            <w:hideMark/>
          </w:tcPr>
          <w:p w:rsidR="00032324" w:rsidRPr="00721BA7" w:rsidRDefault="00032324" w:rsidP="002A0A11">
            <w:pPr>
              <w:spacing w:before="40" w:after="40" w:line="240" w:lineRule="auto"/>
              <w:jc w:val="center"/>
              <w:rPr>
                <w:rFonts w:cs="Arial"/>
                <w:color w:val="000000" w:themeColor="text1"/>
                <w:sz w:val="18"/>
                <w:szCs w:val="18"/>
                <w:lang w:val="en-NZ" w:eastAsia="en-GB"/>
              </w:rPr>
            </w:pPr>
            <w:r w:rsidRPr="00721BA7">
              <w:rPr>
                <w:rFonts w:cs="Arial"/>
                <w:color w:val="000000" w:themeColor="text1"/>
                <w:sz w:val="18"/>
                <w:szCs w:val="18"/>
                <w:lang w:val="en-NZ" w:eastAsia="en-GB"/>
              </w:rPr>
              <w:t>Excision of malignant skin lesion, trunk, arms, or legs; lesion diameter 0.5 cm or less</w:t>
            </w:r>
          </w:p>
        </w:tc>
        <w:tc>
          <w:tcPr>
            <w:tcW w:w="1450" w:type="dxa"/>
            <w:tcBorders>
              <w:top w:val="nil"/>
              <w:left w:val="nil"/>
              <w:bottom w:val="single" w:sz="4" w:space="0" w:color="auto"/>
              <w:right w:val="single" w:sz="4" w:space="0" w:color="auto"/>
            </w:tcBorders>
            <w:noWrap/>
            <w:hideMark/>
          </w:tcPr>
          <w:p w:rsidR="00032324" w:rsidRPr="00721BA7" w:rsidRDefault="00032324" w:rsidP="002A0A11">
            <w:pPr>
              <w:spacing w:before="40" w:after="40" w:line="240" w:lineRule="auto"/>
              <w:jc w:val="center"/>
              <w:rPr>
                <w:rFonts w:cs="Arial"/>
                <w:color w:val="000000" w:themeColor="text1"/>
                <w:sz w:val="18"/>
                <w:szCs w:val="18"/>
                <w:lang w:val="en-NZ" w:eastAsia="en-GB"/>
              </w:rPr>
            </w:pPr>
            <w:r w:rsidRPr="00721BA7">
              <w:rPr>
                <w:rFonts w:cs="Arial"/>
                <w:color w:val="000000" w:themeColor="text1"/>
                <w:sz w:val="18"/>
                <w:szCs w:val="18"/>
                <w:lang w:val="en-NZ" w:eastAsia="en-GB"/>
              </w:rPr>
              <w:t>Excision of malignant skin lesion, trunk, arms, or legs; lesion diameter 0.5 cm or less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Total bilirubin</w:t>
            </w:r>
          </w:p>
        </w:tc>
        <w:tc>
          <w:tcPr>
            <w:tcW w:w="1450" w:type="dxa"/>
            <w:tcBorders>
              <w:top w:val="nil"/>
              <w:left w:val="nil"/>
              <w:bottom w:val="single" w:sz="4" w:space="0" w:color="auto"/>
              <w:right w:val="single" w:sz="4" w:space="0" w:color="auto"/>
            </w:tcBorders>
            <w:noWrap/>
            <w:hideMark/>
          </w:tcPr>
          <w:p w:rsidR="00032324" w:rsidRPr="00721BA7" w:rsidRDefault="00032324" w:rsidP="002A0A11">
            <w:pPr>
              <w:spacing w:before="40" w:after="40" w:line="240" w:lineRule="auto"/>
              <w:jc w:val="center"/>
              <w:rPr>
                <w:rFonts w:cs="Arial"/>
                <w:color w:val="000000" w:themeColor="text1"/>
                <w:sz w:val="18"/>
                <w:szCs w:val="18"/>
                <w:lang w:val="en-NZ" w:eastAsia="en-GB"/>
              </w:rPr>
            </w:pPr>
            <w:r w:rsidRPr="00721BA7">
              <w:rPr>
                <w:rFonts w:cs="Arial"/>
                <w:color w:val="000000" w:themeColor="text1"/>
                <w:sz w:val="18"/>
                <w:szCs w:val="18"/>
                <w:lang w:val="en-NZ" w:eastAsia="en-GB"/>
              </w:rPr>
              <w:t>Excision of malignant skin lesion, trunk, arms, or legs; lesion diameter 0.5 cm or less</w:t>
            </w:r>
          </w:p>
        </w:tc>
        <w:tc>
          <w:tcPr>
            <w:tcW w:w="1450" w:type="dxa"/>
            <w:tcBorders>
              <w:top w:val="nil"/>
              <w:left w:val="nil"/>
              <w:bottom w:val="single" w:sz="4" w:space="0" w:color="auto"/>
              <w:right w:val="single" w:sz="4" w:space="0" w:color="auto"/>
            </w:tcBorders>
            <w:noWrap/>
            <w:hideMark/>
          </w:tcPr>
          <w:p w:rsidR="00032324" w:rsidRPr="00721BA7" w:rsidRDefault="00032324" w:rsidP="002A0A11">
            <w:pPr>
              <w:spacing w:before="40" w:after="40" w:line="240" w:lineRule="auto"/>
              <w:jc w:val="center"/>
              <w:rPr>
                <w:rFonts w:cs="Arial"/>
                <w:color w:val="000000" w:themeColor="text1"/>
                <w:sz w:val="18"/>
                <w:szCs w:val="18"/>
                <w:lang w:val="en-NZ" w:eastAsia="en-GB"/>
              </w:rPr>
            </w:pPr>
            <w:r w:rsidRPr="00721BA7">
              <w:rPr>
                <w:rFonts w:cs="Arial"/>
                <w:color w:val="000000" w:themeColor="text1"/>
                <w:sz w:val="18"/>
                <w:szCs w:val="18"/>
                <w:lang w:val="en-NZ" w:eastAsia="en-GB"/>
              </w:rPr>
              <w:t>Excision of malignant skin lesion, trunk, arms, or legs; lesion diameter 0.5 cm or less</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3</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t xml:space="preserve"> </w:t>
            </w:r>
            <w:r w:rsidRPr="000D504A">
              <w:rPr>
                <w:rFonts w:cs="Arial"/>
                <w:color w:val="000000" w:themeColor="text1"/>
                <w:sz w:val="18"/>
                <w:szCs w:val="18"/>
                <w:lang w:eastAsia="en-GB"/>
              </w:rPr>
              <w:t xml:space="preserve">Additional flat rate to the fee schedule items </w:t>
            </w:r>
            <w:r w:rsidRPr="000D504A">
              <w:rPr>
                <w:rFonts w:cs="Arial"/>
                <w:color w:val="000000" w:themeColor="text1"/>
                <w:sz w:val="18"/>
                <w:szCs w:val="18"/>
                <w:lang w:eastAsia="en-GB"/>
              </w:rPr>
              <w:lastRenderedPageBreak/>
              <w:t>03000 and 03030 for the performance of the general practitioner's care mandate in accordance with Section 73 (1) SGB V</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21BA7">
              <w:rPr>
                <w:rFonts w:cs="Arial"/>
                <w:color w:val="000000" w:themeColor="text1"/>
                <w:sz w:val="18"/>
                <w:szCs w:val="18"/>
                <w:lang w:val="en-NZ" w:eastAsia="en-GB"/>
              </w:rPr>
              <w:lastRenderedPageBreak/>
              <w:t xml:space="preserve">Excision of malignant skin lesion, trunk, </w:t>
            </w:r>
            <w:r w:rsidRPr="00721BA7">
              <w:rPr>
                <w:rFonts w:cs="Arial"/>
                <w:color w:val="000000" w:themeColor="text1"/>
                <w:sz w:val="18"/>
                <w:szCs w:val="18"/>
                <w:lang w:val="en-NZ" w:eastAsia="en-GB"/>
              </w:rPr>
              <w:lastRenderedPageBreak/>
              <w:t>arms, or legs; lesion diameter 0.5 cm or less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lastRenderedPageBreak/>
              <w:t xml:space="preserve"> </w:t>
            </w:r>
            <w:r w:rsidRPr="000D504A">
              <w:rPr>
                <w:rFonts w:cs="Arial"/>
                <w:color w:val="000000" w:themeColor="text1"/>
                <w:sz w:val="18"/>
                <w:szCs w:val="18"/>
                <w:lang w:eastAsia="en-GB"/>
              </w:rPr>
              <w:t xml:space="preserve">Additional flat rate to the fee schedule items </w:t>
            </w:r>
            <w:r w:rsidRPr="000D504A">
              <w:rPr>
                <w:rFonts w:cs="Arial"/>
                <w:color w:val="000000" w:themeColor="text1"/>
                <w:sz w:val="18"/>
                <w:szCs w:val="18"/>
                <w:lang w:eastAsia="en-GB"/>
              </w:rPr>
              <w:lastRenderedPageBreak/>
              <w:t>03000 and 03030 for the performance of the general practitioner's care mandate in accordance with Section 73 (1) SGB V</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lastRenderedPageBreak/>
              <w:t xml:space="preserve"> </w:t>
            </w:r>
            <w:r w:rsidRPr="000D504A">
              <w:rPr>
                <w:rFonts w:cs="Arial"/>
                <w:color w:val="000000" w:themeColor="text1"/>
                <w:sz w:val="18"/>
                <w:szCs w:val="18"/>
                <w:lang w:eastAsia="en-GB"/>
              </w:rPr>
              <w:t xml:space="preserve">Additional flat rate to the fee schedule items </w:t>
            </w:r>
            <w:r w:rsidRPr="000D504A">
              <w:rPr>
                <w:rFonts w:cs="Arial"/>
                <w:color w:val="000000" w:themeColor="text1"/>
                <w:sz w:val="18"/>
                <w:szCs w:val="18"/>
                <w:lang w:eastAsia="en-GB"/>
              </w:rPr>
              <w:lastRenderedPageBreak/>
              <w:t>03000 and 03030 for the performance of the general practitioner's care mandate in accordance with Section 73 (1) SGB V</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lastRenderedPageBreak/>
              <w:t xml:space="preserve"> </w:t>
            </w:r>
            <w:r w:rsidRPr="000D504A">
              <w:rPr>
                <w:rFonts w:cs="Arial"/>
                <w:color w:val="000000" w:themeColor="text1"/>
                <w:sz w:val="18"/>
                <w:szCs w:val="18"/>
                <w:lang w:eastAsia="en-GB"/>
              </w:rPr>
              <w:t xml:space="preserve">Additional flat rate to the fee schedule items </w:t>
            </w:r>
            <w:r w:rsidRPr="000D504A">
              <w:rPr>
                <w:rFonts w:cs="Arial"/>
                <w:color w:val="000000" w:themeColor="text1"/>
                <w:sz w:val="18"/>
                <w:szCs w:val="18"/>
                <w:lang w:eastAsia="en-GB"/>
              </w:rPr>
              <w:lastRenderedPageBreak/>
              <w:t>03000 and 03030 for the performance of the general practitioner's care mandate in accordance with Section 73 (1) SGB V</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lastRenderedPageBreak/>
              <w:t>LDH</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t xml:space="preserve"> </w:t>
            </w:r>
            <w:r w:rsidRPr="000D504A">
              <w:rPr>
                <w:rFonts w:cs="Arial"/>
                <w:color w:val="000000" w:themeColor="text1"/>
                <w:sz w:val="18"/>
                <w:szCs w:val="18"/>
                <w:lang w:eastAsia="en-GB"/>
              </w:rPr>
              <w:t xml:space="preserve">Additional flat rate to the fee schedule items </w:t>
            </w:r>
            <w:r w:rsidRPr="000D504A">
              <w:rPr>
                <w:rFonts w:cs="Arial"/>
                <w:color w:val="000000" w:themeColor="text1"/>
                <w:sz w:val="18"/>
                <w:szCs w:val="18"/>
                <w:lang w:eastAsia="en-GB"/>
              </w:rPr>
              <w:lastRenderedPageBreak/>
              <w:t>03000 and 03030 for the performance of the general practitioner's care mandate in accordance with Section 73 (1) SGB V</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lastRenderedPageBreak/>
              <w:t xml:space="preserve"> </w:t>
            </w:r>
            <w:r w:rsidRPr="000D504A">
              <w:rPr>
                <w:rFonts w:cs="Arial"/>
                <w:color w:val="000000" w:themeColor="text1"/>
                <w:sz w:val="18"/>
                <w:szCs w:val="18"/>
                <w:lang w:eastAsia="en-GB"/>
              </w:rPr>
              <w:t xml:space="preserve">Additional flat rate to the fee schedule items </w:t>
            </w:r>
            <w:r w:rsidRPr="000D504A">
              <w:rPr>
                <w:rFonts w:cs="Arial"/>
                <w:color w:val="000000" w:themeColor="text1"/>
                <w:sz w:val="18"/>
                <w:szCs w:val="18"/>
                <w:lang w:eastAsia="en-GB"/>
              </w:rPr>
              <w:lastRenderedPageBreak/>
              <w:t>03000 and 03030 for the performance of the general practitioner's care mandate in accordance with Section 73 (1) SGB V</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lastRenderedPageBreak/>
              <w:t>4</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Creatinine (Jaffé method)</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Surcharge to GOP 03000 for the treatment and care of a patient with at least one life-changing chronic illness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GPT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GPT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val="en-NZ" w:eastAsia="en-GB"/>
              </w:rPr>
              <w:t>U</w:t>
            </w:r>
            <w:r w:rsidRPr="002F3BF1">
              <w:rPr>
                <w:rFonts w:cs="Arial"/>
                <w:color w:val="000000" w:themeColor="text1"/>
                <w:sz w:val="18"/>
                <w:szCs w:val="18"/>
                <w:lang w:val="en-NZ" w:eastAsia="en-GB"/>
              </w:rPr>
              <w:t>ric acid</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Creatinine (Jaffé method)</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GPT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GPT</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5</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GPT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Surcharge for GOP 03220 for the intensive treatment and care of a patient with at least one life-changing chronic illness</w:t>
            </w:r>
          </w:p>
        </w:tc>
        <w:tc>
          <w:tcPr>
            <w:tcW w:w="1450" w:type="dxa"/>
            <w:tcBorders>
              <w:top w:val="nil"/>
              <w:left w:val="nil"/>
              <w:bottom w:val="single" w:sz="4" w:space="0" w:color="auto"/>
              <w:right w:val="single" w:sz="4" w:space="0" w:color="auto"/>
            </w:tcBorders>
            <w:noWrap/>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val="en-NZ" w:eastAsia="en-GB"/>
              </w:rPr>
              <w:t>U</w:t>
            </w:r>
            <w:r w:rsidRPr="002F3BF1">
              <w:rPr>
                <w:rFonts w:cs="Arial"/>
                <w:color w:val="000000" w:themeColor="text1"/>
                <w:sz w:val="18"/>
                <w:szCs w:val="18"/>
                <w:lang w:val="en-NZ" w:eastAsia="en-GB"/>
              </w:rPr>
              <w:t>ric acid</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val="en-NZ" w:eastAsia="en-GB"/>
              </w:rPr>
              <w:t>U</w:t>
            </w:r>
            <w:r w:rsidRPr="002F3BF1">
              <w:rPr>
                <w:rFonts w:cs="Arial"/>
                <w:color w:val="000000" w:themeColor="text1"/>
                <w:sz w:val="18"/>
                <w:szCs w:val="18"/>
                <w:lang w:val="en-NZ" w:eastAsia="en-GB"/>
              </w:rPr>
              <w:t>ric acid</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Surcharge to GOP 03000 for the treatment and care of a patient with at least one life-changing chronic illness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val="en-NZ" w:eastAsia="en-GB"/>
              </w:rPr>
              <w:t>U</w:t>
            </w:r>
            <w:r w:rsidRPr="002F3BF1">
              <w:rPr>
                <w:rFonts w:cs="Arial"/>
                <w:color w:val="000000" w:themeColor="text1"/>
                <w:sz w:val="18"/>
                <w:szCs w:val="18"/>
                <w:lang w:val="en-NZ" w:eastAsia="en-GB"/>
              </w:rPr>
              <w:t>ric acid</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val="en-NZ" w:eastAsia="en-GB"/>
              </w:rPr>
              <w:t>U</w:t>
            </w:r>
            <w:r w:rsidRPr="002F3BF1">
              <w:rPr>
                <w:rFonts w:cs="Arial"/>
                <w:color w:val="000000" w:themeColor="text1"/>
                <w:sz w:val="18"/>
                <w:szCs w:val="18"/>
                <w:lang w:val="en-NZ" w:eastAsia="en-GB"/>
              </w:rPr>
              <w:t>ric acid</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val="en-NZ" w:eastAsia="en-GB"/>
              </w:rPr>
              <w:t>U</w:t>
            </w:r>
            <w:r w:rsidRPr="002F3BF1">
              <w:rPr>
                <w:rFonts w:cs="Arial"/>
                <w:color w:val="000000" w:themeColor="text1"/>
                <w:sz w:val="18"/>
                <w:szCs w:val="18"/>
                <w:lang w:val="en-NZ" w:eastAsia="en-GB"/>
              </w:rPr>
              <w:t>ric acid</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6</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val="en-NZ" w:eastAsia="en-GB"/>
              </w:rPr>
              <w:t>U</w:t>
            </w:r>
            <w:r w:rsidRPr="002F3BF1">
              <w:rPr>
                <w:rFonts w:cs="Arial"/>
                <w:color w:val="000000" w:themeColor="text1"/>
                <w:sz w:val="18"/>
                <w:szCs w:val="18"/>
                <w:lang w:val="en-NZ" w:eastAsia="en-GB"/>
              </w:rPr>
              <w:t>ric acid</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Creatinine (Jaffé method)</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Surcharge to GOP 03000 for the treatment and care of a patient with at least one life-changing chronic illness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Creatinine (Jaffé method)</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LDH</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GPT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GOT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AD2E2B">
              <w:rPr>
                <w:rFonts w:cs="Arial"/>
                <w:color w:val="000000" w:themeColor="text1"/>
                <w:sz w:val="18"/>
                <w:szCs w:val="18"/>
                <w:lang w:val="en-NZ" w:eastAsia="en-GB"/>
              </w:rPr>
              <w:t>Gamma GT</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7</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AD2E2B">
              <w:rPr>
                <w:rFonts w:cs="Arial"/>
                <w:color w:val="000000" w:themeColor="text1"/>
                <w:sz w:val="18"/>
                <w:szCs w:val="18"/>
                <w:lang w:val="en-NZ" w:eastAsia="en-GB"/>
              </w:rPr>
              <w:t>Gamma GT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GPT</w:t>
            </w:r>
          </w:p>
        </w:tc>
        <w:tc>
          <w:tcPr>
            <w:tcW w:w="1450" w:type="dxa"/>
            <w:tcBorders>
              <w:top w:val="nil"/>
              <w:left w:val="nil"/>
              <w:bottom w:val="single" w:sz="4" w:space="0" w:color="auto"/>
              <w:right w:val="single" w:sz="4" w:space="0" w:color="auto"/>
            </w:tcBorders>
            <w:noWrap/>
            <w:hideMark/>
          </w:tcPr>
          <w:p w:rsidR="00032324" w:rsidRPr="00721BA7" w:rsidRDefault="00032324" w:rsidP="002A0A11">
            <w:pPr>
              <w:spacing w:before="40" w:after="40" w:line="240" w:lineRule="auto"/>
              <w:jc w:val="center"/>
              <w:rPr>
                <w:rFonts w:cs="Arial"/>
                <w:color w:val="000000" w:themeColor="text1"/>
                <w:sz w:val="18"/>
                <w:szCs w:val="18"/>
                <w:lang w:eastAsia="en-GB"/>
              </w:rPr>
            </w:pPr>
            <w:r w:rsidRPr="00721BA7">
              <w:rPr>
                <w:rFonts w:cs="Arial"/>
                <w:color w:val="000000" w:themeColor="text1"/>
                <w:sz w:val="18"/>
                <w:szCs w:val="18"/>
                <w:lang w:eastAsia="en-GB"/>
              </w:rPr>
              <w:t>Thoracostomy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AD2E2B">
              <w:rPr>
                <w:rFonts w:cs="Arial"/>
                <w:color w:val="000000" w:themeColor="text1"/>
                <w:sz w:val="18"/>
                <w:szCs w:val="18"/>
                <w:lang w:val="en-NZ" w:eastAsia="en-GB"/>
              </w:rPr>
              <w:t>Gamma GT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Total bilirubin</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68D">
              <w:rPr>
                <w:rFonts w:cs="Arial"/>
                <w:color w:val="000000" w:themeColor="text1"/>
                <w:sz w:val="18"/>
                <w:szCs w:val="18"/>
                <w:lang w:val="en-NZ" w:eastAsia="en-GB"/>
              </w:rPr>
              <w:t xml:space="preserve">Economic provision and/or initiation of services under </w:t>
            </w:r>
            <w:r w:rsidRPr="00D1668D">
              <w:rPr>
                <w:rFonts w:cs="Arial"/>
                <w:color w:val="000000" w:themeColor="text1"/>
                <w:sz w:val="18"/>
                <w:szCs w:val="18"/>
                <w:lang w:val="en-NZ" w:eastAsia="en-GB"/>
              </w:rPr>
              <w:lastRenderedPageBreak/>
              <w:t>sections 32.2 and/or 32.3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C21DF9">
              <w:rPr>
                <w:rFonts w:cs="Arial"/>
                <w:color w:val="000000" w:themeColor="text1"/>
                <w:sz w:val="18"/>
                <w:szCs w:val="18"/>
                <w:lang w:eastAsia="en-GB"/>
              </w:rPr>
              <w:lastRenderedPageBreak/>
              <w:t>Thoracostomy</w:t>
            </w:r>
          </w:p>
        </w:tc>
        <w:tc>
          <w:tcPr>
            <w:tcW w:w="1450" w:type="dxa"/>
            <w:tcBorders>
              <w:top w:val="nil"/>
              <w:left w:val="nil"/>
              <w:bottom w:val="single" w:sz="4" w:space="0" w:color="auto"/>
              <w:right w:val="single" w:sz="4" w:space="0" w:color="auto"/>
            </w:tcBorders>
            <w:noWrap/>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GOT</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8</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Surcharge for GOP 03220 for the intensive treatment and care of a patient with at least one life-changing chronic illness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AD2E2B">
              <w:rPr>
                <w:rFonts w:cs="Arial"/>
                <w:color w:val="000000" w:themeColor="text1"/>
                <w:sz w:val="18"/>
                <w:szCs w:val="18"/>
                <w:lang w:val="en-NZ" w:eastAsia="en-GB"/>
              </w:rPr>
              <w:t>Gamma GT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GOT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GOT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Creatinine (Jaffé method)</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21BA7">
              <w:rPr>
                <w:rFonts w:cs="Arial"/>
                <w:color w:val="000000" w:themeColor="text1"/>
                <w:sz w:val="18"/>
                <w:szCs w:val="18"/>
                <w:lang w:val="en-NZ" w:eastAsia="en-GB"/>
              </w:rPr>
              <w:t>Excision of malignant skin lesion, trunk, arms, or legs; lesion diameter 0.5 cm or less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Surcharge to GOP 03000 for the treatment and care of a patient with at least one life-changing chronic illness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Creatinine (Jaffé method)</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9</w:t>
            </w:r>
          </w:p>
        </w:tc>
        <w:tc>
          <w:tcPr>
            <w:tcW w:w="1449" w:type="dxa"/>
            <w:tcBorders>
              <w:top w:val="nil"/>
              <w:left w:val="nil"/>
              <w:bottom w:val="single" w:sz="4" w:space="0" w:color="auto"/>
              <w:right w:val="single" w:sz="4" w:space="0" w:color="auto"/>
            </w:tcBorders>
            <w:noWrap/>
            <w:hideMark/>
          </w:tcPr>
          <w:p w:rsidR="00032324" w:rsidRPr="00721BA7" w:rsidRDefault="00032324" w:rsidP="002A0A11">
            <w:pPr>
              <w:spacing w:before="40" w:after="40" w:line="240" w:lineRule="auto"/>
              <w:jc w:val="center"/>
              <w:rPr>
                <w:rFonts w:cs="Arial"/>
                <w:color w:val="000000" w:themeColor="text1"/>
                <w:sz w:val="18"/>
                <w:szCs w:val="18"/>
                <w:lang w:eastAsia="en-GB"/>
              </w:rPr>
            </w:pPr>
            <w:r w:rsidRPr="00721BA7">
              <w:rPr>
                <w:rFonts w:cs="Arial"/>
                <w:color w:val="000000" w:themeColor="text1"/>
                <w:sz w:val="18"/>
                <w:szCs w:val="18"/>
                <w:lang w:eastAsia="en-GB"/>
              </w:rPr>
              <w:t>Laparoscopic appendectomy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830A04">
              <w:rPr>
                <w:rFonts w:cs="Arial"/>
                <w:b/>
                <w:bCs/>
                <w:i/>
                <w:iCs/>
                <w:color w:val="333333"/>
                <w:sz w:val="27"/>
                <w:szCs w:val="27"/>
                <w:lang w:val="en-NZ" w:eastAsia="en-NZ"/>
              </w:rPr>
              <w:t xml:space="preserve"> </w:t>
            </w:r>
            <w:r w:rsidRPr="00830A04">
              <w:rPr>
                <w:rFonts w:cs="Arial"/>
                <w:color w:val="000000" w:themeColor="text1"/>
                <w:sz w:val="18"/>
                <w:szCs w:val="18"/>
                <w:lang w:val="en-NZ" w:eastAsia="en-GB"/>
              </w:rPr>
              <w:t>Problem-oriented medical consultation, which is necessary due to the type and severity of the illness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AD2E2B">
              <w:rPr>
                <w:rFonts w:cs="Arial"/>
                <w:color w:val="000000" w:themeColor="text1"/>
                <w:sz w:val="18"/>
                <w:szCs w:val="18"/>
                <w:lang w:val="en-NZ" w:eastAsia="en-GB"/>
              </w:rPr>
              <w:t>Gamma GT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Surcharge to GOP 03000 for the treatment and care of a patient with at least one life-changing chronic illness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Sodium</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AD2E2B">
              <w:rPr>
                <w:rFonts w:cs="Arial"/>
                <w:color w:val="000000" w:themeColor="text1"/>
                <w:sz w:val="18"/>
                <w:szCs w:val="18"/>
                <w:lang w:val="en-NZ" w:eastAsia="en-GB"/>
              </w:rPr>
              <w:t>Gamma GT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AD2E2B">
              <w:rPr>
                <w:rFonts w:cs="Arial"/>
                <w:color w:val="000000" w:themeColor="text1"/>
                <w:sz w:val="18"/>
                <w:szCs w:val="18"/>
                <w:lang w:val="en-NZ" w:eastAsia="en-GB"/>
              </w:rPr>
              <w:t>Gamma GT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A1521">
              <w:rPr>
                <w:rFonts w:cs="Arial"/>
                <w:color w:val="000000" w:themeColor="text1"/>
                <w:sz w:val="18"/>
                <w:szCs w:val="18"/>
                <w:lang w:val="en-NZ" w:eastAsia="en-GB"/>
              </w:rPr>
              <w:t>Surcharge to GOP 03000 for the treatment and care of a patient with at least one life-changing chronic illness</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10</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F60EE6">
              <w:rPr>
                <w:rFonts w:cs="Arial"/>
                <w:color w:val="000000" w:themeColor="text1"/>
                <w:sz w:val="18"/>
                <w:szCs w:val="18"/>
                <w:lang w:val="en-NZ" w:eastAsia="en-GB"/>
              </w:rPr>
              <w:t>Mechanized complete blood status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val="en-NZ" w:eastAsia="en-GB"/>
              </w:rPr>
              <w:t>U</w:t>
            </w:r>
            <w:r w:rsidRPr="002F3BF1">
              <w:rPr>
                <w:rFonts w:cs="Arial"/>
                <w:color w:val="000000" w:themeColor="text1"/>
                <w:sz w:val="18"/>
                <w:szCs w:val="18"/>
                <w:lang w:val="en-NZ" w:eastAsia="en-GB"/>
              </w:rPr>
              <w:t>ric acid</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0C1BC5">
              <w:rPr>
                <w:rFonts w:cs="Arial"/>
                <w:color w:val="000000" w:themeColor="text1"/>
                <w:sz w:val="18"/>
                <w:szCs w:val="18"/>
                <w:lang w:val="en-NZ" w:eastAsia="en-GB"/>
              </w:rPr>
              <w:t>Additional flat rate for h</w:t>
            </w:r>
            <w:r>
              <w:rPr>
                <w:rFonts w:cs="Arial"/>
                <w:color w:val="000000" w:themeColor="text1"/>
                <w:sz w:val="18"/>
                <w:szCs w:val="18"/>
                <w:lang w:val="en-NZ" w:eastAsia="en-GB"/>
              </w:rPr>
              <w:t>a</w:t>
            </w:r>
            <w:r w:rsidRPr="000C1BC5">
              <w:rPr>
                <w:rFonts w:cs="Arial"/>
                <w:color w:val="000000" w:themeColor="text1"/>
                <w:sz w:val="18"/>
                <w:szCs w:val="18"/>
                <w:lang w:val="en-NZ" w:eastAsia="en-GB"/>
              </w:rPr>
              <w:t>ematological, oncological, immunological diseases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C21DF9">
              <w:rPr>
                <w:rFonts w:cs="Arial"/>
                <w:color w:val="000000" w:themeColor="text1"/>
                <w:sz w:val="18"/>
                <w:szCs w:val="18"/>
                <w:lang w:eastAsia="en-GB"/>
              </w:rPr>
              <w:t>Thoracostomy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AD2E2B">
              <w:rPr>
                <w:rFonts w:cs="Arial"/>
                <w:color w:val="000000" w:themeColor="text1"/>
                <w:sz w:val="18"/>
                <w:szCs w:val="18"/>
                <w:lang w:val="en-NZ" w:eastAsia="en-GB"/>
              </w:rPr>
              <w:t>Gamma</w:t>
            </w:r>
            <w:r>
              <w:rPr>
                <w:rFonts w:cs="Arial"/>
                <w:color w:val="000000" w:themeColor="text1"/>
                <w:sz w:val="18"/>
                <w:szCs w:val="18"/>
                <w:lang w:val="en-NZ" w:eastAsia="en-GB"/>
              </w:rPr>
              <w:t>-</w:t>
            </w:r>
            <w:r w:rsidRPr="00AD2E2B">
              <w:rPr>
                <w:rFonts w:cs="Arial"/>
                <w:color w:val="000000" w:themeColor="text1"/>
                <w:sz w:val="18"/>
                <w:szCs w:val="18"/>
                <w:lang w:val="en-NZ" w:eastAsia="en-GB"/>
              </w:rPr>
              <w:t>GT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Potassium</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0C1BC5">
              <w:rPr>
                <w:rFonts w:cs="Arial"/>
                <w:color w:val="000000" w:themeColor="text1"/>
                <w:sz w:val="18"/>
                <w:szCs w:val="18"/>
                <w:lang w:val="en-NZ" w:eastAsia="en-GB"/>
              </w:rPr>
              <w:t>Additional flat rate for h</w:t>
            </w:r>
            <w:r>
              <w:rPr>
                <w:rFonts w:cs="Arial"/>
                <w:color w:val="000000" w:themeColor="text1"/>
                <w:sz w:val="18"/>
                <w:szCs w:val="18"/>
                <w:lang w:val="en-NZ" w:eastAsia="en-GB"/>
              </w:rPr>
              <w:t>a</w:t>
            </w:r>
            <w:r w:rsidRPr="000C1BC5">
              <w:rPr>
                <w:rFonts w:cs="Arial"/>
                <w:color w:val="000000" w:themeColor="text1"/>
                <w:sz w:val="18"/>
                <w:szCs w:val="18"/>
                <w:lang w:val="en-NZ" w:eastAsia="en-GB"/>
              </w:rPr>
              <w:t>ematological, oncological, immunological diseases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C21DF9">
              <w:rPr>
                <w:rFonts w:cs="Arial"/>
                <w:color w:val="000000" w:themeColor="text1"/>
                <w:sz w:val="18"/>
                <w:szCs w:val="18"/>
                <w:lang w:eastAsia="en-GB"/>
              </w:rPr>
              <w:t>Thoracostomy</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11</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Surcharge to GOP 03000 for the treatment and care of a patient with at least one life-changing chronic illness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0C1BC5">
              <w:rPr>
                <w:rFonts w:cs="Arial"/>
                <w:color w:val="000000" w:themeColor="text1"/>
                <w:sz w:val="18"/>
                <w:szCs w:val="18"/>
                <w:lang w:val="en-NZ" w:eastAsia="en-GB"/>
              </w:rPr>
              <w:t>Mechanized blood count, reticulocyte count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Creatinine (Jaffé method)</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LDH</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Potassium</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Surcharge to GOP 03000 for the treatment and care of a patient with at least one life-changing chronic illness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Creatinine (Jaffé method)</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0C1BC5">
              <w:rPr>
                <w:rFonts w:cs="Arial"/>
                <w:color w:val="000000" w:themeColor="text1"/>
                <w:sz w:val="18"/>
                <w:szCs w:val="18"/>
                <w:lang w:val="en-NZ" w:eastAsia="en-GB"/>
              </w:rPr>
              <w:t>Additional flat rate for h</w:t>
            </w:r>
            <w:r>
              <w:rPr>
                <w:rFonts w:cs="Arial"/>
                <w:color w:val="000000" w:themeColor="text1"/>
                <w:sz w:val="18"/>
                <w:szCs w:val="18"/>
                <w:lang w:val="en-NZ" w:eastAsia="en-GB"/>
              </w:rPr>
              <w:t>a</w:t>
            </w:r>
            <w:r w:rsidRPr="000C1BC5">
              <w:rPr>
                <w:rFonts w:cs="Arial"/>
                <w:color w:val="000000" w:themeColor="text1"/>
                <w:sz w:val="18"/>
                <w:szCs w:val="18"/>
                <w:lang w:val="en-NZ" w:eastAsia="en-GB"/>
              </w:rPr>
              <w:t>ematological, oncological, immunological diseases</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12</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GOT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GOT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LDH</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2E35DE">
              <w:rPr>
                <w:rFonts w:cs="Arial"/>
                <w:color w:val="000000" w:themeColor="text1"/>
                <w:sz w:val="18"/>
                <w:szCs w:val="18"/>
                <w:lang w:val="en-NZ" w:eastAsia="en-GB"/>
              </w:rPr>
              <w:t xml:space="preserve">Additional flat rate for haematological, </w:t>
            </w:r>
            <w:r w:rsidRPr="002E35DE">
              <w:rPr>
                <w:rFonts w:cs="Arial"/>
                <w:color w:val="000000" w:themeColor="text1"/>
                <w:sz w:val="18"/>
                <w:szCs w:val="18"/>
                <w:lang w:val="en-NZ" w:eastAsia="en-GB"/>
              </w:rPr>
              <w:lastRenderedPageBreak/>
              <w:t>oncological, immunological diseases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2E35DE">
              <w:rPr>
                <w:rFonts w:cs="Arial"/>
                <w:color w:val="000000" w:themeColor="text1"/>
                <w:sz w:val="18"/>
                <w:szCs w:val="18"/>
                <w:lang w:eastAsia="en-GB"/>
              </w:rPr>
              <w:lastRenderedPageBreak/>
              <w:t>Surcharge for fee schedule item 03220</w:t>
            </w:r>
          </w:p>
        </w:tc>
        <w:tc>
          <w:tcPr>
            <w:tcW w:w="1450" w:type="dxa"/>
            <w:tcBorders>
              <w:top w:val="nil"/>
              <w:left w:val="nil"/>
              <w:bottom w:val="single" w:sz="4" w:space="0" w:color="auto"/>
              <w:right w:val="single" w:sz="4" w:space="0" w:color="auto"/>
            </w:tcBorders>
            <w:noWrap/>
            <w:hideMark/>
          </w:tcPr>
          <w:p w:rsidR="00032324" w:rsidRPr="00C21DF9" w:rsidRDefault="00032324" w:rsidP="002A0A11">
            <w:pPr>
              <w:spacing w:before="40" w:after="40" w:line="240" w:lineRule="auto"/>
              <w:jc w:val="center"/>
              <w:rPr>
                <w:rFonts w:cs="Arial"/>
                <w:color w:val="000000" w:themeColor="text1"/>
                <w:sz w:val="18"/>
                <w:szCs w:val="18"/>
                <w:lang w:eastAsia="en-GB"/>
              </w:rPr>
            </w:pPr>
            <w:r w:rsidRPr="00C21DF9">
              <w:rPr>
                <w:rFonts w:cs="Arial"/>
                <w:color w:val="000000" w:themeColor="text1"/>
                <w:sz w:val="18"/>
                <w:szCs w:val="18"/>
                <w:lang w:eastAsia="en-GB"/>
              </w:rPr>
              <w:t>Thoracostomy</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LDH</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 xml:space="preserve">Surcharge for GOP 03220 for the intensive </w:t>
            </w:r>
            <w:r w:rsidRPr="007E7E16">
              <w:rPr>
                <w:rFonts w:cs="Arial"/>
                <w:color w:val="000000" w:themeColor="text1"/>
                <w:sz w:val="18"/>
                <w:szCs w:val="18"/>
                <w:lang w:val="en-NZ" w:eastAsia="en-GB"/>
              </w:rPr>
              <w:lastRenderedPageBreak/>
              <w:t>treatment and care of a patient with at least one life-changing chronic illness</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lastRenderedPageBreak/>
              <w:t>13</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LDH</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68D">
              <w:rPr>
                <w:rFonts w:cs="Arial"/>
                <w:color w:val="000000" w:themeColor="text1"/>
                <w:sz w:val="18"/>
                <w:szCs w:val="18"/>
                <w:lang w:val="en-NZ" w:eastAsia="en-GB"/>
              </w:rPr>
              <w:t>Quantitative determination of thyrotropin (TSH)</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Potassium</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Potassium</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GPT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t xml:space="preserve"> </w:t>
            </w:r>
            <w:r w:rsidRPr="000D504A">
              <w:rPr>
                <w:rFonts w:cs="Arial"/>
                <w:color w:val="000000" w:themeColor="text1"/>
                <w:sz w:val="18"/>
                <w:szCs w:val="18"/>
                <w:lang w:eastAsia="en-GB"/>
              </w:rPr>
              <w:t>Additional flat rate to the fee schedule items 03000 and 03030 for the performance of the general practitioner's care mandate in accordance with Section 73 (1) SGB V</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Surcharge for GOP 03220 for the intensive treatment and care of a patient with at least one life-changing chronic illness</w:t>
            </w:r>
          </w:p>
        </w:tc>
        <w:tc>
          <w:tcPr>
            <w:tcW w:w="1450" w:type="dxa"/>
            <w:tcBorders>
              <w:top w:val="nil"/>
              <w:left w:val="nil"/>
              <w:bottom w:val="single" w:sz="4" w:space="0" w:color="auto"/>
              <w:right w:val="single" w:sz="4" w:space="0" w:color="auto"/>
            </w:tcBorders>
            <w:noWrap/>
            <w:hideMark/>
          </w:tcPr>
          <w:p w:rsidR="00032324" w:rsidRPr="00721BA7" w:rsidRDefault="00032324" w:rsidP="002A0A11">
            <w:pPr>
              <w:spacing w:before="40" w:after="40" w:line="240" w:lineRule="auto"/>
              <w:jc w:val="center"/>
              <w:rPr>
                <w:rFonts w:cs="Arial"/>
                <w:color w:val="000000" w:themeColor="text1"/>
                <w:sz w:val="18"/>
                <w:szCs w:val="18"/>
                <w:lang w:eastAsia="en-GB"/>
              </w:rPr>
            </w:pPr>
            <w:r w:rsidRPr="00721BA7">
              <w:rPr>
                <w:rFonts w:cs="Arial"/>
                <w:color w:val="000000" w:themeColor="text1"/>
                <w:sz w:val="18"/>
                <w:szCs w:val="18"/>
                <w:lang w:eastAsia="en-GB"/>
              </w:rPr>
              <w:t>Excision of a malignant skin lesion on the trunk, arms, or legs, with a lesion diameter of 1.1 to 2.0 cm.</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14</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0C1BC5">
              <w:rPr>
                <w:rFonts w:cs="Arial"/>
                <w:color w:val="000000" w:themeColor="text1"/>
                <w:sz w:val="18"/>
                <w:szCs w:val="18"/>
                <w:lang w:val="en-NZ" w:eastAsia="en-GB"/>
              </w:rPr>
              <w:t>Mechanized blood count, reticulocyte count</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tabs>
                <w:tab w:val="left" w:pos="330"/>
                <w:tab w:val="center" w:pos="617"/>
              </w:tabs>
              <w:spacing w:before="40" w:after="40" w:line="240" w:lineRule="auto"/>
              <w:rPr>
                <w:rFonts w:cs="Arial"/>
                <w:color w:val="000000" w:themeColor="text1"/>
                <w:sz w:val="18"/>
                <w:szCs w:val="18"/>
                <w:lang w:eastAsia="en-GB"/>
              </w:rPr>
            </w:pPr>
            <w:r>
              <w:rPr>
                <w:rFonts w:cs="Arial"/>
                <w:color w:val="000000" w:themeColor="text1"/>
                <w:sz w:val="18"/>
                <w:szCs w:val="18"/>
                <w:lang w:eastAsia="en-GB"/>
              </w:rPr>
              <w:tab/>
            </w:r>
            <w:r>
              <w:rPr>
                <w:rFonts w:cs="Arial"/>
                <w:color w:val="000000" w:themeColor="text1"/>
                <w:sz w:val="18"/>
                <w:szCs w:val="18"/>
                <w:lang w:eastAsia="en-GB"/>
              </w:rPr>
              <w:tab/>
            </w:r>
            <w:r w:rsidRPr="00372386">
              <w:rPr>
                <w:rFonts w:cs="Arial"/>
                <w:color w:val="000000" w:themeColor="text1"/>
                <w:sz w:val="18"/>
                <w:szCs w:val="18"/>
                <w:lang w:val="en-NZ" w:eastAsia="en-GB"/>
              </w:rPr>
              <w:t>Mechanized complete blood status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Surcharge for GOP 03220 for the intensive treatment and care of a patient with at least one life-changing chronic illness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Surcharge for GOP 03220 for the intensive treatment and care of a patient with at least one life-changing chronic illness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7E7E16">
              <w:rPr>
                <w:rFonts w:cs="Arial"/>
                <w:color w:val="000000" w:themeColor="text1"/>
                <w:sz w:val="18"/>
                <w:szCs w:val="18"/>
                <w:lang w:val="en-NZ" w:eastAsia="en-GB"/>
              </w:rPr>
              <w:t>Surcharge for GOP 03220 for the intensive treatment and care of a patient with at least one life-changing chronic illness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Sodium</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Potassium</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372386">
              <w:rPr>
                <w:rFonts w:cs="Arial"/>
                <w:color w:val="000000" w:themeColor="text1"/>
                <w:sz w:val="18"/>
                <w:szCs w:val="18"/>
                <w:lang w:val="en-NZ" w:eastAsia="en-GB"/>
              </w:rPr>
              <w:t>Mechanized complete blood status</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15</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Potassium</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Potassium</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372386">
              <w:rPr>
                <w:rFonts w:cs="Arial"/>
                <w:color w:val="000000" w:themeColor="text1"/>
                <w:sz w:val="18"/>
                <w:szCs w:val="18"/>
                <w:lang w:val="en-NZ" w:eastAsia="en-GB"/>
              </w:rPr>
              <w:t>Mechanized complete blood status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372386">
              <w:rPr>
                <w:rFonts w:cs="Arial"/>
                <w:color w:val="000000" w:themeColor="text1"/>
                <w:sz w:val="18"/>
                <w:szCs w:val="18"/>
                <w:lang w:val="en-NZ" w:eastAsia="en-GB"/>
              </w:rPr>
              <w:t>Mechanized complete blood status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ALP</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2E35DE">
              <w:rPr>
                <w:rFonts w:cs="Arial"/>
                <w:color w:val="000000" w:themeColor="text1"/>
                <w:sz w:val="18"/>
                <w:szCs w:val="18"/>
                <w:lang w:eastAsia="en-GB"/>
              </w:rPr>
              <w:t>Surcharge for fee schedule item 03220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372386">
              <w:rPr>
                <w:rFonts w:cs="Arial"/>
                <w:color w:val="000000" w:themeColor="text1"/>
                <w:sz w:val="18"/>
                <w:szCs w:val="18"/>
                <w:lang w:val="en-NZ" w:eastAsia="en-GB"/>
              </w:rPr>
              <w:t>Mechanized complete blood status</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Pr>
                <w:rFonts w:cs="Arial"/>
                <w:color w:val="000000" w:themeColor="text1"/>
                <w:sz w:val="18"/>
                <w:szCs w:val="18"/>
                <w:lang w:eastAsia="en-GB"/>
              </w:rPr>
              <w:t>LDH</w:t>
            </w:r>
          </w:p>
        </w:tc>
      </w:tr>
      <w:tr w:rsidR="00032324" w:rsidRPr="00D16F32" w:rsidTr="002A0A11">
        <w:trPr>
          <w:trHeight w:val="280"/>
        </w:trPr>
        <w:tc>
          <w:tcPr>
            <w:tcW w:w="14009" w:type="dxa"/>
            <w:gridSpan w:val="9"/>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rPr>
                <w:rFonts w:cs="Arial"/>
                <w:color w:val="000000" w:themeColor="text1"/>
                <w:sz w:val="18"/>
                <w:szCs w:val="18"/>
                <w:lang w:eastAsia="en-GB"/>
              </w:rPr>
            </w:pPr>
            <w:r w:rsidRPr="00D16F32">
              <w:rPr>
                <w:rFonts w:cs="Arial"/>
                <w:b/>
                <w:bCs/>
                <w:color w:val="000000" w:themeColor="text1"/>
                <w:sz w:val="18"/>
                <w:szCs w:val="18"/>
                <w:lang w:eastAsia="en-GB"/>
              </w:rPr>
              <w:t>Pre-specified procedures, n (%)</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ind w:left="170"/>
              <w:rPr>
                <w:rFonts w:cs="Arial"/>
                <w:b/>
                <w:bCs/>
                <w:color w:val="000000" w:themeColor="text1"/>
                <w:sz w:val="18"/>
                <w:szCs w:val="18"/>
                <w:lang w:eastAsia="en-GB"/>
              </w:rPr>
            </w:pPr>
            <w:r w:rsidRPr="00D16F32">
              <w:rPr>
                <w:rFonts w:cs="Arial"/>
                <w:b/>
                <w:bCs/>
                <w:color w:val="000000" w:themeColor="text1"/>
                <w:sz w:val="18"/>
                <w:szCs w:val="18"/>
                <w:lang w:eastAsia="en-GB"/>
              </w:rPr>
              <w:t xml:space="preserve">CT scan </w:t>
            </w:r>
          </w:p>
        </w:tc>
        <w:tc>
          <w:tcPr>
            <w:tcW w:w="1449" w:type="dxa"/>
            <w:tcBorders>
              <w:top w:val="nil"/>
              <w:left w:val="nil"/>
              <w:bottom w:val="single" w:sz="4" w:space="0" w:color="auto"/>
              <w:right w:val="single" w:sz="4" w:space="0" w:color="auto"/>
            </w:tcBorders>
            <w:noWrap/>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tcPr>
          <w:p w:rsidR="00032324" w:rsidRPr="00D16F32" w:rsidRDefault="00032324" w:rsidP="002A0A11">
            <w:pPr>
              <w:spacing w:before="40" w:after="40" w:line="240" w:lineRule="auto"/>
              <w:jc w:val="center"/>
              <w:rPr>
                <w:rFonts w:cs="Arial"/>
                <w:color w:val="000000" w:themeColor="text1"/>
                <w:sz w:val="18"/>
                <w:szCs w:val="18"/>
                <w:lang w:eastAsia="en-GB"/>
              </w:rPr>
            </w:pP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ind w:left="170"/>
              <w:rPr>
                <w:rFonts w:cs="Arial"/>
                <w:b/>
                <w:bCs/>
                <w:color w:val="000000" w:themeColor="text1"/>
                <w:sz w:val="18"/>
                <w:szCs w:val="18"/>
                <w:lang w:eastAsia="en-GB"/>
              </w:rPr>
            </w:pPr>
            <w:r w:rsidRPr="00D16F32">
              <w:rPr>
                <w:rFonts w:cs="Arial"/>
                <w:color w:val="000000" w:themeColor="text1"/>
                <w:sz w:val="18"/>
                <w:szCs w:val="18"/>
                <w:lang w:eastAsia="en-GB"/>
              </w:rPr>
              <w:t>n patients with ≥1 visit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2423 (49.4)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3737 (76.2)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180 (48.5)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242 (65.2)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26 (68.4)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33 (86.8)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154 (46.2)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209 (62.8)</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Rate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0.9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0.7</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0.7</w:t>
            </w:r>
          </w:p>
        </w:tc>
      </w:tr>
      <w:tr w:rsidR="00032324" w:rsidRPr="00D16F32" w:rsidTr="002A0A11">
        <w:trPr>
          <w:trHeight w:val="280"/>
        </w:trPr>
        <w:tc>
          <w:tcPr>
            <w:tcW w:w="14009" w:type="dxa"/>
            <w:gridSpan w:val="9"/>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b/>
                <w:bCs/>
                <w:color w:val="000000" w:themeColor="text1"/>
                <w:sz w:val="18"/>
                <w:szCs w:val="18"/>
                <w:lang w:eastAsia="en-GB"/>
              </w:rPr>
              <w:t>MRI scan</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b/>
                <w:bCs/>
                <w:color w:val="000000" w:themeColor="text1"/>
                <w:sz w:val="18"/>
                <w:szCs w:val="18"/>
                <w:lang w:eastAsia="en-GB"/>
              </w:rPr>
            </w:pPr>
            <w:r w:rsidRPr="00D16F32">
              <w:rPr>
                <w:rFonts w:cs="Arial"/>
                <w:color w:val="000000" w:themeColor="text1"/>
                <w:sz w:val="18"/>
                <w:szCs w:val="18"/>
                <w:lang w:eastAsia="en-GB"/>
              </w:rPr>
              <w:t>n patients with ≥1 visit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801 (16.3)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1906 (38.9)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69 (18.6)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118 (31.8)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6 (15.8)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11 (28.9)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63 (18.9)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107 (32.1)</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lastRenderedPageBreak/>
              <w:t>Rate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0.2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0.2</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b/>
                <w:bCs/>
                <w:color w:val="000000" w:themeColor="text1"/>
                <w:sz w:val="18"/>
                <w:szCs w:val="18"/>
                <w:lang w:eastAsia="en-GB"/>
              </w:rPr>
              <w:t xml:space="preserve">PET scan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ind w:left="170"/>
              <w:rPr>
                <w:rFonts w:cs="Arial"/>
                <w:b/>
                <w:bCs/>
                <w:color w:val="000000" w:themeColor="text1"/>
                <w:sz w:val="18"/>
                <w:szCs w:val="18"/>
                <w:lang w:eastAsia="en-GB"/>
              </w:rPr>
            </w:pPr>
            <w:r w:rsidRPr="00D16F32">
              <w:rPr>
                <w:rFonts w:cs="Arial"/>
                <w:color w:val="000000" w:themeColor="text1"/>
                <w:sz w:val="18"/>
                <w:szCs w:val="18"/>
                <w:lang w:eastAsia="en-GB"/>
              </w:rPr>
              <w:t>n patients with ≥1 visit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43 (0.9)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103 (2.1)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 (0.0)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4 (1.1)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 (0.0)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 (0.0)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 (0.0)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 (0.9)</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Rate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b/>
                <w:bCs/>
                <w:color w:val="000000" w:themeColor="text1"/>
                <w:sz w:val="18"/>
                <w:szCs w:val="18"/>
                <w:lang w:eastAsia="en-GB"/>
              </w:rPr>
              <w:t>Ultrasound</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ind w:left="170"/>
              <w:rPr>
                <w:rFonts w:cs="Arial"/>
                <w:b/>
                <w:bCs/>
                <w:color w:val="000000" w:themeColor="text1"/>
                <w:sz w:val="18"/>
                <w:szCs w:val="18"/>
                <w:lang w:eastAsia="en-GB"/>
              </w:rPr>
            </w:pPr>
            <w:r w:rsidRPr="00D16F32">
              <w:rPr>
                <w:rFonts w:cs="Arial"/>
                <w:color w:val="000000" w:themeColor="text1"/>
                <w:sz w:val="18"/>
                <w:szCs w:val="18"/>
                <w:lang w:eastAsia="en-GB"/>
              </w:rPr>
              <w:t>n patients with ≥1 visit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3227 (65.8)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3903 (79.6)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223 (60.1)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268 (72.2)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27 (71.1)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31 (81.6)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196 (58.9)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237 (71.2)</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Rate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1.7</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1.3</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b/>
                <w:bCs/>
                <w:color w:val="000000" w:themeColor="text1"/>
                <w:sz w:val="18"/>
                <w:szCs w:val="18"/>
                <w:lang w:eastAsia="en-GB"/>
              </w:rPr>
              <w:t xml:space="preserve">Bone marrow biopsy evaluation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ind w:left="170"/>
              <w:rPr>
                <w:rFonts w:cs="Arial"/>
                <w:b/>
                <w:bCs/>
                <w:color w:val="000000" w:themeColor="text1"/>
                <w:sz w:val="18"/>
                <w:szCs w:val="18"/>
                <w:lang w:eastAsia="en-GB"/>
              </w:rPr>
            </w:pPr>
            <w:r w:rsidRPr="00D16F32">
              <w:rPr>
                <w:rFonts w:cs="Arial"/>
                <w:color w:val="000000" w:themeColor="text1"/>
                <w:sz w:val="18"/>
                <w:szCs w:val="18"/>
                <w:lang w:eastAsia="en-GB"/>
              </w:rPr>
              <w:t>n patients with ≥1 visit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666 (13.6)</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842 (17.2)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26 (7.0)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33 (8.9)</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6 (15.8)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10 (26.3)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20 (6.0)</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23 (6.9)</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Rate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0.2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b/>
                <w:bCs/>
                <w:color w:val="000000" w:themeColor="text1"/>
                <w:sz w:val="18"/>
                <w:szCs w:val="18"/>
                <w:lang w:eastAsia="en-GB"/>
              </w:rPr>
              <w:t>Bone marrow aspirate evaluation/karyotyping/FISH</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ind w:left="170"/>
              <w:rPr>
                <w:rFonts w:cs="Arial"/>
                <w:b/>
                <w:bCs/>
                <w:color w:val="000000" w:themeColor="text1"/>
                <w:sz w:val="18"/>
                <w:szCs w:val="18"/>
                <w:lang w:eastAsia="en-GB"/>
              </w:rPr>
            </w:pPr>
            <w:r w:rsidRPr="00D16F32">
              <w:rPr>
                <w:rFonts w:cs="Arial"/>
                <w:color w:val="000000" w:themeColor="text1"/>
                <w:sz w:val="18"/>
                <w:szCs w:val="18"/>
                <w:lang w:eastAsia="en-GB"/>
              </w:rPr>
              <w:t>n patients with ≥1 visit (%)</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853 (17.4)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1249 (25.5)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36 (9.7)</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55 (14.8)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5 (13.2)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15 (39.5)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31 (9.3)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40 (12.0)</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Rate per PY</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ind w:firstLineChars="100" w:firstLine="180"/>
              <w:jc w:val="center"/>
              <w:rPr>
                <w:rFonts w:cs="Arial"/>
                <w:color w:val="000000" w:themeColor="text1"/>
                <w:sz w:val="18"/>
                <w:szCs w:val="18"/>
                <w:lang w:eastAsia="en-GB"/>
              </w:rPr>
            </w:pPr>
            <w:r w:rsidRPr="00D16F32">
              <w:rPr>
                <w:rFonts w:cs="Arial"/>
                <w:color w:val="000000" w:themeColor="text1"/>
                <w:sz w:val="18"/>
                <w:szCs w:val="18"/>
                <w:lang w:eastAsia="en-GB"/>
              </w:rPr>
              <w:t>0.2</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0.1</w:t>
            </w:r>
          </w:p>
        </w:tc>
      </w:tr>
      <w:tr w:rsidR="00032324" w:rsidRPr="00D16F32" w:rsidTr="002A0A11">
        <w:trPr>
          <w:trHeight w:val="300"/>
        </w:trPr>
        <w:tc>
          <w:tcPr>
            <w:tcW w:w="14009" w:type="dxa"/>
            <w:gridSpan w:val="9"/>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rPr>
                <w:rFonts w:cs="Arial"/>
                <w:color w:val="000000" w:themeColor="text1"/>
                <w:sz w:val="18"/>
                <w:szCs w:val="18"/>
                <w:lang w:eastAsia="en-GB"/>
              </w:rPr>
            </w:pPr>
            <w:r w:rsidRPr="00D16F32">
              <w:rPr>
                <w:rFonts w:cs="Arial"/>
                <w:b/>
                <w:bCs/>
                <w:color w:val="000000" w:themeColor="text1"/>
                <w:sz w:val="18"/>
                <w:szCs w:val="18"/>
                <w:lang w:eastAsia="en-GB"/>
              </w:rPr>
              <w:t>Setting of incident CLL diagnosis (index), n (%)</w:t>
            </w:r>
            <w:r>
              <w:rPr>
                <w:rFonts w:cs="Arial"/>
                <w:b/>
                <w:bCs/>
                <w:color w:val="000000" w:themeColor="text1"/>
                <w:sz w:val="18"/>
                <w:szCs w:val="18"/>
                <w:vertAlign w:val="superscript"/>
                <w:lang w:eastAsia="en-GB"/>
              </w:rPr>
              <w:t>d</w:t>
            </w: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Inpatient</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1199 (24.5)</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r>
      <w:tr w:rsidR="00032324" w:rsidRPr="00D16F32" w:rsidTr="002A0A11">
        <w:trPr>
          <w:trHeight w:val="28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170"/>
              <w:rPr>
                <w:rFonts w:cs="Arial"/>
                <w:color w:val="000000" w:themeColor="text1"/>
                <w:sz w:val="18"/>
                <w:szCs w:val="18"/>
                <w:lang w:eastAsia="en-GB"/>
              </w:rPr>
            </w:pPr>
            <w:r w:rsidRPr="00D16F32">
              <w:rPr>
                <w:rFonts w:cs="Arial"/>
                <w:color w:val="000000" w:themeColor="text1"/>
                <w:sz w:val="18"/>
                <w:szCs w:val="18"/>
                <w:lang w:eastAsia="en-GB"/>
              </w:rPr>
              <w:t>Outpatient</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3730 (76.1)</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r>
      <w:tr w:rsidR="00032324" w:rsidRPr="00D16F32" w:rsidTr="002A0A11">
        <w:trPr>
          <w:trHeight w:val="30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284"/>
              <w:rPr>
                <w:rFonts w:cs="Arial"/>
                <w:color w:val="000000" w:themeColor="text1"/>
                <w:sz w:val="18"/>
                <w:szCs w:val="18"/>
                <w:lang w:eastAsia="en-GB"/>
              </w:rPr>
            </w:pPr>
            <w:r w:rsidRPr="00D16F32">
              <w:rPr>
                <w:rFonts w:cs="Arial"/>
                <w:color w:val="000000" w:themeColor="text1"/>
                <w:sz w:val="18"/>
                <w:szCs w:val="18"/>
                <w:lang w:eastAsia="en-GB"/>
              </w:rPr>
              <w:t>GP</w:t>
            </w:r>
            <w:r>
              <w:rPr>
                <w:rFonts w:cs="Arial"/>
                <w:color w:val="000000" w:themeColor="text1"/>
                <w:sz w:val="18"/>
                <w:szCs w:val="18"/>
                <w:vertAlign w:val="superscript"/>
                <w:lang w:eastAsia="en-GB"/>
              </w:rPr>
              <w:t>e</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1617 (43.4)</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r>
      <w:tr w:rsidR="00032324" w:rsidRPr="00D16F32" w:rsidTr="002A0A11">
        <w:trPr>
          <w:trHeight w:val="30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284"/>
              <w:rPr>
                <w:rFonts w:cs="Arial"/>
                <w:color w:val="000000" w:themeColor="text1"/>
                <w:sz w:val="18"/>
                <w:szCs w:val="18"/>
                <w:lang w:eastAsia="en-GB"/>
              </w:rPr>
            </w:pPr>
            <w:r w:rsidRPr="00D16F32">
              <w:rPr>
                <w:rFonts w:cs="Arial"/>
                <w:color w:val="000000" w:themeColor="text1"/>
                <w:sz w:val="18"/>
                <w:szCs w:val="18"/>
                <w:lang w:eastAsia="en-GB"/>
              </w:rPr>
              <w:t>Haematology and oncology</w:t>
            </w:r>
            <w:r>
              <w:rPr>
                <w:rFonts w:cs="Arial"/>
                <w:color w:val="000000" w:themeColor="text1"/>
                <w:sz w:val="18"/>
                <w:szCs w:val="18"/>
                <w:vertAlign w:val="superscript"/>
                <w:lang w:eastAsia="en-GB"/>
              </w:rPr>
              <w:t>e</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1260 (33.8)</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r>
      <w:tr w:rsidR="00032324" w:rsidRPr="00D16F32" w:rsidTr="002A0A11">
        <w:trPr>
          <w:trHeight w:val="300"/>
        </w:trPr>
        <w:tc>
          <w:tcPr>
            <w:tcW w:w="2410" w:type="dxa"/>
            <w:tcBorders>
              <w:top w:val="nil"/>
              <w:left w:val="single" w:sz="4" w:space="0" w:color="auto"/>
              <w:bottom w:val="single" w:sz="4" w:space="0" w:color="auto"/>
              <w:right w:val="single" w:sz="4" w:space="0" w:color="auto"/>
            </w:tcBorders>
            <w:noWrap/>
            <w:hideMark/>
          </w:tcPr>
          <w:p w:rsidR="00032324" w:rsidRPr="00D16F32" w:rsidRDefault="00032324" w:rsidP="002A0A11">
            <w:pPr>
              <w:spacing w:before="40" w:after="40" w:line="240" w:lineRule="auto"/>
              <w:ind w:left="284"/>
              <w:rPr>
                <w:rFonts w:cs="Arial"/>
                <w:color w:val="000000" w:themeColor="text1"/>
                <w:sz w:val="18"/>
                <w:szCs w:val="18"/>
                <w:lang w:eastAsia="en-GB"/>
              </w:rPr>
            </w:pPr>
            <w:r w:rsidRPr="00D16F32">
              <w:rPr>
                <w:rFonts w:cs="Arial"/>
                <w:color w:val="000000" w:themeColor="text1"/>
                <w:sz w:val="18"/>
                <w:szCs w:val="18"/>
                <w:lang w:eastAsia="en-GB"/>
              </w:rPr>
              <w:t>Other specialties</w:t>
            </w:r>
            <w:r>
              <w:rPr>
                <w:rFonts w:cs="Arial"/>
                <w:color w:val="000000" w:themeColor="text1"/>
                <w:sz w:val="18"/>
                <w:szCs w:val="18"/>
                <w:vertAlign w:val="superscript"/>
                <w:lang w:eastAsia="en-GB"/>
              </w:rPr>
              <w:t>e</w:t>
            </w:r>
          </w:p>
        </w:tc>
        <w:tc>
          <w:tcPr>
            <w:tcW w:w="1449"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r w:rsidRPr="00D16F32">
              <w:rPr>
                <w:rFonts w:cs="Arial"/>
                <w:color w:val="000000" w:themeColor="text1"/>
                <w:sz w:val="18"/>
                <w:szCs w:val="18"/>
                <w:lang w:eastAsia="en-GB"/>
              </w:rPr>
              <w:t>982 (26.3)</w:t>
            </w: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c>
          <w:tcPr>
            <w:tcW w:w="1450" w:type="dxa"/>
            <w:tcBorders>
              <w:top w:val="nil"/>
              <w:left w:val="nil"/>
              <w:bottom w:val="single" w:sz="4" w:space="0" w:color="auto"/>
              <w:right w:val="single" w:sz="4" w:space="0" w:color="auto"/>
            </w:tcBorders>
            <w:noWrap/>
            <w:hideMark/>
          </w:tcPr>
          <w:p w:rsidR="00032324" w:rsidRPr="00D16F32" w:rsidRDefault="00032324" w:rsidP="002A0A11">
            <w:pPr>
              <w:spacing w:before="40" w:after="40" w:line="240" w:lineRule="auto"/>
              <w:jc w:val="center"/>
              <w:rPr>
                <w:rFonts w:cs="Arial"/>
                <w:color w:val="000000" w:themeColor="text1"/>
                <w:sz w:val="18"/>
                <w:szCs w:val="18"/>
                <w:lang w:eastAsia="en-GB"/>
              </w:rPr>
            </w:pPr>
          </w:p>
        </w:tc>
      </w:tr>
    </w:tbl>
    <w:p w:rsidR="00032324" w:rsidRPr="00BA5E58" w:rsidRDefault="00032324" w:rsidP="00032324">
      <w:pPr>
        <w:spacing w:before="180" w:after="60" w:line="276" w:lineRule="auto"/>
        <w:rPr>
          <w:rFonts w:cs="Arial"/>
          <w:color w:val="000000"/>
          <w:sz w:val="18"/>
          <w:szCs w:val="18"/>
          <w:lang w:eastAsia="en-GB"/>
        </w:rPr>
      </w:pPr>
      <w:r w:rsidRPr="00BF32F3">
        <w:rPr>
          <w:rFonts w:cs="Arial"/>
          <w:color w:val="000000"/>
          <w:sz w:val="18"/>
          <w:szCs w:val="18"/>
          <w:vertAlign w:val="superscript"/>
          <w:lang w:eastAsia="en-GB"/>
        </w:rPr>
        <w:t>a</w:t>
      </w:r>
      <w:r>
        <w:rPr>
          <w:rFonts w:cs="Arial"/>
          <w:color w:val="000000"/>
          <w:sz w:val="18"/>
          <w:szCs w:val="18"/>
          <w:lang w:eastAsia="en-GB"/>
        </w:rPr>
        <w:t>Cohort 1 comprised patients newly diagnosed with CLL between 01 January 2012 and 31 March 2022. Cohort 2 comprised p</w:t>
      </w:r>
      <w:r w:rsidRPr="00BA5E58">
        <w:rPr>
          <w:rFonts w:cs="Arial"/>
          <w:color w:val="000000"/>
          <w:sz w:val="18"/>
          <w:szCs w:val="18"/>
          <w:lang w:eastAsia="en-GB"/>
        </w:rPr>
        <w:t>atients</w:t>
      </w:r>
      <w:r>
        <w:rPr>
          <w:rFonts w:cs="Arial"/>
          <w:color w:val="000000"/>
          <w:sz w:val="18"/>
          <w:szCs w:val="18"/>
          <w:lang w:eastAsia="en-GB"/>
        </w:rPr>
        <w:t xml:space="preserve"> from Cohort 1</w:t>
      </w:r>
      <w:r w:rsidRPr="002B7A3C">
        <w:t xml:space="preserve"> </w:t>
      </w:r>
      <w:r w:rsidRPr="002B7A3C">
        <w:rPr>
          <w:rFonts w:cs="Arial"/>
          <w:color w:val="000000"/>
          <w:sz w:val="18"/>
          <w:szCs w:val="18"/>
          <w:lang w:eastAsia="en-GB"/>
        </w:rPr>
        <w:t>who initiated cBTKi therapy for the first time (any line of therapy) between 01 January 2017 and 31 March 2022</w:t>
      </w:r>
      <w:r>
        <w:rPr>
          <w:rFonts w:cs="Arial"/>
          <w:color w:val="000000"/>
          <w:sz w:val="18"/>
          <w:szCs w:val="18"/>
          <w:lang w:eastAsia="en-GB"/>
        </w:rPr>
        <w:t>. Cohort 2a were patients from Cohort 2 who had received venetoclax treatment (</w:t>
      </w:r>
      <w:r w:rsidRPr="00CC01E0">
        <w:rPr>
          <w:rFonts w:cs="Arial"/>
          <w:color w:val="000000"/>
          <w:sz w:val="18"/>
          <w:szCs w:val="18"/>
          <w:lang w:eastAsia="en-GB"/>
        </w:rPr>
        <w:t>before, concurrent with or after cBTKi treatment</w:t>
      </w:r>
      <w:r>
        <w:rPr>
          <w:rFonts w:cs="Arial"/>
          <w:color w:val="000000"/>
          <w:sz w:val="18"/>
          <w:szCs w:val="18"/>
          <w:lang w:eastAsia="en-GB"/>
        </w:rPr>
        <w:t>). Cohort 2b were patients from Cohort 2 who had not received venetoclax.</w:t>
      </w:r>
    </w:p>
    <w:p w:rsidR="00032324" w:rsidRPr="00476D45" w:rsidRDefault="00032324" w:rsidP="00032324">
      <w:pPr>
        <w:spacing w:after="60" w:line="276" w:lineRule="auto"/>
        <w:rPr>
          <w:rFonts w:cs="Arial"/>
          <w:color w:val="000000"/>
          <w:sz w:val="18"/>
          <w:szCs w:val="18"/>
          <w:lang w:eastAsia="en-GB"/>
        </w:rPr>
      </w:pPr>
      <w:r>
        <w:rPr>
          <w:rFonts w:cs="Arial"/>
          <w:color w:val="000000"/>
          <w:sz w:val="18"/>
          <w:szCs w:val="18"/>
          <w:vertAlign w:val="superscript"/>
          <w:lang w:eastAsia="en-GB"/>
        </w:rPr>
        <w:t>b</w:t>
      </w:r>
      <w:r>
        <w:rPr>
          <w:rFonts w:cs="Arial"/>
          <w:color w:val="000000"/>
          <w:sz w:val="18"/>
          <w:szCs w:val="18"/>
          <w:lang w:eastAsia="en-GB"/>
        </w:rPr>
        <w:t>Transfusion of wh</w:t>
      </w:r>
      <w:r w:rsidRPr="00476D45">
        <w:rPr>
          <w:rFonts w:cs="Arial"/>
          <w:color w:val="000000"/>
          <w:sz w:val="18"/>
          <w:szCs w:val="18"/>
          <w:lang w:eastAsia="en-GB"/>
        </w:rPr>
        <w:t>ole blood, packed red blood cells and platelet concentrate.</w:t>
      </w:r>
    </w:p>
    <w:p w:rsidR="00032324" w:rsidRPr="00476D45" w:rsidRDefault="00032324" w:rsidP="00032324">
      <w:pPr>
        <w:spacing w:after="60" w:line="276" w:lineRule="auto"/>
        <w:rPr>
          <w:rFonts w:cs="Arial"/>
          <w:color w:val="000000"/>
          <w:sz w:val="18"/>
          <w:szCs w:val="18"/>
          <w:lang w:eastAsia="en-GB"/>
        </w:rPr>
      </w:pPr>
      <w:r>
        <w:rPr>
          <w:rFonts w:cs="Arial"/>
          <w:color w:val="000000"/>
          <w:sz w:val="18"/>
          <w:szCs w:val="18"/>
          <w:vertAlign w:val="superscript"/>
          <w:lang w:eastAsia="en-GB"/>
        </w:rPr>
        <w:t>c</w:t>
      </w:r>
      <w:r>
        <w:rPr>
          <w:rFonts w:cs="Arial"/>
          <w:color w:val="000000"/>
          <w:sz w:val="18"/>
          <w:szCs w:val="18"/>
          <w:lang w:eastAsia="en-GB"/>
        </w:rPr>
        <w:t>T</w:t>
      </w:r>
      <w:r w:rsidRPr="00476D45">
        <w:rPr>
          <w:rFonts w:cs="Arial"/>
          <w:color w:val="000000"/>
          <w:sz w:val="18"/>
          <w:szCs w:val="18"/>
          <w:lang w:eastAsia="en-GB"/>
        </w:rPr>
        <w:t>ransfusion of plasma components and genetically engineered plasma protein.</w:t>
      </w:r>
    </w:p>
    <w:p w:rsidR="00032324" w:rsidRPr="00BF32F3" w:rsidRDefault="00032324" w:rsidP="00032324">
      <w:pPr>
        <w:pStyle w:val="Body"/>
        <w:spacing w:before="0" w:after="60" w:line="276" w:lineRule="auto"/>
        <w:rPr>
          <w:color w:val="000000" w:themeColor="text1"/>
          <w:sz w:val="18"/>
          <w:szCs w:val="18"/>
        </w:rPr>
      </w:pPr>
      <w:r>
        <w:rPr>
          <w:color w:val="000000" w:themeColor="text1"/>
          <w:sz w:val="18"/>
          <w:szCs w:val="18"/>
          <w:vertAlign w:val="superscript"/>
        </w:rPr>
        <w:lastRenderedPageBreak/>
        <w:t>d</w:t>
      </w:r>
      <w:r w:rsidRPr="00BF32F3">
        <w:rPr>
          <w:color w:val="000000" w:themeColor="text1"/>
          <w:sz w:val="18"/>
          <w:szCs w:val="18"/>
        </w:rPr>
        <w:t>Note that categories can overlap (e.g., if patients have a diagnosis from different specialties in the index quarter).</w:t>
      </w:r>
    </w:p>
    <w:p w:rsidR="00032324" w:rsidRPr="00BF32F3" w:rsidRDefault="00032324" w:rsidP="00032324">
      <w:pPr>
        <w:pStyle w:val="Body"/>
        <w:spacing w:before="0" w:after="60" w:line="276" w:lineRule="auto"/>
        <w:rPr>
          <w:color w:val="000000" w:themeColor="text1"/>
          <w:sz w:val="18"/>
          <w:szCs w:val="18"/>
        </w:rPr>
      </w:pPr>
      <w:r>
        <w:rPr>
          <w:color w:val="000000" w:themeColor="text1"/>
          <w:sz w:val="18"/>
          <w:szCs w:val="18"/>
          <w:vertAlign w:val="superscript"/>
        </w:rPr>
        <w:t>e</w:t>
      </w:r>
      <w:r w:rsidRPr="00BF32F3">
        <w:rPr>
          <w:color w:val="000000" w:themeColor="text1"/>
          <w:sz w:val="18"/>
          <w:szCs w:val="18"/>
        </w:rPr>
        <w:t>Percentages refer to the total number of patients with an outpatient diagnosis at index.</w:t>
      </w:r>
    </w:p>
    <w:p w:rsidR="00032324" w:rsidRDefault="00032324" w:rsidP="00032324">
      <w:pPr>
        <w:pStyle w:val="Body"/>
        <w:spacing w:after="60" w:line="276" w:lineRule="auto"/>
        <w:rPr>
          <w:color w:val="000000" w:themeColor="text1"/>
          <w:sz w:val="18"/>
          <w:szCs w:val="18"/>
        </w:rPr>
        <w:sectPr w:rsidR="00032324" w:rsidSect="004757BC">
          <w:pgSz w:w="16838" w:h="11906" w:orient="landscape" w:code="9"/>
          <w:pgMar w:top="1701" w:right="1418" w:bottom="1701" w:left="1418" w:header="709" w:footer="1134" w:gutter="0"/>
          <w:cols w:space="720"/>
          <w:docGrid w:linePitch="360"/>
        </w:sectPr>
      </w:pPr>
      <w:r w:rsidRPr="5A46D408">
        <w:rPr>
          <w:color w:val="000000" w:themeColor="text1"/>
          <w:sz w:val="18"/>
          <w:szCs w:val="18"/>
        </w:rPr>
        <w:t xml:space="preserve">3D, three-dimensional; ALP, alkaline phosphatase; cBTKi, covalent Bruton’s tyrosine kinase inhibitor; CLL, chronic lymphocytic leukaemia; </w:t>
      </w:r>
      <w:r w:rsidRPr="5A46D408">
        <w:rPr>
          <w:sz w:val="18"/>
          <w:szCs w:val="18"/>
        </w:rPr>
        <w:t xml:space="preserve">CT, computed tomography; CVP, central venous pressure; Dx, diagnostic; EBM, Einheitlicher Bewertungsmaßstab (German uniform evaluation standard); ED, emergency department; excl., excluding; FISH, fluorescence </w:t>
      </w:r>
      <w:r w:rsidRPr="5A46D408">
        <w:rPr>
          <w:i/>
          <w:iCs/>
          <w:sz w:val="18"/>
          <w:szCs w:val="18"/>
        </w:rPr>
        <w:t>in situ</w:t>
      </w:r>
      <w:r w:rsidRPr="5A46D408">
        <w:rPr>
          <w:sz w:val="18"/>
          <w:szCs w:val="18"/>
        </w:rPr>
        <w:t xml:space="preserve"> hybridisation; GOT, glutamic-oxaloacetic transaminase; </w:t>
      </w:r>
      <w:r w:rsidRPr="5A46D408">
        <w:rPr>
          <w:color w:val="000000" w:themeColor="text1"/>
          <w:sz w:val="18"/>
          <w:szCs w:val="18"/>
        </w:rPr>
        <w:t xml:space="preserve">GP, general practitioner; </w:t>
      </w:r>
      <w:r>
        <w:rPr>
          <w:color w:val="000000" w:themeColor="text1"/>
          <w:sz w:val="18"/>
          <w:szCs w:val="18"/>
        </w:rPr>
        <w:t xml:space="preserve">GOP, </w:t>
      </w:r>
      <w:r w:rsidRPr="005C2DF8">
        <w:rPr>
          <w:color w:val="000000" w:themeColor="text1"/>
          <w:sz w:val="18"/>
          <w:szCs w:val="18"/>
        </w:rPr>
        <w:t>Gebührenordnungspositionen (</w:t>
      </w:r>
      <w:r>
        <w:rPr>
          <w:color w:val="000000" w:themeColor="text1"/>
          <w:sz w:val="18"/>
          <w:szCs w:val="18"/>
        </w:rPr>
        <w:t>fee schedule);</w:t>
      </w:r>
      <w:r w:rsidRPr="005C2DF8">
        <w:rPr>
          <w:color w:val="000000" w:themeColor="text1"/>
          <w:sz w:val="18"/>
          <w:szCs w:val="18"/>
        </w:rPr>
        <w:t xml:space="preserve"> </w:t>
      </w:r>
      <w:r w:rsidRPr="5A46D408">
        <w:rPr>
          <w:color w:val="000000" w:themeColor="text1"/>
          <w:sz w:val="18"/>
          <w:szCs w:val="18"/>
        </w:rPr>
        <w:t xml:space="preserve">GPT, glutamate pyruvate transaminase; GT, glutamyl transferase; LDH, lactate dehydrogenase; MRI, magnetic resonance imaging; MRP, multi-resistant pathogen; OPS, Operationen- und Prozedurenschlüssel </w:t>
      </w:r>
      <w:r w:rsidRPr="5A46D408">
        <w:rPr>
          <w:rFonts w:eastAsia="SimSun" w:cs="Arial"/>
          <w:color w:val="000000" w:themeColor="text1"/>
          <w:sz w:val="18"/>
          <w:szCs w:val="18"/>
        </w:rPr>
        <w:t>(Operation and procedure classification system)</w:t>
      </w:r>
      <w:r w:rsidRPr="5A46D408">
        <w:rPr>
          <w:color w:val="000000" w:themeColor="text1"/>
          <w:sz w:val="18"/>
          <w:szCs w:val="18"/>
        </w:rPr>
        <w:t>; SGB V, Sozialgesetzbuch V; PAP, pulmonary artery pressure; PET, positron emission tomography; PY, patient years; TEE, transoesophageal echocardiography; TSH, thyroid stimulating hormone; Tx, treatment.</w:t>
      </w:r>
    </w:p>
    <w:p w:rsidR="00032324" w:rsidRPr="00BF32F3" w:rsidRDefault="00032324" w:rsidP="00032324">
      <w:pPr>
        <w:pStyle w:val="TableFig"/>
        <w:rPr>
          <w:b/>
        </w:rPr>
      </w:pPr>
      <w:bookmarkStart w:id="1" w:name="_Hlk192798071"/>
      <w:r>
        <w:rPr>
          <w:b/>
          <w:bCs w:val="0"/>
        </w:rPr>
        <w:lastRenderedPageBreak/>
        <w:t xml:space="preserve">Supplementary </w:t>
      </w:r>
      <w:r w:rsidRPr="00BF32F3">
        <w:rPr>
          <w:b/>
          <w:bCs w:val="0"/>
        </w:rPr>
        <w:t xml:space="preserve">Figure </w:t>
      </w:r>
      <w:r>
        <w:rPr>
          <w:b/>
          <w:bCs w:val="0"/>
        </w:rPr>
        <w:t>S1</w:t>
      </w:r>
      <w:r w:rsidRPr="00BF32F3">
        <w:t xml:space="preserve"> Annual prevalence of CLL per 100,000 population</w:t>
      </w:r>
      <w:r>
        <w:t xml:space="preserve"> in</w:t>
      </w:r>
      <w:r w:rsidRPr="00BF32F3">
        <w:t xml:space="preserve"> the </w:t>
      </w:r>
      <w:r>
        <w:t xml:space="preserve">study population </w:t>
      </w:r>
      <w:r w:rsidRPr="00BF32F3">
        <w:t xml:space="preserve">by sex </w:t>
      </w:r>
      <w:r>
        <w:t>and overall (</w:t>
      </w:r>
      <w:r w:rsidRPr="00B23886">
        <w:rPr>
          <w:b/>
          <w:bCs w:val="0"/>
        </w:rPr>
        <w:t>a</w:t>
      </w:r>
      <w:r>
        <w:t xml:space="preserve">), </w:t>
      </w:r>
      <w:r w:rsidRPr="00BF32F3">
        <w:t>and by age group</w:t>
      </w:r>
      <w:r>
        <w:t xml:space="preserve"> </w:t>
      </w:r>
      <w:r w:rsidRPr="00BF32F3">
        <w:t xml:space="preserve"> </w:t>
      </w:r>
      <w:r>
        <w:t>(</w:t>
      </w:r>
      <w:r>
        <w:rPr>
          <w:b/>
          <w:bCs w:val="0"/>
        </w:rPr>
        <w:t>b</w:t>
      </w:r>
      <w:r>
        <w:t>).</w:t>
      </w:r>
    </w:p>
    <w:p w:rsidR="00032324" w:rsidRPr="00BF32F3" w:rsidRDefault="00032324" w:rsidP="00032324">
      <w:pPr>
        <w:keepNext/>
        <w:spacing w:after="0" w:line="360" w:lineRule="auto"/>
        <w:rPr>
          <w:rStyle w:val="Heading2Char"/>
          <w:rFonts w:eastAsiaTheme="minorHAnsi"/>
          <w:i w:val="0"/>
          <w:iCs w:val="0"/>
        </w:rPr>
      </w:pPr>
      <w:r>
        <w:rPr>
          <w:rStyle w:val="Heading2Char"/>
          <w:rFonts w:eastAsiaTheme="minorHAnsi"/>
          <w:i w:val="0"/>
          <w:iCs w:val="0"/>
        </w:rPr>
        <w:t>(a</w:t>
      </w:r>
      <w:r w:rsidRPr="00BF32F3">
        <w:rPr>
          <w:rStyle w:val="Heading2Char"/>
          <w:rFonts w:eastAsiaTheme="minorHAnsi"/>
          <w:i w:val="0"/>
          <w:iCs w:val="0"/>
        </w:rPr>
        <w:t>) Prevalence by sex and overall, study population</w:t>
      </w:r>
    </w:p>
    <w:p w:rsidR="00032324" w:rsidRPr="00BF32F3" w:rsidRDefault="00032324" w:rsidP="00032324">
      <w:pPr>
        <w:pStyle w:val="Body"/>
      </w:pPr>
      <w:r w:rsidRPr="00BF32F3">
        <w:rPr>
          <w:noProof/>
          <w:lang w:val="en-US"/>
        </w:rPr>
        <w:drawing>
          <wp:inline distT="0" distB="0" distL="0" distR="0" wp14:anchorId="5FA2C17B" wp14:editId="01E56E85">
            <wp:extent cx="6522720" cy="3931920"/>
            <wp:effectExtent l="0" t="0" r="17780" b="17780"/>
            <wp:docPr id="125874896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32324" w:rsidRPr="00BF32F3" w:rsidRDefault="00032324" w:rsidP="00032324">
      <w:pPr>
        <w:keepNext/>
        <w:spacing w:after="0" w:line="360" w:lineRule="auto"/>
        <w:rPr>
          <w:b/>
          <w:bCs/>
        </w:rPr>
      </w:pPr>
      <w:r w:rsidRPr="00BF32F3">
        <w:rPr>
          <w:b/>
          <w:bCs/>
        </w:rPr>
        <w:lastRenderedPageBreak/>
        <w:t>(</w:t>
      </w:r>
      <w:r>
        <w:rPr>
          <w:b/>
          <w:bCs/>
        </w:rPr>
        <w:t>b</w:t>
      </w:r>
      <w:r w:rsidRPr="00BF32F3">
        <w:rPr>
          <w:b/>
          <w:bCs/>
        </w:rPr>
        <w:t>) Prevalence by age group, study population</w:t>
      </w:r>
    </w:p>
    <w:p w:rsidR="00032324" w:rsidRPr="00BF32F3" w:rsidRDefault="00032324" w:rsidP="00032324">
      <w:r w:rsidRPr="00BF32F3">
        <w:rPr>
          <w:noProof/>
        </w:rPr>
        <w:drawing>
          <wp:inline distT="0" distB="0" distL="0" distR="0" wp14:anchorId="59CD87D5" wp14:editId="3CE0D3F8">
            <wp:extent cx="8371840" cy="3931920"/>
            <wp:effectExtent l="0" t="0" r="10160" b="17780"/>
            <wp:docPr id="67589834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32324" w:rsidRPr="00BF32F3" w:rsidRDefault="00032324" w:rsidP="00032324">
      <w:pPr>
        <w:spacing w:before="180" w:after="60" w:line="276" w:lineRule="auto"/>
        <w:rPr>
          <w:rFonts w:cs="Arial"/>
          <w:sz w:val="18"/>
          <w:szCs w:val="18"/>
        </w:rPr>
      </w:pPr>
      <w:r w:rsidRPr="00BF32F3">
        <w:rPr>
          <w:rFonts w:cs="Arial"/>
          <w:sz w:val="18"/>
          <w:szCs w:val="18"/>
        </w:rPr>
        <w:t xml:space="preserve">Data for groups aged from </w:t>
      </w:r>
      <w:r>
        <w:rPr>
          <w:rFonts w:cs="Arial"/>
          <w:sz w:val="18"/>
          <w:szCs w:val="18"/>
        </w:rPr>
        <w:t xml:space="preserve">18 to 44 years </w:t>
      </w:r>
      <w:r w:rsidRPr="00BF32F3">
        <w:rPr>
          <w:rFonts w:cs="Arial"/>
          <w:sz w:val="18"/>
          <w:szCs w:val="18"/>
        </w:rPr>
        <w:t xml:space="preserve">are grouped together due to low numbers. </w:t>
      </w:r>
    </w:p>
    <w:p w:rsidR="00032324" w:rsidRPr="00BF32F3" w:rsidRDefault="00032324" w:rsidP="00032324">
      <w:pPr>
        <w:spacing w:before="180" w:after="60" w:line="276" w:lineRule="auto"/>
        <w:rPr>
          <w:sz w:val="18"/>
          <w:szCs w:val="18"/>
        </w:rPr>
      </w:pPr>
      <w:r w:rsidRPr="00BF32F3">
        <w:rPr>
          <w:sz w:val="18"/>
          <w:szCs w:val="18"/>
        </w:rPr>
        <w:t>CI, confidence interval</w:t>
      </w:r>
      <w:r>
        <w:rPr>
          <w:sz w:val="18"/>
          <w:szCs w:val="18"/>
        </w:rPr>
        <w:t>; CLL, chronic lymphocytic leukaemia</w:t>
      </w:r>
      <w:r w:rsidRPr="00BF32F3">
        <w:rPr>
          <w:sz w:val="18"/>
          <w:szCs w:val="18"/>
        </w:rPr>
        <w:t>.</w:t>
      </w:r>
    </w:p>
    <w:p w:rsidR="00032324" w:rsidRPr="00BF32F3" w:rsidRDefault="00032324" w:rsidP="00032324">
      <w:pPr>
        <w:pStyle w:val="TableFig"/>
        <w:rPr>
          <w:b/>
        </w:rPr>
      </w:pPr>
      <w:r>
        <w:rPr>
          <w:b/>
          <w:bCs w:val="0"/>
        </w:rPr>
        <w:lastRenderedPageBreak/>
        <w:t xml:space="preserve">Supplementary </w:t>
      </w:r>
      <w:r w:rsidRPr="00BF32F3">
        <w:rPr>
          <w:b/>
          <w:bCs w:val="0"/>
        </w:rPr>
        <w:t xml:space="preserve">Figure </w:t>
      </w:r>
      <w:r>
        <w:rPr>
          <w:b/>
          <w:bCs w:val="0"/>
        </w:rPr>
        <w:t>S2</w:t>
      </w:r>
      <w:r w:rsidRPr="00BF32F3">
        <w:t xml:space="preserve"> </w:t>
      </w:r>
      <w:r w:rsidRPr="00BF32F3">
        <w:rPr>
          <w:bCs w:val="0"/>
        </w:rPr>
        <w:t xml:space="preserve">Annual incidence of CLL per 100,000 population </w:t>
      </w:r>
      <w:r>
        <w:t xml:space="preserve">in the study population </w:t>
      </w:r>
      <w:r>
        <w:rPr>
          <w:bCs w:val="0"/>
        </w:rPr>
        <w:t>by sex and overall (</w:t>
      </w:r>
      <w:r w:rsidRPr="00B23886">
        <w:rPr>
          <w:b/>
        </w:rPr>
        <w:t>a</w:t>
      </w:r>
      <w:r>
        <w:rPr>
          <w:bCs w:val="0"/>
        </w:rPr>
        <w:t xml:space="preserve">) and by age group </w:t>
      </w:r>
      <w:r>
        <w:t>(</w:t>
      </w:r>
      <w:r>
        <w:rPr>
          <w:b/>
          <w:bCs w:val="0"/>
        </w:rPr>
        <w:t>b</w:t>
      </w:r>
      <w:r>
        <w:t>).</w:t>
      </w:r>
    </w:p>
    <w:p w:rsidR="00032324" w:rsidRPr="00467BFA" w:rsidRDefault="00032324" w:rsidP="00032324">
      <w:pPr>
        <w:keepNext/>
        <w:spacing w:after="0" w:line="360" w:lineRule="auto"/>
        <w:rPr>
          <w:rStyle w:val="Heading2Char"/>
          <w:rFonts w:eastAsiaTheme="minorHAnsi"/>
          <w:b w:val="0"/>
          <w:bCs w:val="0"/>
        </w:rPr>
      </w:pPr>
      <w:r w:rsidRPr="00BF32F3">
        <w:rPr>
          <w:noProof/>
        </w:rPr>
        <w:drawing>
          <wp:anchor distT="0" distB="0" distL="114300" distR="114300" simplePos="0" relativeHeight="251659264" behindDoc="1" locked="0" layoutInCell="1" allowOverlap="1" wp14:anchorId="1830968E" wp14:editId="1B0C87AD">
            <wp:simplePos x="0" y="0"/>
            <wp:positionH relativeFrom="margin">
              <wp:align>left</wp:align>
            </wp:positionH>
            <wp:positionV relativeFrom="paragraph">
              <wp:posOffset>382905</wp:posOffset>
            </wp:positionV>
            <wp:extent cx="6522720" cy="3931920"/>
            <wp:effectExtent l="0" t="0" r="11430" b="11430"/>
            <wp:wrapTopAndBottom/>
            <wp:docPr id="119017195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Pr="00467BFA">
        <w:rPr>
          <w:b/>
          <w:bCs/>
        </w:rPr>
        <w:t>(</w:t>
      </w:r>
      <w:r>
        <w:rPr>
          <w:b/>
          <w:bCs/>
        </w:rPr>
        <w:t>a</w:t>
      </w:r>
      <w:r w:rsidRPr="00467BFA">
        <w:rPr>
          <w:b/>
          <w:bCs/>
        </w:rPr>
        <w:t>) Incidence by sex and overall,</w:t>
      </w:r>
      <w:r w:rsidRPr="00BD5875">
        <w:rPr>
          <w:b/>
          <w:bCs/>
        </w:rPr>
        <w:t xml:space="preserve"> </w:t>
      </w:r>
      <w:r w:rsidRPr="00BD5875">
        <w:rPr>
          <w:rStyle w:val="Heading2Char"/>
          <w:rFonts w:eastAsiaTheme="minorHAnsi"/>
          <w:i w:val="0"/>
          <w:iCs w:val="0"/>
        </w:rPr>
        <w:t>study population</w:t>
      </w:r>
    </w:p>
    <w:p w:rsidR="00032324" w:rsidRDefault="00032324" w:rsidP="00032324">
      <w:pPr>
        <w:rPr>
          <w:b/>
          <w:bCs/>
        </w:rPr>
      </w:pPr>
    </w:p>
    <w:p w:rsidR="00032324" w:rsidRPr="00BF32F3" w:rsidRDefault="00032324" w:rsidP="00032324">
      <w:pPr>
        <w:keepNext/>
        <w:rPr>
          <w:rStyle w:val="Heading2Char"/>
          <w:rFonts w:eastAsiaTheme="minorHAnsi"/>
          <w:b w:val="0"/>
          <w:bCs w:val="0"/>
          <w:i w:val="0"/>
          <w:iCs w:val="0"/>
        </w:rPr>
      </w:pPr>
      <w:r w:rsidRPr="00BF32F3">
        <w:rPr>
          <w:b/>
          <w:bCs/>
        </w:rPr>
        <w:lastRenderedPageBreak/>
        <w:t>(</w:t>
      </w:r>
      <w:r>
        <w:rPr>
          <w:b/>
          <w:bCs/>
        </w:rPr>
        <w:t>b</w:t>
      </w:r>
      <w:r w:rsidRPr="00BF32F3">
        <w:rPr>
          <w:b/>
          <w:bCs/>
        </w:rPr>
        <w:t>)</w:t>
      </w:r>
      <w:r w:rsidRPr="00BF32F3">
        <w:rPr>
          <w:rStyle w:val="Heading2Char"/>
          <w:rFonts w:eastAsiaTheme="minorHAnsi"/>
          <w:i w:val="0"/>
          <w:iCs w:val="0"/>
        </w:rPr>
        <w:t xml:space="preserve"> </w:t>
      </w:r>
      <w:r>
        <w:rPr>
          <w:rStyle w:val="Heading2Char"/>
          <w:rFonts w:eastAsiaTheme="minorHAnsi"/>
          <w:i w:val="0"/>
          <w:iCs w:val="0"/>
        </w:rPr>
        <w:t>Incidence</w:t>
      </w:r>
      <w:r w:rsidRPr="00BF32F3">
        <w:rPr>
          <w:rStyle w:val="Heading2Char"/>
          <w:rFonts w:eastAsiaTheme="minorHAnsi"/>
          <w:i w:val="0"/>
          <w:iCs w:val="0"/>
        </w:rPr>
        <w:t xml:space="preserve"> by age group, study population</w:t>
      </w:r>
    </w:p>
    <w:p w:rsidR="00032324" w:rsidRPr="00BF32F3" w:rsidRDefault="00032324" w:rsidP="00032324">
      <w:r w:rsidRPr="00BF32F3">
        <w:rPr>
          <w:noProof/>
        </w:rPr>
        <w:drawing>
          <wp:inline distT="0" distB="0" distL="0" distR="0" wp14:anchorId="4ABDB344" wp14:editId="6A93131D">
            <wp:extent cx="8371840" cy="3931920"/>
            <wp:effectExtent l="0" t="0" r="10160" b="11430"/>
            <wp:docPr id="89815777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32324" w:rsidRPr="00BF32F3" w:rsidRDefault="00032324" w:rsidP="00032324">
      <w:pPr>
        <w:spacing w:before="180" w:after="60" w:line="276" w:lineRule="auto"/>
        <w:rPr>
          <w:rFonts w:cs="Arial"/>
          <w:sz w:val="18"/>
          <w:szCs w:val="18"/>
        </w:rPr>
      </w:pPr>
      <w:r w:rsidRPr="00BF32F3">
        <w:rPr>
          <w:rFonts w:cs="Arial"/>
          <w:sz w:val="18"/>
          <w:szCs w:val="18"/>
        </w:rPr>
        <w:t xml:space="preserve">Data for the groups aged from </w:t>
      </w:r>
      <w:r>
        <w:rPr>
          <w:rFonts w:cs="Arial"/>
          <w:sz w:val="18"/>
          <w:szCs w:val="18"/>
        </w:rPr>
        <w:t>18 to 44 years we</w:t>
      </w:r>
      <w:r w:rsidRPr="00BF32F3">
        <w:rPr>
          <w:rFonts w:cs="Arial"/>
          <w:sz w:val="18"/>
          <w:szCs w:val="18"/>
        </w:rPr>
        <w:t>re pooled due to low numbers.</w:t>
      </w:r>
      <w:r w:rsidRPr="00FE6BA3">
        <w:rPr>
          <w:rFonts w:cs="Arial"/>
          <w:sz w:val="18"/>
          <w:szCs w:val="18"/>
        </w:rPr>
        <w:t xml:space="preserve"> </w:t>
      </w:r>
    </w:p>
    <w:p w:rsidR="00032324" w:rsidRPr="00BF32F3" w:rsidRDefault="00032324" w:rsidP="00032324">
      <w:pPr>
        <w:spacing w:before="180" w:after="60" w:line="276" w:lineRule="auto"/>
      </w:pPr>
      <w:r w:rsidRPr="00BF32F3">
        <w:rPr>
          <w:sz w:val="18"/>
          <w:szCs w:val="18"/>
        </w:rPr>
        <w:t>CI, confidence interval</w:t>
      </w:r>
      <w:r>
        <w:rPr>
          <w:sz w:val="18"/>
          <w:szCs w:val="18"/>
        </w:rPr>
        <w:t>; CLL, chronic lymphocytic leukaemia</w:t>
      </w:r>
      <w:r w:rsidRPr="00BF32F3">
        <w:rPr>
          <w:sz w:val="18"/>
          <w:szCs w:val="18"/>
        </w:rPr>
        <w:t>.</w:t>
      </w:r>
    </w:p>
    <w:p w:rsidR="00032324" w:rsidRDefault="00032324" w:rsidP="00032324">
      <w:pPr>
        <w:pStyle w:val="Body"/>
        <w:spacing w:before="0" w:line="360" w:lineRule="auto"/>
        <w:rPr>
          <w:sz w:val="18"/>
          <w:szCs w:val="18"/>
        </w:rPr>
      </w:pPr>
    </w:p>
    <w:p w:rsidR="00032324" w:rsidRDefault="00032324" w:rsidP="00032324">
      <w:pPr>
        <w:pStyle w:val="Body"/>
        <w:spacing w:before="0" w:line="360" w:lineRule="auto"/>
        <w:rPr>
          <w:sz w:val="18"/>
          <w:szCs w:val="18"/>
        </w:rPr>
        <w:sectPr w:rsidR="00032324" w:rsidSect="004757BC">
          <w:pgSz w:w="16838" w:h="11906" w:orient="landscape" w:code="9"/>
          <w:pgMar w:top="1701" w:right="1418" w:bottom="1701" w:left="1418" w:header="709" w:footer="1134" w:gutter="0"/>
          <w:cols w:space="720"/>
          <w:docGrid w:linePitch="360"/>
        </w:sectPr>
      </w:pPr>
    </w:p>
    <w:p w:rsidR="00032324" w:rsidRPr="00BF32F3" w:rsidRDefault="00032324" w:rsidP="00032324">
      <w:pPr>
        <w:pStyle w:val="TableFig"/>
      </w:pPr>
      <w:r>
        <w:rPr>
          <w:b/>
        </w:rPr>
        <w:lastRenderedPageBreak/>
        <w:t xml:space="preserve">Supplementary </w:t>
      </w:r>
      <w:r w:rsidRPr="4952343B">
        <w:rPr>
          <w:b/>
        </w:rPr>
        <w:t xml:space="preserve">Figure </w:t>
      </w:r>
      <w:r>
        <w:rPr>
          <w:b/>
        </w:rPr>
        <w:t>S3</w:t>
      </w:r>
      <w:r>
        <w:t xml:space="preserve"> Detailed Sankey diagram of treatment paths for Cohort 1</w:t>
      </w:r>
      <w:r w:rsidRPr="4952343B">
        <w:rPr>
          <w:vertAlign w:val="superscript"/>
        </w:rPr>
        <w:t>a</w:t>
      </w:r>
      <w:r>
        <w:t>.</w:t>
      </w:r>
    </w:p>
    <w:p w:rsidR="00032324" w:rsidRPr="00CA384F" w:rsidRDefault="00032324" w:rsidP="00032324">
      <w:pPr>
        <w:pStyle w:val="Body"/>
      </w:pPr>
    </w:p>
    <w:p w:rsidR="00032324" w:rsidRDefault="00032324" w:rsidP="00032324">
      <w:pPr>
        <w:pStyle w:val="Body"/>
        <w:spacing w:before="120" w:line="276" w:lineRule="auto"/>
        <w:rPr>
          <w:sz w:val="18"/>
          <w:szCs w:val="18"/>
        </w:rPr>
      </w:pPr>
      <w:r>
        <w:rPr>
          <w:noProof/>
          <w:sz w:val="18"/>
          <w:szCs w:val="18"/>
          <w:lang w:val="en-US"/>
        </w:rPr>
        <w:drawing>
          <wp:inline distT="0" distB="0" distL="0" distR="0" wp14:anchorId="27513074" wp14:editId="70BCA1B6">
            <wp:extent cx="5659120" cy="3638902"/>
            <wp:effectExtent l="0" t="0" r="0" b="0"/>
            <wp:docPr id="1183384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084527" name="Picture 1935084527"/>
                    <pic:cNvPicPr/>
                  </pic:nvPicPr>
                  <pic:blipFill rotWithShape="1">
                    <a:blip r:embed="rId10"/>
                    <a:srcRect l="8279" t="5318" r="6867" b="56124"/>
                    <a:stretch/>
                  </pic:blipFill>
                  <pic:spPr bwMode="auto">
                    <a:xfrm>
                      <a:off x="0" y="0"/>
                      <a:ext cx="5659986" cy="3639459"/>
                    </a:xfrm>
                    <a:prstGeom prst="rect">
                      <a:avLst/>
                    </a:prstGeom>
                    <a:ln>
                      <a:noFill/>
                    </a:ln>
                    <a:extLst>
                      <a:ext uri="{53640926-AAD7-44D8-BBD7-CCE9431645EC}">
                        <a14:shadowObscured xmlns:a14="http://schemas.microsoft.com/office/drawing/2010/main"/>
                      </a:ext>
                    </a:extLst>
                  </pic:spPr>
                </pic:pic>
              </a:graphicData>
            </a:graphic>
          </wp:inline>
        </w:drawing>
      </w:r>
    </w:p>
    <w:p w:rsidR="00032324" w:rsidRDefault="00032324" w:rsidP="00032324">
      <w:pPr>
        <w:pStyle w:val="Body"/>
        <w:spacing w:before="120" w:line="276" w:lineRule="auto"/>
        <w:rPr>
          <w:sz w:val="18"/>
          <w:szCs w:val="18"/>
        </w:rPr>
      </w:pPr>
      <w:r w:rsidRPr="00BF32F3">
        <w:rPr>
          <w:sz w:val="18"/>
          <w:szCs w:val="18"/>
        </w:rPr>
        <w:t xml:space="preserve">Percentages are based on the total number of patients receiving the respective </w:t>
      </w:r>
      <w:r>
        <w:rPr>
          <w:sz w:val="18"/>
          <w:szCs w:val="18"/>
        </w:rPr>
        <w:t xml:space="preserve">previous </w:t>
      </w:r>
      <w:r w:rsidRPr="00BF32F3">
        <w:rPr>
          <w:sz w:val="18"/>
          <w:szCs w:val="18"/>
        </w:rPr>
        <w:t>line of treatment.</w:t>
      </w:r>
      <w:r>
        <w:rPr>
          <w:sz w:val="18"/>
          <w:szCs w:val="18"/>
        </w:rPr>
        <w:t xml:space="preserve"> </w:t>
      </w:r>
      <w:r w:rsidRPr="00D33361">
        <w:rPr>
          <w:sz w:val="18"/>
          <w:szCs w:val="18"/>
        </w:rPr>
        <w:t>"Other” includes treatments received by</w:t>
      </w:r>
      <w:r>
        <w:rPr>
          <w:rFonts w:cs="Arial"/>
          <w:color w:val="000000"/>
          <w:sz w:val="18"/>
          <w:szCs w:val="18"/>
          <w:lang w:eastAsia="en-GB"/>
        </w:rPr>
        <w:t xml:space="preserve"> &lt;20 patients</w:t>
      </w:r>
    </w:p>
    <w:p w:rsidR="00032324" w:rsidRPr="008C595E" w:rsidRDefault="00032324" w:rsidP="00032324">
      <w:pPr>
        <w:spacing w:after="60" w:line="276" w:lineRule="auto"/>
        <w:rPr>
          <w:rFonts w:cs="Arial"/>
          <w:color w:val="000000" w:themeColor="text1"/>
          <w:sz w:val="18"/>
          <w:szCs w:val="18"/>
          <w:lang w:eastAsia="en-GB"/>
        </w:rPr>
      </w:pPr>
      <w:r w:rsidRPr="705FC028">
        <w:rPr>
          <w:rFonts w:cs="Arial"/>
          <w:color w:val="000000" w:themeColor="text1"/>
          <w:sz w:val="18"/>
          <w:szCs w:val="18"/>
          <w:vertAlign w:val="superscript"/>
          <w:lang w:eastAsia="en-GB"/>
        </w:rPr>
        <w:t>a</w:t>
      </w:r>
      <w:r>
        <w:rPr>
          <w:rFonts w:cs="Arial"/>
          <w:color w:val="000000"/>
          <w:sz w:val="18"/>
          <w:szCs w:val="18"/>
          <w:lang w:eastAsia="en-GB"/>
        </w:rPr>
        <w:t>Cohort 1 comprised patients newly diagnosed with CLL between 01 January 2012 and 31 March 2022.</w:t>
      </w:r>
    </w:p>
    <w:p w:rsidR="00032324" w:rsidRDefault="00032324" w:rsidP="00032324">
      <w:pPr>
        <w:pStyle w:val="Body"/>
        <w:spacing w:before="120" w:after="240" w:line="276" w:lineRule="auto"/>
        <w:rPr>
          <w:sz w:val="18"/>
          <w:szCs w:val="18"/>
        </w:rPr>
      </w:pPr>
      <w:r>
        <w:rPr>
          <w:sz w:val="18"/>
          <w:szCs w:val="18"/>
        </w:rPr>
        <w:t>1L, first line; 2L, second line; 3L, third line; 4L, fourth line; Acala, a</w:t>
      </w:r>
      <w:r w:rsidRPr="00951483">
        <w:rPr>
          <w:sz w:val="18"/>
          <w:szCs w:val="18"/>
        </w:rPr>
        <w:t>calabrutinib</w:t>
      </w:r>
      <w:r>
        <w:rPr>
          <w:sz w:val="18"/>
          <w:szCs w:val="18"/>
        </w:rPr>
        <w:t>;</w:t>
      </w:r>
      <w:r w:rsidRPr="00951483">
        <w:rPr>
          <w:sz w:val="18"/>
          <w:szCs w:val="18"/>
        </w:rPr>
        <w:t xml:space="preserve"> </w:t>
      </w:r>
      <w:r>
        <w:rPr>
          <w:sz w:val="18"/>
          <w:szCs w:val="18"/>
        </w:rPr>
        <w:t>Benda, bendamustine; Chloram, chlorambucil; Cyclophos, cyclophosphamide; Fludara, fludarabine; Ibru, i</w:t>
      </w:r>
      <w:r w:rsidRPr="00951483">
        <w:rPr>
          <w:sz w:val="18"/>
          <w:szCs w:val="18"/>
        </w:rPr>
        <w:t>brutinib</w:t>
      </w:r>
      <w:r>
        <w:rPr>
          <w:sz w:val="18"/>
          <w:szCs w:val="18"/>
        </w:rPr>
        <w:t>;</w:t>
      </w:r>
      <w:r w:rsidRPr="00951483">
        <w:rPr>
          <w:sz w:val="18"/>
          <w:szCs w:val="18"/>
        </w:rPr>
        <w:t xml:space="preserve"> </w:t>
      </w:r>
      <w:r>
        <w:rPr>
          <w:sz w:val="18"/>
          <w:szCs w:val="18"/>
        </w:rPr>
        <w:t>Obinutu, o</w:t>
      </w:r>
      <w:r w:rsidRPr="00951483">
        <w:rPr>
          <w:sz w:val="18"/>
          <w:szCs w:val="18"/>
        </w:rPr>
        <w:t>binutuzumab</w:t>
      </w:r>
      <w:r>
        <w:rPr>
          <w:sz w:val="18"/>
          <w:szCs w:val="18"/>
        </w:rPr>
        <w:t xml:space="preserve">; OPS, </w:t>
      </w:r>
      <w:r w:rsidRPr="00741B06">
        <w:rPr>
          <w:sz w:val="18"/>
          <w:szCs w:val="18"/>
        </w:rPr>
        <w:t>chemotherap</w:t>
      </w:r>
      <w:r>
        <w:rPr>
          <w:sz w:val="18"/>
          <w:szCs w:val="18"/>
        </w:rPr>
        <w:t>y</w:t>
      </w:r>
      <w:r w:rsidRPr="00741B06">
        <w:rPr>
          <w:sz w:val="18"/>
          <w:szCs w:val="18"/>
        </w:rPr>
        <w:t xml:space="preserve"> in the inpatient setting</w:t>
      </w:r>
      <w:r>
        <w:rPr>
          <w:sz w:val="18"/>
          <w:szCs w:val="18"/>
        </w:rPr>
        <w:t>; Rituxi, rituximab; Veneto, venetoclax.</w:t>
      </w:r>
    </w:p>
    <w:p w:rsidR="00032324" w:rsidRDefault="00032324" w:rsidP="00032324">
      <w:pPr>
        <w:pStyle w:val="TableFig"/>
        <w:rPr>
          <w:b/>
        </w:rPr>
        <w:sectPr w:rsidR="00032324" w:rsidSect="003E280C">
          <w:pgSz w:w="11906" w:h="16838" w:code="9"/>
          <w:pgMar w:top="1418" w:right="1701" w:bottom="1418" w:left="1701" w:header="709" w:footer="1134" w:gutter="0"/>
          <w:cols w:space="720"/>
          <w:docGrid w:linePitch="360"/>
        </w:sectPr>
      </w:pPr>
    </w:p>
    <w:p w:rsidR="00032324" w:rsidRPr="00BF32F3" w:rsidRDefault="00032324" w:rsidP="00032324">
      <w:pPr>
        <w:pStyle w:val="TableFig"/>
      </w:pPr>
      <w:r w:rsidRPr="705FC028">
        <w:rPr>
          <w:b/>
        </w:rPr>
        <w:lastRenderedPageBreak/>
        <w:t>Supplementary Figure S</w:t>
      </w:r>
      <w:r>
        <w:rPr>
          <w:b/>
        </w:rPr>
        <w:t>4</w:t>
      </w:r>
      <w:r>
        <w:t xml:space="preserve"> Sensitivity analysis: Kaplan–Meier plot of time to next treatment (TTNT; from index) after exclusion of patients diagnosed with Richter’s transformation during follow-up: Cohort </w:t>
      </w:r>
      <w:r w:rsidRPr="00D17106">
        <w:t>2</w:t>
      </w:r>
      <w:r>
        <w:rPr>
          <w:vertAlign w:val="superscript"/>
        </w:rPr>
        <w:t>a</w:t>
      </w:r>
      <w:r>
        <w:t>.</w:t>
      </w:r>
    </w:p>
    <w:p w:rsidR="00032324" w:rsidRDefault="00032324" w:rsidP="00032324">
      <w:r>
        <w:rPr>
          <w:noProof/>
        </w:rPr>
        <w:drawing>
          <wp:inline distT="0" distB="0" distL="0" distR="0" wp14:anchorId="0F94BF94" wp14:editId="58863900">
            <wp:extent cx="5400040" cy="3037840"/>
            <wp:effectExtent l="0" t="0" r="0" b="0"/>
            <wp:docPr id="7162171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17105" name="Picture 716217105"/>
                    <pic:cNvPicPr/>
                  </pic:nvPicPr>
                  <pic:blipFill>
                    <a:blip r:embed="rId11"/>
                    <a:stretch>
                      <a:fillRect/>
                    </a:stretch>
                  </pic:blipFill>
                  <pic:spPr>
                    <a:xfrm>
                      <a:off x="0" y="0"/>
                      <a:ext cx="5400040" cy="3037840"/>
                    </a:xfrm>
                    <a:prstGeom prst="rect">
                      <a:avLst/>
                    </a:prstGeom>
                  </pic:spPr>
                </pic:pic>
              </a:graphicData>
            </a:graphic>
          </wp:inline>
        </w:drawing>
      </w:r>
    </w:p>
    <w:p w:rsidR="00032324" w:rsidRPr="00BA5E58" w:rsidRDefault="00032324" w:rsidP="00032324">
      <w:pPr>
        <w:spacing w:before="180" w:after="60" w:line="276" w:lineRule="auto"/>
        <w:rPr>
          <w:rFonts w:cs="Arial"/>
          <w:color w:val="000000"/>
          <w:sz w:val="18"/>
          <w:szCs w:val="18"/>
          <w:lang w:eastAsia="en-GB"/>
        </w:rPr>
      </w:pPr>
      <w:r w:rsidRPr="00BF32F3">
        <w:rPr>
          <w:rFonts w:cs="Arial"/>
          <w:color w:val="000000"/>
          <w:sz w:val="18"/>
          <w:szCs w:val="18"/>
          <w:vertAlign w:val="superscript"/>
          <w:lang w:eastAsia="en-GB"/>
        </w:rPr>
        <w:t>a</w:t>
      </w:r>
      <w:r>
        <w:rPr>
          <w:rFonts w:cs="Arial"/>
          <w:color w:val="000000"/>
          <w:sz w:val="18"/>
          <w:szCs w:val="18"/>
          <w:lang w:eastAsia="en-GB"/>
        </w:rPr>
        <w:t xml:space="preserve">Cohort 2 </w:t>
      </w:r>
      <w:r w:rsidRPr="00F14845">
        <w:rPr>
          <w:rFonts w:cs="Arial"/>
          <w:color w:val="000000"/>
          <w:sz w:val="18"/>
          <w:szCs w:val="18"/>
          <w:lang w:eastAsia="en-GB"/>
        </w:rPr>
        <w:t>comprised patients from Cohort 1</w:t>
      </w:r>
      <w:r w:rsidRPr="00F14845">
        <w:rPr>
          <w:sz w:val="18"/>
          <w:szCs w:val="18"/>
        </w:rPr>
        <w:t xml:space="preserve"> (patients with newly diagnosed CLL between 01 January 2012 and 31 March 2022) </w:t>
      </w:r>
      <w:r w:rsidRPr="00F14845">
        <w:rPr>
          <w:rFonts w:cs="Arial"/>
          <w:color w:val="000000"/>
          <w:sz w:val="18"/>
          <w:szCs w:val="18"/>
          <w:lang w:eastAsia="en-GB"/>
        </w:rPr>
        <w:t>who initiated cBTKi therapy for the first time (any line of therapy</w:t>
      </w:r>
      <w:r w:rsidRPr="002B7A3C">
        <w:rPr>
          <w:rFonts w:cs="Arial"/>
          <w:color w:val="000000"/>
          <w:sz w:val="18"/>
          <w:szCs w:val="18"/>
          <w:lang w:eastAsia="en-GB"/>
        </w:rPr>
        <w:t>) between 01 January 2017 and 31 March 2022</w:t>
      </w:r>
      <w:r>
        <w:rPr>
          <w:rFonts w:cs="Arial"/>
          <w:color w:val="000000"/>
          <w:sz w:val="18"/>
          <w:szCs w:val="18"/>
          <w:lang w:eastAsia="en-GB"/>
        </w:rPr>
        <w:t>.</w:t>
      </w:r>
    </w:p>
    <w:p w:rsidR="00032324" w:rsidRDefault="00032324" w:rsidP="00032324">
      <w:pPr>
        <w:spacing w:before="180" w:after="60" w:line="276" w:lineRule="auto"/>
        <w:rPr>
          <w:sz w:val="18"/>
          <w:szCs w:val="18"/>
        </w:rPr>
      </w:pPr>
      <w:r w:rsidRPr="00000896">
        <w:rPr>
          <w:sz w:val="18"/>
          <w:szCs w:val="18"/>
        </w:rPr>
        <w:t xml:space="preserve">cBTKi, covalent Bruton’s tyrosine kinase inhibitor; CI, confidence interval; </w:t>
      </w:r>
      <w:r>
        <w:rPr>
          <w:sz w:val="18"/>
          <w:szCs w:val="18"/>
        </w:rPr>
        <w:t xml:space="preserve">CLL, chronic lymphocytic leukaemia; Excl. Richter’s, excluding patients diagnosed with Richter’s transformation during follow-up; </w:t>
      </w:r>
      <w:r w:rsidRPr="00000896">
        <w:rPr>
          <w:sz w:val="18"/>
          <w:szCs w:val="18"/>
        </w:rPr>
        <w:t>TTNT, time to next treatment</w:t>
      </w:r>
      <w:r>
        <w:rPr>
          <w:sz w:val="18"/>
          <w:szCs w:val="18"/>
        </w:rPr>
        <w:t>.</w:t>
      </w:r>
    </w:p>
    <w:p w:rsidR="00032324" w:rsidRDefault="00032324" w:rsidP="00032324">
      <w:pPr>
        <w:spacing w:after="0" w:line="240" w:lineRule="auto"/>
        <w:rPr>
          <w:color w:val="000000" w:themeColor="text1"/>
          <w:sz w:val="18"/>
          <w:szCs w:val="18"/>
        </w:rPr>
      </w:pPr>
      <w:r>
        <w:rPr>
          <w:color w:val="000000" w:themeColor="text1"/>
          <w:sz w:val="18"/>
          <w:szCs w:val="18"/>
        </w:rPr>
        <w:br w:type="page"/>
      </w:r>
    </w:p>
    <w:p w:rsidR="00032324" w:rsidRPr="00BF32F3" w:rsidRDefault="00032324" w:rsidP="00032324">
      <w:pPr>
        <w:pStyle w:val="TableFig"/>
      </w:pPr>
      <w:r w:rsidRPr="4952343B">
        <w:rPr>
          <w:b/>
        </w:rPr>
        <w:lastRenderedPageBreak/>
        <w:t>Supplementary Figure S</w:t>
      </w:r>
      <w:r>
        <w:rPr>
          <w:b/>
        </w:rPr>
        <w:t>5</w:t>
      </w:r>
      <w:r>
        <w:t xml:space="preserve"> Sensitivity analysis: Kaplan–Meier plot of overall survival after exclusion of patients diagnosed with Richter’s transformation during follow-up, in (</w:t>
      </w:r>
      <w:r w:rsidRPr="00B12642">
        <w:rPr>
          <w:b/>
          <w:bCs w:val="0"/>
        </w:rPr>
        <w:t>a</w:t>
      </w:r>
      <w:r>
        <w:t>) Cohort 1 and (</w:t>
      </w:r>
      <w:r w:rsidRPr="4952343B">
        <w:rPr>
          <w:b/>
        </w:rPr>
        <w:t>b</w:t>
      </w:r>
      <w:r>
        <w:t>) Cohort 2.</w:t>
      </w:r>
    </w:p>
    <w:p w:rsidR="00032324" w:rsidRPr="00C81750" w:rsidRDefault="00032324" w:rsidP="00032324">
      <w:pPr>
        <w:keepNext/>
        <w:spacing w:after="0" w:line="240" w:lineRule="auto"/>
        <w:rPr>
          <w:b/>
          <w:bCs/>
          <w:vertAlign w:val="superscript"/>
        </w:rPr>
      </w:pPr>
      <w:r w:rsidRPr="00C97AF2">
        <w:rPr>
          <w:b/>
          <w:bCs/>
        </w:rPr>
        <w:t>(</w:t>
      </w:r>
      <w:r>
        <w:rPr>
          <w:b/>
          <w:bCs/>
        </w:rPr>
        <w:t>a</w:t>
      </w:r>
      <w:r w:rsidRPr="00C97AF2">
        <w:rPr>
          <w:b/>
          <w:bCs/>
        </w:rPr>
        <w:t xml:space="preserve">) Cohort </w:t>
      </w:r>
      <w:r>
        <w:rPr>
          <w:b/>
          <w:bCs/>
        </w:rPr>
        <w:t>1</w:t>
      </w:r>
      <w:r>
        <w:rPr>
          <w:b/>
          <w:bCs/>
          <w:vertAlign w:val="superscript"/>
        </w:rPr>
        <w:t>a</w:t>
      </w:r>
    </w:p>
    <w:p w:rsidR="00032324" w:rsidRDefault="00032324" w:rsidP="00032324">
      <w:pPr>
        <w:keepNext/>
        <w:spacing w:after="0" w:line="240" w:lineRule="auto"/>
        <w:rPr>
          <w:noProof/>
        </w:rPr>
      </w:pPr>
      <w:r>
        <w:rPr>
          <w:noProof/>
        </w:rPr>
        <w:drawing>
          <wp:inline distT="0" distB="0" distL="0" distR="0" wp14:anchorId="3045A398" wp14:editId="7AA1DBF3">
            <wp:extent cx="5400040" cy="3037840"/>
            <wp:effectExtent l="0" t="0" r="0" b="0"/>
            <wp:docPr id="3464790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479013" name="Picture 346479013"/>
                    <pic:cNvPicPr/>
                  </pic:nvPicPr>
                  <pic:blipFill>
                    <a:blip r:embed="rId12"/>
                    <a:stretch>
                      <a:fillRect/>
                    </a:stretch>
                  </pic:blipFill>
                  <pic:spPr>
                    <a:xfrm>
                      <a:off x="0" y="0"/>
                      <a:ext cx="5400040" cy="3037840"/>
                    </a:xfrm>
                    <a:prstGeom prst="rect">
                      <a:avLst/>
                    </a:prstGeom>
                  </pic:spPr>
                </pic:pic>
              </a:graphicData>
            </a:graphic>
          </wp:inline>
        </w:drawing>
      </w:r>
    </w:p>
    <w:p w:rsidR="00032324" w:rsidRPr="00FA1357" w:rsidRDefault="00032324" w:rsidP="00032324">
      <w:pPr>
        <w:keepNext/>
        <w:spacing w:after="0" w:line="240" w:lineRule="auto"/>
      </w:pPr>
      <w:r w:rsidRPr="3AB946EE">
        <w:rPr>
          <w:b/>
          <w:bCs/>
        </w:rPr>
        <w:t>(b) Cohort 2</w:t>
      </w:r>
    </w:p>
    <w:p w:rsidR="00032324" w:rsidRDefault="00032324" w:rsidP="00032324">
      <w:pPr>
        <w:keepNext/>
        <w:spacing w:after="0" w:line="240" w:lineRule="auto"/>
      </w:pPr>
      <w:r>
        <w:rPr>
          <w:noProof/>
        </w:rPr>
        <w:drawing>
          <wp:inline distT="0" distB="0" distL="0" distR="0" wp14:anchorId="2E800266" wp14:editId="7FE8C61D">
            <wp:extent cx="5400040" cy="3037840"/>
            <wp:effectExtent l="0" t="0" r="0" b="0"/>
            <wp:docPr id="4448216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821695" name="Picture 444821695"/>
                    <pic:cNvPicPr/>
                  </pic:nvPicPr>
                  <pic:blipFill>
                    <a:blip r:embed="rId13"/>
                    <a:stretch>
                      <a:fillRect/>
                    </a:stretch>
                  </pic:blipFill>
                  <pic:spPr>
                    <a:xfrm>
                      <a:off x="0" y="0"/>
                      <a:ext cx="5400040" cy="3037840"/>
                    </a:xfrm>
                    <a:prstGeom prst="rect">
                      <a:avLst/>
                    </a:prstGeom>
                  </pic:spPr>
                </pic:pic>
              </a:graphicData>
            </a:graphic>
          </wp:inline>
        </w:drawing>
      </w:r>
    </w:p>
    <w:p w:rsidR="00032324" w:rsidRPr="00BA5E58" w:rsidRDefault="00032324" w:rsidP="00032324">
      <w:pPr>
        <w:spacing w:before="180" w:after="60" w:line="276" w:lineRule="auto"/>
        <w:rPr>
          <w:rFonts w:cs="Arial"/>
          <w:color w:val="000000"/>
          <w:sz w:val="18"/>
          <w:szCs w:val="18"/>
          <w:lang w:eastAsia="en-GB"/>
        </w:rPr>
      </w:pPr>
      <w:r w:rsidRPr="00BF32F3">
        <w:rPr>
          <w:rFonts w:cs="Arial"/>
          <w:color w:val="000000"/>
          <w:sz w:val="18"/>
          <w:szCs w:val="18"/>
          <w:vertAlign w:val="superscript"/>
          <w:lang w:eastAsia="en-GB"/>
        </w:rPr>
        <w:t>a</w:t>
      </w:r>
      <w:r>
        <w:rPr>
          <w:rFonts w:cs="Arial"/>
          <w:color w:val="000000"/>
          <w:sz w:val="18"/>
          <w:szCs w:val="18"/>
          <w:lang w:eastAsia="en-GB"/>
        </w:rPr>
        <w:t>Cohort 1 comprised patients newly diagnosed with CLL between 01 January 2012 and 31 March 2022. Cohort 2 comprised p</w:t>
      </w:r>
      <w:r w:rsidRPr="00BA5E58">
        <w:rPr>
          <w:rFonts w:cs="Arial"/>
          <w:color w:val="000000"/>
          <w:sz w:val="18"/>
          <w:szCs w:val="18"/>
          <w:lang w:eastAsia="en-GB"/>
        </w:rPr>
        <w:t>atients</w:t>
      </w:r>
      <w:r>
        <w:rPr>
          <w:rFonts w:cs="Arial"/>
          <w:color w:val="000000"/>
          <w:sz w:val="18"/>
          <w:szCs w:val="18"/>
          <w:lang w:eastAsia="en-GB"/>
        </w:rPr>
        <w:t xml:space="preserve"> from Cohort 1</w:t>
      </w:r>
      <w:r w:rsidRPr="002B7A3C">
        <w:t xml:space="preserve"> </w:t>
      </w:r>
      <w:r w:rsidRPr="002B7A3C">
        <w:rPr>
          <w:rFonts w:cs="Arial"/>
          <w:color w:val="000000"/>
          <w:sz w:val="18"/>
          <w:szCs w:val="18"/>
          <w:lang w:eastAsia="en-GB"/>
        </w:rPr>
        <w:t>who initiated cBTKi therapy for the first time (any line of therapy) between 01 January 2017 and 31 March 2022</w:t>
      </w:r>
      <w:r>
        <w:rPr>
          <w:rFonts w:cs="Arial"/>
          <w:color w:val="000000"/>
          <w:sz w:val="18"/>
          <w:szCs w:val="18"/>
          <w:lang w:eastAsia="en-GB"/>
        </w:rPr>
        <w:t>.</w:t>
      </w:r>
    </w:p>
    <w:p w:rsidR="00032324" w:rsidRPr="00BF32F3" w:rsidRDefault="00032324" w:rsidP="00032324">
      <w:pPr>
        <w:spacing w:before="180" w:after="60" w:line="276" w:lineRule="auto"/>
        <w:rPr>
          <w:color w:val="000000" w:themeColor="text1"/>
          <w:sz w:val="18"/>
          <w:szCs w:val="18"/>
        </w:rPr>
      </w:pPr>
      <w:r w:rsidRPr="00000896">
        <w:rPr>
          <w:sz w:val="18"/>
          <w:szCs w:val="18"/>
        </w:rPr>
        <w:t xml:space="preserve">cBTKi, covalent Bruton’s tyrosine kinase inhibitor; CI, confidence interval; </w:t>
      </w:r>
      <w:r>
        <w:rPr>
          <w:sz w:val="18"/>
          <w:szCs w:val="18"/>
        </w:rPr>
        <w:t>CLL, chronic lymphocytic leukaemia; Excl. Richter’s, excluding patients diagnosed with Richter’s transformation during follow-up; NR, not reached; OS</w:t>
      </w:r>
      <w:r w:rsidRPr="00000896">
        <w:rPr>
          <w:sz w:val="18"/>
          <w:szCs w:val="18"/>
        </w:rPr>
        <w:t xml:space="preserve">, </w:t>
      </w:r>
      <w:r>
        <w:rPr>
          <w:sz w:val="18"/>
          <w:szCs w:val="18"/>
        </w:rPr>
        <w:t>overall survival</w:t>
      </w:r>
      <w:bookmarkEnd w:id="1"/>
      <w:r>
        <w:rPr>
          <w:sz w:val="18"/>
          <w:szCs w:val="18"/>
        </w:rPr>
        <w:t>.</w:t>
      </w:r>
    </w:p>
    <w:p w:rsidR="007213FC" w:rsidRDefault="007213FC"/>
    <w:sectPr w:rsidR="007213FC" w:rsidSect="003E280C">
      <w:pgSz w:w="11906" w:h="16838" w:code="9"/>
      <w:pgMar w:top="1418" w:right="1701" w:bottom="1418" w:left="1701" w:header="709"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142" w:rsidRPr="00317561" w:rsidRDefault="00032324" w:rsidP="00DB6F8C">
    <w:pPr>
      <w:pStyle w:val="Footer"/>
      <w:tabs>
        <w:tab w:val="clear" w:pos="8640"/>
        <w:tab w:val="right" w:pos="8320"/>
      </w:tabs>
      <w:jc w:val="center"/>
      <w:rPr>
        <w:sz w:val="18"/>
        <w:szCs w:val="18"/>
      </w:rPr>
    </w:pPr>
    <w:r w:rsidRPr="00317561">
      <w:rPr>
        <w:rStyle w:val="PageNumber"/>
        <w:sz w:val="18"/>
        <w:szCs w:val="18"/>
      </w:rPr>
      <w:fldChar w:fldCharType="begin"/>
    </w:r>
    <w:r w:rsidRPr="00317561">
      <w:rPr>
        <w:rStyle w:val="PageNumber"/>
        <w:sz w:val="18"/>
        <w:szCs w:val="18"/>
      </w:rPr>
      <w:instrText xml:space="preserve"> PAGE </w:instrText>
    </w:r>
    <w:r w:rsidRPr="00317561">
      <w:rPr>
        <w:rStyle w:val="PageNumber"/>
        <w:sz w:val="18"/>
        <w:szCs w:val="18"/>
      </w:rPr>
      <w:fldChar w:fldCharType="separate"/>
    </w:r>
    <w:r>
      <w:rPr>
        <w:rStyle w:val="PageNumber"/>
        <w:noProof/>
        <w:sz w:val="18"/>
        <w:szCs w:val="18"/>
      </w:rPr>
      <w:t>1</w:t>
    </w:r>
    <w:r w:rsidRPr="00317561">
      <w:rPr>
        <w:rStyle w:val="PageNumber"/>
        <w:sz w:val="18"/>
        <w:szCs w:val="18"/>
      </w:rPr>
      <w:fldChar w:fldCharType="end"/>
    </w:r>
    <w:r w:rsidRPr="00317561">
      <w:rPr>
        <w:rStyle w:val="PageNumber"/>
        <w:sz w:val="18"/>
        <w:szCs w:val="18"/>
      </w:rPr>
      <w:t xml:space="preserve"> of </w:t>
    </w:r>
    <w:r w:rsidRPr="00317561">
      <w:rPr>
        <w:rStyle w:val="PageNumber"/>
        <w:sz w:val="18"/>
        <w:szCs w:val="18"/>
      </w:rPr>
      <w:fldChar w:fldCharType="begin"/>
    </w:r>
    <w:r w:rsidRPr="00317561">
      <w:rPr>
        <w:rStyle w:val="PageNumber"/>
        <w:sz w:val="18"/>
        <w:szCs w:val="18"/>
      </w:rPr>
      <w:instrText xml:space="preserve"> NUMPAGES </w:instrText>
    </w:r>
    <w:r w:rsidRPr="00317561">
      <w:rPr>
        <w:rStyle w:val="PageNumber"/>
        <w:sz w:val="18"/>
        <w:szCs w:val="18"/>
      </w:rPr>
      <w:fldChar w:fldCharType="separate"/>
    </w:r>
    <w:r>
      <w:rPr>
        <w:rStyle w:val="PageNumber"/>
        <w:noProof/>
        <w:sz w:val="18"/>
        <w:szCs w:val="18"/>
      </w:rPr>
      <w:t>30</w:t>
    </w:r>
    <w:r w:rsidRPr="00317561">
      <w:rPr>
        <w:rStyle w:val="PageNumber"/>
        <w:sz w:val="18"/>
        <w:szCs w:val="18"/>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993F5B"/>
    <w:multiLevelType w:val="hybridMultilevel"/>
    <w:tmpl w:val="16A623E8"/>
    <w:lvl w:ilvl="0" w:tplc="E6A6277C">
      <w:start w:val="1"/>
      <w:numFmt w:val="bullet"/>
      <w:pStyle w:val="Bulletedtex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36320B"/>
    <w:multiLevelType w:val="hybridMultilevel"/>
    <w:tmpl w:val="C7300BA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324"/>
    <w:rsid w:val="00032324"/>
    <w:rsid w:val="00087613"/>
    <w:rsid w:val="000A083E"/>
    <w:rsid w:val="000C6EAE"/>
    <w:rsid w:val="000E2B1F"/>
    <w:rsid w:val="001372AF"/>
    <w:rsid w:val="00150746"/>
    <w:rsid w:val="00181C72"/>
    <w:rsid w:val="00186685"/>
    <w:rsid w:val="001D744A"/>
    <w:rsid w:val="001D79F8"/>
    <w:rsid w:val="001E1F04"/>
    <w:rsid w:val="002505F8"/>
    <w:rsid w:val="0025581B"/>
    <w:rsid w:val="00264B4A"/>
    <w:rsid w:val="00272DCB"/>
    <w:rsid w:val="002927C0"/>
    <w:rsid w:val="0029521D"/>
    <w:rsid w:val="002C0EBA"/>
    <w:rsid w:val="002E4A39"/>
    <w:rsid w:val="0030043A"/>
    <w:rsid w:val="00354AAE"/>
    <w:rsid w:val="003707C7"/>
    <w:rsid w:val="00385AED"/>
    <w:rsid w:val="003868EC"/>
    <w:rsid w:val="004007FC"/>
    <w:rsid w:val="004028AE"/>
    <w:rsid w:val="0044174D"/>
    <w:rsid w:val="004838A4"/>
    <w:rsid w:val="004A32A8"/>
    <w:rsid w:val="004C05DA"/>
    <w:rsid w:val="00504723"/>
    <w:rsid w:val="005239A4"/>
    <w:rsid w:val="005358AB"/>
    <w:rsid w:val="00575185"/>
    <w:rsid w:val="005A3D35"/>
    <w:rsid w:val="005A4CB5"/>
    <w:rsid w:val="005B1707"/>
    <w:rsid w:val="0064441D"/>
    <w:rsid w:val="00650D5D"/>
    <w:rsid w:val="00656071"/>
    <w:rsid w:val="0065744F"/>
    <w:rsid w:val="006810D3"/>
    <w:rsid w:val="006A4DD8"/>
    <w:rsid w:val="006E73C1"/>
    <w:rsid w:val="006E7F51"/>
    <w:rsid w:val="00703940"/>
    <w:rsid w:val="007213FC"/>
    <w:rsid w:val="00723FFD"/>
    <w:rsid w:val="00724C27"/>
    <w:rsid w:val="007321C4"/>
    <w:rsid w:val="00782DE3"/>
    <w:rsid w:val="00790A38"/>
    <w:rsid w:val="007A5D43"/>
    <w:rsid w:val="007C5BEE"/>
    <w:rsid w:val="007D5BE4"/>
    <w:rsid w:val="0080277B"/>
    <w:rsid w:val="008112A5"/>
    <w:rsid w:val="00825255"/>
    <w:rsid w:val="00827EE0"/>
    <w:rsid w:val="00835D69"/>
    <w:rsid w:val="00842F73"/>
    <w:rsid w:val="00853284"/>
    <w:rsid w:val="008741CA"/>
    <w:rsid w:val="008905A6"/>
    <w:rsid w:val="008A7004"/>
    <w:rsid w:val="008D334F"/>
    <w:rsid w:val="008F719B"/>
    <w:rsid w:val="00942DCE"/>
    <w:rsid w:val="00945A33"/>
    <w:rsid w:val="00955576"/>
    <w:rsid w:val="009D1573"/>
    <w:rsid w:val="00A46DB5"/>
    <w:rsid w:val="00A565D0"/>
    <w:rsid w:val="00A66C47"/>
    <w:rsid w:val="00A843B6"/>
    <w:rsid w:val="00AA1E7F"/>
    <w:rsid w:val="00AA21FA"/>
    <w:rsid w:val="00AA298E"/>
    <w:rsid w:val="00AE5AED"/>
    <w:rsid w:val="00B31A33"/>
    <w:rsid w:val="00B67658"/>
    <w:rsid w:val="00BD1F6A"/>
    <w:rsid w:val="00C41CA1"/>
    <w:rsid w:val="00C5381D"/>
    <w:rsid w:val="00C765A9"/>
    <w:rsid w:val="00CB16DD"/>
    <w:rsid w:val="00CE0ED7"/>
    <w:rsid w:val="00D14B0E"/>
    <w:rsid w:val="00D3257F"/>
    <w:rsid w:val="00D46F3F"/>
    <w:rsid w:val="00D56D89"/>
    <w:rsid w:val="00D86920"/>
    <w:rsid w:val="00DA2ABF"/>
    <w:rsid w:val="00DC2AFC"/>
    <w:rsid w:val="00DD1C71"/>
    <w:rsid w:val="00E30FCA"/>
    <w:rsid w:val="00E40AEE"/>
    <w:rsid w:val="00EA0B94"/>
    <w:rsid w:val="00EA6198"/>
    <w:rsid w:val="00EE259D"/>
    <w:rsid w:val="00EF5E09"/>
    <w:rsid w:val="00F109B4"/>
    <w:rsid w:val="00F2261C"/>
    <w:rsid w:val="00F32F50"/>
    <w:rsid w:val="00F63B1B"/>
    <w:rsid w:val="00F9412B"/>
    <w:rsid w:val="00FA3AA7"/>
    <w:rsid w:val="00FC0072"/>
    <w:rsid w:val="00FC0D4B"/>
    <w:rsid w:val="00FC2428"/>
    <w:rsid w:val="00FE5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B393C3-EE66-40B6-9144-DDDEE75DB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Body"/>
    <w:link w:val="Heading1Char"/>
    <w:qFormat/>
    <w:rsid w:val="00032324"/>
    <w:pPr>
      <w:keepNext/>
      <w:tabs>
        <w:tab w:val="right" w:pos="8278"/>
      </w:tabs>
      <w:spacing w:before="360" w:after="120" w:line="480" w:lineRule="auto"/>
      <w:outlineLvl w:val="0"/>
    </w:pPr>
    <w:rPr>
      <w:rFonts w:ascii="Arial" w:eastAsia="Times New Roman" w:hAnsi="Arial" w:cs="Arial"/>
      <w:b/>
      <w:bCs/>
      <w:kern w:val="32"/>
      <w:sz w:val="28"/>
      <w:szCs w:val="36"/>
      <w:lang w:val="en-GB"/>
    </w:rPr>
  </w:style>
  <w:style w:type="paragraph" w:styleId="Heading2">
    <w:name w:val="heading 2"/>
    <w:next w:val="Body"/>
    <w:link w:val="Heading2Char"/>
    <w:qFormat/>
    <w:rsid w:val="00032324"/>
    <w:pPr>
      <w:keepNext/>
      <w:tabs>
        <w:tab w:val="right" w:pos="8278"/>
      </w:tabs>
      <w:spacing w:before="240" w:after="0" w:line="480" w:lineRule="auto"/>
      <w:outlineLvl w:val="1"/>
    </w:pPr>
    <w:rPr>
      <w:rFonts w:ascii="Arial" w:eastAsia="Times New Roman" w:hAnsi="Arial" w:cs="Arial"/>
      <w:b/>
      <w:bCs/>
      <w:i/>
      <w:iCs/>
      <w:sz w:val="24"/>
      <w:szCs w:val="24"/>
      <w:lang w:val="en-GB"/>
    </w:rPr>
  </w:style>
  <w:style w:type="paragraph" w:styleId="Heading3">
    <w:name w:val="heading 3"/>
    <w:next w:val="Body"/>
    <w:link w:val="Heading3Char"/>
    <w:qFormat/>
    <w:rsid w:val="00032324"/>
    <w:pPr>
      <w:keepNext/>
      <w:tabs>
        <w:tab w:val="right" w:pos="8278"/>
      </w:tabs>
      <w:spacing w:before="120" w:after="0" w:line="480" w:lineRule="auto"/>
      <w:outlineLvl w:val="2"/>
    </w:pPr>
    <w:rPr>
      <w:rFonts w:ascii="Arial" w:eastAsia="Times New Roman" w:hAnsi="Arial" w:cs="Arial"/>
      <w:bCs/>
      <w:i/>
      <w:sz w:val="23"/>
      <w:szCs w:val="26"/>
      <w:lang w:val="en-GB"/>
    </w:rPr>
  </w:style>
  <w:style w:type="paragraph" w:styleId="Heading4">
    <w:name w:val="heading 4"/>
    <w:basedOn w:val="Normal"/>
    <w:next w:val="Normal"/>
    <w:link w:val="Heading4Char"/>
    <w:semiHidden/>
    <w:unhideWhenUsed/>
    <w:qFormat/>
    <w:rsid w:val="00032324"/>
    <w:pPr>
      <w:keepNext/>
      <w:keepLines/>
      <w:spacing w:before="40" w:after="0" w:line="480" w:lineRule="auto"/>
      <w:jc w:val="both"/>
      <w:outlineLvl w:val="3"/>
    </w:pPr>
    <w:rPr>
      <w:rFonts w:asciiTheme="majorHAnsi" w:eastAsiaTheme="majorEastAsia" w:hAnsiTheme="majorHAnsi" w:cstheme="majorBidi"/>
      <w:i/>
      <w:iCs/>
      <w:color w:val="2E74B5" w:themeColor="accent1" w:themeShade="BF"/>
      <w:szCs w:val="24"/>
      <w:lang w:val="en-GB"/>
    </w:rPr>
  </w:style>
  <w:style w:type="paragraph" w:styleId="Heading5">
    <w:name w:val="heading 5"/>
    <w:basedOn w:val="Normal"/>
    <w:next w:val="Normal"/>
    <w:link w:val="Heading5Char"/>
    <w:semiHidden/>
    <w:unhideWhenUsed/>
    <w:qFormat/>
    <w:rsid w:val="00032324"/>
    <w:pPr>
      <w:keepNext/>
      <w:keepLines/>
      <w:spacing w:before="40" w:after="0" w:line="480" w:lineRule="auto"/>
      <w:jc w:val="both"/>
      <w:outlineLvl w:val="4"/>
    </w:pPr>
    <w:rPr>
      <w:rFonts w:asciiTheme="majorHAnsi" w:eastAsiaTheme="majorEastAsia" w:hAnsiTheme="majorHAnsi" w:cstheme="majorBidi"/>
      <w:color w:val="2E74B5" w:themeColor="accent1" w:themeShade="BF"/>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2324"/>
    <w:rPr>
      <w:rFonts w:ascii="Arial" w:eastAsia="Times New Roman" w:hAnsi="Arial" w:cs="Arial"/>
      <w:b/>
      <w:bCs/>
      <w:kern w:val="32"/>
      <w:sz w:val="28"/>
      <w:szCs w:val="36"/>
      <w:lang w:val="en-GB"/>
    </w:rPr>
  </w:style>
  <w:style w:type="character" w:customStyle="1" w:styleId="Heading2Char">
    <w:name w:val="Heading 2 Char"/>
    <w:basedOn w:val="DefaultParagraphFont"/>
    <w:link w:val="Heading2"/>
    <w:rsid w:val="00032324"/>
    <w:rPr>
      <w:rFonts w:ascii="Arial" w:eastAsia="Times New Roman" w:hAnsi="Arial" w:cs="Arial"/>
      <w:b/>
      <w:bCs/>
      <w:i/>
      <w:iCs/>
      <w:sz w:val="24"/>
      <w:szCs w:val="24"/>
      <w:lang w:val="en-GB"/>
    </w:rPr>
  </w:style>
  <w:style w:type="character" w:customStyle="1" w:styleId="Heading3Char">
    <w:name w:val="Heading 3 Char"/>
    <w:basedOn w:val="DefaultParagraphFont"/>
    <w:link w:val="Heading3"/>
    <w:rsid w:val="00032324"/>
    <w:rPr>
      <w:rFonts w:ascii="Arial" w:eastAsia="Times New Roman" w:hAnsi="Arial" w:cs="Arial"/>
      <w:bCs/>
      <w:i/>
      <w:sz w:val="23"/>
      <w:szCs w:val="26"/>
      <w:lang w:val="en-GB"/>
    </w:rPr>
  </w:style>
  <w:style w:type="character" w:customStyle="1" w:styleId="Heading4Char">
    <w:name w:val="Heading 4 Char"/>
    <w:basedOn w:val="DefaultParagraphFont"/>
    <w:link w:val="Heading4"/>
    <w:semiHidden/>
    <w:rsid w:val="00032324"/>
    <w:rPr>
      <w:rFonts w:asciiTheme="majorHAnsi" w:eastAsiaTheme="majorEastAsia" w:hAnsiTheme="majorHAnsi" w:cstheme="majorBidi"/>
      <w:i/>
      <w:iCs/>
      <w:color w:val="2E74B5" w:themeColor="accent1" w:themeShade="BF"/>
      <w:szCs w:val="24"/>
      <w:lang w:val="en-GB"/>
    </w:rPr>
  </w:style>
  <w:style w:type="character" w:customStyle="1" w:styleId="Heading5Char">
    <w:name w:val="Heading 5 Char"/>
    <w:basedOn w:val="DefaultParagraphFont"/>
    <w:link w:val="Heading5"/>
    <w:semiHidden/>
    <w:rsid w:val="00032324"/>
    <w:rPr>
      <w:rFonts w:asciiTheme="majorHAnsi" w:eastAsiaTheme="majorEastAsia" w:hAnsiTheme="majorHAnsi" w:cstheme="majorBidi"/>
      <w:color w:val="2E74B5" w:themeColor="accent1" w:themeShade="BF"/>
      <w:szCs w:val="24"/>
      <w:lang w:val="en-GB"/>
    </w:rPr>
  </w:style>
  <w:style w:type="paragraph" w:styleId="Footer">
    <w:name w:val="footer"/>
    <w:basedOn w:val="Normal"/>
    <w:link w:val="FooterChar"/>
    <w:rsid w:val="00032324"/>
    <w:pPr>
      <w:tabs>
        <w:tab w:val="center" w:pos="4320"/>
        <w:tab w:val="right" w:pos="8640"/>
      </w:tabs>
      <w:spacing w:after="120" w:line="480" w:lineRule="auto"/>
      <w:jc w:val="both"/>
    </w:pPr>
    <w:rPr>
      <w:rFonts w:ascii="Arial" w:eastAsia="Times New Roman" w:hAnsi="Arial" w:cs="Times New Roman"/>
      <w:szCs w:val="24"/>
      <w:lang w:val="en-GB"/>
    </w:rPr>
  </w:style>
  <w:style w:type="character" w:customStyle="1" w:styleId="FooterChar">
    <w:name w:val="Footer Char"/>
    <w:basedOn w:val="DefaultParagraphFont"/>
    <w:link w:val="Footer"/>
    <w:rsid w:val="00032324"/>
    <w:rPr>
      <w:rFonts w:ascii="Arial" w:eastAsia="Times New Roman" w:hAnsi="Arial" w:cs="Times New Roman"/>
      <w:szCs w:val="24"/>
      <w:lang w:val="en-GB"/>
    </w:rPr>
  </w:style>
  <w:style w:type="character" w:styleId="PageNumber">
    <w:name w:val="page number"/>
    <w:basedOn w:val="DefaultParagraphFont"/>
    <w:rsid w:val="00032324"/>
  </w:style>
  <w:style w:type="paragraph" w:styleId="Title">
    <w:name w:val="Title"/>
    <w:link w:val="TitleChar"/>
    <w:qFormat/>
    <w:rsid w:val="00032324"/>
    <w:pPr>
      <w:spacing w:after="720" w:line="480" w:lineRule="auto"/>
      <w:jc w:val="center"/>
      <w:outlineLvl w:val="0"/>
    </w:pPr>
    <w:rPr>
      <w:rFonts w:ascii="Arial" w:eastAsia="Times New Roman" w:hAnsi="Arial" w:cs="Arial"/>
      <w:b/>
      <w:bCs/>
      <w:kern w:val="28"/>
      <w:sz w:val="36"/>
      <w:szCs w:val="32"/>
      <w:lang w:val="en-GB"/>
    </w:rPr>
  </w:style>
  <w:style w:type="character" w:customStyle="1" w:styleId="TitleChar">
    <w:name w:val="Title Char"/>
    <w:basedOn w:val="DefaultParagraphFont"/>
    <w:link w:val="Title"/>
    <w:rsid w:val="00032324"/>
    <w:rPr>
      <w:rFonts w:ascii="Arial" w:eastAsia="Times New Roman" w:hAnsi="Arial" w:cs="Arial"/>
      <w:b/>
      <w:bCs/>
      <w:kern w:val="28"/>
      <w:sz w:val="36"/>
      <w:szCs w:val="32"/>
      <w:lang w:val="en-GB"/>
    </w:rPr>
  </w:style>
  <w:style w:type="paragraph" w:customStyle="1" w:styleId="References">
    <w:name w:val="References"/>
    <w:rsid w:val="00032324"/>
    <w:pPr>
      <w:spacing w:before="160" w:after="0" w:line="360" w:lineRule="auto"/>
      <w:ind w:left="567" w:hanging="567"/>
    </w:pPr>
    <w:rPr>
      <w:rFonts w:ascii="Arial" w:eastAsia="Times New Roman" w:hAnsi="Arial" w:cs="Times New Roman"/>
      <w:sz w:val="20"/>
      <w:szCs w:val="24"/>
      <w:lang w:val="en-GB"/>
    </w:rPr>
  </w:style>
  <w:style w:type="paragraph" w:customStyle="1" w:styleId="Body">
    <w:name w:val="Body"/>
    <w:basedOn w:val="Normal"/>
    <w:rsid w:val="00032324"/>
    <w:pPr>
      <w:spacing w:before="180" w:after="120" w:line="480" w:lineRule="auto"/>
      <w:jc w:val="both"/>
    </w:pPr>
    <w:rPr>
      <w:rFonts w:ascii="Arial" w:eastAsia="Times New Roman" w:hAnsi="Arial" w:cs="Times New Roman"/>
      <w:szCs w:val="24"/>
      <w:lang w:val="en-GB"/>
    </w:rPr>
  </w:style>
  <w:style w:type="paragraph" w:styleId="Header">
    <w:name w:val="header"/>
    <w:basedOn w:val="Normal"/>
    <w:link w:val="HeaderChar"/>
    <w:rsid w:val="00032324"/>
    <w:pPr>
      <w:tabs>
        <w:tab w:val="center" w:pos="4153"/>
        <w:tab w:val="right" w:pos="8306"/>
      </w:tabs>
      <w:spacing w:after="120" w:line="480" w:lineRule="auto"/>
      <w:jc w:val="both"/>
    </w:pPr>
    <w:rPr>
      <w:rFonts w:ascii="Arial" w:eastAsia="Times New Roman" w:hAnsi="Arial" w:cs="Times New Roman"/>
      <w:szCs w:val="24"/>
      <w:lang w:val="en-GB"/>
    </w:rPr>
  </w:style>
  <w:style w:type="character" w:customStyle="1" w:styleId="HeaderChar">
    <w:name w:val="Header Char"/>
    <w:basedOn w:val="DefaultParagraphFont"/>
    <w:link w:val="Header"/>
    <w:rsid w:val="00032324"/>
    <w:rPr>
      <w:rFonts w:ascii="Arial" w:eastAsia="Times New Roman" w:hAnsi="Arial" w:cs="Times New Roman"/>
      <w:szCs w:val="24"/>
      <w:lang w:val="en-GB"/>
    </w:rPr>
  </w:style>
  <w:style w:type="paragraph" w:customStyle="1" w:styleId="Authoraffiliations">
    <w:name w:val="Author affiliations"/>
    <w:rsid w:val="00032324"/>
    <w:pPr>
      <w:spacing w:before="120" w:after="120" w:line="480" w:lineRule="auto"/>
    </w:pPr>
    <w:rPr>
      <w:rFonts w:ascii="Arial" w:eastAsia="Times New Roman" w:hAnsi="Arial" w:cs="Times New Roman"/>
      <w:sz w:val="24"/>
      <w:szCs w:val="24"/>
      <w:lang w:val="en-GB"/>
    </w:rPr>
  </w:style>
  <w:style w:type="paragraph" w:customStyle="1" w:styleId="Author">
    <w:name w:val="Author"/>
    <w:rsid w:val="00032324"/>
    <w:pPr>
      <w:tabs>
        <w:tab w:val="left" w:pos="2722"/>
      </w:tabs>
      <w:spacing w:before="60" w:after="60" w:line="480" w:lineRule="auto"/>
    </w:pPr>
    <w:rPr>
      <w:rFonts w:ascii="Arial" w:eastAsia="Times New Roman" w:hAnsi="Arial" w:cs="Arial"/>
      <w:b/>
      <w:bCs/>
      <w:kern w:val="32"/>
      <w:sz w:val="28"/>
      <w:szCs w:val="36"/>
      <w:lang w:val="en-GB"/>
    </w:rPr>
  </w:style>
  <w:style w:type="paragraph" w:customStyle="1" w:styleId="Abstract">
    <w:name w:val="Abstract"/>
    <w:basedOn w:val="Body"/>
    <w:rsid w:val="00032324"/>
    <w:pPr>
      <w:tabs>
        <w:tab w:val="right" w:pos="8280"/>
      </w:tabs>
    </w:pPr>
  </w:style>
  <w:style w:type="paragraph" w:styleId="DocumentMap">
    <w:name w:val="Document Map"/>
    <w:basedOn w:val="Normal"/>
    <w:link w:val="DocumentMapChar"/>
    <w:semiHidden/>
    <w:rsid w:val="00032324"/>
    <w:pPr>
      <w:shd w:val="clear" w:color="auto" w:fill="000080"/>
      <w:spacing w:after="120" w:line="480" w:lineRule="auto"/>
      <w:jc w:val="both"/>
    </w:pPr>
    <w:rPr>
      <w:rFonts w:ascii="Tahoma" w:eastAsia="Times New Roman" w:hAnsi="Tahoma" w:cs="Tahoma"/>
      <w:szCs w:val="24"/>
      <w:lang w:val="en-GB"/>
    </w:rPr>
  </w:style>
  <w:style w:type="character" w:customStyle="1" w:styleId="DocumentMapChar">
    <w:name w:val="Document Map Char"/>
    <w:basedOn w:val="DefaultParagraphFont"/>
    <w:link w:val="DocumentMap"/>
    <w:semiHidden/>
    <w:rsid w:val="00032324"/>
    <w:rPr>
      <w:rFonts w:ascii="Tahoma" w:eastAsia="Times New Roman" w:hAnsi="Tahoma" w:cs="Tahoma"/>
      <w:szCs w:val="24"/>
      <w:shd w:val="clear" w:color="auto" w:fill="000080"/>
      <w:lang w:val="en-GB"/>
    </w:rPr>
  </w:style>
  <w:style w:type="paragraph" w:customStyle="1" w:styleId="Rednote">
    <w:name w:val="Red note"/>
    <w:basedOn w:val="Normal"/>
    <w:rsid w:val="00032324"/>
    <w:pPr>
      <w:spacing w:before="120" w:after="120" w:line="264" w:lineRule="auto"/>
      <w:jc w:val="both"/>
    </w:pPr>
    <w:rPr>
      <w:rFonts w:ascii="Arial" w:eastAsia="Times New Roman" w:hAnsi="Arial" w:cs="Times New Roman"/>
      <w:color w:val="FF0000"/>
      <w:szCs w:val="24"/>
      <w:lang w:val="en-GB"/>
    </w:rPr>
  </w:style>
  <w:style w:type="paragraph" w:customStyle="1" w:styleId="Coversheettext">
    <w:name w:val="Cover sheet text"/>
    <w:basedOn w:val="Body"/>
    <w:rsid w:val="00032324"/>
    <w:pPr>
      <w:spacing w:before="60" w:after="60" w:line="360" w:lineRule="auto"/>
    </w:pPr>
  </w:style>
  <w:style w:type="paragraph" w:styleId="BalloonText">
    <w:name w:val="Balloon Text"/>
    <w:basedOn w:val="Normal"/>
    <w:link w:val="BalloonTextChar"/>
    <w:semiHidden/>
    <w:rsid w:val="00032324"/>
    <w:pPr>
      <w:spacing w:after="120" w:line="480" w:lineRule="auto"/>
      <w:jc w:val="both"/>
    </w:pPr>
    <w:rPr>
      <w:rFonts w:ascii="Tahoma" w:eastAsia="Times New Roman" w:hAnsi="Tahoma" w:cs="Tahoma"/>
      <w:sz w:val="16"/>
      <w:szCs w:val="16"/>
      <w:lang w:val="en-GB"/>
    </w:rPr>
  </w:style>
  <w:style w:type="character" w:customStyle="1" w:styleId="BalloonTextChar">
    <w:name w:val="Balloon Text Char"/>
    <w:basedOn w:val="DefaultParagraphFont"/>
    <w:link w:val="BalloonText"/>
    <w:semiHidden/>
    <w:rsid w:val="00032324"/>
    <w:rPr>
      <w:rFonts w:ascii="Tahoma" w:eastAsia="Times New Roman" w:hAnsi="Tahoma" w:cs="Tahoma"/>
      <w:sz w:val="16"/>
      <w:szCs w:val="16"/>
      <w:lang w:val="en-GB"/>
    </w:rPr>
  </w:style>
  <w:style w:type="character" w:styleId="CommentReference">
    <w:name w:val="annotation reference"/>
    <w:basedOn w:val="DefaultParagraphFont"/>
    <w:uiPriority w:val="99"/>
    <w:rsid w:val="00032324"/>
    <w:rPr>
      <w:sz w:val="16"/>
      <w:szCs w:val="16"/>
    </w:rPr>
  </w:style>
  <w:style w:type="paragraph" w:styleId="CommentText">
    <w:name w:val="annotation text"/>
    <w:basedOn w:val="Normal"/>
    <w:link w:val="CommentTextChar"/>
    <w:uiPriority w:val="99"/>
    <w:rsid w:val="00032324"/>
    <w:pPr>
      <w:spacing w:after="120" w:line="480" w:lineRule="auto"/>
      <w:jc w:val="both"/>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uiPriority w:val="99"/>
    <w:rsid w:val="00032324"/>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semiHidden/>
    <w:rsid w:val="00032324"/>
    <w:rPr>
      <w:b/>
      <w:bCs/>
    </w:rPr>
  </w:style>
  <w:style w:type="character" w:customStyle="1" w:styleId="CommentSubjectChar">
    <w:name w:val="Comment Subject Char"/>
    <w:basedOn w:val="CommentTextChar"/>
    <w:link w:val="CommentSubject"/>
    <w:semiHidden/>
    <w:rsid w:val="00032324"/>
    <w:rPr>
      <w:rFonts w:ascii="Arial" w:eastAsia="Times New Roman" w:hAnsi="Arial" w:cs="Times New Roman"/>
      <w:b/>
      <w:bCs/>
      <w:sz w:val="20"/>
      <w:szCs w:val="20"/>
      <w:lang w:val="en-GB"/>
    </w:rPr>
  </w:style>
  <w:style w:type="table" w:styleId="TableGrid">
    <w:name w:val="Table Grid"/>
    <w:basedOn w:val="TableNormal"/>
    <w:uiPriority w:val="39"/>
    <w:rsid w:val="0003232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withspace">
    <w:name w:val="Body with space"/>
    <w:basedOn w:val="Body"/>
    <w:rsid w:val="00032324"/>
    <w:pPr>
      <w:spacing w:before="600"/>
    </w:pPr>
  </w:style>
  <w:style w:type="paragraph" w:customStyle="1" w:styleId="Journalcoversheet">
    <w:name w:val="Journal cover sheet"/>
    <w:basedOn w:val="Body"/>
    <w:rsid w:val="00032324"/>
    <w:pPr>
      <w:tabs>
        <w:tab w:val="left" w:pos="2722"/>
      </w:tabs>
      <w:spacing w:line="360" w:lineRule="auto"/>
    </w:pPr>
  </w:style>
  <w:style w:type="paragraph" w:customStyle="1" w:styleId="Journalcoversheetspaced">
    <w:name w:val="Journal cover sheet spaced"/>
    <w:basedOn w:val="Journalcoversheet"/>
    <w:rsid w:val="00032324"/>
    <w:pPr>
      <w:spacing w:before="600"/>
    </w:pPr>
  </w:style>
  <w:style w:type="paragraph" w:customStyle="1" w:styleId="Legend">
    <w:name w:val="Legend"/>
    <w:next w:val="Body"/>
    <w:rsid w:val="00032324"/>
    <w:pPr>
      <w:keepNext/>
      <w:spacing w:after="120" w:line="480" w:lineRule="auto"/>
      <w:ind w:left="1134" w:hanging="1134"/>
    </w:pPr>
    <w:rPr>
      <w:rFonts w:ascii="Arial" w:eastAsia="Times New Roman" w:hAnsi="Arial" w:cs="Times New Roman"/>
      <w:szCs w:val="24"/>
      <w:lang w:val="en-GB"/>
    </w:rPr>
  </w:style>
  <w:style w:type="paragraph" w:customStyle="1" w:styleId="Tabletext">
    <w:name w:val="Table text"/>
    <w:rsid w:val="00032324"/>
    <w:pPr>
      <w:spacing w:before="40" w:after="40" w:line="360" w:lineRule="auto"/>
    </w:pPr>
    <w:rPr>
      <w:rFonts w:ascii="Arial" w:eastAsia="Times New Roman" w:hAnsi="Arial" w:cs="Times New Roman"/>
      <w:sz w:val="20"/>
      <w:szCs w:val="24"/>
      <w:lang w:val="en-GB"/>
    </w:rPr>
  </w:style>
  <w:style w:type="paragraph" w:customStyle="1" w:styleId="Footnote">
    <w:name w:val="Footnote"/>
    <w:rsid w:val="00032324"/>
    <w:pPr>
      <w:spacing w:before="120" w:after="0" w:line="240" w:lineRule="auto"/>
    </w:pPr>
    <w:rPr>
      <w:rFonts w:ascii="Arial" w:eastAsia="Times New Roman" w:hAnsi="Arial" w:cs="Times New Roman"/>
      <w:sz w:val="18"/>
      <w:szCs w:val="24"/>
      <w:lang w:val="en-GB"/>
    </w:rPr>
  </w:style>
  <w:style w:type="paragraph" w:customStyle="1" w:styleId="Titleforcover">
    <w:name w:val="Title for cover"/>
    <w:basedOn w:val="Title"/>
    <w:rsid w:val="00032324"/>
    <w:pPr>
      <w:spacing w:before="240" w:after="0"/>
    </w:pPr>
  </w:style>
  <w:style w:type="character" w:styleId="Hyperlink">
    <w:name w:val="Hyperlink"/>
    <w:basedOn w:val="DefaultParagraphFont"/>
    <w:uiPriority w:val="99"/>
    <w:rsid w:val="00032324"/>
    <w:rPr>
      <w:color w:val="0000FF"/>
      <w:u w:val="single"/>
    </w:rPr>
  </w:style>
  <w:style w:type="paragraph" w:customStyle="1" w:styleId="Bulletedtext">
    <w:name w:val="Bulleted text"/>
    <w:basedOn w:val="Body"/>
    <w:rsid w:val="00032324"/>
    <w:pPr>
      <w:numPr>
        <w:numId w:val="1"/>
      </w:numPr>
    </w:pPr>
  </w:style>
  <w:style w:type="paragraph" w:styleId="NormalWeb">
    <w:name w:val="Normal (Web)"/>
    <w:basedOn w:val="Normal"/>
    <w:uiPriority w:val="99"/>
    <w:rsid w:val="00032324"/>
    <w:pPr>
      <w:spacing w:after="120" w:line="480" w:lineRule="auto"/>
      <w:jc w:val="both"/>
    </w:pPr>
    <w:rPr>
      <w:rFonts w:ascii="Times New Roman" w:eastAsia="Times New Roman" w:hAnsi="Times New Roman" w:cs="Times New Roman"/>
      <w:szCs w:val="24"/>
      <w:lang w:val="en-GB"/>
    </w:rPr>
  </w:style>
  <w:style w:type="character" w:customStyle="1" w:styleId="UnresolvedMention">
    <w:name w:val="Unresolved Mention"/>
    <w:basedOn w:val="DefaultParagraphFont"/>
    <w:uiPriority w:val="99"/>
    <w:unhideWhenUsed/>
    <w:rsid w:val="00032324"/>
    <w:rPr>
      <w:color w:val="605E5C"/>
      <w:shd w:val="clear" w:color="auto" w:fill="E1DFDD"/>
    </w:rPr>
  </w:style>
  <w:style w:type="paragraph" w:styleId="ListParagraph">
    <w:name w:val="List Paragraph"/>
    <w:aliases w:val="Bullet1,Bullet List,Table Legend"/>
    <w:basedOn w:val="Normal"/>
    <w:link w:val="ListParagraphChar"/>
    <w:uiPriority w:val="34"/>
    <w:qFormat/>
    <w:rsid w:val="00032324"/>
    <w:pPr>
      <w:spacing w:after="0" w:line="480" w:lineRule="auto"/>
      <w:jc w:val="both"/>
    </w:pPr>
    <w:rPr>
      <w:rFonts w:ascii="Arial" w:eastAsia="Times New Roman" w:hAnsi="Arial" w:cs="Times New Roman"/>
      <w:szCs w:val="24"/>
      <w:lang w:val="en-GB" w:eastAsia="en-GB"/>
    </w:rPr>
  </w:style>
  <w:style w:type="character" w:customStyle="1" w:styleId="apple-converted-space">
    <w:name w:val="apple-converted-space"/>
    <w:basedOn w:val="DefaultParagraphFont"/>
    <w:rsid w:val="00032324"/>
  </w:style>
  <w:style w:type="paragraph" w:styleId="Caption">
    <w:name w:val="caption"/>
    <w:basedOn w:val="Normal"/>
    <w:next w:val="Normal"/>
    <w:link w:val="CaptionChar"/>
    <w:uiPriority w:val="35"/>
    <w:qFormat/>
    <w:rsid w:val="00032324"/>
    <w:pPr>
      <w:keepNext/>
      <w:keepLines/>
      <w:spacing w:before="240" w:after="120" w:line="259" w:lineRule="atLeast"/>
      <w:ind w:left="2304" w:hanging="2304"/>
      <w:jc w:val="both"/>
    </w:pPr>
    <w:rPr>
      <w:rFonts w:ascii="Arial" w:eastAsiaTheme="minorEastAsia" w:hAnsi="Arial"/>
      <w:b/>
      <w:bCs/>
      <w:szCs w:val="20"/>
    </w:rPr>
  </w:style>
  <w:style w:type="table" w:customStyle="1" w:styleId="TableGrid1">
    <w:name w:val="Table Grid1"/>
    <w:basedOn w:val="TableNormal"/>
    <w:next w:val="TableGrid"/>
    <w:uiPriority w:val="59"/>
    <w:rsid w:val="00032324"/>
    <w:pPr>
      <w:spacing w:before="14" w:after="144" w:line="30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032324"/>
    <w:rPr>
      <w:rFonts w:ascii="Arial" w:eastAsiaTheme="minorEastAsia" w:hAnsi="Arial"/>
      <w:b/>
      <w:bCs/>
      <w:szCs w:val="20"/>
    </w:rPr>
  </w:style>
  <w:style w:type="character" w:customStyle="1" w:styleId="ListParagraphChar">
    <w:name w:val="List Paragraph Char"/>
    <w:aliases w:val="Bullet1 Char,Bullet List Char,Table Legend Char"/>
    <w:basedOn w:val="DefaultParagraphFont"/>
    <w:link w:val="ListParagraph"/>
    <w:uiPriority w:val="34"/>
    <w:rsid w:val="00032324"/>
    <w:rPr>
      <w:rFonts w:ascii="Arial" w:eastAsia="Times New Roman" w:hAnsi="Arial" w:cs="Times New Roman"/>
      <w:szCs w:val="24"/>
      <w:lang w:val="en-GB" w:eastAsia="en-GB"/>
    </w:rPr>
  </w:style>
  <w:style w:type="paragraph" w:customStyle="1" w:styleId="EndNoteBibliography">
    <w:name w:val="EndNote Bibliography"/>
    <w:basedOn w:val="Normal"/>
    <w:link w:val="EndNoteBibliographyChar"/>
    <w:rsid w:val="00032324"/>
    <w:pPr>
      <w:spacing w:before="60" w:after="60" w:line="360" w:lineRule="auto"/>
      <w:jc w:val="both"/>
    </w:pPr>
    <w:rPr>
      <w:rFonts w:ascii="Arial" w:eastAsiaTheme="minorEastAsia" w:hAnsi="Arial" w:cs="Arial"/>
      <w:noProof/>
      <w:szCs w:val="20"/>
    </w:rPr>
  </w:style>
  <w:style w:type="character" w:customStyle="1" w:styleId="EndNoteBibliographyChar">
    <w:name w:val="EndNote Bibliography Char"/>
    <w:basedOn w:val="DefaultParagraphFont"/>
    <w:link w:val="EndNoteBibliography"/>
    <w:rsid w:val="00032324"/>
    <w:rPr>
      <w:rFonts w:ascii="Arial" w:eastAsiaTheme="minorEastAsia" w:hAnsi="Arial" w:cs="Arial"/>
      <w:noProof/>
      <w:szCs w:val="20"/>
    </w:rPr>
  </w:style>
  <w:style w:type="character" w:styleId="Emphasis">
    <w:name w:val="Emphasis"/>
    <w:basedOn w:val="DefaultParagraphFont"/>
    <w:qFormat/>
    <w:rsid w:val="00032324"/>
    <w:rPr>
      <w:i/>
      <w:iCs/>
    </w:rPr>
  </w:style>
  <w:style w:type="paragraph" w:styleId="Revision">
    <w:name w:val="Revision"/>
    <w:hidden/>
    <w:uiPriority w:val="99"/>
    <w:semiHidden/>
    <w:rsid w:val="00032324"/>
    <w:pPr>
      <w:spacing w:after="0" w:line="240" w:lineRule="auto"/>
    </w:pPr>
    <w:rPr>
      <w:rFonts w:ascii="Arial" w:eastAsia="Times New Roman" w:hAnsi="Arial" w:cs="Times New Roman"/>
      <w:sz w:val="24"/>
      <w:szCs w:val="24"/>
      <w:lang w:val="en-GB"/>
    </w:rPr>
  </w:style>
  <w:style w:type="character" w:styleId="FollowedHyperlink">
    <w:name w:val="FollowedHyperlink"/>
    <w:basedOn w:val="DefaultParagraphFont"/>
    <w:uiPriority w:val="99"/>
    <w:unhideWhenUsed/>
    <w:rsid w:val="00032324"/>
    <w:rPr>
      <w:color w:val="6ABF4B"/>
      <w:u w:val="single"/>
    </w:rPr>
  </w:style>
  <w:style w:type="paragraph" w:customStyle="1" w:styleId="msonormal0">
    <w:name w:val="msonormal"/>
    <w:basedOn w:val="Normal"/>
    <w:rsid w:val="00032324"/>
    <w:pPr>
      <w:spacing w:before="100" w:beforeAutospacing="1" w:after="100" w:afterAutospacing="1" w:line="480" w:lineRule="auto"/>
      <w:jc w:val="both"/>
    </w:pPr>
    <w:rPr>
      <w:rFonts w:ascii="Times New Roman" w:eastAsia="Times New Roman" w:hAnsi="Times New Roman" w:cs="Times New Roman"/>
      <w:szCs w:val="24"/>
      <w:lang w:val="en-GB" w:eastAsia="en-GB"/>
    </w:rPr>
  </w:style>
  <w:style w:type="paragraph" w:customStyle="1" w:styleId="font5">
    <w:name w:val="font5"/>
    <w:basedOn w:val="Normal"/>
    <w:rsid w:val="00032324"/>
    <w:pPr>
      <w:spacing w:before="100" w:beforeAutospacing="1" w:after="100" w:afterAutospacing="1" w:line="480" w:lineRule="auto"/>
      <w:jc w:val="both"/>
    </w:pPr>
    <w:rPr>
      <w:rFonts w:ascii="Arial" w:eastAsia="Times New Roman" w:hAnsi="Arial" w:cs="Arial"/>
      <w:b/>
      <w:bCs/>
      <w:lang w:val="en-GB" w:eastAsia="en-GB"/>
    </w:rPr>
  </w:style>
  <w:style w:type="paragraph" w:customStyle="1" w:styleId="font6">
    <w:name w:val="font6"/>
    <w:basedOn w:val="Normal"/>
    <w:rsid w:val="00032324"/>
    <w:pPr>
      <w:spacing w:before="100" w:beforeAutospacing="1" w:after="100" w:afterAutospacing="1" w:line="480" w:lineRule="auto"/>
      <w:jc w:val="both"/>
    </w:pPr>
    <w:rPr>
      <w:rFonts w:ascii="Arial" w:eastAsia="Times New Roman" w:hAnsi="Arial" w:cs="Arial"/>
      <w:color w:val="000000"/>
      <w:lang w:val="en-GB" w:eastAsia="en-GB"/>
    </w:rPr>
  </w:style>
  <w:style w:type="paragraph" w:customStyle="1" w:styleId="xl78">
    <w:name w:val="xl78"/>
    <w:basedOn w:val="Normal"/>
    <w:rsid w:val="00032324"/>
    <w:pPr>
      <w:shd w:val="clear" w:color="000000" w:fill="FFFFFF"/>
      <w:spacing w:before="100" w:beforeAutospacing="1" w:after="100" w:afterAutospacing="1" w:line="480" w:lineRule="auto"/>
      <w:jc w:val="both"/>
    </w:pPr>
    <w:rPr>
      <w:rFonts w:ascii="Times New Roman" w:eastAsia="Times New Roman" w:hAnsi="Times New Roman" w:cs="Times New Roman"/>
      <w:szCs w:val="24"/>
      <w:lang w:val="en-GB" w:eastAsia="en-GB"/>
    </w:rPr>
  </w:style>
  <w:style w:type="paragraph" w:customStyle="1" w:styleId="xl79">
    <w:name w:val="xl79"/>
    <w:basedOn w:val="Normal"/>
    <w:rsid w:val="00032324"/>
    <w:pPr>
      <w:shd w:val="clear" w:color="000000" w:fill="FFFFFF"/>
      <w:spacing w:before="100" w:beforeAutospacing="1" w:after="100" w:afterAutospacing="1" w:line="480" w:lineRule="auto"/>
      <w:jc w:val="both"/>
      <w:textAlignment w:val="center"/>
    </w:pPr>
    <w:rPr>
      <w:rFonts w:ascii="Times New Roman" w:eastAsia="Times New Roman" w:hAnsi="Times New Roman" w:cs="Times New Roman"/>
      <w:szCs w:val="24"/>
      <w:lang w:val="en-GB" w:eastAsia="en-GB"/>
    </w:rPr>
  </w:style>
  <w:style w:type="paragraph" w:customStyle="1" w:styleId="xl80">
    <w:name w:val="xl80"/>
    <w:basedOn w:val="Normal"/>
    <w:rsid w:val="00032324"/>
    <w:pPr>
      <w:shd w:val="clear" w:color="000000" w:fill="FFFFFF"/>
      <w:spacing w:before="100" w:beforeAutospacing="1" w:after="100" w:afterAutospacing="1" w:line="480" w:lineRule="auto"/>
      <w:jc w:val="both"/>
      <w:textAlignment w:val="center"/>
    </w:pPr>
    <w:rPr>
      <w:rFonts w:ascii="Times New Roman" w:eastAsia="Times New Roman" w:hAnsi="Times New Roman" w:cs="Times New Roman"/>
      <w:b/>
      <w:bCs/>
      <w:szCs w:val="24"/>
      <w:lang w:val="en-GB" w:eastAsia="en-GB"/>
    </w:rPr>
  </w:style>
  <w:style w:type="paragraph" w:customStyle="1" w:styleId="xl81">
    <w:name w:val="xl81"/>
    <w:basedOn w:val="Normal"/>
    <w:rsid w:val="00032324"/>
    <w:pPr>
      <w:pBdr>
        <w:top w:val="single" w:sz="4" w:space="0" w:color="auto"/>
        <w:left w:val="single" w:sz="4" w:space="0" w:color="auto"/>
        <w:bottom w:val="single" w:sz="4" w:space="0" w:color="auto"/>
        <w:right w:val="single" w:sz="4" w:space="0" w:color="auto"/>
      </w:pBdr>
      <w:shd w:val="clear" w:color="000000" w:fill="231F99"/>
      <w:spacing w:before="100" w:beforeAutospacing="1" w:after="100" w:afterAutospacing="1" w:line="480" w:lineRule="auto"/>
      <w:jc w:val="center"/>
      <w:textAlignment w:val="center"/>
    </w:pPr>
    <w:rPr>
      <w:rFonts w:ascii="Times New Roman" w:eastAsia="Times New Roman" w:hAnsi="Times New Roman" w:cs="Times New Roman"/>
      <w:b/>
      <w:bCs/>
      <w:color w:val="FFFFFF"/>
      <w:szCs w:val="24"/>
      <w:lang w:val="en-GB" w:eastAsia="en-GB"/>
    </w:rPr>
  </w:style>
  <w:style w:type="paragraph" w:customStyle="1" w:styleId="xl82">
    <w:name w:val="xl82"/>
    <w:basedOn w:val="Normal"/>
    <w:rsid w:val="00032324"/>
    <w:pPr>
      <w:pBdr>
        <w:top w:val="single" w:sz="4" w:space="0" w:color="auto"/>
        <w:left w:val="single" w:sz="4" w:space="0" w:color="auto"/>
        <w:bottom w:val="single" w:sz="4" w:space="0" w:color="auto"/>
        <w:right w:val="single" w:sz="4" w:space="0" w:color="auto"/>
      </w:pBdr>
      <w:shd w:val="clear" w:color="000000" w:fill="231F99"/>
      <w:spacing w:before="100" w:beforeAutospacing="1" w:after="100" w:afterAutospacing="1" w:line="480" w:lineRule="auto"/>
      <w:jc w:val="center"/>
      <w:textAlignment w:val="center"/>
    </w:pPr>
    <w:rPr>
      <w:rFonts w:ascii="Times New Roman" w:eastAsia="Times New Roman" w:hAnsi="Times New Roman" w:cs="Times New Roman"/>
      <w:b/>
      <w:bCs/>
      <w:color w:val="FFFFFF"/>
      <w:szCs w:val="24"/>
      <w:lang w:val="en-GB" w:eastAsia="en-GB"/>
    </w:rPr>
  </w:style>
  <w:style w:type="paragraph" w:customStyle="1" w:styleId="xl83">
    <w:name w:val="xl83"/>
    <w:basedOn w:val="Normal"/>
    <w:rsid w:val="00032324"/>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480" w:lineRule="auto"/>
      <w:jc w:val="center"/>
      <w:textAlignment w:val="center"/>
    </w:pPr>
    <w:rPr>
      <w:rFonts w:ascii="Times New Roman" w:eastAsia="Times New Roman" w:hAnsi="Times New Roman" w:cs="Times New Roman"/>
      <w:b/>
      <w:bCs/>
      <w:color w:val="FFFFFF"/>
      <w:szCs w:val="24"/>
      <w:lang w:val="en-GB" w:eastAsia="en-GB"/>
    </w:rPr>
  </w:style>
  <w:style w:type="paragraph" w:customStyle="1" w:styleId="xl84">
    <w:name w:val="xl84"/>
    <w:basedOn w:val="Normal"/>
    <w:rsid w:val="00032324"/>
    <w:pPr>
      <w:pBdr>
        <w:top w:val="single" w:sz="4" w:space="0" w:color="auto"/>
        <w:left w:val="single" w:sz="4" w:space="0" w:color="auto"/>
        <w:bottom w:val="single" w:sz="4" w:space="0" w:color="auto"/>
        <w:right w:val="single" w:sz="4" w:space="0" w:color="auto"/>
      </w:pBdr>
      <w:shd w:val="clear" w:color="000000" w:fill="DBE123"/>
      <w:spacing w:before="100" w:beforeAutospacing="1" w:after="100" w:afterAutospacing="1" w:line="480" w:lineRule="auto"/>
      <w:jc w:val="center"/>
      <w:textAlignment w:val="center"/>
    </w:pPr>
    <w:rPr>
      <w:rFonts w:ascii="Times New Roman" w:eastAsia="Times New Roman" w:hAnsi="Times New Roman" w:cs="Times New Roman"/>
      <w:b/>
      <w:bCs/>
      <w:szCs w:val="24"/>
      <w:lang w:val="en-GB" w:eastAsia="en-GB"/>
    </w:rPr>
  </w:style>
  <w:style w:type="paragraph" w:customStyle="1" w:styleId="xl85">
    <w:name w:val="xl85"/>
    <w:basedOn w:val="Normal"/>
    <w:rsid w:val="00032324"/>
    <w:pPr>
      <w:pBdr>
        <w:top w:val="single" w:sz="4" w:space="0" w:color="auto"/>
        <w:left w:val="single" w:sz="4" w:space="0" w:color="auto"/>
        <w:bottom w:val="single" w:sz="4" w:space="0" w:color="auto"/>
        <w:right w:val="single" w:sz="4" w:space="0" w:color="auto"/>
      </w:pBdr>
      <w:shd w:val="clear" w:color="000000" w:fill="EAED7A"/>
      <w:spacing w:before="100" w:beforeAutospacing="1" w:after="100" w:afterAutospacing="1" w:line="480" w:lineRule="auto"/>
      <w:jc w:val="center"/>
      <w:textAlignment w:val="center"/>
    </w:pPr>
    <w:rPr>
      <w:rFonts w:ascii="Times New Roman" w:eastAsia="Times New Roman" w:hAnsi="Times New Roman" w:cs="Times New Roman"/>
      <w:b/>
      <w:bCs/>
      <w:szCs w:val="24"/>
      <w:lang w:val="en-GB" w:eastAsia="en-GB"/>
    </w:rPr>
  </w:style>
  <w:style w:type="paragraph" w:customStyle="1" w:styleId="xl86">
    <w:name w:val="xl86"/>
    <w:basedOn w:val="Normal"/>
    <w:rsid w:val="00032324"/>
    <w:pPr>
      <w:pBdr>
        <w:top w:val="single" w:sz="4" w:space="0" w:color="auto"/>
        <w:left w:val="single" w:sz="4" w:space="0" w:color="auto"/>
        <w:bottom w:val="single" w:sz="4" w:space="0" w:color="auto"/>
        <w:right w:val="single" w:sz="4" w:space="0" w:color="auto"/>
      </w:pBdr>
      <w:spacing w:before="100" w:beforeAutospacing="1" w:after="100" w:afterAutospacing="1" w:line="480" w:lineRule="auto"/>
      <w:jc w:val="both"/>
      <w:textAlignment w:val="center"/>
    </w:pPr>
    <w:rPr>
      <w:rFonts w:ascii="Times New Roman" w:eastAsia="Times New Roman" w:hAnsi="Times New Roman" w:cs="Times New Roman"/>
      <w:b/>
      <w:bCs/>
      <w:szCs w:val="24"/>
      <w:lang w:val="en-GB" w:eastAsia="en-GB"/>
    </w:rPr>
  </w:style>
  <w:style w:type="paragraph" w:customStyle="1" w:styleId="xl87">
    <w:name w:val="xl87"/>
    <w:basedOn w:val="Normal"/>
    <w:rsid w:val="000323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480" w:lineRule="auto"/>
      <w:jc w:val="center"/>
      <w:textAlignment w:val="center"/>
    </w:pPr>
    <w:rPr>
      <w:rFonts w:ascii="Times New Roman" w:eastAsia="Times New Roman" w:hAnsi="Times New Roman" w:cs="Times New Roman"/>
      <w:szCs w:val="24"/>
      <w:lang w:val="en-GB" w:eastAsia="en-GB"/>
    </w:rPr>
  </w:style>
  <w:style w:type="paragraph" w:customStyle="1" w:styleId="xl88">
    <w:name w:val="xl88"/>
    <w:basedOn w:val="Normal"/>
    <w:rsid w:val="00032324"/>
    <w:pPr>
      <w:pBdr>
        <w:top w:val="single" w:sz="4" w:space="0" w:color="auto"/>
        <w:left w:val="single" w:sz="4" w:space="7" w:color="auto"/>
        <w:bottom w:val="single" w:sz="4" w:space="0" w:color="auto"/>
        <w:right w:val="single" w:sz="4" w:space="0" w:color="auto"/>
      </w:pBdr>
      <w:spacing w:before="100" w:beforeAutospacing="1" w:after="100" w:afterAutospacing="1" w:line="480" w:lineRule="auto"/>
      <w:ind w:firstLineChars="100" w:firstLine="100"/>
      <w:jc w:val="both"/>
      <w:textAlignment w:val="center"/>
    </w:pPr>
    <w:rPr>
      <w:rFonts w:ascii="Times New Roman" w:eastAsia="Times New Roman" w:hAnsi="Times New Roman" w:cs="Times New Roman"/>
      <w:szCs w:val="24"/>
      <w:lang w:val="en-GB" w:eastAsia="en-GB"/>
    </w:rPr>
  </w:style>
  <w:style w:type="paragraph" w:customStyle="1" w:styleId="xl89">
    <w:name w:val="xl89"/>
    <w:basedOn w:val="Normal"/>
    <w:rsid w:val="000323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480" w:lineRule="auto"/>
      <w:jc w:val="both"/>
    </w:pPr>
    <w:rPr>
      <w:rFonts w:ascii="Times New Roman" w:eastAsia="Times New Roman" w:hAnsi="Times New Roman" w:cs="Times New Roman"/>
      <w:szCs w:val="24"/>
      <w:lang w:val="en-GB" w:eastAsia="en-GB"/>
    </w:rPr>
  </w:style>
  <w:style w:type="paragraph" w:customStyle="1" w:styleId="xl90">
    <w:name w:val="xl90"/>
    <w:basedOn w:val="Normal"/>
    <w:rsid w:val="00032324"/>
    <w:pPr>
      <w:pBdr>
        <w:top w:val="single" w:sz="4" w:space="0" w:color="auto"/>
        <w:left w:val="single" w:sz="4" w:space="0" w:color="auto"/>
        <w:bottom w:val="single" w:sz="4" w:space="0" w:color="auto"/>
        <w:right w:val="single" w:sz="4" w:space="0" w:color="auto"/>
      </w:pBdr>
      <w:spacing w:before="100" w:beforeAutospacing="1" w:after="100" w:afterAutospacing="1" w:line="480" w:lineRule="auto"/>
      <w:jc w:val="both"/>
      <w:textAlignment w:val="center"/>
    </w:pPr>
    <w:rPr>
      <w:rFonts w:ascii="Times New Roman" w:eastAsia="Times New Roman" w:hAnsi="Times New Roman" w:cs="Times New Roman"/>
      <w:szCs w:val="24"/>
      <w:lang w:val="en-GB" w:eastAsia="en-GB"/>
    </w:rPr>
  </w:style>
  <w:style w:type="paragraph" w:customStyle="1" w:styleId="xl91">
    <w:name w:val="xl91"/>
    <w:basedOn w:val="Normal"/>
    <w:rsid w:val="00032324"/>
    <w:pPr>
      <w:pBdr>
        <w:top w:val="single" w:sz="4" w:space="0" w:color="auto"/>
        <w:left w:val="single" w:sz="4" w:space="0" w:color="auto"/>
        <w:bottom w:val="single" w:sz="4" w:space="0" w:color="auto"/>
        <w:right w:val="single" w:sz="4" w:space="0" w:color="auto"/>
      </w:pBdr>
      <w:spacing w:before="100" w:beforeAutospacing="1" w:after="100" w:afterAutospacing="1" w:line="480" w:lineRule="auto"/>
      <w:jc w:val="both"/>
      <w:textAlignment w:val="center"/>
    </w:pPr>
    <w:rPr>
      <w:rFonts w:ascii="Times New Roman" w:eastAsia="Times New Roman" w:hAnsi="Times New Roman" w:cs="Times New Roman"/>
      <w:b/>
      <w:bCs/>
      <w:szCs w:val="24"/>
      <w:lang w:val="en-GB" w:eastAsia="en-GB"/>
    </w:rPr>
  </w:style>
  <w:style w:type="paragraph" w:customStyle="1" w:styleId="xl92">
    <w:name w:val="xl92"/>
    <w:basedOn w:val="Normal"/>
    <w:rsid w:val="00032324"/>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480" w:lineRule="auto"/>
      <w:ind w:firstLineChars="200" w:firstLine="200"/>
      <w:jc w:val="both"/>
    </w:pPr>
    <w:rPr>
      <w:rFonts w:ascii="Times New Roman" w:eastAsia="Times New Roman" w:hAnsi="Times New Roman" w:cs="Times New Roman"/>
      <w:szCs w:val="24"/>
      <w:lang w:val="en-GB" w:eastAsia="en-GB"/>
    </w:rPr>
  </w:style>
  <w:style w:type="paragraph" w:customStyle="1" w:styleId="xl93">
    <w:name w:val="xl93"/>
    <w:basedOn w:val="Normal"/>
    <w:rsid w:val="00032324"/>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480" w:lineRule="auto"/>
      <w:ind w:firstLineChars="100" w:firstLine="100"/>
      <w:jc w:val="both"/>
    </w:pPr>
    <w:rPr>
      <w:rFonts w:ascii="Times New Roman" w:eastAsia="Times New Roman" w:hAnsi="Times New Roman" w:cs="Times New Roman"/>
      <w:szCs w:val="24"/>
      <w:lang w:val="en-GB" w:eastAsia="en-GB"/>
    </w:rPr>
  </w:style>
  <w:style w:type="paragraph" w:customStyle="1" w:styleId="xl94">
    <w:name w:val="xl94"/>
    <w:basedOn w:val="Normal"/>
    <w:rsid w:val="00032324"/>
    <w:pPr>
      <w:pBdr>
        <w:top w:val="single" w:sz="4" w:space="0" w:color="auto"/>
        <w:left w:val="single" w:sz="4" w:space="0" w:color="auto"/>
        <w:bottom w:val="single" w:sz="4" w:space="0" w:color="auto"/>
        <w:right w:val="single" w:sz="4" w:space="0" w:color="auto"/>
      </w:pBdr>
      <w:shd w:val="thinDiagStripe" w:color="000000" w:fill="FFFFFF"/>
      <w:spacing w:before="100" w:beforeAutospacing="1" w:after="100" w:afterAutospacing="1" w:line="480" w:lineRule="auto"/>
      <w:jc w:val="both"/>
    </w:pPr>
    <w:rPr>
      <w:rFonts w:ascii="Times New Roman" w:eastAsia="Times New Roman" w:hAnsi="Times New Roman" w:cs="Times New Roman"/>
      <w:szCs w:val="24"/>
      <w:lang w:val="en-GB" w:eastAsia="en-GB"/>
    </w:rPr>
  </w:style>
  <w:style w:type="paragraph" w:customStyle="1" w:styleId="xl95">
    <w:name w:val="xl95"/>
    <w:basedOn w:val="Normal"/>
    <w:rsid w:val="00032324"/>
    <w:pPr>
      <w:pBdr>
        <w:top w:val="single" w:sz="4" w:space="0" w:color="auto"/>
        <w:left w:val="single" w:sz="4" w:space="7" w:color="auto"/>
        <w:bottom w:val="single" w:sz="4" w:space="0" w:color="auto"/>
        <w:right w:val="single" w:sz="4" w:space="0" w:color="auto"/>
      </w:pBdr>
      <w:spacing w:before="100" w:beforeAutospacing="1" w:after="100" w:afterAutospacing="1" w:line="480" w:lineRule="auto"/>
      <w:ind w:firstLineChars="100" w:firstLine="100"/>
      <w:jc w:val="both"/>
      <w:textAlignment w:val="center"/>
    </w:pPr>
    <w:rPr>
      <w:rFonts w:ascii="Times New Roman" w:eastAsia="Times New Roman" w:hAnsi="Times New Roman" w:cs="Times New Roman"/>
      <w:b/>
      <w:bCs/>
      <w:szCs w:val="24"/>
      <w:lang w:val="en-GB" w:eastAsia="en-GB"/>
    </w:rPr>
  </w:style>
  <w:style w:type="paragraph" w:customStyle="1" w:styleId="xl96">
    <w:name w:val="xl96"/>
    <w:basedOn w:val="Normal"/>
    <w:rsid w:val="00032324"/>
    <w:pPr>
      <w:pBdr>
        <w:top w:val="single" w:sz="4" w:space="0" w:color="auto"/>
        <w:left w:val="single" w:sz="4" w:space="0" w:color="auto"/>
        <w:bottom w:val="single" w:sz="4" w:space="0" w:color="auto"/>
        <w:right w:val="single" w:sz="4" w:space="0" w:color="auto"/>
      </w:pBdr>
      <w:shd w:val="clear" w:color="000000" w:fill="DCDCDC"/>
      <w:spacing w:before="100" w:beforeAutospacing="1" w:after="100" w:afterAutospacing="1" w:line="480" w:lineRule="auto"/>
      <w:jc w:val="both"/>
      <w:textAlignment w:val="center"/>
    </w:pPr>
    <w:rPr>
      <w:rFonts w:ascii="Times New Roman" w:eastAsia="Times New Roman" w:hAnsi="Times New Roman" w:cs="Times New Roman"/>
      <w:b/>
      <w:bCs/>
      <w:szCs w:val="24"/>
      <w:lang w:val="en-GB" w:eastAsia="en-GB"/>
    </w:rPr>
  </w:style>
  <w:style w:type="paragraph" w:customStyle="1" w:styleId="xl97">
    <w:name w:val="xl97"/>
    <w:basedOn w:val="Normal"/>
    <w:rsid w:val="000323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480" w:lineRule="auto"/>
      <w:jc w:val="right"/>
      <w:textAlignment w:val="center"/>
    </w:pPr>
    <w:rPr>
      <w:rFonts w:ascii="Times New Roman" w:eastAsia="Times New Roman" w:hAnsi="Times New Roman" w:cs="Times New Roman"/>
      <w:szCs w:val="24"/>
      <w:lang w:val="en-GB" w:eastAsia="en-GB"/>
    </w:rPr>
  </w:style>
  <w:style w:type="paragraph" w:customStyle="1" w:styleId="xl98">
    <w:name w:val="xl98"/>
    <w:basedOn w:val="Normal"/>
    <w:rsid w:val="000323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480" w:lineRule="auto"/>
      <w:jc w:val="right"/>
    </w:pPr>
    <w:rPr>
      <w:rFonts w:ascii="Times New Roman" w:eastAsia="Times New Roman" w:hAnsi="Times New Roman" w:cs="Times New Roman"/>
      <w:szCs w:val="24"/>
      <w:lang w:val="en-GB" w:eastAsia="en-GB"/>
    </w:rPr>
  </w:style>
  <w:style w:type="paragraph" w:customStyle="1" w:styleId="xl99">
    <w:name w:val="xl99"/>
    <w:basedOn w:val="Normal"/>
    <w:rsid w:val="00032324"/>
    <w:pPr>
      <w:pBdr>
        <w:top w:val="single" w:sz="4" w:space="0" w:color="auto"/>
        <w:left w:val="single" w:sz="4" w:space="0" w:color="auto"/>
        <w:bottom w:val="single" w:sz="4" w:space="0" w:color="auto"/>
        <w:right w:val="single" w:sz="4" w:space="0" w:color="auto"/>
      </w:pBdr>
      <w:shd w:val="clear" w:color="000000" w:fill="DCDCDC"/>
      <w:spacing w:before="100" w:beforeAutospacing="1" w:after="100" w:afterAutospacing="1" w:line="480" w:lineRule="auto"/>
      <w:jc w:val="center"/>
      <w:textAlignment w:val="center"/>
    </w:pPr>
    <w:rPr>
      <w:rFonts w:ascii="Times New Roman" w:eastAsia="Times New Roman" w:hAnsi="Times New Roman" w:cs="Times New Roman"/>
      <w:b/>
      <w:bCs/>
      <w:szCs w:val="24"/>
      <w:lang w:val="en-GB" w:eastAsia="en-GB"/>
    </w:rPr>
  </w:style>
  <w:style w:type="paragraph" w:customStyle="1" w:styleId="xl100">
    <w:name w:val="xl100"/>
    <w:basedOn w:val="Normal"/>
    <w:rsid w:val="00032324"/>
    <w:pPr>
      <w:pBdr>
        <w:top w:val="single" w:sz="4" w:space="0" w:color="auto"/>
        <w:left w:val="single" w:sz="4" w:space="0" w:color="auto"/>
        <w:bottom w:val="single" w:sz="4" w:space="0" w:color="auto"/>
        <w:right w:val="single" w:sz="4" w:space="7" w:color="auto"/>
      </w:pBdr>
      <w:spacing w:before="100" w:beforeAutospacing="1" w:after="100" w:afterAutospacing="1" w:line="480" w:lineRule="auto"/>
      <w:ind w:firstLineChars="100" w:firstLine="100"/>
      <w:jc w:val="right"/>
      <w:textAlignment w:val="center"/>
    </w:pPr>
    <w:rPr>
      <w:rFonts w:ascii="Times New Roman" w:eastAsia="Times New Roman" w:hAnsi="Times New Roman" w:cs="Times New Roman"/>
      <w:szCs w:val="24"/>
      <w:lang w:val="en-GB" w:eastAsia="en-GB"/>
    </w:rPr>
  </w:style>
  <w:style w:type="paragraph" w:customStyle="1" w:styleId="xl101">
    <w:name w:val="xl101"/>
    <w:basedOn w:val="Normal"/>
    <w:rsid w:val="00032324"/>
    <w:pPr>
      <w:pBdr>
        <w:top w:val="single" w:sz="4" w:space="0" w:color="auto"/>
        <w:left w:val="single" w:sz="4" w:space="0" w:color="auto"/>
        <w:bottom w:val="single" w:sz="4" w:space="0" w:color="auto"/>
        <w:right w:val="single" w:sz="4" w:space="0" w:color="auto"/>
      </w:pBdr>
      <w:spacing w:before="100" w:beforeAutospacing="1" w:after="100" w:afterAutospacing="1" w:line="480" w:lineRule="auto"/>
      <w:jc w:val="right"/>
      <w:textAlignment w:val="center"/>
    </w:pPr>
    <w:rPr>
      <w:rFonts w:ascii="Times New Roman" w:eastAsia="Times New Roman" w:hAnsi="Times New Roman" w:cs="Times New Roman"/>
      <w:szCs w:val="24"/>
      <w:lang w:val="en-GB" w:eastAsia="en-GB"/>
    </w:rPr>
  </w:style>
  <w:style w:type="paragraph" w:customStyle="1" w:styleId="xl102">
    <w:name w:val="xl102"/>
    <w:basedOn w:val="Normal"/>
    <w:rsid w:val="00032324"/>
    <w:pPr>
      <w:pBdr>
        <w:top w:val="single" w:sz="4" w:space="0" w:color="auto"/>
        <w:left w:val="single" w:sz="4" w:space="0" w:color="auto"/>
        <w:bottom w:val="single" w:sz="4" w:space="0" w:color="auto"/>
        <w:right w:val="single" w:sz="4" w:space="0" w:color="auto"/>
      </w:pBdr>
      <w:spacing w:before="100" w:beforeAutospacing="1" w:after="100" w:afterAutospacing="1" w:line="480" w:lineRule="auto"/>
      <w:jc w:val="right"/>
      <w:textAlignment w:val="center"/>
    </w:pPr>
    <w:rPr>
      <w:rFonts w:ascii="Times New Roman" w:eastAsia="Times New Roman" w:hAnsi="Times New Roman" w:cs="Times New Roman"/>
      <w:b/>
      <w:bCs/>
      <w:szCs w:val="24"/>
      <w:lang w:val="en-GB" w:eastAsia="en-GB"/>
    </w:rPr>
  </w:style>
  <w:style w:type="paragraph" w:customStyle="1" w:styleId="xl103">
    <w:name w:val="xl103"/>
    <w:basedOn w:val="Normal"/>
    <w:rsid w:val="00032324"/>
    <w:pPr>
      <w:pBdr>
        <w:top w:val="single" w:sz="4" w:space="0" w:color="auto"/>
        <w:left w:val="single" w:sz="4" w:space="0" w:color="auto"/>
        <w:bottom w:val="single" w:sz="4" w:space="0" w:color="auto"/>
      </w:pBdr>
      <w:shd w:val="clear" w:color="000000" w:fill="0070C0"/>
      <w:spacing w:before="100" w:beforeAutospacing="1" w:after="100" w:afterAutospacing="1" w:line="480" w:lineRule="auto"/>
      <w:jc w:val="center"/>
      <w:textAlignment w:val="center"/>
    </w:pPr>
    <w:rPr>
      <w:rFonts w:ascii="Times New Roman" w:eastAsia="Times New Roman" w:hAnsi="Times New Roman" w:cs="Times New Roman"/>
      <w:b/>
      <w:bCs/>
      <w:color w:val="FFFFFF"/>
      <w:szCs w:val="24"/>
      <w:lang w:val="en-GB" w:eastAsia="en-GB"/>
    </w:rPr>
  </w:style>
  <w:style w:type="paragraph" w:customStyle="1" w:styleId="xl104">
    <w:name w:val="xl104"/>
    <w:basedOn w:val="Normal"/>
    <w:rsid w:val="00032324"/>
    <w:pPr>
      <w:pBdr>
        <w:top w:val="single" w:sz="4" w:space="0" w:color="auto"/>
        <w:bottom w:val="single" w:sz="4" w:space="0" w:color="auto"/>
        <w:right w:val="single" w:sz="4" w:space="0" w:color="auto"/>
      </w:pBdr>
      <w:shd w:val="clear" w:color="000000" w:fill="0070C0"/>
      <w:spacing w:before="100" w:beforeAutospacing="1" w:after="100" w:afterAutospacing="1" w:line="480" w:lineRule="auto"/>
      <w:jc w:val="center"/>
      <w:textAlignment w:val="center"/>
    </w:pPr>
    <w:rPr>
      <w:rFonts w:ascii="Times New Roman" w:eastAsia="Times New Roman" w:hAnsi="Times New Roman" w:cs="Times New Roman"/>
      <w:b/>
      <w:bCs/>
      <w:color w:val="FFFFFF"/>
      <w:szCs w:val="24"/>
      <w:lang w:val="en-GB" w:eastAsia="en-GB"/>
    </w:rPr>
  </w:style>
  <w:style w:type="paragraph" w:customStyle="1" w:styleId="xl105">
    <w:name w:val="xl105"/>
    <w:basedOn w:val="Normal"/>
    <w:rsid w:val="00032324"/>
    <w:pPr>
      <w:pBdr>
        <w:top w:val="single" w:sz="4" w:space="0" w:color="auto"/>
        <w:left w:val="single" w:sz="4" w:space="0" w:color="auto"/>
        <w:bottom w:val="single" w:sz="4" w:space="0" w:color="auto"/>
      </w:pBdr>
      <w:shd w:val="clear" w:color="000000" w:fill="DBE123"/>
      <w:spacing w:before="100" w:beforeAutospacing="1" w:after="100" w:afterAutospacing="1" w:line="480" w:lineRule="auto"/>
      <w:jc w:val="center"/>
      <w:textAlignment w:val="center"/>
    </w:pPr>
    <w:rPr>
      <w:rFonts w:ascii="Times New Roman" w:eastAsia="Times New Roman" w:hAnsi="Times New Roman" w:cs="Times New Roman"/>
      <w:b/>
      <w:bCs/>
      <w:szCs w:val="24"/>
      <w:lang w:val="en-GB" w:eastAsia="en-GB"/>
    </w:rPr>
  </w:style>
  <w:style w:type="paragraph" w:customStyle="1" w:styleId="xl106">
    <w:name w:val="xl106"/>
    <w:basedOn w:val="Normal"/>
    <w:rsid w:val="00032324"/>
    <w:pPr>
      <w:pBdr>
        <w:top w:val="single" w:sz="4" w:space="0" w:color="auto"/>
        <w:bottom w:val="single" w:sz="4" w:space="0" w:color="auto"/>
        <w:right w:val="single" w:sz="4" w:space="0" w:color="auto"/>
      </w:pBdr>
      <w:shd w:val="clear" w:color="000000" w:fill="DBE123"/>
      <w:spacing w:before="100" w:beforeAutospacing="1" w:after="100" w:afterAutospacing="1" w:line="480" w:lineRule="auto"/>
      <w:jc w:val="center"/>
      <w:textAlignment w:val="center"/>
    </w:pPr>
    <w:rPr>
      <w:rFonts w:ascii="Times New Roman" w:eastAsia="Times New Roman" w:hAnsi="Times New Roman" w:cs="Times New Roman"/>
      <w:b/>
      <w:bCs/>
      <w:szCs w:val="24"/>
      <w:lang w:val="en-GB" w:eastAsia="en-GB"/>
    </w:rPr>
  </w:style>
  <w:style w:type="paragraph" w:customStyle="1" w:styleId="xl107">
    <w:name w:val="xl107"/>
    <w:basedOn w:val="Normal"/>
    <w:rsid w:val="00032324"/>
    <w:pPr>
      <w:pBdr>
        <w:top w:val="single" w:sz="4" w:space="0" w:color="auto"/>
        <w:left w:val="single" w:sz="4" w:space="0" w:color="auto"/>
        <w:bottom w:val="single" w:sz="4" w:space="0" w:color="auto"/>
      </w:pBdr>
      <w:shd w:val="clear" w:color="000000" w:fill="EAED7A"/>
      <w:spacing w:before="100" w:beforeAutospacing="1" w:after="100" w:afterAutospacing="1" w:line="480" w:lineRule="auto"/>
      <w:jc w:val="center"/>
      <w:textAlignment w:val="center"/>
    </w:pPr>
    <w:rPr>
      <w:rFonts w:ascii="Times New Roman" w:eastAsia="Times New Roman" w:hAnsi="Times New Roman" w:cs="Times New Roman"/>
      <w:b/>
      <w:bCs/>
      <w:szCs w:val="24"/>
      <w:lang w:val="en-GB" w:eastAsia="en-GB"/>
    </w:rPr>
  </w:style>
  <w:style w:type="paragraph" w:customStyle="1" w:styleId="xl108">
    <w:name w:val="xl108"/>
    <w:basedOn w:val="Normal"/>
    <w:rsid w:val="00032324"/>
    <w:pPr>
      <w:pBdr>
        <w:top w:val="single" w:sz="4" w:space="0" w:color="auto"/>
        <w:bottom w:val="single" w:sz="4" w:space="0" w:color="auto"/>
        <w:right w:val="single" w:sz="4" w:space="0" w:color="auto"/>
      </w:pBdr>
      <w:shd w:val="clear" w:color="000000" w:fill="EAED7A"/>
      <w:spacing w:before="100" w:beforeAutospacing="1" w:after="100" w:afterAutospacing="1" w:line="480" w:lineRule="auto"/>
      <w:jc w:val="center"/>
      <w:textAlignment w:val="center"/>
    </w:pPr>
    <w:rPr>
      <w:rFonts w:ascii="Times New Roman" w:eastAsia="Times New Roman" w:hAnsi="Times New Roman" w:cs="Times New Roman"/>
      <w:b/>
      <w:bCs/>
      <w:szCs w:val="24"/>
      <w:lang w:val="en-GB" w:eastAsia="en-GB"/>
    </w:rPr>
  </w:style>
  <w:style w:type="character" w:styleId="Strong">
    <w:name w:val="Strong"/>
    <w:basedOn w:val="DefaultParagraphFont"/>
    <w:uiPriority w:val="22"/>
    <w:qFormat/>
    <w:rsid w:val="00032324"/>
    <w:rPr>
      <w:b/>
      <w:bCs/>
    </w:rPr>
  </w:style>
  <w:style w:type="paragraph" w:customStyle="1" w:styleId="font0">
    <w:name w:val="font0"/>
    <w:basedOn w:val="Normal"/>
    <w:rsid w:val="00032324"/>
    <w:pPr>
      <w:spacing w:before="100" w:beforeAutospacing="1" w:after="100" w:afterAutospacing="1" w:line="480" w:lineRule="auto"/>
      <w:jc w:val="both"/>
    </w:pPr>
    <w:rPr>
      <w:rFonts w:ascii="Arial" w:eastAsia="Times New Roman" w:hAnsi="Arial" w:cs="Arial"/>
      <w:color w:val="000000"/>
      <w:lang w:val="en-GB" w:eastAsia="en-GB"/>
    </w:rPr>
  </w:style>
  <w:style w:type="paragraph" w:customStyle="1" w:styleId="xl109">
    <w:name w:val="xl109"/>
    <w:basedOn w:val="Normal"/>
    <w:rsid w:val="00032324"/>
    <w:pPr>
      <w:pBdr>
        <w:top w:val="single" w:sz="4" w:space="0" w:color="auto"/>
        <w:left w:val="single" w:sz="4" w:space="0" w:color="auto"/>
        <w:bottom w:val="single" w:sz="4" w:space="0" w:color="auto"/>
      </w:pBdr>
      <w:shd w:val="clear" w:color="000000" w:fill="EAED7A"/>
      <w:spacing w:before="100" w:beforeAutospacing="1" w:after="100" w:afterAutospacing="1" w:line="480" w:lineRule="auto"/>
      <w:jc w:val="center"/>
      <w:textAlignment w:val="center"/>
    </w:pPr>
    <w:rPr>
      <w:rFonts w:ascii="Times New Roman" w:eastAsia="Times New Roman" w:hAnsi="Times New Roman" w:cs="Times New Roman"/>
      <w:b/>
      <w:bCs/>
      <w:szCs w:val="24"/>
      <w:lang w:val="en-GB" w:eastAsia="en-GB"/>
    </w:rPr>
  </w:style>
  <w:style w:type="paragraph" w:customStyle="1" w:styleId="xl110">
    <w:name w:val="xl110"/>
    <w:basedOn w:val="Normal"/>
    <w:rsid w:val="00032324"/>
    <w:pPr>
      <w:pBdr>
        <w:top w:val="single" w:sz="4" w:space="0" w:color="auto"/>
        <w:bottom w:val="single" w:sz="4" w:space="0" w:color="auto"/>
        <w:right w:val="single" w:sz="4" w:space="0" w:color="auto"/>
      </w:pBdr>
      <w:shd w:val="clear" w:color="000000" w:fill="EAED7A"/>
      <w:spacing w:before="100" w:beforeAutospacing="1" w:after="100" w:afterAutospacing="1" w:line="480" w:lineRule="auto"/>
      <w:jc w:val="center"/>
      <w:textAlignment w:val="center"/>
    </w:pPr>
    <w:rPr>
      <w:rFonts w:ascii="Times New Roman" w:eastAsia="Times New Roman" w:hAnsi="Times New Roman" w:cs="Times New Roman"/>
      <w:b/>
      <w:bCs/>
      <w:szCs w:val="24"/>
      <w:lang w:val="en-GB" w:eastAsia="en-GB"/>
    </w:rPr>
  </w:style>
  <w:style w:type="paragraph" w:customStyle="1" w:styleId="EndNoteBibliographyTitle">
    <w:name w:val="EndNote Bibliography Title"/>
    <w:basedOn w:val="Normal"/>
    <w:link w:val="EndNoteBibliographyTitleChar"/>
    <w:rsid w:val="00032324"/>
    <w:pPr>
      <w:spacing w:after="0" w:line="480" w:lineRule="auto"/>
      <w:jc w:val="center"/>
    </w:pPr>
    <w:rPr>
      <w:rFonts w:ascii="Arial" w:eastAsia="Times New Roman" w:hAnsi="Arial" w:cs="Arial"/>
      <w:noProof/>
      <w:szCs w:val="24"/>
    </w:rPr>
  </w:style>
  <w:style w:type="character" w:customStyle="1" w:styleId="EndNoteBibliographyTitleChar">
    <w:name w:val="EndNote Bibliography Title Char"/>
    <w:basedOn w:val="DefaultParagraphFont"/>
    <w:link w:val="EndNoteBibliographyTitle"/>
    <w:rsid w:val="00032324"/>
    <w:rPr>
      <w:rFonts w:ascii="Arial" w:eastAsia="Times New Roman" w:hAnsi="Arial" w:cs="Arial"/>
      <w:noProof/>
      <w:szCs w:val="24"/>
    </w:rPr>
  </w:style>
  <w:style w:type="paragraph" w:customStyle="1" w:styleId="TableFig">
    <w:name w:val="Table&amp;Fig"/>
    <w:basedOn w:val="Heading2"/>
    <w:link w:val="TableFigChar"/>
    <w:qFormat/>
    <w:rsid w:val="00032324"/>
    <w:pPr>
      <w:spacing w:before="0" w:after="120"/>
    </w:pPr>
    <w:rPr>
      <w:b w:val="0"/>
      <w:i w:val="0"/>
    </w:rPr>
  </w:style>
  <w:style w:type="character" w:customStyle="1" w:styleId="TableFigChar">
    <w:name w:val="Table&amp;Fig Char"/>
    <w:basedOn w:val="Heading2Char"/>
    <w:link w:val="TableFig"/>
    <w:rsid w:val="00032324"/>
    <w:rPr>
      <w:rFonts w:ascii="Arial" w:eastAsia="Times New Roman" w:hAnsi="Arial" w:cs="Arial"/>
      <w:b w:val="0"/>
      <w:bCs/>
      <w:i w:val="0"/>
      <w:iCs/>
      <w:sz w:val="24"/>
      <w:szCs w:val="24"/>
      <w:lang w:val="en-GB"/>
    </w:rPr>
  </w:style>
  <w:style w:type="character" w:customStyle="1" w:styleId="Mention">
    <w:name w:val="Mention"/>
    <w:basedOn w:val="DefaultParagraphFont"/>
    <w:uiPriority w:val="99"/>
    <w:unhideWhenUsed/>
    <w:rsid w:val="00032324"/>
    <w:rPr>
      <w:color w:val="2B579A"/>
      <w:shd w:val="clear" w:color="auto" w:fill="E1DFDD"/>
    </w:rPr>
  </w:style>
  <w:style w:type="paragraph" w:customStyle="1" w:styleId="Normal2">
    <w:name w:val="Normal (2)"/>
    <w:basedOn w:val="Normal"/>
    <w:link w:val="Normal2Char"/>
    <w:qFormat/>
    <w:rsid w:val="00032324"/>
    <w:pPr>
      <w:spacing w:before="120" w:after="120" w:line="480" w:lineRule="auto"/>
      <w:ind w:firstLine="720"/>
      <w:jc w:val="both"/>
    </w:pPr>
    <w:rPr>
      <w:rFonts w:ascii="Arial" w:eastAsia="Times New Roman" w:hAnsi="Arial" w:cs="Times New Roman"/>
      <w:color w:val="000000" w:themeColor="text1"/>
      <w:szCs w:val="24"/>
    </w:rPr>
  </w:style>
  <w:style w:type="character" w:customStyle="1" w:styleId="Normal2Char">
    <w:name w:val="Normal (2) Char"/>
    <w:basedOn w:val="DefaultParagraphFont"/>
    <w:link w:val="Normal2"/>
    <w:rsid w:val="00032324"/>
    <w:rPr>
      <w:rFonts w:ascii="Arial" w:eastAsia="Times New Roman" w:hAnsi="Arial" w:cs="Times New Roman"/>
      <w:color w:val="000000" w:themeColor="text1"/>
      <w:szCs w:val="24"/>
    </w:rPr>
  </w:style>
  <w:style w:type="paragraph" w:styleId="HTMLPreformatted">
    <w:name w:val="HTML Preformatted"/>
    <w:basedOn w:val="Normal"/>
    <w:link w:val="HTMLPreformattedChar"/>
    <w:rsid w:val="00032324"/>
    <w:pPr>
      <w:spacing w:after="0" w:line="240" w:lineRule="auto"/>
      <w:jc w:val="both"/>
    </w:pPr>
    <w:rPr>
      <w:rFonts w:ascii="Consolas" w:eastAsia="Times New Roman" w:hAnsi="Consolas" w:cs="Times New Roman"/>
      <w:sz w:val="20"/>
      <w:szCs w:val="20"/>
      <w:lang w:val="en-GB"/>
    </w:rPr>
  </w:style>
  <w:style w:type="character" w:customStyle="1" w:styleId="HTMLPreformattedChar">
    <w:name w:val="HTML Preformatted Char"/>
    <w:basedOn w:val="DefaultParagraphFont"/>
    <w:link w:val="HTMLPreformatted"/>
    <w:rsid w:val="00032324"/>
    <w:rPr>
      <w:rFonts w:ascii="Consolas" w:eastAsia="Times New Roman" w:hAnsi="Consola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image" Target="media/image2.emf"/><Relationship Id="rId5" Type="http://schemas.openxmlformats.org/officeDocument/2006/relationships/footer" Target="footer1.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chart" Target="charts/chart4.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Male</c:v>
                </c:pt>
              </c:strCache>
            </c:strRef>
          </c:tx>
          <c:spPr>
            <a:solidFill>
              <a:schemeClr val="bg1">
                <a:lumMod val="75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Sheet1!$B$2:$B$12</c:f>
              <c:numCache>
                <c:formatCode>General</c:formatCode>
                <c:ptCount val="11"/>
                <c:pt idx="0">
                  <c:v>158</c:v>
                </c:pt>
                <c:pt idx="1">
                  <c:v>177</c:v>
                </c:pt>
                <c:pt idx="2">
                  <c:v>186</c:v>
                </c:pt>
                <c:pt idx="3">
                  <c:v>192</c:v>
                </c:pt>
                <c:pt idx="4">
                  <c:v>199</c:v>
                </c:pt>
                <c:pt idx="5">
                  <c:v>195</c:v>
                </c:pt>
                <c:pt idx="6">
                  <c:v>202</c:v>
                </c:pt>
                <c:pt idx="7">
                  <c:v>208</c:v>
                </c:pt>
                <c:pt idx="8">
                  <c:v>214</c:v>
                </c:pt>
                <c:pt idx="9">
                  <c:v>218</c:v>
                </c:pt>
                <c:pt idx="10">
                  <c:v>218</c:v>
                </c:pt>
              </c:numCache>
            </c:numRef>
          </c:val>
          <c:extLst>
            <c:ext xmlns:c16="http://schemas.microsoft.com/office/drawing/2014/chart" uri="{C3380CC4-5D6E-409C-BE32-E72D297353CC}">
              <c16:uniqueId val="{00000000-9DDB-4AA5-AE51-4F4A64214AC5}"/>
            </c:ext>
          </c:extLst>
        </c:ser>
        <c:ser>
          <c:idx val="1"/>
          <c:order val="1"/>
          <c:tx>
            <c:strRef>
              <c:f>Sheet1!$C$1</c:f>
              <c:strCache>
                <c:ptCount val="1"/>
                <c:pt idx="0">
                  <c:v>Female</c:v>
                </c:pt>
              </c:strCache>
            </c:strRef>
          </c:tx>
          <c:spPr>
            <a:solidFill>
              <a:schemeClr val="tx1">
                <a:lumMod val="50000"/>
                <a:lumOff val="50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Sheet1!$C$2:$C$12</c:f>
              <c:numCache>
                <c:formatCode>General</c:formatCode>
                <c:ptCount val="11"/>
                <c:pt idx="0">
                  <c:v>122</c:v>
                </c:pt>
                <c:pt idx="1">
                  <c:v>139</c:v>
                </c:pt>
                <c:pt idx="2">
                  <c:v>147</c:v>
                </c:pt>
                <c:pt idx="3">
                  <c:v>153</c:v>
                </c:pt>
                <c:pt idx="4">
                  <c:v>157</c:v>
                </c:pt>
                <c:pt idx="5">
                  <c:v>152</c:v>
                </c:pt>
                <c:pt idx="6">
                  <c:v>151</c:v>
                </c:pt>
                <c:pt idx="7">
                  <c:v>152</c:v>
                </c:pt>
                <c:pt idx="8">
                  <c:v>155</c:v>
                </c:pt>
                <c:pt idx="9">
                  <c:v>157</c:v>
                </c:pt>
                <c:pt idx="10">
                  <c:v>156</c:v>
                </c:pt>
              </c:numCache>
            </c:numRef>
          </c:val>
          <c:extLst>
            <c:ext xmlns:c16="http://schemas.microsoft.com/office/drawing/2014/chart" uri="{C3380CC4-5D6E-409C-BE32-E72D297353CC}">
              <c16:uniqueId val="{00000001-9DDB-4AA5-AE51-4F4A64214AC5}"/>
            </c:ext>
          </c:extLst>
        </c:ser>
        <c:ser>
          <c:idx val="2"/>
          <c:order val="2"/>
          <c:tx>
            <c:strRef>
              <c:f>Sheet1!$D$1</c:f>
              <c:strCache>
                <c:ptCount val="1"/>
                <c:pt idx="0">
                  <c:v>Overall</c:v>
                </c:pt>
              </c:strCache>
            </c:strRef>
          </c:tx>
          <c:spPr>
            <a:solidFill>
              <a:schemeClr val="tx1">
                <a:lumMod val="75000"/>
                <a:lumOff val="25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Sheet1!$D$2:$D$12</c:f>
              <c:numCache>
                <c:formatCode>General</c:formatCode>
                <c:ptCount val="11"/>
                <c:pt idx="0">
                  <c:v>139</c:v>
                </c:pt>
                <c:pt idx="1">
                  <c:v>157</c:v>
                </c:pt>
                <c:pt idx="2">
                  <c:v>165</c:v>
                </c:pt>
                <c:pt idx="3">
                  <c:v>171</c:v>
                </c:pt>
                <c:pt idx="4">
                  <c:v>176</c:v>
                </c:pt>
                <c:pt idx="5">
                  <c:v>172</c:v>
                </c:pt>
                <c:pt idx="6">
                  <c:v>175</c:v>
                </c:pt>
                <c:pt idx="7">
                  <c:v>178</c:v>
                </c:pt>
                <c:pt idx="8">
                  <c:v>183</c:v>
                </c:pt>
                <c:pt idx="9">
                  <c:v>186</c:v>
                </c:pt>
                <c:pt idx="10">
                  <c:v>185</c:v>
                </c:pt>
              </c:numCache>
            </c:numRef>
          </c:val>
          <c:extLst>
            <c:ext xmlns:c16="http://schemas.microsoft.com/office/drawing/2014/chart" uri="{C3380CC4-5D6E-409C-BE32-E72D297353CC}">
              <c16:uniqueId val="{00000002-9DDB-4AA5-AE51-4F4A64214AC5}"/>
            </c:ext>
          </c:extLst>
        </c:ser>
        <c:dLbls>
          <c:showLegendKey val="0"/>
          <c:showVal val="0"/>
          <c:showCatName val="0"/>
          <c:showSerName val="0"/>
          <c:showPercent val="0"/>
          <c:showBubbleSize val="0"/>
        </c:dLbls>
        <c:gapWidth val="67"/>
        <c:overlap val="-10"/>
        <c:axId val="1769561103"/>
        <c:axId val="1769990223"/>
      </c:barChart>
      <c:catAx>
        <c:axId val="17695611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69990223"/>
        <c:crosses val="autoZero"/>
        <c:auto val="1"/>
        <c:lblAlgn val="ctr"/>
        <c:lblOffset val="100"/>
        <c:noMultiLvlLbl val="0"/>
      </c:catAx>
      <c:valAx>
        <c:axId val="176999022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Prevalence of CLL per 100,000 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69561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18-44</c:v>
                </c:pt>
              </c:strCache>
            </c:strRef>
          </c:tx>
          <c:spPr>
            <a:solidFill>
              <a:schemeClr val="bg1">
                <a:lumMod val="75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Sheet1!$B$2:$B$12</c:f>
              <c:numCache>
                <c:formatCode>General</c:formatCode>
                <c:ptCount val="11"/>
                <c:pt idx="0">
                  <c:v>23</c:v>
                </c:pt>
                <c:pt idx="1">
                  <c:v>23</c:v>
                </c:pt>
                <c:pt idx="2">
                  <c:v>22</c:v>
                </c:pt>
                <c:pt idx="3">
                  <c:v>26</c:v>
                </c:pt>
                <c:pt idx="4">
                  <c:v>28</c:v>
                </c:pt>
                <c:pt idx="5">
                  <c:v>33</c:v>
                </c:pt>
                <c:pt idx="6">
                  <c:v>35</c:v>
                </c:pt>
                <c:pt idx="7">
                  <c:v>33</c:v>
                </c:pt>
                <c:pt idx="8">
                  <c:v>36</c:v>
                </c:pt>
                <c:pt idx="9">
                  <c:v>39</c:v>
                </c:pt>
                <c:pt idx="10">
                  <c:v>40</c:v>
                </c:pt>
              </c:numCache>
            </c:numRef>
          </c:val>
          <c:extLst>
            <c:ext xmlns:c16="http://schemas.microsoft.com/office/drawing/2014/chart" uri="{C3380CC4-5D6E-409C-BE32-E72D297353CC}">
              <c16:uniqueId val="{00000000-C410-48C0-8268-870B9158AAFC}"/>
            </c:ext>
          </c:extLst>
        </c:ser>
        <c:ser>
          <c:idx val="1"/>
          <c:order val="1"/>
          <c:tx>
            <c:strRef>
              <c:f>Sheet1!$C$1</c:f>
              <c:strCache>
                <c:ptCount val="1"/>
                <c:pt idx="0">
                  <c:v>45-49</c:v>
                </c:pt>
              </c:strCache>
            </c:strRef>
          </c:tx>
          <c:spPr>
            <a:solidFill>
              <a:schemeClr val="tx1">
                <a:lumMod val="50000"/>
                <a:lumOff val="50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Sheet1!$C$2:$C$12</c:f>
              <c:numCache>
                <c:formatCode>General</c:formatCode>
                <c:ptCount val="11"/>
                <c:pt idx="0">
                  <c:v>19</c:v>
                </c:pt>
                <c:pt idx="1">
                  <c:v>21</c:v>
                </c:pt>
                <c:pt idx="2">
                  <c:v>26</c:v>
                </c:pt>
                <c:pt idx="3">
                  <c:v>23</c:v>
                </c:pt>
                <c:pt idx="4">
                  <c:v>23</c:v>
                </c:pt>
                <c:pt idx="5">
                  <c:v>24</c:v>
                </c:pt>
                <c:pt idx="6">
                  <c:v>27</c:v>
                </c:pt>
                <c:pt idx="7">
                  <c:v>28</c:v>
                </c:pt>
                <c:pt idx="8">
                  <c:v>32</c:v>
                </c:pt>
                <c:pt idx="9">
                  <c:v>31</c:v>
                </c:pt>
                <c:pt idx="10">
                  <c:v>35</c:v>
                </c:pt>
              </c:numCache>
            </c:numRef>
          </c:val>
          <c:extLst>
            <c:ext xmlns:c16="http://schemas.microsoft.com/office/drawing/2014/chart" uri="{C3380CC4-5D6E-409C-BE32-E72D297353CC}">
              <c16:uniqueId val="{00000001-C410-48C0-8268-870B9158AAFC}"/>
            </c:ext>
          </c:extLst>
        </c:ser>
        <c:ser>
          <c:idx val="2"/>
          <c:order val="2"/>
          <c:tx>
            <c:strRef>
              <c:f>Sheet1!$D$1</c:f>
              <c:strCache>
                <c:ptCount val="1"/>
                <c:pt idx="0">
                  <c:v>50-54</c:v>
                </c:pt>
              </c:strCache>
            </c:strRef>
          </c:tx>
          <c:spPr>
            <a:solidFill>
              <a:schemeClr val="tx1">
                <a:lumMod val="75000"/>
                <a:lumOff val="25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Sheet1!$D$2:$D$12</c:f>
              <c:numCache>
                <c:formatCode>General</c:formatCode>
                <c:ptCount val="11"/>
                <c:pt idx="0">
                  <c:v>32</c:v>
                </c:pt>
                <c:pt idx="1">
                  <c:v>41</c:v>
                </c:pt>
                <c:pt idx="2">
                  <c:v>44</c:v>
                </c:pt>
                <c:pt idx="3">
                  <c:v>51</c:v>
                </c:pt>
                <c:pt idx="4">
                  <c:v>47</c:v>
                </c:pt>
                <c:pt idx="5">
                  <c:v>48</c:v>
                </c:pt>
                <c:pt idx="6">
                  <c:v>49</c:v>
                </c:pt>
                <c:pt idx="7">
                  <c:v>57</c:v>
                </c:pt>
                <c:pt idx="8">
                  <c:v>59</c:v>
                </c:pt>
                <c:pt idx="9">
                  <c:v>57</c:v>
                </c:pt>
                <c:pt idx="10">
                  <c:v>56</c:v>
                </c:pt>
              </c:numCache>
            </c:numRef>
          </c:val>
          <c:extLst>
            <c:ext xmlns:c16="http://schemas.microsoft.com/office/drawing/2014/chart" uri="{C3380CC4-5D6E-409C-BE32-E72D297353CC}">
              <c16:uniqueId val="{00000002-C410-48C0-8268-870B9158AAFC}"/>
            </c:ext>
          </c:extLst>
        </c:ser>
        <c:ser>
          <c:idx val="3"/>
          <c:order val="3"/>
          <c:tx>
            <c:strRef>
              <c:f>Sheet1!$E$1</c:f>
              <c:strCache>
                <c:ptCount val="1"/>
                <c:pt idx="0">
                  <c:v>55-59</c:v>
                </c:pt>
              </c:strCache>
            </c:strRef>
          </c:tx>
          <c:spPr>
            <a:solidFill>
              <a:srgbClr val="C00000"/>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Sheet1!$E$2:$E$12</c:f>
              <c:numCache>
                <c:formatCode>General</c:formatCode>
                <c:ptCount val="11"/>
                <c:pt idx="0">
                  <c:v>62</c:v>
                </c:pt>
                <c:pt idx="1">
                  <c:v>77</c:v>
                </c:pt>
                <c:pt idx="2">
                  <c:v>80</c:v>
                </c:pt>
                <c:pt idx="3">
                  <c:v>83</c:v>
                </c:pt>
                <c:pt idx="4">
                  <c:v>91</c:v>
                </c:pt>
                <c:pt idx="5">
                  <c:v>96</c:v>
                </c:pt>
                <c:pt idx="6">
                  <c:v>99</c:v>
                </c:pt>
                <c:pt idx="7">
                  <c:v>97</c:v>
                </c:pt>
                <c:pt idx="8">
                  <c:v>96</c:v>
                </c:pt>
                <c:pt idx="9">
                  <c:v>98</c:v>
                </c:pt>
                <c:pt idx="10">
                  <c:v>102</c:v>
                </c:pt>
              </c:numCache>
            </c:numRef>
          </c:val>
          <c:extLst>
            <c:ext xmlns:c16="http://schemas.microsoft.com/office/drawing/2014/chart" uri="{C3380CC4-5D6E-409C-BE32-E72D297353CC}">
              <c16:uniqueId val="{00000003-C410-48C0-8268-870B9158AAFC}"/>
            </c:ext>
          </c:extLst>
        </c:ser>
        <c:ser>
          <c:idx val="4"/>
          <c:order val="4"/>
          <c:tx>
            <c:strRef>
              <c:f>Sheet1!$F$1</c:f>
              <c:strCache>
                <c:ptCount val="1"/>
                <c:pt idx="0">
                  <c:v>60-64</c:v>
                </c:pt>
              </c:strCache>
            </c:strRef>
          </c:tx>
          <c:spPr>
            <a:solidFill>
              <a:schemeClr val="accent5"/>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Sheet1!$F$2:$F$12</c:f>
              <c:numCache>
                <c:formatCode>General</c:formatCode>
                <c:ptCount val="11"/>
                <c:pt idx="0">
                  <c:v>123</c:v>
                </c:pt>
                <c:pt idx="1">
                  <c:v>134</c:v>
                </c:pt>
                <c:pt idx="2">
                  <c:v>132</c:v>
                </c:pt>
                <c:pt idx="3">
                  <c:v>146</c:v>
                </c:pt>
                <c:pt idx="4">
                  <c:v>154</c:v>
                </c:pt>
                <c:pt idx="5">
                  <c:v>152</c:v>
                </c:pt>
                <c:pt idx="6">
                  <c:v>153</c:v>
                </c:pt>
                <c:pt idx="7">
                  <c:v>170</c:v>
                </c:pt>
                <c:pt idx="8">
                  <c:v>173</c:v>
                </c:pt>
                <c:pt idx="9">
                  <c:v>176</c:v>
                </c:pt>
                <c:pt idx="10">
                  <c:v>180</c:v>
                </c:pt>
              </c:numCache>
            </c:numRef>
          </c:val>
          <c:extLst>
            <c:ext xmlns:c16="http://schemas.microsoft.com/office/drawing/2014/chart" uri="{C3380CC4-5D6E-409C-BE32-E72D297353CC}">
              <c16:uniqueId val="{00000004-C410-48C0-8268-870B9158AAFC}"/>
            </c:ext>
          </c:extLst>
        </c:ser>
        <c:ser>
          <c:idx val="5"/>
          <c:order val="5"/>
          <c:tx>
            <c:strRef>
              <c:f>Sheet1!$G$1</c:f>
              <c:strCache>
                <c:ptCount val="1"/>
                <c:pt idx="0">
                  <c:v>65-69</c:v>
                </c:pt>
              </c:strCache>
            </c:strRef>
          </c:tx>
          <c:spPr>
            <a:solidFill>
              <a:schemeClr val="accent6"/>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Sheet1!$G$2:$G$12</c:f>
              <c:numCache>
                <c:formatCode>General</c:formatCode>
                <c:ptCount val="11"/>
                <c:pt idx="0">
                  <c:v>217</c:v>
                </c:pt>
                <c:pt idx="1">
                  <c:v>241</c:v>
                </c:pt>
                <c:pt idx="2">
                  <c:v>255</c:v>
                </c:pt>
                <c:pt idx="3">
                  <c:v>252</c:v>
                </c:pt>
                <c:pt idx="4">
                  <c:v>245</c:v>
                </c:pt>
                <c:pt idx="5">
                  <c:v>253</c:v>
                </c:pt>
                <c:pt idx="6">
                  <c:v>252</c:v>
                </c:pt>
                <c:pt idx="7">
                  <c:v>254</c:v>
                </c:pt>
                <c:pt idx="8">
                  <c:v>256</c:v>
                </c:pt>
                <c:pt idx="9">
                  <c:v>255</c:v>
                </c:pt>
                <c:pt idx="10">
                  <c:v>246</c:v>
                </c:pt>
              </c:numCache>
            </c:numRef>
          </c:val>
          <c:extLst>
            <c:ext xmlns:c16="http://schemas.microsoft.com/office/drawing/2014/chart" uri="{C3380CC4-5D6E-409C-BE32-E72D297353CC}">
              <c16:uniqueId val="{00000005-C410-48C0-8268-870B9158AAFC}"/>
            </c:ext>
          </c:extLst>
        </c:ser>
        <c:ser>
          <c:idx val="6"/>
          <c:order val="6"/>
          <c:tx>
            <c:strRef>
              <c:f>Sheet1!$H$1</c:f>
              <c:strCache>
                <c:ptCount val="1"/>
                <c:pt idx="0">
                  <c:v>70-74</c:v>
                </c:pt>
              </c:strCache>
            </c:strRef>
          </c:tx>
          <c:spPr>
            <a:solidFill>
              <a:srgbClr val="FFC000"/>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Sheet1!$H$2:$H$12</c:f>
              <c:numCache>
                <c:formatCode>General</c:formatCode>
                <c:ptCount val="11"/>
                <c:pt idx="0">
                  <c:v>307</c:v>
                </c:pt>
                <c:pt idx="1">
                  <c:v>337</c:v>
                </c:pt>
                <c:pt idx="2">
                  <c:v>363</c:v>
                </c:pt>
                <c:pt idx="3">
                  <c:v>359</c:v>
                </c:pt>
                <c:pt idx="4">
                  <c:v>379</c:v>
                </c:pt>
                <c:pt idx="5">
                  <c:v>380</c:v>
                </c:pt>
                <c:pt idx="6">
                  <c:v>395</c:v>
                </c:pt>
                <c:pt idx="7">
                  <c:v>402</c:v>
                </c:pt>
                <c:pt idx="8">
                  <c:v>397</c:v>
                </c:pt>
                <c:pt idx="9">
                  <c:v>397</c:v>
                </c:pt>
                <c:pt idx="10">
                  <c:v>394</c:v>
                </c:pt>
              </c:numCache>
            </c:numRef>
          </c:val>
          <c:extLst>
            <c:ext xmlns:c16="http://schemas.microsoft.com/office/drawing/2014/chart" uri="{C3380CC4-5D6E-409C-BE32-E72D297353CC}">
              <c16:uniqueId val="{00000006-C410-48C0-8268-870B9158AAFC}"/>
            </c:ext>
          </c:extLst>
        </c:ser>
        <c:ser>
          <c:idx val="7"/>
          <c:order val="7"/>
          <c:tx>
            <c:strRef>
              <c:f>Sheet1!$I$1</c:f>
              <c:strCache>
                <c:ptCount val="1"/>
                <c:pt idx="0">
                  <c:v>75-79</c:v>
                </c:pt>
              </c:strCache>
            </c:strRef>
          </c:tx>
          <c:spPr>
            <a:solidFill>
              <a:schemeClr val="accent2">
                <a:lumMod val="60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Sheet1!$I$2:$I$12</c:f>
              <c:numCache>
                <c:formatCode>General</c:formatCode>
                <c:ptCount val="11"/>
                <c:pt idx="0">
                  <c:v>370</c:v>
                </c:pt>
                <c:pt idx="1">
                  <c:v>409</c:v>
                </c:pt>
                <c:pt idx="2">
                  <c:v>417</c:v>
                </c:pt>
                <c:pt idx="3">
                  <c:v>440</c:v>
                </c:pt>
                <c:pt idx="4">
                  <c:v>478</c:v>
                </c:pt>
                <c:pt idx="5">
                  <c:v>494</c:v>
                </c:pt>
                <c:pt idx="6">
                  <c:v>515</c:v>
                </c:pt>
                <c:pt idx="7">
                  <c:v>534</c:v>
                </c:pt>
                <c:pt idx="8">
                  <c:v>556</c:v>
                </c:pt>
                <c:pt idx="9">
                  <c:v>572</c:v>
                </c:pt>
                <c:pt idx="10">
                  <c:v>580</c:v>
                </c:pt>
              </c:numCache>
            </c:numRef>
          </c:val>
          <c:extLst>
            <c:ext xmlns:c16="http://schemas.microsoft.com/office/drawing/2014/chart" uri="{C3380CC4-5D6E-409C-BE32-E72D297353CC}">
              <c16:uniqueId val="{00000007-C410-48C0-8268-870B9158AAFC}"/>
            </c:ext>
          </c:extLst>
        </c:ser>
        <c:ser>
          <c:idx val="8"/>
          <c:order val="8"/>
          <c:tx>
            <c:strRef>
              <c:f>Sheet1!$J$1</c:f>
              <c:strCache>
                <c:ptCount val="1"/>
                <c:pt idx="0">
                  <c:v>80-84</c:v>
                </c:pt>
              </c:strCache>
            </c:strRef>
          </c:tx>
          <c:spPr>
            <a:solidFill>
              <a:srgbClr val="00B0F0"/>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Sheet1!$J$2:$J$12</c:f>
              <c:numCache>
                <c:formatCode>General</c:formatCode>
                <c:ptCount val="11"/>
                <c:pt idx="0">
                  <c:v>392</c:v>
                </c:pt>
                <c:pt idx="1">
                  <c:v>447</c:v>
                </c:pt>
                <c:pt idx="2">
                  <c:v>511</c:v>
                </c:pt>
                <c:pt idx="3">
                  <c:v>523</c:v>
                </c:pt>
                <c:pt idx="4">
                  <c:v>523</c:v>
                </c:pt>
                <c:pt idx="5">
                  <c:v>542</c:v>
                </c:pt>
                <c:pt idx="6">
                  <c:v>562</c:v>
                </c:pt>
                <c:pt idx="7">
                  <c:v>583</c:v>
                </c:pt>
                <c:pt idx="8">
                  <c:v>618</c:v>
                </c:pt>
                <c:pt idx="9">
                  <c:v>644</c:v>
                </c:pt>
                <c:pt idx="10">
                  <c:v>644</c:v>
                </c:pt>
              </c:numCache>
            </c:numRef>
          </c:val>
          <c:extLst>
            <c:ext xmlns:c16="http://schemas.microsoft.com/office/drawing/2014/chart" uri="{C3380CC4-5D6E-409C-BE32-E72D297353CC}">
              <c16:uniqueId val="{00000008-C410-48C0-8268-870B9158AAFC}"/>
            </c:ext>
          </c:extLst>
        </c:ser>
        <c:ser>
          <c:idx val="9"/>
          <c:order val="9"/>
          <c:tx>
            <c:strRef>
              <c:f>Sheet1!$K$1</c:f>
              <c:strCache>
                <c:ptCount val="1"/>
                <c:pt idx="0">
                  <c:v>85-89</c:v>
                </c:pt>
              </c:strCache>
            </c:strRef>
          </c:tx>
          <c:spPr>
            <a:solidFill>
              <a:schemeClr val="accent4">
                <a:lumMod val="60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Sheet1!$K$2:$K$12</c:f>
              <c:numCache>
                <c:formatCode>General</c:formatCode>
                <c:ptCount val="11"/>
                <c:pt idx="0">
                  <c:v>370</c:v>
                </c:pt>
                <c:pt idx="1">
                  <c:v>431</c:v>
                </c:pt>
                <c:pt idx="2">
                  <c:v>432</c:v>
                </c:pt>
                <c:pt idx="3">
                  <c:v>491</c:v>
                </c:pt>
                <c:pt idx="4">
                  <c:v>533</c:v>
                </c:pt>
                <c:pt idx="5">
                  <c:v>577</c:v>
                </c:pt>
                <c:pt idx="6">
                  <c:v>598</c:v>
                </c:pt>
                <c:pt idx="7">
                  <c:v>603</c:v>
                </c:pt>
                <c:pt idx="8">
                  <c:v>636</c:v>
                </c:pt>
                <c:pt idx="9">
                  <c:v>634</c:v>
                </c:pt>
                <c:pt idx="10">
                  <c:v>653</c:v>
                </c:pt>
              </c:numCache>
            </c:numRef>
          </c:val>
          <c:extLst>
            <c:ext xmlns:c16="http://schemas.microsoft.com/office/drawing/2014/chart" uri="{C3380CC4-5D6E-409C-BE32-E72D297353CC}">
              <c16:uniqueId val="{00000009-C410-48C0-8268-870B9158AAFC}"/>
            </c:ext>
          </c:extLst>
        </c:ser>
        <c:ser>
          <c:idx val="10"/>
          <c:order val="10"/>
          <c:tx>
            <c:strRef>
              <c:f>Sheet1!$L$1</c:f>
              <c:strCache>
                <c:ptCount val="1"/>
                <c:pt idx="0">
                  <c:v>≥ 90</c:v>
                </c:pt>
              </c:strCache>
            </c:strRef>
          </c:tx>
          <c:spPr>
            <a:solidFill>
              <a:schemeClr val="accent5">
                <a:lumMod val="60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Sheet1!$L$2:$L$12</c:f>
              <c:numCache>
                <c:formatCode>General</c:formatCode>
                <c:ptCount val="11"/>
                <c:pt idx="0">
                  <c:v>231</c:v>
                </c:pt>
                <c:pt idx="1">
                  <c:v>308</c:v>
                </c:pt>
                <c:pt idx="2">
                  <c:v>351</c:v>
                </c:pt>
                <c:pt idx="3">
                  <c:v>368</c:v>
                </c:pt>
                <c:pt idx="4">
                  <c:v>404</c:v>
                </c:pt>
                <c:pt idx="5">
                  <c:v>412</c:v>
                </c:pt>
                <c:pt idx="6">
                  <c:v>460</c:v>
                </c:pt>
                <c:pt idx="7">
                  <c:v>479</c:v>
                </c:pt>
                <c:pt idx="8">
                  <c:v>512</c:v>
                </c:pt>
                <c:pt idx="9">
                  <c:v>573</c:v>
                </c:pt>
                <c:pt idx="10">
                  <c:v>568</c:v>
                </c:pt>
              </c:numCache>
            </c:numRef>
          </c:val>
          <c:extLst>
            <c:ext xmlns:c16="http://schemas.microsoft.com/office/drawing/2014/chart" uri="{C3380CC4-5D6E-409C-BE32-E72D297353CC}">
              <c16:uniqueId val="{0000000A-C410-48C0-8268-870B9158AAFC}"/>
            </c:ext>
          </c:extLst>
        </c:ser>
        <c:dLbls>
          <c:showLegendKey val="0"/>
          <c:showVal val="0"/>
          <c:showCatName val="0"/>
          <c:showSerName val="0"/>
          <c:showPercent val="0"/>
          <c:showBubbleSize val="0"/>
        </c:dLbls>
        <c:gapWidth val="67"/>
        <c:overlap val="-10"/>
        <c:axId val="1769561103"/>
        <c:axId val="1769990223"/>
      </c:barChart>
      <c:catAx>
        <c:axId val="17695611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69990223"/>
        <c:crosses val="autoZero"/>
        <c:auto val="1"/>
        <c:lblAlgn val="ctr"/>
        <c:lblOffset val="100"/>
        <c:noMultiLvlLbl val="0"/>
      </c:catAx>
      <c:valAx>
        <c:axId val="176999022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Prevalence of CLL per 100,000 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69561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Male</c:v>
                </c:pt>
              </c:strCache>
            </c:strRef>
          </c:tx>
          <c:spPr>
            <a:solidFill>
              <a:schemeClr val="bg1">
                <a:lumMod val="75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Sheet1!$B$2:$B$12</c:f>
              <c:numCache>
                <c:formatCode>General</c:formatCode>
                <c:ptCount val="11"/>
                <c:pt idx="0">
                  <c:v>23</c:v>
                </c:pt>
                <c:pt idx="1">
                  <c:v>21</c:v>
                </c:pt>
                <c:pt idx="2">
                  <c:v>22</c:v>
                </c:pt>
                <c:pt idx="3">
                  <c:v>21</c:v>
                </c:pt>
                <c:pt idx="4">
                  <c:v>19</c:v>
                </c:pt>
                <c:pt idx="5">
                  <c:v>22</c:v>
                </c:pt>
                <c:pt idx="6">
                  <c:v>20</c:v>
                </c:pt>
                <c:pt idx="7">
                  <c:v>21</c:v>
                </c:pt>
                <c:pt idx="8">
                  <c:v>19</c:v>
                </c:pt>
                <c:pt idx="9">
                  <c:v>18</c:v>
                </c:pt>
                <c:pt idx="10">
                  <c:v>20</c:v>
                </c:pt>
              </c:numCache>
            </c:numRef>
          </c:val>
          <c:extLst>
            <c:ext xmlns:c16="http://schemas.microsoft.com/office/drawing/2014/chart" uri="{C3380CC4-5D6E-409C-BE32-E72D297353CC}">
              <c16:uniqueId val="{00000000-E008-47A4-8F63-D9F5D75C0880}"/>
            </c:ext>
          </c:extLst>
        </c:ser>
        <c:ser>
          <c:idx val="1"/>
          <c:order val="1"/>
          <c:tx>
            <c:strRef>
              <c:f>Sheet1!$C$1</c:f>
              <c:strCache>
                <c:ptCount val="1"/>
                <c:pt idx="0">
                  <c:v>Female</c:v>
                </c:pt>
              </c:strCache>
            </c:strRef>
          </c:tx>
          <c:spPr>
            <a:solidFill>
              <a:schemeClr val="tx1">
                <a:lumMod val="50000"/>
                <a:lumOff val="50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Sheet1!$C$2:$C$12</c:f>
              <c:numCache>
                <c:formatCode>General</c:formatCode>
                <c:ptCount val="11"/>
                <c:pt idx="0">
                  <c:v>16</c:v>
                </c:pt>
                <c:pt idx="1">
                  <c:v>15</c:v>
                </c:pt>
                <c:pt idx="2">
                  <c:v>17</c:v>
                </c:pt>
                <c:pt idx="3">
                  <c:v>13</c:v>
                </c:pt>
                <c:pt idx="4">
                  <c:v>14</c:v>
                </c:pt>
                <c:pt idx="5">
                  <c:v>14</c:v>
                </c:pt>
                <c:pt idx="6">
                  <c:v>11</c:v>
                </c:pt>
                <c:pt idx="7">
                  <c:v>13</c:v>
                </c:pt>
                <c:pt idx="8">
                  <c:v>12</c:v>
                </c:pt>
                <c:pt idx="9">
                  <c:v>12</c:v>
                </c:pt>
                <c:pt idx="10">
                  <c:v>10</c:v>
                </c:pt>
              </c:numCache>
            </c:numRef>
          </c:val>
          <c:extLst>
            <c:ext xmlns:c16="http://schemas.microsoft.com/office/drawing/2014/chart" uri="{C3380CC4-5D6E-409C-BE32-E72D297353CC}">
              <c16:uniqueId val="{00000001-E008-47A4-8F63-D9F5D75C0880}"/>
            </c:ext>
          </c:extLst>
        </c:ser>
        <c:ser>
          <c:idx val="2"/>
          <c:order val="2"/>
          <c:tx>
            <c:strRef>
              <c:f>Sheet1!$D$1</c:f>
              <c:strCache>
                <c:ptCount val="1"/>
                <c:pt idx="0">
                  <c:v>Overall</c:v>
                </c:pt>
              </c:strCache>
            </c:strRef>
          </c:tx>
          <c:spPr>
            <a:solidFill>
              <a:schemeClr val="tx1">
                <a:lumMod val="75000"/>
                <a:lumOff val="25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Sheet1!$D$2:$D$12</c:f>
              <c:numCache>
                <c:formatCode>General</c:formatCode>
                <c:ptCount val="11"/>
                <c:pt idx="0">
                  <c:v>19</c:v>
                </c:pt>
                <c:pt idx="1">
                  <c:v>18</c:v>
                </c:pt>
                <c:pt idx="2">
                  <c:v>19</c:v>
                </c:pt>
                <c:pt idx="3">
                  <c:v>17</c:v>
                </c:pt>
                <c:pt idx="4">
                  <c:v>17</c:v>
                </c:pt>
                <c:pt idx="5">
                  <c:v>17</c:v>
                </c:pt>
                <c:pt idx="6">
                  <c:v>15</c:v>
                </c:pt>
                <c:pt idx="7">
                  <c:v>17</c:v>
                </c:pt>
                <c:pt idx="8">
                  <c:v>15</c:v>
                </c:pt>
                <c:pt idx="9">
                  <c:v>15</c:v>
                </c:pt>
                <c:pt idx="10">
                  <c:v>15</c:v>
                </c:pt>
              </c:numCache>
            </c:numRef>
          </c:val>
          <c:extLst>
            <c:ext xmlns:c16="http://schemas.microsoft.com/office/drawing/2014/chart" uri="{C3380CC4-5D6E-409C-BE32-E72D297353CC}">
              <c16:uniqueId val="{00000002-E008-47A4-8F63-D9F5D75C0880}"/>
            </c:ext>
          </c:extLst>
        </c:ser>
        <c:dLbls>
          <c:showLegendKey val="0"/>
          <c:showVal val="0"/>
          <c:showCatName val="0"/>
          <c:showSerName val="0"/>
          <c:showPercent val="0"/>
          <c:showBubbleSize val="0"/>
        </c:dLbls>
        <c:gapWidth val="67"/>
        <c:overlap val="-10"/>
        <c:axId val="1769561103"/>
        <c:axId val="1769990223"/>
      </c:barChart>
      <c:catAx>
        <c:axId val="17695611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69990223"/>
        <c:crosses val="autoZero"/>
        <c:auto val="1"/>
        <c:lblAlgn val="ctr"/>
        <c:lblOffset val="100"/>
        <c:noMultiLvlLbl val="0"/>
      </c:catAx>
      <c:valAx>
        <c:axId val="176999022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Incidence of CLL per 100,000 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69561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18-44</c:v>
                </c:pt>
              </c:strCache>
            </c:strRef>
          </c:tx>
          <c:spPr>
            <a:solidFill>
              <a:schemeClr val="bg1">
                <a:lumMod val="75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Sheet1!$B$2:$B$12</c:f>
              <c:numCache>
                <c:formatCode>General</c:formatCode>
                <c:ptCount val="11"/>
                <c:pt idx="0">
                  <c:v>5</c:v>
                </c:pt>
                <c:pt idx="1">
                  <c:v>4</c:v>
                </c:pt>
                <c:pt idx="2">
                  <c:v>5</c:v>
                </c:pt>
                <c:pt idx="3">
                  <c:v>4</c:v>
                </c:pt>
                <c:pt idx="4">
                  <c:v>8</c:v>
                </c:pt>
                <c:pt idx="5">
                  <c:v>7</c:v>
                </c:pt>
                <c:pt idx="6">
                  <c:v>5</c:v>
                </c:pt>
                <c:pt idx="7">
                  <c:v>4</c:v>
                </c:pt>
                <c:pt idx="8">
                  <c:v>8</c:v>
                </c:pt>
                <c:pt idx="9">
                  <c:v>5</c:v>
                </c:pt>
                <c:pt idx="10">
                  <c:v>4</c:v>
                </c:pt>
              </c:numCache>
            </c:numRef>
          </c:val>
          <c:extLst>
            <c:ext xmlns:c16="http://schemas.microsoft.com/office/drawing/2014/chart" uri="{C3380CC4-5D6E-409C-BE32-E72D297353CC}">
              <c16:uniqueId val="{00000000-EEA3-4E91-A0AE-EAA298F1FDDF}"/>
            </c:ext>
          </c:extLst>
        </c:ser>
        <c:ser>
          <c:idx val="1"/>
          <c:order val="1"/>
          <c:tx>
            <c:strRef>
              <c:f>Sheet1!$C$1</c:f>
              <c:strCache>
                <c:ptCount val="1"/>
                <c:pt idx="0">
                  <c:v>45-49</c:v>
                </c:pt>
              </c:strCache>
            </c:strRef>
          </c:tx>
          <c:spPr>
            <a:solidFill>
              <a:schemeClr val="tx1">
                <a:lumMod val="50000"/>
                <a:lumOff val="50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Sheet1!$C$2:$C$12</c:f>
              <c:numCache>
                <c:formatCode>General</c:formatCode>
                <c:ptCount val="11"/>
                <c:pt idx="0">
                  <c:v>3</c:v>
                </c:pt>
                <c:pt idx="1">
                  <c:v>3</c:v>
                </c:pt>
                <c:pt idx="2">
                  <c:v>4</c:v>
                </c:pt>
                <c:pt idx="3">
                  <c:v>2</c:v>
                </c:pt>
                <c:pt idx="4">
                  <c:v>3</c:v>
                </c:pt>
                <c:pt idx="5">
                  <c:v>5</c:v>
                </c:pt>
                <c:pt idx="6">
                  <c:v>2</c:v>
                </c:pt>
                <c:pt idx="7">
                  <c:v>4</c:v>
                </c:pt>
                <c:pt idx="8">
                  <c:v>3</c:v>
                </c:pt>
                <c:pt idx="9">
                  <c:v>4</c:v>
                </c:pt>
                <c:pt idx="10">
                  <c:v>5</c:v>
                </c:pt>
              </c:numCache>
            </c:numRef>
          </c:val>
          <c:extLst>
            <c:ext xmlns:c16="http://schemas.microsoft.com/office/drawing/2014/chart" uri="{C3380CC4-5D6E-409C-BE32-E72D297353CC}">
              <c16:uniqueId val="{00000001-EEA3-4E91-A0AE-EAA298F1FDDF}"/>
            </c:ext>
          </c:extLst>
        </c:ser>
        <c:ser>
          <c:idx val="2"/>
          <c:order val="2"/>
          <c:tx>
            <c:strRef>
              <c:f>Sheet1!$D$1</c:f>
              <c:strCache>
                <c:ptCount val="1"/>
                <c:pt idx="0">
                  <c:v>50-54</c:v>
                </c:pt>
              </c:strCache>
            </c:strRef>
          </c:tx>
          <c:spPr>
            <a:solidFill>
              <a:schemeClr val="tx1">
                <a:lumMod val="75000"/>
                <a:lumOff val="25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Sheet1!$D$2:$D$12</c:f>
              <c:numCache>
                <c:formatCode>General</c:formatCode>
                <c:ptCount val="11"/>
                <c:pt idx="0">
                  <c:v>7</c:v>
                </c:pt>
                <c:pt idx="1">
                  <c:v>6</c:v>
                </c:pt>
                <c:pt idx="2">
                  <c:v>9</c:v>
                </c:pt>
                <c:pt idx="3">
                  <c:v>5</c:v>
                </c:pt>
                <c:pt idx="4">
                  <c:v>3</c:v>
                </c:pt>
                <c:pt idx="5">
                  <c:v>10</c:v>
                </c:pt>
                <c:pt idx="6">
                  <c:v>6</c:v>
                </c:pt>
                <c:pt idx="7">
                  <c:v>9</c:v>
                </c:pt>
                <c:pt idx="8">
                  <c:v>10</c:v>
                </c:pt>
                <c:pt idx="9">
                  <c:v>6</c:v>
                </c:pt>
                <c:pt idx="10">
                  <c:v>6</c:v>
                </c:pt>
              </c:numCache>
            </c:numRef>
          </c:val>
          <c:extLst>
            <c:ext xmlns:c16="http://schemas.microsoft.com/office/drawing/2014/chart" uri="{C3380CC4-5D6E-409C-BE32-E72D297353CC}">
              <c16:uniqueId val="{00000002-EEA3-4E91-A0AE-EAA298F1FDDF}"/>
            </c:ext>
          </c:extLst>
        </c:ser>
        <c:ser>
          <c:idx val="3"/>
          <c:order val="3"/>
          <c:tx>
            <c:strRef>
              <c:f>Sheet1!$E$1</c:f>
              <c:strCache>
                <c:ptCount val="1"/>
                <c:pt idx="0">
                  <c:v>55-59</c:v>
                </c:pt>
              </c:strCache>
            </c:strRef>
          </c:tx>
          <c:spPr>
            <a:solidFill>
              <a:srgbClr val="C00000"/>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Sheet1!$E$2:$E$12</c:f>
              <c:numCache>
                <c:formatCode>General</c:formatCode>
                <c:ptCount val="11"/>
                <c:pt idx="0">
                  <c:v>11</c:v>
                </c:pt>
                <c:pt idx="1">
                  <c:v>17</c:v>
                </c:pt>
                <c:pt idx="2">
                  <c:v>12</c:v>
                </c:pt>
                <c:pt idx="3">
                  <c:v>16</c:v>
                </c:pt>
                <c:pt idx="4">
                  <c:v>11</c:v>
                </c:pt>
                <c:pt idx="5">
                  <c:v>11</c:v>
                </c:pt>
                <c:pt idx="6">
                  <c:v>11</c:v>
                </c:pt>
                <c:pt idx="7">
                  <c:v>14</c:v>
                </c:pt>
                <c:pt idx="8">
                  <c:v>11</c:v>
                </c:pt>
                <c:pt idx="9">
                  <c:v>12</c:v>
                </c:pt>
                <c:pt idx="10">
                  <c:v>13</c:v>
                </c:pt>
              </c:numCache>
            </c:numRef>
          </c:val>
          <c:extLst>
            <c:ext xmlns:c16="http://schemas.microsoft.com/office/drawing/2014/chart" uri="{C3380CC4-5D6E-409C-BE32-E72D297353CC}">
              <c16:uniqueId val="{00000003-EEA3-4E91-A0AE-EAA298F1FDDF}"/>
            </c:ext>
          </c:extLst>
        </c:ser>
        <c:ser>
          <c:idx val="4"/>
          <c:order val="4"/>
          <c:tx>
            <c:strRef>
              <c:f>Sheet1!$F$1</c:f>
              <c:strCache>
                <c:ptCount val="1"/>
                <c:pt idx="0">
                  <c:v>60-64</c:v>
                </c:pt>
              </c:strCache>
            </c:strRef>
          </c:tx>
          <c:spPr>
            <a:solidFill>
              <a:schemeClr val="accent5"/>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Sheet1!$F$2:$F$12</c:f>
              <c:numCache>
                <c:formatCode>General</c:formatCode>
                <c:ptCount val="11"/>
                <c:pt idx="0">
                  <c:v>18</c:v>
                </c:pt>
                <c:pt idx="1">
                  <c:v>15</c:v>
                </c:pt>
                <c:pt idx="2">
                  <c:v>17</c:v>
                </c:pt>
                <c:pt idx="3">
                  <c:v>18</c:v>
                </c:pt>
                <c:pt idx="4">
                  <c:v>18</c:v>
                </c:pt>
                <c:pt idx="5">
                  <c:v>20</c:v>
                </c:pt>
                <c:pt idx="6">
                  <c:v>13</c:v>
                </c:pt>
                <c:pt idx="7">
                  <c:v>21</c:v>
                </c:pt>
                <c:pt idx="8">
                  <c:v>15</c:v>
                </c:pt>
                <c:pt idx="9">
                  <c:v>14</c:v>
                </c:pt>
                <c:pt idx="10">
                  <c:v>16</c:v>
                </c:pt>
              </c:numCache>
            </c:numRef>
          </c:val>
          <c:extLst>
            <c:ext xmlns:c16="http://schemas.microsoft.com/office/drawing/2014/chart" uri="{C3380CC4-5D6E-409C-BE32-E72D297353CC}">
              <c16:uniqueId val="{00000004-EEA3-4E91-A0AE-EAA298F1FDDF}"/>
            </c:ext>
          </c:extLst>
        </c:ser>
        <c:ser>
          <c:idx val="5"/>
          <c:order val="5"/>
          <c:tx>
            <c:strRef>
              <c:f>Sheet1!$G$1</c:f>
              <c:strCache>
                <c:ptCount val="1"/>
                <c:pt idx="0">
                  <c:v>65-69</c:v>
                </c:pt>
              </c:strCache>
            </c:strRef>
          </c:tx>
          <c:spPr>
            <a:solidFill>
              <a:schemeClr val="accent6"/>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Sheet1!$G$2:$G$12</c:f>
              <c:numCache>
                <c:formatCode>General</c:formatCode>
                <c:ptCount val="11"/>
                <c:pt idx="0">
                  <c:v>34</c:v>
                </c:pt>
                <c:pt idx="1">
                  <c:v>35</c:v>
                </c:pt>
                <c:pt idx="2">
                  <c:v>29</c:v>
                </c:pt>
                <c:pt idx="3">
                  <c:v>19</c:v>
                </c:pt>
                <c:pt idx="4">
                  <c:v>25</c:v>
                </c:pt>
                <c:pt idx="5">
                  <c:v>22</c:v>
                </c:pt>
                <c:pt idx="6">
                  <c:v>25</c:v>
                </c:pt>
                <c:pt idx="7">
                  <c:v>29</c:v>
                </c:pt>
                <c:pt idx="8">
                  <c:v>19</c:v>
                </c:pt>
                <c:pt idx="9">
                  <c:v>21</c:v>
                </c:pt>
                <c:pt idx="10">
                  <c:v>21</c:v>
                </c:pt>
              </c:numCache>
            </c:numRef>
          </c:val>
          <c:extLst>
            <c:ext xmlns:c16="http://schemas.microsoft.com/office/drawing/2014/chart" uri="{C3380CC4-5D6E-409C-BE32-E72D297353CC}">
              <c16:uniqueId val="{00000005-EEA3-4E91-A0AE-EAA298F1FDDF}"/>
            </c:ext>
          </c:extLst>
        </c:ser>
        <c:ser>
          <c:idx val="6"/>
          <c:order val="6"/>
          <c:tx>
            <c:strRef>
              <c:f>Sheet1!$H$1</c:f>
              <c:strCache>
                <c:ptCount val="1"/>
                <c:pt idx="0">
                  <c:v>70-74</c:v>
                </c:pt>
              </c:strCache>
            </c:strRef>
          </c:tx>
          <c:spPr>
            <a:solidFill>
              <a:srgbClr val="FFC000"/>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Sheet1!$H$2:$H$12</c:f>
              <c:numCache>
                <c:formatCode>General</c:formatCode>
                <c:ptCount val="11"/>
                <c:pt idx="0">
                  <c:v>35</c:v>
                </c:pt>
                <c:pt idx="1">
                  <c:v>27</c:v>
                </c:pt>
                <c:pt idx="2">
                  <c:v>44</c:v>
                </c:pt>
                <c:pt idx="3">
                  <c:v>36</c:v>
                </c:pt>
                <c:pt idx="4">
                  <c:v>33</c:v>
                </c:pt>
                <c:pt idx="5">
                  <c:v>32</c:v>
                </c:pt>
                <c:pt idx="6">
                  <c:v>38</c:v>
                </c:pt>
                <c:pt idx="7">
                  <c:v>37</c:v>
                </c:pt>
                <c:pt idx="8">
                  <c:v>31</c:v>
                </c:pt>
                <c:pt idx="9">
                  <c:v>35</c:v>
                </c:pt>
                <c:pt idx="10">
                  <c:v>29</c:v>
                </c:pt>
              </c:numCache>
            </c:numRef>
          </c:val>
          <c:extLst>
            <c:ext xmlns:c16="http://schemas.microsoft.com/office/drawing/2014/chart" uri="{C3380CC4-5D6E-409C-BE32-E72D297353CC}">
              <c16:uniqueId val="{00000006-EEA3-4E91-A0AE-EAA298F1FDDF}"/>
            </c:ext>
          </c:extLst>
        </c:ser>
        <c:ser>
          <c:idx val="7"/>
          <c:order val="7"/>
          <c:tx>
            <c:strRef>
              <c:f>Sheet1!$I$1</c:f>
              <c:strCache>
                <c:ptCount val="1"/>
                <c:pt idx="0">
                  <c:v>75-79</c:v>
                </c:pt>
              </c:strCache>
            </c:strRef>
          </c:tx>
          <c:spPr>
            <a:solidFill>
              <a:schemeClr val="accent2">
                <a:lumMod val="60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Sheet1!$I$2:$I$12</c:f>
              <c:numCache>
                <c:formatCode>General</c:formatCode>
                <c:ptCount val="11"/>
                <c:pt idx="0">
                  <c:v>53</c:v>
                </c:pt>
                <c:pt idx="1">
                  <c:v>46</c:v>
                </c:pt>
                <c:pt idx="2">
                  <c:v>41</c:v>
                </c:pt>
                <c:pt idx="3">
                  <c:v>41</c:v>
                </c:pt>
                <c:pt idx="4">
                  <c:v>51</c:v>
                </c:pt>
                <c:pt idx="5">
                  <c:v>45</c:v>
                </c:pt>
                <c:pt idx="6">
                  <c:v>34</c:v>
                </c:pt>
                <c:pt idx="7">
                  <c:v>38</c:v>
                </c:pt>
                <c:pt idx="8">
                  <c:v>42</c:v>
                </c:pt>
                <c:pt idx="9">
                  <c:v>36</c:v>
                </c:pt>
                <c:pt idx="10">
                  <c:v>42</c:v>
                </c:pt>
              </c:numCache>
            </c:numRef>
          </c:val>
          <c:extLst>
            <c:ext xmlns:c16="http://schemas.microsoft.com/office/drawing/2014/chart" uri="{C3380CC4-5D6E-409C-BE32-E72D297353CC}">
              <c16:uniqueId val="{00000007-EEA3-4E91-A0AE-EAA298F1FDDF}"/>
            </c:ext>
          </c:extLst>
        </c:ser>
        <c:ser>
          <c:idx val="8"/>
          <c:order val="8"/>
          <c:tx>
            <c:strRef>
              <c:f>Sheet1!$J$1</c:f>
              <c:strCache>
                <c:ptCount val="1"/>
                <c:pt idx="0">
                  <c:v>80-84</c:v>
                </c:pt>
              </c:strCache>
            </c:strRef>
          </c:tx>
          <c:spPr>
            <a:solidFill>
              <a:srgbClr val="00B0F0"/>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Sheet1!$J$2:$J$12</c:f>
              <c:numCache>
                <c:formatCode>General</c:formatCode>
                <c:ptCount val="11"/>
                <c:pt idx="0">
                  <c:v>41</c:v>
                </c:pt>
                <c:pt idx="1">
                  <c:v>46</c:v>
                </c:pt>
                <c:pt idx="2">
                  <c:v>50</c:v>
                </c:pt>
                <c:pt idx="3">
                  <c:v>44</c:v>
                </c:pt>
                <c:pt idx="4">
                  <c:v>44</c:v>
                </c:pt>
                <c:pt idx="5">
                  <c:v>44</c:v>
                </c:pt>
                <c:pt idx="6">
                  <c:v>44</c:v>
                </c:pt>
                <c:pt idx="7">
                  <c:v>49</c:v>
                </c:pt>
                <c:pt idx="8">
                  <c:v>44</c:v>
                </c:pt>
                <c:pt idx="9">
                  <c:v>45</c:v>
                </c:pt>
                <c:pt idx="10">
                  <c:v>51</c:v>
                </c:pt>
              </c:numCache>
            </c:numRef>
          </c:val>
          <c:extLst>
            <c:ext xmlns:c16="http://schemas.microsoft.com/office/drawing/2014/chart" uri="{C3380CC4-5D6E-409C-BE32-E72D297353CC}">
              <c16:uniqueId val="{00000008-EEA3-4E91-A0AE-EAA298F1FDDF}"/>
            </c:ext>
          </c:extLst>
        </c:ser>
        <c:ser>
          <c:idx val="9"/>
          <c:order val="9"/>
          <c:tx>
            <c:strRef>
              <c:f>Sheet1!$K$1</c:f>
              <c:strCache>
                <c:ptCount val="1"/>
                <c:pt idx="0">
                  <c:v>85-89</c:v>
                </c:pt>
              </c:strCache>
            </c:strRef>
          </c:tx>
          <c:spPr>
            <a:solidFill>
              <a:schemeClr val="accent4">
                <a:lumMod val="60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Sheet1!$K$2:$K$12</c:f>
              <c:numCache>
                <c:formatCode>General</c:formatCode>
                <c:ptCount val="11"/>
                <c:pt idx="0">
                  <c:v>47</c:v>
                </c:pt>
                <c:pt idx="1">
                  <c:v>41</c:v>
                </c:pt>
                <c:pt idx="2">
                  <c:v>41</c:v>
                </c:pt>
                <c:pt idx="3">
                  <c:v>46</c:v>
                </c:pt>
                <c:pt idx="4">
                  <c:v>38</c:v>
                </c:pt>
                <c:pt idx="5">
                  <c:v>40</c:v>
                </c:pt>
                <c:pt idx="6">
                  <c:v>31</c:v>
                </c:pt>
                <c:pt idx="7">
                  <c:v>35</c:v>
                </c:pt>
                <c:pt idx="8">
                  <c:v>47</c:v>
                </c:pt>
                <c:pt idx="9">
                  <c:v>39</c:v>
                </c:pt>
                <c:pt idx="10">
                  <c:v>40</c:v>
                </c:pt>
              </c:numCache>
            </c:numRef>
          </c:val>
          <c:extLst>
            <c:ext xmlns:c16="http://schemas.microsoft.com/office/drawing/2014/chart" uri="{C3380CC4-5D6E-409C-BE32-E72D297353CC}">
              <c16:uniqueId val="{00000009-EEA3-4E91-A0AE-EAA298F1FDDF}"/>
            </c:ext>
          </c:extLst>
        </c:ser>
        <c:ser>
          <c:idx val="10"/>
          <c:order val="10"/>
          <c:tx>
            <c:strRef>
              <c:f>Sheet1!$L$1</c:f>
              <c:strCache>
                <c:ptCount val="1"/>
                <c:pt idx="0">
                  <c:v>≥ 90</c:v>
                </c:pt>
              </c:strCache>
            </c:strRef>
          </c:tx>
          <c:spPr>
            <a:solidFill>
              <a:schemeClr val="accent5">
                <a:lumMod val="60000"/>
              </a:schemeClr>
            </a:solidFill>
            <a:ln>
              <a:noFill/>
            </a:ln>
            <a:effectLst/>
          </c:spPr>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Sheet1!$L$2:$L$12</c:f>
              <c:numCache>
                <c:formatCode>General</c:formatCode>
                <c:ptCount val="11"/>
                <c:pt idx="0">
                  <c:v>25</c:v>
                </c:pt>
                <c:pt idx="1">
                  <c:v>33</c:v>
                </c:pt>
                <c:pt idx="2">
                  <c:v>49</c:v>
                </c:pt>
                <c:pt idx="3">
                  <c:v>22</c:v>
                </c:pt>
                <c:pt idx="4">
                  <c:v>18</c:v>
                </c:pt>
                <c:pt idx="5">
                  <c:v>26</c:v>
                </c:pt>
                <c:pt idx="6">
                  <c:v>29</c:v>
                </c:pt>
                <c:pt idx="7">
                  <c:v>34</c:v>
                </c:pt>
                <c:pt idx="8">
                  <c:v>33</c:v>
                </c:pt>
                <c:pt idx="9">
                  <c:v>34</c:v>
                </c:pt>
                <c:pt idx="10">
                  <c:v>34</c:v>
                </c:pt>
              </c:numCache>
            </c:numRef>
          </c:val>
          <c:extLst>
            <c:ext xmlns:c16="http://schemas.microsoft.com/office/drawing/2014/chart" uri="{C3380CC4-5D6E-409C-BE32-E72D297353CC}">
              <c16:uniqueId val="{0000000A-EEA3-4E91-A0AE-EAA298F1FDDF}"/>
            </c:ext>
          </c:extLst>
        </c:ser>
        <c:dLbls>
          <c:showLegendKey val="0"/>
          <c:showVal val="0"/>
          <c:showCatName val="0"/>
          <c:showSerName val="0"/>
          <c:showPercent val="0"/>
          <c:showBubbleSize val="0"/>
        </c:dLbls>
        <c:gapWidth val="67"/>
        <c:overlap val="-10"/>
        <c:axId val="1769561103"/>
        <c:axId val="1769990223"/>
      </c:barChart>
      <c:catAx>
        <c:axId val="17695611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69990223"/>
        <c:crosses val="autoZero"/>
        <c:auto val="1"/>
        <c:lblAlgn val="ctr"/>
        <c:lblOffset val="100"/>
        <c:noMultiLvlLbl val="0"/>
      </c:catAx>
      <c:valAx>
        <c:axId val="176999022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Incidence of CLL per 100,000 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69561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5769</Words>
  <Characters>32886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Myrene Dayapdapan</dc:creator>
  <cp:keywords/>
  <dc:description/>
  <cp:lastModifiedBy>Myrene Dayapdapan</cp:lastModifiedBy>
  <cp:revision>1</cp:revision>
  <dcterms:created xsi:type="dcterms:W3CDTF">2025-08-22T02:00:00Z</dcterms:created>
  <dcterms:modified xsi:type="dcterms:W3CDTF">2025-08-22T02:00:00Z</dcterms:modified>
</cp:coreProperties>
</file>