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907FA">
      <w:pPr>
        <w:spacing w:after="240" w:line="480" w:lineRule="auto"/>
        <w:rPr>
          <w:rFonts w:hint="eastAsia" w:ascii="Times New Roman" w:hAnsi="Times New Roman" w:eastAsiaTheme="minorEastAsia"/>
          <w:b/>
          <w:sz w:val="24"/>
          <w:szCs w:val="24"/>
          <w:lang w:eastAsia="zh-CN"/>
        </w:rPr>
      </w:pPr>
      <w:r>
        <w:rPr>
          <w:rFonts w:hint="eastAsia" w:ascii="Times New Roman" w:hAnsi="Times New Roman" w:eastAsiaTheme="minorEastAsia"/>
          <w:b/>
          <w:sz w:val="24"/>
          <w:szCs w:val="24"/>
          <w:lang w:eastAsia="zh-CN"/>
        </w:rPr>
        <w:drawing>
          <wp:inline distT="0" distB="0" distL="114300" distR="114300">
            <wp:extent cx="5266690" cy="2962910"/>
            <wp:effectExtent l="0" t="0" r="3810" b="889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5D5C7FD2">
      <w:pPr>
        <w:spacing w:after="240" w:line="480" w:lineRule="auto"/>
        <w:rPr>
          <w:rFonts w:hint="default" w:ascii="Times New Roman" w:hAnsi="Times New Roman"/>
          <w:b w:val="0"/>
          <w:bCs/>
          <w:sz w:val="24"/>
          <w:lang w:val="en-US"/>
        </w:rPr>
      </w:pPr>
      <w:r>
        <w:rPr>
          <w:rFonts w:ascii="Times New Roman" w:hAnsi="Times New Roman"/>
          <w:b/>
          <w:sz w:val="24"/>
          <w:szCs w:val="24"/>
        </w:rPr>
        <w:t>Supplementary</w:t>
      </w:r>
      <w:r>
        <w:rPr>
          <w:rFonts w:hint="eastAsia" w:ascii="Times New Roman" w:hAnsi="Times New Roman"/>
          <w:b/>
          <w:sz w:val="24"/>
          <w:szCs w:val="24"/>
          <w:lang w:val="en-US" w:eastAsia="zh-CN"/>
        </w:rPr>
        <w:t xml:space="preserve"> </w:t>
      </w:r>
      <w:r>
        <w:rPr>
          <w:rFonts w:ascii="Times New Roman" w:hAnsi="Times New Roman"/>
          <w:b/>
          <w:sz w:val="24"/>
        </w:rPr>
        <w:t>Figure S1</w:t>
      </w:r>
      <w:r>
        <w:rPr>
          <w:rFonts w:hint="default" w:ascii="Times New Roman" w:hAnsi="Times New Roman"/>
          <w:b/>
          <w:sz w:val="24"/>
          <w:lang w:val="en-US"/>
        </w:rPr>
        <w:t xml:space="preserve"> </w:t>
      </w:r>
      <w:r>
        <w:rPr>
          <w:rFonts w:hint="default" w:ascii="Times New Roman" w:hAnsi="Times New Roman"/>
          <w:b w:val="0"/>
          <w:bCs/>
          <w:sz w:val="24"/>
          <w:lang w:val="en-US"/>
        </w:rPr>
        <w:t xml:space="preserve">Comparision of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on EFS and OS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mut</w:t>
      </w:r>
      <w:r>
        <w:rPr>
          <w:rFonts w:hint="default" w:ascii="Times New Roman" w:hAnsi="Times New Roman"/>
          <w:b w:val="0"/>
          <w:bCs/>
          <w:sz w:val="24"/>
          <w:lang w:val="en-US"/>
        </w:rPr>
        <w:t xml:space="preserve"> and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wt</w:t>
      </w:r>
      <w:r>
        <w:rPr>
          <w:rFonts w:hint="default" w:ascii="Times New Roman" w:hAnsi="Times New Roman"/>
          <w:b w:val="0"/>
          <w:bCs/>
          <w:sz w:val="24"/>
          <w:lang w:val="en-US"/>
        </w:rPr>
        <w:t xml:space="preserve"> subgroup with T-ALL. EFS (</w:t>
      </w:r>
      <w:r>
        <w:rPr>
          <w:rFonts w:hint="eastAsia" w:ascii="Times New Roman" w:hAnsi="Times New Roman"/>
          <w:b w:val="0"/>
          <w:bCs/>
          <w:sz w:val="24"/>
          <w:lang w:val="en-US" w:eastAsia="zh-CN"/>
        </w:rPr>
        <w:t>A</w:t>
      </w:r>
      <w:r>
        <w:rPr>
          <w:rFonts w:hint="default" w:ascii="Times New Roman" w:hAnsi="Times New Roman"/>
          <w:b w:val="0"/>
          <w:bCs/>
          <w:sz w:val="24"/>
          <w:lang w:val="en-US"/>
        </w:rPr>
        <w:t>) and OS (</w:t>
      </w:r>
      <w:r>
        <w:rPr>
          <w:rFonts w:hint="eastAsia" w:ascii="Times New Roman" w:hAnsi="Times New Roman"/>
          <w:b w:val="0"/>
          <w:bCs/>
          <w:sz w:val="24"/>
          <w:lang w:val="en-US" w:eastAsia="zh-CN"/>
        </w:rPr>
        <w:t>B</w:t>
      </w:r>
      <w:r>
        <w:rPr>
          <w:rFonts w:hint="default" w:ascii="Times New Roman" w:hAnsi="Times New Roman"/>
          <w:b w:val="0"/>
          <w:bCs/>
          <w:sz w:val="24"/>
          <w:lang w:val="en-US"/>
        </w:rPr>
        <w:t xml:space="preserve">) according to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mut</w:t>
      </w:r>
      <w:r>
        <w:rPr>
          <w:rFonts w:hint="default" w:ascii="Times New Roman" w:hAnsi="Times New Roman"/>
          <w:b w:val="0"/>
          <w:bCs/>
          <w:sz w:val="24"/>
          <w:lang w:val="en-US"/>
        </w:rPr>
        <w:t xml:space="preserve"> subgroup. EFS (</w:t>
      </w:r>
      <w:r>
        <w:rPr>
          <w:rFonts w:hint="eastAsia" w:ascii="Times New Roman" w:hAnsi="Times New Roman"/>
          <w:b w:val="0"/>
          <w:bCs/>
          <w:sz w:val="24"/>
          <w:lang w:val="en-US" w:eastAsia="zh-CN"/>
        </w:rPr>
        <w:t>C</w:t>
      </w:r>
      <w:r>
        <w:rPr>
          <w:rFonts w:hint="default" w:ascii="Times New Roman" w:hAnsi="Times New Roman"/>
          <w:b w:val="0"/>
          <w:bCs/>
          <w:sz w:val="24"/>
          <w:lang w:val="en-US"/>
        </w:rPr>
        <w:t>) and OS (</w:t>
      </w:r>
      <w:r>
        <w:rPr>
          <w:rFonts w:hint="eastAsia" w:ascii="Times New Roman" w:hAnsi="Times New Roman"/>
          <w:b w:val="0"/>
          <w:bCs/>
          <w:sz w:val="24"/>
          <w:lang w:val="en-US" w:eastAsia="zh-CN"/>
        </w:rPr>
        <w:t>D</w:t>
      </w:r>
      <w:r>
        <w:rPr>
          <w:rFonts w:hint="default" w:ascii="Times New Roman" w:hAnsi="Times New Roman"/>
          <w:b w:val="0"/>
          <w:bCs/>
          <w:sz w:val="24"/>
          <w:lang w:val="en-US"/>
        </w:rPr>
        <w:t xml:space="preserve">) according to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wt</w:t>
      </w:r>
      <w:r>
        <w:rPr>
          <w:rFonts w:hint="default" w:ascii="Times New Roman" w:hAnsi="Times New Roman"/>
          <w:b w:val="0"/>
          <w:bCs/>
          <w:sz w:val="24"/>
          <w:lang w:val="en-US"/>
        </w:rPr>
        <w:t xml:space="preserve"> subgroup.</w:t>
      </w:r>
    </w:p>
    <w:p w14:paraId="7F585B7D">
      <w:pPr>
        <w:spacing w:after="240" w:line="480" w:lineRule="auto"/>
        <w:rPr>
          <w:rFonts w:hint="eastAsia" w:ascii="Times New Roman" w:hAnsi="Times New Roman" w:eastAsiaTheme="minorEastAsia"/>
          <w:b/>
          <w:sz w:val="24"/>
          <w:szCs w:val="24"/>
          <w:lang w:eastAsia="zh-CN"/>
        </w:rPr>
      </w:pPr>
    </w:p>
    <w:p w14:paraId="3531E8F0">
      <w:pPr>
        <w:spacing w:after="240" w:line="480" w:lineRule="auto"/>
        <w:rPr>
          <w:rFonts w:hint="eastAsia" w:ascii="Times New Roman" w:hAnsi="Times New Roman" w:eastAsiaTheme="minorEastAsia"/>
          <w:b/>
          <w:sz w:val="24"/>
          <w:szCs w:val="24"/>
          <w:lang w:eastAsia="zh-CN"/>
        </w:rPr>
      </w:pPr>
    </w:p>
    <w:p w14:paraId="68134190">
      <w:pPr>
        <w:spacing w:after="240" w:line="480" w:lineRule="auto"/>
        <w:rPr>
          <w:rFonts w:hint="eastAsia" w:ascii="Times New Roman" w:hAnsi="Times New Roman" w:eastAsiaTheme="minorEastAsia"/>
          <w:b/>
          <w:sz w:val="24"/>
          <w:szCs w:val="24"/>
          <w:lang w:eastAsia="zh-CN"/>
        </w:rPr>
      </w:pPr>
    </w:p>
    <w:p w14:paraId="1EE0D808">
      <w:pPr>
        <w:spacing w:after="240" w:line="480" w:lineRule="auto"/>
        <w:rPr>
          <w:rFonts w:hint="eastAsia" w:ascii="Times New Roman" w:hAnsi="Times New Roman" w:eastAsiaTheme="minorEastAsia"/>
          <w:b/>
          <w:sz w:val="24"/>
          <w:szCs w:val="24"/>
          <w:lang w:eastAsia="zh-CN"/>
        </w:rPr>
      </w:pPr>
    </w:p>
    <w:p w14:paraId="3DFDA364">
      <w:pPr>
        <w:spacing w:after="240" w:line="480" w:lineRule="auto"/>
        <w:rPr>
          <w:rFonts w:hint="eastAsia" w:ascii="Times New Roman" w:hAnsi="Times New Roman" w:eastAsiaTheme="minorEastAsia"/>
          <w:b/>
          <w:sz w:val="24"/>
          <w:szCs w:val="24"/>
          <w:lang w:eastAsia="zh-CN"/>
        </w:rPr>
      </w:pPr>
    </w:p>
    <w:p w14:paraId="2AE85563">
      <w:pPr>
        <w:spacing w:after="240" w:line="480" w:lineRule="auto"/>
        <w:rPr>
          <w:rFonts w:ascii="Times New Roman" w:hAnsi="Times New Roman"/>
          <w:b/>
          <w:sz w:val="24"/>
          <w:szCs w:val="24"/>
        </w:rPr>
      </w:pPr>
      <w:r>
        <w:rPr>
          <w:rFonts w:hint="eastAsia" w:ascii="Times New Roman" w:hAnsi="Times New Roman" w:eastAsiaTheme="minorEastAsia"/>
          <w:b/>
          <w:sz w:val="24"/>
          <w:szCs w:val="24"/>
          <w:lang w:eastAsia="zh-CN"/>
        </w:rPr>
        <w:drawing>
          <wp:inline distT="0" distB="0" distL="114300" distR="114300">
            <wp:extent cx="5266690" cy="2962910"/>
            <wp:effectExtent l="0" t="0" r="3810" b="889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14:paraId="196501DB">
      <w:pPr>
        <w:spacing w:after="240" w:line="480" w:lineRule="auto"/>
        <w:rPr>
          <w:rFonts w:hint="default" w:ascii="Times New Roman" w:hAnsi="Times New Roman"/>
          <w:b w:val="0"/>
          <w:bCs/>
          <w:sz w:val="24"/>
          <w:lang w:val="en-US"/>
        </w:rPr>
        <w:sectPr>
          <w:pgSz w:w="11906" w:h="16838"/>
          <w:pgMar w:top="1440" w:right="1800" w:bottom="1440" w:left="1800" w:header="851" w:footer="992" w:gutter="0"/>
          <w:cols w:space="425" w:num="1"/>
          <w:docGrid w:type="lines" w:linePitch="312" w:charSpace="0"/>
        </w:sectPr>
      </w:pPr>
      <w:r>
        <w:rPr>
          <w:rFonts w:ascii="Times New Roman" w:hAnsi="Times New Roman"/>
          <w:b/>
          <w:sz w:val="24"/>
          <w:szCs w:val="24"/>
        </w:rPr>
        <w:t>Supplementary</w:t>
      </w:r>
      <w:r>
        <w:rPr>
          <w:rFonts w:hint="eastAsia" w:ascii="Times New Roman" w:hAnsi="Times New Roman"/>
          <w:b/>
          <w:sz w:val="24"/>
          <w:szCs w:val="24"/>
          <w:lang w:val="en-US" w:eastAsia="zh-CN"/>
        </w:rPr>
        <w:t xml:space="preserve"> </w:t>
      </w:r>
      <w:r>
        <w:rPr>
          <w:rFonts w:ascii="Times New Roman" w:hAnsi="Times New Roman"/>
          <w:b/>
          <w:sz w:val="24"/>
        </w:rPr>
        <w:t>Figure S2</w:t>
      </w:r>
      <w:r>
        <w:rPr>
          <w:rFonts w:hint="default" w:ascii="Times New Roman" w:hAnsi="Times New Roman"/>
          <w:b/>
          <w:sz w:val="24"/>
          <w:lang w:val="en-US"/>
        </w:rPr>
        <w:t xml:space="preserve"> </w:t>
      </w:r>
      <w:r>
        <w:rPr>
          <w:rFonts w:hint="default" w:ascii="Times New Roman" w:hAnsi="Times New Roman"/>
          <w:b w:val="0"/>
          <w:bCs/>
          <w:sz w:val="24"/>
          <w:lang w:val="en-US"/>
        </w:rPr>
        <w:t xml:space="preserve">Comparision of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on EFS and OS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mut</w:t>
      </w:r>
      <w:r>
        <w:rPr>
          <w:rFonts w:hint="default" w:ascii="Times New Roman" w:hAnsi="Times New Roman"/>
          <w:b w:val="0"/>
          <w:bCs/>
          <w:sz w:val="24"/>
          <w:lang w:val="en-US"/>
        </w:rPr>
        <w:t xml:space="preserve"> and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wt</w:t>
      </w:r>
      <w:r>
        <w:rPr>
          <w:rFonts w:hint="default" w:ascii="Times New Roman" w:hAnsi="Times New Roman"/>
          <w:b w:val="0"/>
          <w:bCs/>
          <w:sz w:val="24"/>
          <w:lang w:val="en-US"/>
        </w:rPr>
        <w:t xml:space="preserve"> subgroup with T-ALL/LBL. EFS (</w:t>
      </w:r>
      <w:r>
        <w:rPr>
          <w:rFonts w:hint="eastAsia" w:ascii="Times New Roman" w:hAnsi="Times New Roman"/>
          <w:b w:val="0"/>
          <w:bCs/>
          <w:sz w:val="24"/>
          <w:lang w:val="en-US" w:eastAsia="zh-CN"/>
        </w:rPr>
        <w:t>A</w:t>
      </w:r>
      <w:r>
        <w:rPr>
          <w:rFonts w:hint="default" w:ascii="Times New Roman" w:hAnsi="Times New Roman"/>
          <w:b w:val="0"/>
          <w:bCs/>
          <w:sz w:val="24"/>
          <w:lang w:val="en-US"/>
        </w:rPr>
        <w:t>) and OS (</w:t>
      </w:r>
      <w:r>
        <w:rPr>
          <w:rFonts w:hint="eastAsia" w:ascii="Times New Roman" w:hAnsi="Times New Roman"/>
          <w:b w:val="0"/>
          <w:bCs/>
          <w:sz w:val="24"/>
          <w:lang w:val="en-US" w:eastAsia="zh-CN"/>
        </w:rPr>
        <w:t>B</w:t>
      </w:r>
      <w:r>
        <w:rPr>
          <w:rFonts w:hint="default" w:ascii="Times New Roman" w:hAnsi="Times New Roman"/>
          <w:b w:val="0"/>
          <w:bCs/>
          <w:sz w:val="24"/>
          <w:lang w:val="en-US"/>
        </w:rPr>
        <w:t xml:space="preserve">) according to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mut</w:t>
      </w:r>
      <w:r>
        <w:rPr>
          <w:rFonts w:hint="default" w:ascii="Times New Roman" w:hAnsi="Times New Roman"/>
          <w:b w:val="0"/>
          <w:bCs/>
          <w:sz w:val="24"/>
          <w:lang w:val="en-US"/>
        </w:rPr>
        <w:t xml:space="preserve"> subgroup. EFS (</w:t>
      </w:r>
      <w:r>
        <w:rPr>
          <w:rFonts w:hint="eastAsia" w:ascii="Times New Roman" w:hAnsi="Times New Roman"/>
          <w:b w:val="0"/>
          <w:bCs/>
          <w:sz w:val="24"/>
          <w:lang w:val="en-US" w:eastAsia="zh-CN"/>
        </w:rPr>
        <w:t>C</w:t>
      </w:r>
      <w:r>
        <w:rPr>
          <w:rFonts w:hint="default" w:ascii="Times New Roman" w:hAnsi="Times New Roman"/>
          <w:b w:val="0"/>
          <w:bCs/>
          <w:sz w:val="24"/>
          <w:lang w:val="en-US"/>
        </w:rPr>
        <w:t>) and OS (</w:t>
      </w:r>
      <w:r>
        <w:rPr>
          <w:rFonts w:hint="eastAsia" w:ascii="Times New Roman" w:hAnsi="Times New Roman"/>
          <w:b w:val="0"/>
          <w:bCs/>
          <w:sz w:val="24"/>
          <w:lang w:val="en-US" w:eastAsia="zh-CN"/>
        </w:rPr>
        <w:t>D</w:t>
      </w:r>
      <w:r>
        <w:rPr>
          <w:rFonts w:hint="default" w:ascii="Times New Roman" w:hAnsi="Times New Roman"/>
          <w:b w:val="0"/>
          <w:bCs/>
          <w:sz w:val="24"/>
          <w:lang w:val="en-US"/>
        </w:rPr>
        <w:t xml:space="preserve">) according to </w:t>
      </w:r>
      <w:r>
        <w:rPr>
          <w:rFonts w:hint="default" w:ascii="Times New Roman" w:hAnsi="Times New Roman"/>
          <w:b w:val="0"/>
          <w:bCs/>
          <w:i/>
          <w:iCs/>
          <w:sz w:val="24"/>
          <w:lang w:val="en-US"/>
        </w:rPr>
        <w:t>USP7</w:t>
      </w:r>
      <w:r>
        <w:rPr>
          <w:rFonts w:hint="default" w:ascii="Times New Roman" w:hAnsi="Times New Roman"/>
          <w:b w:val="0"/>
          <w:bCs/>
          <w:sz w:val="24"/>
          <w:lang w:val="en-US"/>
        </w:rPr>
        <w:t xml:space="preserve"> mutation in </w:t>
      </w:r>
      <w:r>
        <w:rPr>
          <w:rFonts w:hint="default" w:ascii="Times New Roman" w:hAnsi="Times New Roman"/>
          <w:b w:val="0"/>
          <w:bCs/>
          <w:i/>
          <w:iCs/>
          <w:sz w:val="24"/>
          <w:lang w:val="en-US"/>
        </w:rPr>
        <w:t>NOTCH1</w:t>
      </w:r>
      <w:r>
        <w:rPr>
          <w:rFonts w:hint="default" w:ascii="Times New Roman" w:hAnsi="Times New Roman"/>
          <w:b w:val="0"/>
          <w:bCs/>
          <w:sz w:val="24"/>
          <w:vertAlign w:val="superscript"/>
          <w:lang w:val="en-US"/>
        </w:rPr>
        <w:t>wt</w:t>
      </w:r>
      <w:r>
        <w:rPr>
          <w:rFonts w:hint="default" w:ascii="Times New Roman" w:hAnsi="Times New Roman"/>
          <w:b w:val="0"/>
          <w:bCs/>
          <w:sz w:val="24"/>
          <w:lang w:val="en-US"/>
        </w:rPr>
        <w:t xml:space="preserve"> subgroup.</w:t>
      </w:r>
    </w:p>
    <w:p w14:paraId="73EC9201">
      <w:pPr>
        <w:spacing w:after="240" w:line="480" w:lineRule="auto"/>
        <w:rPr>
          <w:rFonts w:hint="eastAsia" w:ascii="Times New Roman" w:hAnsi="Times New Roman" w:eastAsiaTheme="minorEastAsia"/>
          <w:b w:val="0"/>
          <w:bCs/>
          <w:sz w:val="24"/>
          <w:lang w:val="en-US" w:eastAsia="zh-CN"/>
        </w:rPr>
      </w:pPr>
      <w:r>
        <w:rPr>
          <w:rFonts w:hint="eastAsia" w:ascii="Times New Roman" w:hAnsi="Times New Roman" w:eastAsiaTheme="minorEastAsia"/>
          <w:b w:val="0"/>
          <w:bCs/>
          <w:sz w:val="24"/>
          <w:lang w:val="en-US" w:eastAsia="zh-CN"/>
        </w:rPr>
        <w:drawing>
          <wp:inline distT="0" distB="0" distL="114300" distR="114300">
            <wp:extent cx="5255260" cy="4191635"/>
            <wp:effectExtent l="0" t="0" r="2540" b="12065"/>
            <wp:docPr id="3" name="图片 3"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4"/>
                    <pic:cNvPicPr>
                      <a:picLocks noChangeAspect="1"/>
                    </pic:cNvPicPr>
                  </pic:nvPicPr>
                  <pic:blipFill>
                    <a:blip r:embed="rId6"/>
                    <a:stretch>
                      <a:fillRect/>
                    </a:stretch>
                  </pic:blipFill>
                  <pic:spPr>
                    <a:xfrm>
                      <a:off x="0" y="0"/>
                      <a:ext cx="5255260" cy="4191635"/>
                    </a:xfrm>
                    <a:prstGeom prst="rect">
                      <a:avLst/>
                    </a:prstGeom>
                  </pic:spPr>
                </pic:pic>
              </a:graphicData>
            </a:graphic>
          </wp:inline>
        </w:drawing>
      </w:r>
    </w:p>
    <w:p w14:paraId="6FC388A3">
      <w:pPr>
        <w:spacing w:after="240" w:line="480" w:lineRule="auto"/>
        <w:rPr>
          <w:rFonts w:hint="eastAsia" w:ascii="Times New Roman" w:hAnsi="Times New Roman"/>
          <w:b/>
          <w:sz w:val="24"/>
          <w:lang w:val="en-US" w:eastAsia="zh-CN"/>
        </w:rPr>
      </w:pPr>
      <w:r>
        <w:rPr>
          <w:rFonts w:ascii="Times New Roman" w:hAnsi="Times New Roman"/>
          <w:b/>
          <w:sz w:val="24"/>
          <w:szCs w:val="24"/>
        </w:rPr>
        <w:t>Supplementary</w:t>
      </w:r>
      <w:r>
        <w:rPr>
          <w:rFonts w:hint="eastAsia" w:ascii="Times New Roman" w:hAnsi="Times New Roman"/>
          <w:b/>
          <w:sz w:val="24"/>
          <w:szCs w:val="24"/>
          <w:lang w:val="en-US" w:eastAsia="zh-CN"/>
        </w:rPr>
        <w:t xml:space="preserve"> </w:t>
      </w:r>
      <w:r>
        <w:rPr>
          <w:rFonts w:ascii="Times New Roman" w:hAnsi="Times New Roman"/>
          <w:b/>
          <w:sz w:val="24"/>
        </w:rPr>
        <w:t>Figure S</w:t>
      </w:r>
      <w:r>
        <w:rPr>
          <w:rFonts w:hint="eastAsia" w:ascii="Times New Roman" w:hAnsi="Times New Roman"/>
          <w:b/>
          <w:sz w:val="24"/>
          <w:lang w:val="en-US" w:eastAsia="zh-CN"/>
        </w:rPr>
        <w:t xml:space="preserve">3 </w:t>
      </w:r>
      <w:r>
        <w:rPr>
          <w:rFonts w:hint="eastAsia" w:ascii="Times New Roman" w:hAnsi="Times New Roman" w:cs="Times New Roman"/>
          <w:b w:val="0"/>
          <w:bCs w:val="0"/>
          <w:sz w:val="24"/>
          <w:szCs w:val="36"/>
          <w:lang w:val="en-US" w:eastAsia="zh-CN"/>
        </w:rPr>
        <w:t>Nomogram for p</w:t>
      </w:r>
      <w:r>
        <w:rPr>
          <w:rFonts w:ascii="Times New Roman" w:hAnsi="Times New Roman" w:cs="Times New Roman"/>
          <w:b w:val="0"/>
          <w:bCs w:val="0"/>
          <w:sz w:val="24"/>
          <w:szCs w:val="36"/>
        </w:rPr>
        <w:t>redict</w:t>
      </w:r>
      <w:r>
        <w:rPr>
          <w:rFonts w:hint="eastAsia" w:ascii="Times New Roman" w:hAnsi="Times New Roman" w:cs="Times New Roman"/>
          <w:b w:val="0"/>
          <w:bCs w:val="0"/>
          <w:sz w:val="24"/>
          <w:szCs w:val="36"/>
          <w:lang w:val="en-US" w:eastAsia="zh-CN"/>
        </w:rPr>
        <w:t>ing</w:t>
      </w:r>
      <w:r>
        <w:rPr>
          <w:rFonts w:ascii="Times New Roman" w:hAnsi="Times New Roman" w:cs="Times New Roman"/>
          <w:b w:val="0"/>
          <w:bCs w:val="0"/>
          <w:sz w:val="24"/>
          <w:szCs w:val="36"/>
        </w:rPr>
        <w:t xml:space="preserve"> 5-year </w:t>
      </w:r>
      <w:r>
        <w:rPr>
          <w:rFonts w:hint="eastAsia" w:ascii="Times New Roman" w:hAnsi="Times New Roman" w:cs="Times New Roman"/>
          <w:b w:val="0"/>
          <w:bCs w:val="0"/>
          <w:sz w:val="24"/>
          <w:szCs w:val="36"/>
          <w:lang w:val="en-US" w:eastAsia="zh-CN"/>
        </w:rPr>
        <w:t>O</w:t>
      </w:r>
      <w:r>
        <w:rPr>
          <w:rFonts w:ascii="Times New Roman" w:hAnsi="Times New Roman" w:cs="Times New Roman"/>
          <w:b w:val="0"/>
          <w:bCs w:val="0"/>
          <w:sz w:val="24"/>
          <w:szCs w:val="36"/>
        </w:rPr>
        <w:t>S in pediatric T-ALL/T-LBL patients.</w:t>
      </w:r>
      <w:bookmarkStart w:id="0" w:name="_GoBack"/>
      <w:bookmarkEnd w:id="0"/>
    </w:p>
    <w:p w14:paraId="6D3A34FD">
      <w:pPr>
        <w:pStyle w:val="2"/>
        <w:spacing w:after="240" w:line="480" w:lineRule="auto"/>
        <w:rPr>
          <w:rFonts w:hint="default" w:ascii="Times New Roman" w:hAnsi="Times New Roman"/>
          <w:b w:val="0"/>
          <w:bCs/>
          <w:sz w:val="24"/>
        </w:rPr>
      </w:pPr>
      <w:r>
        <w:rPr>
          <w:rFonts w:hint="default" w:ascii="Times New Roman" w:hAnsi="Times New Roman"/>
          <w:b w:val="0"/>
          <w:bCs/>
          <w:sz w:val="24"/>
        </w:rPr>
        <w:t xml:space="preserve">(A) Individual nomogram integrating three prognostic variables: </w:t>
      </w:r>
      <w:r>
        <w:rPr>
          <w:rFonts w:hint="default" w:ascii="Times New Roman" w:hAnsi="Times New Roman"/>
          <w:b w:val="0"/>
          <w:bCs/>
          <w:i/>
          <w:iCs/>
          <w:sz w:val="24"/>
        </w:rPr>
        <w:t>USP7</w:t>
      </w:r>
      <w:r>
        <w:rPr>
          <w:rFonts w:hint="default" w:ascii="Times New Roman" w:hAnsi="Times New Roman"/>
          <w:b w:val="0"/>
          <w:bCs/>
          <w:sz w:val="24"/>
        </w:rPr>
        <w:t xml:space="preserve"> mutation status, MRD </w:t>
      </w:r>
      <w:r>
        <w:rPr>
          <w:rFonts w:hint="eastAsia" w:ascii="Times New Roman" w:hAnsi="Times New Roman"/>
          <w:b w:val="0"/>
          <w:bCs/>
          <w:sz w:val="24"/>
          <w:lang w:val="en-US" w:eastAsia="zh-CN"/>
        </w:rPr>
        <w:t>pre-</w:t>
      </w:r>
      <w:r>
        <w:rPr>
          <w:rFonts w:hint="default" w:ascii="Times New Roman" w:hAnsi="Times New Roman"/>
          <w:b w:val="0"/>
          <w:bCs/>
          <w:sz w:val="24"/>
        </w:rPr>
        <w:t>consolidation, and CNS involvement. Each variable is assigned a score, and the total score corresponds to an estimated probability of 5-year OS.</w:t>
      </w:r>
      <w:r>
        <w:rPr>
          <w:rFonts w:hint="eastAsia" w:ascii="Times New Roman" w:hAnsi="Times New Roman"/>
          <w:b w:val="0"/>
          <w:bCs/>
          <w:sz w:val="24"/>
          <w:lang w:val="en-US" w:eastAsia="zh-CN"/>
        </w:rPr>
        <w:t xml:space="preserve"> </w:t>
      </w:r>
      <w:r>
        <w:rPr>
          <w:rFonts w:hint="default" w:ascii="Times New Roman" w:hAnsi="Times New Roman"/>
          <w:b w:val="0"/>
          <w:bCs/>
          <w:sz w:val="24"/>
        </w:rPr>
        <w:t>(B) Receiver Operating Characteristic (ROC) curve showing the model’s ability to distinguish between survival outcomes. The Area Under the Curve (AUC) was 0.7423 (95% CI: 0.6355–0.8491), indicating acceptable discriminatory performance.</w:t>
      </w:r>
      <w:r>
        <w:rPr>
          <w:rFonts w:hint="eastAsia" w:ascii="Times New Roman" w:hAnsi="Times New Roman"/>
          <w:b w:val="0"/>
          <w:bCs/>
          <w:sz w:val="24"/>
          <w:lang w:val="en-US" w:eastAsia="zh-CN"/>
        </w:rPr>
        <w:t xml:space="preserve"> </w:t>
      </w:r>
      <w:r>
        <w:rPr>
          <w:rFonts w:hint="default" w:ascii="Times New Roman" w:hAnsi="Times New Roman"/>
          <w:b w:val="0"/>
          <w:bCs/>
          <w:sz w:val="24"/>
        </w:rPr>
        <w:t>(C) Calibration curve comparing predicted vs. observed 5-year OS probabilities. The closer the curve follows the ideal diagonal line (where predicted = actual), the better the model's accuracy.</w:t>
      </w:r>
      <w:r>
        <w:rPr>
          <w:rFonts w:hint="eastAsia" w:ascii="Times New Roman" w:hAnsi="Times New Roman"/>
          <w:b w:val="0"/>
          <w:bCs/>
          <w:sz w:val="24"/>
          <w:lang w:val="en-US" w:eastAsia="zh-CN"/>
        </w:rPr>
        <w:t xml:space="preserve"> </w:t>
      </w:r>
      <w:r>
        <w:rPr>
          <w:rFonts w:hint="default" w:ascii="Times New Roman" w:hAnsi="Times New Roman"/>
          <w:b w:val="0"/>
          <w:bCs/>
          <w:sz w:val="24"/>
        </w:rPr>
        <w:t xml:space="preserve">(D) Comparison of ROC curves for the prediction model with and without inclusion of </w:t>
      </w:r>
      <w:r>
        <w:rPr>
          <w:rFonts w:hint="default" w:ascii="Times New Roman" w:hAnsi="Times New Roman"/>
          <w:b w:val="0"/>
          <w:bCs/>
          <w:i/>
          <w:iCs/>
          <w:sz w:val="24"/>
        </w:rPr>
        <w:t>USP7</w:t>
      </w:r>
      <w:r>
        <w:rPr>
          <w:rFonts w:hint="default" w:ascii="Times New Roman" w:hAnsi="Times New Roman"/>
          <w:b w:val="0"/>
          <w:bCs/>
          <w:sz w:val="24"/>
        </w:rPr>
        <w:t xml:space="preserve"> mutation status. The improved AUC when including </w:t>
      </w:r>
      <w:r>
        <w:rPr>
          <w:rFonts w:hint="default" w:ascii="Times New Roman" w:hAnsi="Times New Roman"/>
          <w:b w:val="0"/>
          <w:bCs/>
          <w:i/>
          <w:iCs/>
          <w:sz w:val="24"/>
        </w:rPr>
        <w:t>USP7</w:t>
      </w:r>
      <w:r>
        <w:rPr>
          <w:rFonts w:hint="default" w:ascii="Times New Roman" w:hAnsi="Times New Roman"/>
          <w:b w:val="0"/>
          <w:bCs/>
          <w:sz w:val="24"/>
        </w:rPr>
        <w:t xml:space="preserve"> confirms its added value in outcome prediction.</w:t>
      </w:r>
      <w:r>
        <w:rPr>
          <w:rFonts w:hint="eastAsia" w:ascii="Times New Roman" w:hAnsi="Times New Roman"/>
          <w:b w:val="0"/>
          <w:bCs/>
          <w:sz w:val="24"/>
          <w:lang w:val="en-US" w:eastAsia="zh-CN"/>
        </w:rPr>
        <w:t xml:space="preserve"> </w:t>
      </w:r>
      <w:r>
        <w:rPr>
          <w:rFonts w:hint="default" w:ascii="Times New Roman" w:hAnsi="Times New Roman"/>
          <w:b w:val="0"/>
          <w:bCs/>
          <w:sz w:val="24"/>
        </w:rPr>
        <w:t>(E) Decision Curve Analysis (DCA) evaluating the clinical usefulness of the model across different risk thresholds. The model shows net clinical benefit when its curve lies above the “treat all” and “treat none” reference lines, particularly between 10% and 55% threshold probabilities.</w:t>
      </w:r>
      <w:r>
        <w:rPr>
          <w:rFonts w:hint="eastAsia" w:ascii="Times New Roman" w:hAnsi="Times New Roman"/>
          <w:b w:val="0"/>
          <w:bCs/>
          <w:sz w:val="24"/>
          <w:lang w:val="en-US" w:eastAsia="zh-CN"/>
        </w:rPr>
        <w:t xml:space="preserve"> </w:t>
      </w:r>
      <w:r>
        <w:rPr>
          <w:rFonts w:hint="default" w:ascii="Times New Roman" w:hAnsi="Times New Roman"/>
          <w:b w:val="0"/>
          <w:bCs/>
          <w:sz w:val="24"/>
        </w:rPr>
        <w:t>(F) Clinical Impact Curve (CIC) displaying the estimated number of high-risk patients (red line) and actual event-positive cases (blue line) at varying risk thresholds. This illustrates the trade-off between the number of patients labeled as high-risk and the detection of true events.</w:t>
      </w:r>
    </w:p>
    <w:p w14:paraId="0FBB404C">
      <w:pPr>
        <w:spacing w:after="240" w:line="480" w:lineRule="auto"/>
        <w:rPr>
          <w:rFonts w:hint="eastAsia" w:ascii="Times New Roman" w:hAnsi="Times New Roman"/>
          <w:b/>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D4661"/>
    <w:rsid w:val="031D37A8"/>
    <w:rsid w:val="0A6667A7"/>
    <w:rsid w:val="10737D30"/>
    <w:rsid w:val="266A582D"/>
    <w:rsid w:val="475B4BBC"/>
    <w:rsid w:val="54172F91"/>
    <w:rsid w:val="5B995AD1"/>
    <w:rsid w:val="5DF35EC1"/>
    <w:rsid w:val="6DBD4661"/>
    <w:rsid w:val="6FB76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Words>
  <Characters>422</Characters>
  <Lines>0</Lines>
  <Paragraphs>0</Paragraphs>
  <TotalTime>0</TotalTime>
  <ScaleCrop>false</ScaleCrop>
  <LinksUpToDate>false</LinksUpToDate>
  <CharactersWithSpaces>504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2024-12-24T02:54:00Z</dcterms:created>
  <dc:creator>fengfeng</dc:creator>
  <cp:lastModifiedBy>Fengfeng</cp:lastModifiedBy>
  <dcterms:modified xsi:type="dcterms:W3CDTF">2025-07-04T18:34:56Z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D5D3A95433AB44D08023ACFD874E2F18_13</vt:lpwstr>
  </property>
  <property fmtid="{D5CDD505-2E9C-101B-9397-08002B2CF9AE}" pid="4" name="KSOTemplateDocerSaveRecord">
    <vt:lpwstr>eyJoZGlkIjoiNDVhZGM5MmE0NTQ4M2IyYzcxYTU4YmU4NjU5NGQ3YWEiLCJ1c2VySWQiOiI1MDA3NDE4NDMifQ==</vt:lpwstr>
  </property>
</Properties>
</file>