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717ED" w14:textId="5B54BB24" w:rsidR="1FB4865E" w:rsidRDefault="42AE8EEF" w:rsidP="2EC22243">
      <w:pPr>
        <w:spacing w:after="0" w:line="360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2EC22243">
        <w:rPr>
          <w:rFonts w:ascii="Calibri" w:eastAsia="Calibri" w:hAnsi="Calibri" w:cs="Calibri"/>
          <w:b/>
          <w:bCs/>
          <w:sz w:val="22"/>
          <w:szCs w:val="22"/>
          <w:lang w:val="en-GB"/>
        </w:rPr>
        <w:t>Supplementary</w:t>
      </w:r>
      <w:r w:rsidRPr="2EC22243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proofErr w:type="spellStart"/>
      <w:r w:rsidRPr="2EC22243">
        <w:rPr>
          <w:rFonts w:ascii="Calibri" w:eastAsia="Calibri" w:hAnsi="Calibri" w:cs="Calibri"/>
          <w:b/>
          <w:bCs/>
          <w:sz w:val="22"/>
          <w:szCs w:val="22"/>
        </w:rPr>
        <w:t>Methods</w:t>
      </w:r>
      <w:proofErr w:type="spellEnd"/>
    </w:p>
    <w:p w14:paraId="1A50CB96" w14:textId="77777777" w:rsidR="00B419F7" w:rsidRDefault="00B419F7" w:rsidP="2EC22243">
      <w:pPr>
        <w:spacing w:after="0" w:line="360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5170A0AA" w14:textId="428C9652" w:rsidR="00B419F7" w:rsidRPr="000C341C" w:rsidRDefault="00B419F7" w:rsidP="000C341C">
      <w:pPr>
        <w:spacing w:after="120" w:line="360" w:lineRule="auto"/>
        <w:jc w:val="both"/>
        <w:rPr>
          <w:rFonts w:ascii="Calibri" w:eastAsia="Calibri" w:hAnsi="Calibri" w:cs="Calibri"/>
          <w:i/>
          <w:iCs/>
          <w:sz w:val="22"/>
          <w:szCs w:val="22"/>
          <w:lang w:val="en-US"/>
        </w:rPr>
      </w:pPr>
      <w:r w:rsidRPr="00B419F7">
        <w:rPr>
          <w:rFonts w:ascii="Calibri" w:eastAsia="Calibri" w:hAnsi="Calibri" w:cs="Calibri"/>
          <w:i/>
          <w:iCs/>
          <w:sz w:val="22"/>
          <w:szCs w:val="22"/>
          <w:lang w:val="en-US"/>
        </w:rPr>
        <w:t>Experimental workflow and technical challenges</w:t>
      </w:r>
    </w:p>
    <w:p w14:paraId="68D087AD" w14:textId="77777777" w:rsidR="00B419F7" w:rsidRDefault="00B419F7" w:rsidP="00B419F7">
      <w:pPr>
        <w:spacing w:after="0" w:line="360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0056223A">
        <w:rPr>
          <w:rFonts w:ascii="Calibri" w:eastAsia="Calibri" w:hAnsi="Calibri" w:cs="Calibri"/>
          <w:sz w:val="22"/>
          <w:szCs w:val="22"/>
          <w:lang w:val="en-US"/>
        </w:rPr>
        <w:t>To facilitate reader orientation and clarity, we provide a concise overview of our project workflow and experimental development. Our primary goal was to systematically evaluate manufacturer-recommended enrichment strategies that had not yet been assessed for clinically relevant lymphoma breakpoints. To establish a controlled experimental framework, we initially employed well-characterized cell lines to optimize the sequencing workflow before extending our analyses to clinical samples. During this evaluation, it became apparent that each enrichment strategy exhibited specific technical limitations, prompting a study focus on these methodological aspects.</w:t>
      </w:r>
    </w:p>
    <w:p w14:paraId="22F1E399" w14:textId="77777777" w:rsidR="00B419F7" w:rsidRDefault="00B419F7" w:rsidP="00B419F7">
      <w:pPr>
        <w:spacing w:after="0" w:line="360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0056223A">
        <w:rPr>
          <w:rFonts w:ascii="Calibri" w:eastAsia="Calibri" w:hAnsi="Calibri" w:cs="Calibri"/>
          <w:sz w:val="22"/>
          <w:szCs w:val="22"/>
          <w:lang w:val="en-US"/>
        </w:rPr>
        <w:t xml:space="preserve">The study </w:t>
      </w:r>
      <w:r w:rsidRPr="00DA2006">
        <w:rPr>
          <w:rFonts w:ascii="Calibri" w:eastAsia="Calibri" w:hAnsi="Calibri" w:cs="Calibri"/>
          <w:sz w:val="22"/>
          <w:szCs w:val="22"/>
          <w:lang w:val="en-US"/>
        </w:rPr>
        <w:t xml:space="preserve">primarily </w:t>
      </w:r>
      <w:r w:rsidRPr="0056223A">
        <w:rPr>
          <w:rFonts w:ascii="Calibri" w:eastAsia="Calibri" w:hAnsi="Calibri" w:cs="Calibri"/>
          <w:sz w:val="22"/>
          <w:szCs w:val="22"/>
          <w:lang w:val="en-US"/>
        </w:rPr>
        <w:t>utilized established lymphoma and leukemia cell lines available in our laboratory at Masaryk University. The first three sequencing runs were performed using four readily accessible lymphoma cell lines (DOHH-2, MAVER-1, JVM-2, and Ramos). To expand the spectrum of detectable translocations, additional cell lines (NALM-6, REH, ML-2, GRANTA-452, KCL-22) were obtained through collaboration with the University Hospital Brno, which was particularly relevant for Cas9-based experiments. Run 8 included only the Ramos cell line</w:t>
      </w:r>
      <w:r>
        <w:rPr>
          <w:rFonts w:ascii="Calibri" w:eastAsia="Calibri" w:hAnsi="Calibri" w:cs="Calibri"/>
          <w:sz w:val="22"/>
          <w:szCs w:val="22"/>
          <w:lang w:val="en-US"/>
        </w:rPr>
        <w:t>, as the specific aim was to assess the effect of proteinase K treatment on sequencing yield; however, this intervention did not improve th</w:t>
      </w:r>
      <w:r w:rsidRPr="0056223A">
        <w:rPr>
          <w:rFonts w:ascii="Calibri" w:eastAsia="Calibri" w:hAnsi="Calibri" w:cs="Calibri"/>
          <w:sz w:val="22"/>
          <w:szCs w:val="22"/>
          <w:lang w:val="en-US"/>
        </w:rPr>
        <w:t>e results. In run 9, we returned to the original four cell lines to evaluate a Cas9 multiplexing approach intended for subsequent application to clinical mature B-cell lymphoma samples.</w:t>
      </w:r>
    </w:p>
    <w:p w14:paraId="34B51FB4" w14:textId="77777777" w:rsidR="00B419F7" w:rsidRDefault="00B419F7" w:rsidP="00B419F7">
      <w:pPr>
        <w:spacing w:after="0" w:line="360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00A87EF2">
        <w:rPr>
          <w:rFonts w:ascii="Calibri" w:eastAsia="Calibri" w:hAnsi="Calibri" w:cs="Calibri"/>
          <w:sz w:val="22"/>
          <w:szCs w:val="22"/>
          <w:lang w:val="en-US"/>
        </w:rPr>
        <w:t xml:space="preserve">A </w:t>
      </w:r>
      <w:r>
        <w:rPr>
          <w:rFonts w:ascii="Calibri" w:eastAsia="Calibri" w:hAnsi="Calibri" w:cs="Calibri"/>
          <w:sz w:val="22"/>
          <w:szCs w:val="22"/>
          <w:lang w:val="en-US"/>
        </w:rPr>
        <w:t>challenge</w:t>
      </w:r>
      <w:r w:rsidRPr="00A87EF2">
        <w:rPr>
          <w:rFonts w:ascii="Calibri" w:eastAsia="Calibri" w:hAnsi="Calibri" w:cs="Calibri"/>
          <w:sz w:val="22"/>
          <w:szCs w:val="22"/>
          <w:lang w:val="en-US"/>
        </w:rPr>
        <w:t xml:space="preserve"> encountered throughout the study was low and/or uneven sequencing coverage, which in some cases hindered reliable breakpoint detection. Although initial experiments targeted a limited set of genes and translocation partners, we subsequently expanded the regions of interest (ROIs) for adaptive sampling and utilized a </w:t>
      </w:r>
      <w:proofErr w:type="spellStart"/>
      <w:r w:rsidRPr="00A87EF2">
        <w:rPr>
          <w:rFonts w:ascii="Calibri" w:eastAsia="Calibri" w:hAnsi="Calibri" w:cs="Calibri"/>
          <w:sz w:val="22"/>
          <w:szCs w:val="22"/>
          <w:lang w:val="en-US"/>
        </w:rPr>
        <w:t>PromethION</w:t>
      </w:r>
      <w:proofErr w:type="spellEnd"/>
      <w:r w:rsidRPr="00A87EF2">
        <w:rPr>
          <w:rFonts w:ascii="Calibri" w:eastAsia="Calibri" w:hAnsi="Calibri" w:cs="Calibri"/>
          <w:sz w:val="22"/>
          <w:szCs w:val="22"/>
          <w:lang w:val="en-US"/>
        </w:rPr>
        <w:t xml:space="preserve"> flow cell to increase overall data yield. For Cas9-based enrichment, constructing a large panel </w:t>
      </w:r>
      <w:r>
        <w:rPr>
          <w:rFonts w:ascii="Calibri" w:eastAsia="Calibri" w:hAnsi="Calibri" w:cs="Calibri"/>
          <w:sz w:val="22"/>
          <w:szCs w:val="22"/>
          <w:lang w:val="en-US"/>
        </w:rPr>
        <w:t>is</w:t>
      </w:r>
      <w:r w:rsidRPr="00A87EF2">
        <w:rPr>
          <w:rFonts w:ascii="Calibri" w:eastAsia="Calibri" w:hAnsi="Calibri" w:cs="Calibri"/>
          <w:sz w:val="22"/>
          <w:szCs w:val="22"/>
          <w:lang w:val="en-US"/>
        </w:rPr>
        <w:t xml:space="preserve"> economically impractical, whereas smaller panels generate low library molarity and insufficient pore occupancy. Multiplexing was explored as a potential solution</w:t>
      </w:r>
      <w:r>
        <w:rPr>
          <w:rFonts w:ascii="Calibri" w:eastAsia="Calibri" w:hAnsi="Calibri" w:cs="Calibri"/>
          <w:sz w:val="22"/>
          <w:szCs w:val="22"/>
          <w:lang w:val="en-US"/>
        </w:rPr>
        <w:t>;</w:t>
      </w:r>
      <w:r w:rsidRPr="00A87EF2">
        <w:rPr>
          <w:rFonts w:ascii="Calibri" w:eastAsia="Calibri" w:hAnsi="Calibri" w:cs="Calibri"/>
          <w:sz w:val="22"/>
          <w:szCs w:val="22"/>
          <w:lang w:val="en-US"/>
        </w:rPr>
        <w:t xml:space="preserve"> however, it introduced additional constraints. Cas9 read-out does not inherently support sample indexing and requires additional PCR steps for sample discrimination</w:t>
      </w:r>
      <w:r>
        <w:rPr>
          <w:rFonts w:ascii="Calibri" w:eastAsia="Calibri" w:hAnsi="Calibri" w:cs="Calibri"/>
          <w:sz w:val="22"/>
          <w:szCs w:val="22"/>
          <w:lang w:val="en-US"/>
        </w:rPr>
        <w:t>. In contrast, Cas9 excision allows for multiplexing,</w:t>
      </w:r>
      <w:r w:rsidRPr="00A87EF2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eastAsia="Calibri" w:hAnsi="Calibri" w:cs="Calibri"/>
          <w:sz w:val="22"/>
          <w:szCs w:val="22"/>
          <w:lang w:val="en-US"/>
        </w:rPr>
        <w:t xml:space="preserve">but </w:t>
      </w:r>
      <w:r w:rsidRPr="00A87EF2">
        <w:rPr>
          <w:rFonts w:ascii="Calibri" w:eastAsia="Calibri" w:hAnsi="Calibri" w:cs="Calibri"/>
          <w:sz w:val="22"/>
          <w:szCs w:val="22"/>
          <w:lang w:val="en-US"/>
        </w:rPr>
        <w:t>only for known translocation partners. Adaptive sampling theoretically enables broader multiplexing, but our lymphoid-focused panel was too small to achieve efficient enrichment. Even when processing 4–5 samples, per-sample coverage remained low, and including more samples would likely compromise turnaround times in a diagnostic context.</w:t>
      </w:r>
    </w:p>
    <w:p w14:paraId="238DFBEF" w14:textId="77777777" w:rsidR="00B419F7" w:rsidRPr="00A87EF2" w:rsidRDefault="00B419F7" w:rsidP="00B419F7">
      <w:pPr>
        <w:spacing w:after="0" w:line="360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00A87EF2">
        <w:rPr>
          <w:rFonts w:ascii="Calibri" w:eastAsia="Calibri" w:hAnsi="Calibri" w:cs="Calibri"/>
          <w:sz w:val="22"/>
          <w:szCs w:val="22"/>
          <w:lang w:val="en-US"/>
        </w:rPr>
        <w:t xml:space="preserve">Our findings provide practical guidance for laboratories implementing targeted Nanopore sequencing, illustrating the advantages and limitations of each enrichment strategy and highlighting the need for method-specific optimization </w:t>
      </w:r>
      <w:r w:rsidRPr="00DA2006">
        <w:rPr>
          <w:rFonts w:ascii="Calibri" w:eastAsia="Calibri" w:hAnsi="Calibri" w:cs="Calibri"/>
          <w:sz w:val="22"/>
          <w:szCs w:val="22"/>
          <w:lang w:val="en-US"/>
        </w:rPr>
        <w:t>by individual users</w:t>
      </w:r>
      <w:r w:rsidRPr="00A87EF2">
        <w:rPr>
          <w:rFonts w:ascii="Calibri" w:eastAsia="Calibri" w:hAnsi="Calibri" w:cs="Calibri"/>
          <w:sz w:val="22"/>
          <w:szCs w:val="22"/>
          <w:lang w:val="en-US"/>
        </w:rPr>
        <w:t xml:space="preserve">. The decision algorithm we propose reflects these </w:t>
      </w:r>
      <w:r w:rsidRPr="00A87EF2">
        <w:rPr>
          <w:rFonts w:ascii="Calibri" w:eastAsia="Calibri" w:hAnsi="Calibri" w:cs="Calibri"/>
          <w:sz w:val="22"/>
          <w:szCs w:val="22"/>
          <w:lang w:val="en-US"/>
        </w:rPr>
        <w:lastRenderedPageBreak/>
        <w:t>trade-offs and is intended to support strategy selection for structural variant detection. It should, however, be regarded as a conceptual framework requiring validation for each specific application.</w:t>
      </w:r>
    </w:p>
    <w:p w14:paraId="4D02433E" w14:textId="6E8C7294" w:rsidR="2EC22243" w:rsidRDefault="2EC22243" w:rsidP="00B419F7">
      <w:pPr>
        <w:spacing w:after="0" w:line="360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306A6B27" w14:textId="5465A272" w:rsidR="1FB4865E" w:rsidRPr="001F1D9F" w:rsidRDefault="42AE8EEF" w:rsidP="001F1D9F">
      <w:pPr>
        <w:spacing w:after="120" w:line="360" w:lineRule="auto"/>
        <w:rPr>
          <w:rFonts w:ascii="Calibri" w:eastAsia="Calibri" w:hAnsi="Calibri" w:cs="Calibri"/>
          <w:i/>
          <w:iCs/>
          <w:sz w:val="22"/>
          <w:szCs w:val="22"/>
          <w:lang w:val="en-US"/>
        </w:rPr>
      </w:pPr>
      <w:r w:rsidRPr="2EC22243">
        <w:rPr>
          <w:rFonts w:ascii="Calibri" w:eastAsia="Calibri" w:hAnsi="Calibri" w:cs="Calibri"/>
          <w:i/>
          <w:iCs/>
          <w:sz w:val="22"/>
          <w:szCs w:val="22"/>
          <w:lang w:val="en-US"/>
        </w:rPr>
        <w:t>Cas9 library preparation</w:t>
      </w:r>
      <w:r w:rsidR="1FB4865E">
        <w:br/>
      </w:r>
      <w:r w:rsidR="25979B62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Cas9 ribonucleoprotein (RNP) complex was prepared with crRNA and </w:t>
      </w:r>
      <w:proofErr w:type="spellStart"/>
      <w:r w:rsidR="25979B62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tracrRNA</w:t>
      </w:r>
      <w:proofErr w:type="spellEnd"/>
      <w:r w:rsidR="25979B62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in nuclease-free duplex buffer, incubated for 5 min at 95 °C</w:t>
      </w:r>
      <w:r w:rsidR="0078294C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,</w:t>
      </w:r>
      <w:r w:rsidR="25979B62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and cooled to room temperature (RT). Guide RNA was then mixed with Alt-R </w:t>
      </w:r>
      <w:proofErr w:type="spellStart"/>
      <w:r w:rsidR="25979B62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S.p.</w:t>
      </w:r>
      <w:proofErr w:type="spellEnd"/>
      <w:r w:rsidR="25979B62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Cas9 enzyme (IDT) in PBS and incubated for 15 minutes at RT. Meanwhile, 3 </w:t>
      </w:r>
      <w:proofErr w:type="spellStart"/>
      <w:r w:rsidR="25979B62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μg</w:t>
      </w:r>
      <w:proofErr w:type="spellEnd"/>
      <w:r w:rsidR="25979B62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of input DNA were incubated with CIP calf intestinal phosphatase (NEB) in 1x NEB CutSmart buffer at 37°C for 10 minutes and 80 °C for 2 minutes. Dephosphorylated DNA was then mixed with loaded Cas9 RNP complex, 10 mM </w:t>
      </w:r>
      <w:proofErr w:type="spellStart"/>
      <w:r w:rsidR="25979B62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dATP</w:t>
      </w:r>
      <w:proofErr w:type="spellEnd"/>
      <w:r w:rsidR="0078294C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,</w:t>
      </w:r>
      <w:r w:rsidR="25979B62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and NEB Taq polymerase and incubated for 30 minutes at 37 °C and 5 minutes at 72 °C. Finally, ONT adapters were ligated using the </w:t>
      </w:r>
      <w:proofErr w:type="spellStart"/>
      <w:r w:rsidR="25979B62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NEBNext</w:t>
      </w:r>
      <w:proofErr w:type="spellEnd"/>
      <w:r w:rsidR="25979B62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Quick T4 ligase</w:t>
      </w:r>
      <w:r w:rsidR="5835E413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.</w:t>
      </w:r>
      <w:r w:rsidR="5C2A18BC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</w:t>
      </w:r>
      <w:r w:rsidR="05C499CF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The final library was quantified using the </w:t>
      </w:r>
      <w:proofErr w:type="spellStart"/>
      <w:r w:rsidR="05C499CF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Quantus</w:t>
      </w:r>
      <w:proofErr w:type="spellEnd"/>
      <w:r w:rsidR="05C499CF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fluorometer (Promega, WI, USA) and sequenced on </w:t>
      </w:r>
      <w:r w:rsidR="0078294C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a </w:t>
      </w:r>
      <w:proofErr w:type="spellStart"/>
      <w:r w:rsidR="05C499CF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MinION</w:t>
      </w:r>
      <w:proofErr w:type="spellEnd"/>
      <w:r w:rsidR="05C499CF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R9.4.1 flow cell.</w:t>
      </w:r>
    </w:p>
    <w:p w14:paraId="625CE026" w14:textId="3EDED24B" w:rsidR="1FB4865E" w:rsidRDefault="1FB4865E" w:rsidP="2EC22243">
      <w:pPr>
        <w:spacing w:after="0" w:line="360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</w:p>
    <w:p w14:paraId="68DD0A9F" w14:textId="2BBFA06B" w:rsidR="1FB4865E" w:rsidRDefault="4A338368" w:rsidP="2EC22243">
      <w:pPr>
        <w:spacing w:after="120" w:line="360" w:lineRule="auto"/>
        <w:jc w:val="both"/>
        <w:rPr>
          <w:rFonts w:ascii="Calibri" w:eastAsia="Calibri" w:hAnsi="Calibri" w:cs="Calibri"/>
          <w:i/>
          <w:iCs/>
          <w:sz w:val="22"/>
          <w:szCs w:val="22"/>
          <w:lang w:val="en-US"/>
        </w:rPr>
      </w:pPr>
      <w:r w:rsidRPr="2EC22243">
        <w:rPr>
          <w:rFonts w:ascii="Calibri" w:eastAsia="Calibri" w:hAnsi="Calibri" w:cs="Calibri"/>
          <w:i/>
          <w:iCs/>
          <w:sz w:val="22"/>
          <w:szCs w:val="22"/>
          <w:lang w:val="en-US"/>
        </w:rPr>
        <w:t>Cas9 multiplexing library preparation</w:t>
      </w:r>
    </w:p>
    <w:p w14:paraId="06DC1996" w14:textId="1D0C3969" w:rsidR="0BC617AB" w:rsidRDefault="0BC617AB" w:rsidP="2EC22243">
      <w:pPr>
        <w:spacing w:after="0"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</w:pPr>
      <w:r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For the Cas9-multiplexed library, we started again with 3 </w:t>
      </w:r>
      <w:proofErr w:type="spellStart"/>
      <w:r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μg</w:t>
      </w:r>
      <w:proofErr w:type="spellEnd"/>
      <w:r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of isolated DNA and prepared the library according to </w:t>
      </w:r>
      <w:r w:rsidR="0078294C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the unsupported ONT protocol that follows the general workflow in the paragraph above,</w:t>
      </w:r>
      <w:r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with modifications</w:t>
      </w:r>
      <w:r w:rsidR="28F3CA57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at the end of the protocol</w:t>
      </w:r>
      <w:r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. </w:t>
      </w:r>
    </w:p>
    <w:p w14:paraId="30159518" w14:textId="06DC2D3B" w:rsidR="1512A33A" w:rsidRDefault="1512A33A" w:rsidP="2EC22243">
      <w:pPr>
        <w:spacing w:after="0"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</w:pPr>
      <w:r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Cas9 ribonucleoprotein (RNP) complex was prepared with crRNA and </w:t>
      </w:r>
      <w:proofErr w:type="spellStart"/>
      <w:r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tracrRNA</w:t>
      </w:r>
      <w:proofErr w:type="spellEnd"/>
      <w:r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in nuclease-free duplex buffer, incubated for 5 min at 95 °C</w:t>
      </w:r>
      <w:r w:rsidR="0078294C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,</w:t>
      </w:r>
      <w:r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and cooled to room temperature (RT). Guide RNA was then mixed with Alt-R </w:t>
      </w:r>
      <w:proofErr w:type="spellStart"/>
      <w:r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S.p.</w:t>
      </w:r>
      <w:proofErr w:type="spellEnd"/>
      <w:r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Cas9 enzyme (IDT) in PBS and incubated for 15 minutes at RT. Meanwhile, 3 </w:t>
      </w:r>
      <w:proofErr w:type="spellStart"/>
      <w:r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μg</w:t>
      </w:r>
      <w:proofErr w:type="spellEnd"/>
      <w:r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of input DNA were incubated with CIP calf intestinal phosphatase (NEB) in 1x NEB CutSmart buffer at 37°C for 10 minutes and 80 °C for 2 minutes. Dephosphorylated DNA was mixed with </w:t>
      </w:r>
      <w:r w:rsidR="0078294C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the </w:t>
      </w:r>
      <w:r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loaded Cas9 RNP complex, 10 mM </w:t>
      </w:r>
      <w:proofErr w:type="spellStart"/>
      <w:r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dATP</w:t>
      </w:r>
      <w:proofErr w:type="spellEnd"/>
      <w:r w:rsidR="0078294C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,</w:t>
      </w:r>
      <w:r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and NEB Taq polymerase and incubated for 30 minutes at 37 °C and 5 minutes at 72 °C.</w:t>
      </w:r>
      <w:r w:rsidR="51D712E0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</w:t>
      </w:r>
      <w:r w:rsidR="5BA6081B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A</w:t>
      </w:r>
      <w:r w:rsidR="51D712E0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fter </w:t>
      </w:r>
      <w:r w:rsidR="0078294C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adding</w:t>
      </w:r>
      <w:r w:rsidR="51D712E0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Cas9 RNP complex, the sample was treated with a mix of Lambda exonuclease and Exonuclease I to digest background DNA. Remaining fragments were A-tailed using the NEB Taq polymerase and ligated with native barcodes from the LSK-NBD114 kit. Finally, sequencing adapters were ligated with </w:t>
      </w:r>
      <w:proofErr w:type="spellStart"/>
      <w:r w:rsidR="51D712E0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NEBNext</w:t>
      </w:r>
      <w:proofErr w:type="spellEnd"/>
      <w:r w:rsidR="51D712E0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Quick Ligation Reaction Module and prepared for the sequencing according to the manufacturer’s protocol. </w:t>
      </w:r>
      <w:r w:rsidR="0DFE45D1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The final library was quantified using the </w:t>
      </w:r>
      <w:proofErr w:type="spellStart"/>
      <w:r w:rsidR="0DFE45D1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Quantus</w:t>
      </w:r>
      <w:proofErr w:type="spellEnd"/>
      <w:r w:rsidR="0DFE45D1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fluorometer (Promega, WI, USA) and sequenced on </w:t>
      </w:r>
      <w:proofErr w:type="spellStart"/>
      <w:r w:rsidR="0DFE45D1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PromethION</w:t>
      </w:r>
      <w:proofErr w:type="spellEnd"/>
      <w:r w:rsidR="0DFE45D1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R10.4.1 flow cell.   </w:t>
      </w:r>
    </w:p>
    <w:p w14:paraId="45B169C1" w14:textId="5D9DF3FB" w:rsidR="2EC22243" w:rsidRDefault="2EC22243" w:rsidP="2EC22243">
      <w:pPr>
        <w:spacing w:after="0"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</w:pPr>
    </w:p>
    <w:p w14:paraId="06FF467A" w14:textId="50153E05" w:rsidR="1FB4865E" w:rsidRDefault="63A3B679" w:rsidP="2EC22243">
      <w:pPr>
        <w:spacing w:after="120" w:line="360" w:lineRule="auto"/>
        <w:jc w:val="both"/>
        <w:rPr>
          <w:rFonts w:ascii="Calibri" w:eastAsia="Calibri" w:hAnsi="Calibri" w:cs="Calibri"/>
          <w:i/>
          <w:iCs/>
          <w:sz w:val="22"/>
          <w:szCs w:val="22"/>
          <w:lang w:val="en-US"/>
        </w:rPr>
      </w:pPr>
      <w:r w:rsidRPr="2EC22243">
        <w:rPr>
          <w:rFonts w:ascii="Calibri" w:eastAsia="Calibri" w:hAnsi="Calibri" w:cs="Calibri"/>
          <w:i/>
          <w:iCs/>
          <w:sz w:val="22"/>
          <w:szCs w:val="22"/>
          <w:lang w:val="en-US"/>
        </w:rPr>
        <w:t>Adaptive sampling library preparation</w:t>
      </w:r>
    </w:p>
    <w:p w14:paraId="5D8101E2" w14:textId="25B1692D" w:rsidR="71BBC54F" w:rsidRDefault="51D712E0" w:rsidP="2EC22243">
      <w:pPr>
        <w:spacing w:after="0" w:line="360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For </w:t>
      </w:r>
      <w:r w:rsidR="0078294C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the adaptive sampling protocol, we used the </w:t>
      </w:r>
      <w:r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LSK-110 kit from Oxford Nanopore and additional chemistry from New England Biolabs, as listed in the official protocol. Briefly, 1000 ng of DNA was </w:t>
      </w:r>
      <w:r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lastRenderedPageBreak/>
        <w:t>used as input for library preparation. After the end-repair and A-tailing steps, DNA was purified with SPRI select beads (Beckman Coulter). Adapter with motor protein was ligated onto the A-tailed ends and purified, using the LFB buffer for the washing steps.</w:t>
      </w:r>
      <w:r w:rsidR="71BBC54F" w:rsidRPr="2EC22243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 xml:space="preserve"> </w:t>
      </w:r>
    </w:p>
    <w:p w14:paraId="3FE3446D" w14:textId="2C299E84" w:rsidR="71BBC54F" w:rsidRDefault="71BBC54F" w:rsidP="2EC22243">
      <w:pPr>
        <w:spacing w:after="0" w:line="360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2EC22243">
        <w:rPr>
          <w:rFonts w:ascii="Calibri" w:eastAsia="Calibri" w:hAnsi="Calibri" w:cs="Calibri"/>
          <w:sz w:val="22"/>
          <w:szCs w:val="22"/>
          <w:lang w:val="en-US"/>
        </w:rPr>
        <w:t xml:space="preserve">For the multiplexed </w:t>
      </w:r>
      <w:r w:rsidR="0BBBB9EB" w:rsidRPr="2EC22243">
        <w:rPr>
          <w:rFonts w:ascii="Calibri" w:eastAsia="Calibri" w:hAnsi="Calibri" w:cs="Calibri"/>
          <w:sz w:val="22"/>
          <w:szCs w:val="22"/>
          <w:lang w:val="en-US"/>
        </w:rPr>
        <w:t>AS libraries</w:t>
      </w:r>
      <w:r w:rsidRPr="2EC22243">
        <w:rPr>
          <w:rFonts w:ascii="Calibri" w:eastAsia="Calibri" w:hAnsi="Calibri" w:cs="Calibri"/>
          <w:sz w:val="22"/>
          <w:szCs w:val="22"/>
          <w:lang w:val="en-US"/>
        </w:rPr>
        <w:t xml:space="preserve">, we used </w:t>
      </w:r>
      <w:r w:rsidR="0078294C">
        <w:rPr>
          <w:rFonts w:ascii="Calibri" w:eastAsia="Calibri" w:hAnsi="Calibri" w:cs="Calibri"/>
          <w:sz w:val="22"/>
          <w:szCs w:val="22"/>
          <w:lang w:val="en-US"/>
        </w:rPr>
        <w:t>one</w:t>
      </w:r>
      <w:r w:rsidRPr="2EC22243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proofErr w:type="spellStart"/>
      <w:r w:rsidR="0078294C">
        <w:rPr>
          <w:rFonts w:ascii="Calibri" w:eastAsia="Calibri" w:hAnsi="Calibri" w:cs="Calibri"/>
          <w:sz w:val="22"/>
          <w:szCs w:val="22"/>
          <w:lang w:val="en-US"/>
        </w:rPr>
        <w:t>μg</w:t>
      </w:r>
      <w:proofErr w:type="spellEnd"/>
      <w:r w:rsidRPr="2EC22243">
        <w:rPr>
          <w:rFonts w:ascii="Calibri" w:eastAsia="Calibri" w:hAnsi="Calibri" w:cs="Calibri"/>
          <w:sz w:val="22"/>
          <w:szCs w:val="22"/>
          <w:lang w:val="en-US"/>
        </w:rPr>
        <w:t xml:space="preserve"> of each sample according to the protocol instructions. The protocol for </w:t>
      </w:r>
      <w:r w:rsidR="0078294C">
        <w:rPr>
          <w:rFonts w:ascii="Calibri" w:eastAsia="Calibri" w:hAnsi="Calibri" w:cs="Calibri"/>
          <w:sz w:val="22"/>
          <w:szCs w:val="22"/>
          <w:lang w:val="en-US"/>
        </w:rPr>
        <w:t xml:space="preserve">the LSK-NBD114 kit was followed as described above, with the modification of first ligating barcoded indexes using the NEB Blunt/TA ligase (M0367S, NEB) after the A-tailing step and then following with the ligation of the </w:t>
      </w:r>
      <w:r w:rsidRPr="2EC22243">
        <w:rPr>
          <w:rFonts w:ascii="Calibri" w:eastAsia="Calibri" w:hAnsi="Calibri" w:cs="Calibri"/>
          <w:sz w:val="22"/>
          <w:szCs w:val="22"/>
          <w:lang w:val="en-US"/>
        </w:rPr>
        <w:t>native adapter.</w:t>
      </w:r>
      <w:r w:rsidR="1F649194" w:rsidRPr="2EC22243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</w:p>
    <w:p w14:paraId="56007B8E" w14:textId="4EEB12CF" w:rsidR="71BBC54F" w:rsidRDefault="1F649194" w:rsidP="1FB4865E">
      <w:pPr>
        <w:spacing w:after="0" w:line="360" w:lineRule="auto"/>
        <w:jc w:val="both"/>
        <w:rPr>
          <w:rFonts w:ascii="Calibri" w:eastAsia="Calibri" w:hAnsi="Calibri" w:cs="Calibri"/>
          <w:sz w:val="22"/>
          <w:szCs w:val="22"/>
          <w:lang w:val="en-US"/>
        </w:rPr>
      </w:pPr>
      <w:r w:rsidRPr="2EC22243">
        <w:rPr>
          <w:rFonts w:ascii="Calibri" w:eastAsia="Calibri" w:hAnsi="Calibri" w:cs="Calibri"/>
          <w:sz w:val="22"/>
          <w:szCs w:val="22"/>
          <w:lang w:val="en-US"/>
        </w:rPr>
        <w:t xml:space="preserve">The final libraries were quantified using the </w:t>
      </w:r>
      <w:proofErr w:type="spellStart"/>
      <w:r w:rsidRPr="2EC22243">
        <w:rPr>
          <w:rFonts w:ascii="Calibri" w:eastAsia="Calibri" w:hAnsi="Calibri" w:cs="Calibri"/>
          <w:sz w:val="22"/>
          <w:szCs w:val="22"/>
          <w:lang w:val="en-US"/>
        </w:rPr>
        <w:t>Quantus</w:t>
      </w:r>
      <w:proofErr w:type="spellEnd"/>
      <w:r w:rsidRPr="2EC22243">
        <w:rPr>
          <w:rFonts w:ascii="Calibri" w:eastAsia="Calibri" w:hAnsi="Calibri" w:cs="Calibri"/>
          <w:sz w:val="22"/>
          <w:szCs w:val="22"/>
          <w:lang w:val="en-US"/>
        </w:rPr>
        <w:t xml:space="preserve"> fluorometer (Promega, WI, USA) and sequenced on </w:t>
      </w:r>
      <w:proofErr w:type="spellStart"/>
      <w:r w:rsidRPr="2EC22243">
        <w:rPr>
          <w:rFonts w:ascii="Calibri" w:eastAsia="Calibri" w:hAnsi="Calibri" w:cs="Calibri"/>
          <w:sz w:val="22"/>
          <w:szCs w:val="22"/>
          <w:lang w:val="en-US"/>
        </w:rPr>
        <w:t>MinION</w:t>
      </w:r>
      <w:proofErr w:type="spellEnd"/>
      <w:r w:rsidRPr="2EC22243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5B0E514D" w:rsidRPr="2EC22243">
        <w:rPr>
          <w:rFonts w:ascii="Calibri" w:eastAsia="Calibri" w:hAnsi="Calibri" w:cs="Calibri"/>
          <w:sz w:val="22"/>
          <w:szCs w:val="22"/>
          <w:lang w:val="en-US"/>
        </w:rPr>
        <w:t xml:space="preserve">R9.4.1 </w:t>
      </w:r>
      <w:r w:rsidRPr="2EC22243">
        <w:rPr>
          <w:rFonts w:ascii="Calibri" w:eastAsia="Calibri" w:hAnsi="Calibri" w:cs="Calibri"/>
          <w:sz w:val="22"/>
          <w:szCs w:val="22"/>
          <w:lang w:val="en-US"/>
        </w:rPr>
        <w:t>an</w:t>
      </w:r>
      <w:r w:rsidR="4224FFCA" w:rsidRPr="2EC22243">
        <w:rPr>
          <w:rFonts w:ascii="Calibri" w:eastAsia="Calibri" w:hAnsi="Calibri" w:cs="Calibri"/>
          <w:sz w:val="22"/>
          <w:szCs w:val="22"/>
          <w:lang w:val="en-US"/>
        </w:rPr>
        <w:t>d</w:t>
      </w:r>
      <w:r w:rsidRPr="2EC22243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proofErr w:type="spellStart"/>
      <w:r w:rsidRPr="2EC22243">
        <w:rPr>
          <w:rFonts w:ascii="Calibri" w:eastAsia="Calibri" w:hAnsi="Calibri" w:cs="Calibri"/>
          <w:sz w:val="22"/>
          <w:szCs w:val="22"/>
          <w:lang w:val="en-US"/>
        </w:rPr>
        <w:t>PromethION</w:t>
      </w:r>
      <w:proofErr w:type="spellEnd"/>
      <w:r w:rsidRPr="2EC22243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="12D9246D" w:rsidRPr="2EC22243">
        <w:rPr>
          <w:rFonts w:ascii="Calibri" w:eastAsia="Calibri" w:hAnsi="Calibri" w:cs="Calibri"/>
          <w:sz w:val="22"/>
          <w:szCs w:val="22"/>
          <w:lang w:val="en-US"/>
        </w:rPr>
        <w:t xml:space="preserve">R10.4.1 </w:t>
      </w:r>
      <w:r w:rsidRPr="2EC22243">
        <w:rPr>
          <w:rFonts w:ascii="Calibri" w:eastAsia="Calibri" w:hAnsi="Calibri" w:cs="Calibri"/>
          <w:sz w:val="22"/>
          <w:szCs w:val="22"/>
          <w:lang w:val="en-US"/>
        </w:rPr>
        <w:t>flow cells.</w:t>
      </w:r>
    </w:p>
    <w:p w14:paraId="5DB86DD8" w14:textId="661E210C" w:rsidR="1FB4865E" w:rsidRDefault="1FB4865E" w:rsidP="2EC22243">
      <w:pPr>
        <w:spacing w:after="0" w:line="36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</w:pPr>
    </w:p>
    <w:sectPr w:rsidR="1FB486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DQ3MzI2NjKwMDI0MTFT0lEKTi0uzszPAykwrAUASgRNzywAAAA="/>
  </w:docVars>
  <w:rsids>
    <w:rsidRoot w:val="3FE5E52C"/>
    <w:rsid w:val="000C341C"/>
    <w:rsid w:val="001F1D9F"/>
    <w:rsid w:val="0074691D"/>
    <w:rsid w:val="0078294C"/>
    <w:rsid w:val="00B419F7"/>
    <w:rsid w:val="055C436D"/>
    <w:rsid w:val="05C499CF"/>
    <w:rsid w:val="0717EE01"/>
    <w:rsid w:val="0B6DDC19"/>
    <w:rsid w:val="0BBBB9EB"/>
    <w:rsid w:val="0BC617AB"/>
    <w:rsid w:val="0DFE45D1"/>
    <w:rsid w:val="12047CD1"/>
    <w:rsid w:val="12D9246D"/>
    <w:rsid w:val="14DD5EDC"/>
    <w:rsid w:val="1512A33A"/>
    <w:rsid w:val="1CF5E274"/>
    <w:rsid w:val="1F649194"/>
    <w:rsid w:val="1FB4865E"/>
    <w:rsid w:val="2120B954"/>
    <w:rsid w:val="245B0FF6"/>
    <w:rsid w:val="25979B62"/>
    <w:rsid w:val="28F3CA57"/>
    <w:rsid w:val="2DF588AF"/>
    <w:rsid w:val="2E6D6951"/>
    <w:rsid w:val="2EB4EAA5"/>
    <w:rsid w:val="2EC22243"/>
    <w:rsid w:val="309D15DE"/>
    <w:rsid w:val="333F0E4C"/>
    <w:rsid w:val="3420C3B1"/>
    <w:rsid w:val="34D555B4"/>
    <w:rsid w:val="3751C682"/>
    <w:rsid w:val="38A490C7"/>
    <w:rsid w:val="3CF09680"/>
    <w:rsid w:val="3EACF268"/>
    <w:rsid w:val="3FE5E52C"/>
    <w:rsid w:val="4224FFCA"/>
    <w:rsid w:val="42AE8EEF"/>
    <w:rsid w:val="47ECBC3A"/>
    <w:rsid w:val="4A338368"/>
    <w:rsid w:val="4D2B7944"/>
    <w:rsid w:val="4DA01902"/>
    <w:rsid w:val="4F0944F5"/>
    <w:rsid w:val="5019D88B"/>
    <w:rsid w:val="50693ADA"/>
    <w:rsid w:val="51D712E0"/>
    <w:rsid w:val="5835E413"/>
    <w:rsid w:val="5A6D32D5"/>
    <w:rsid w:val="5B0E514D"/>
    <w:rsid w:val="5BA6081B"/>
    <w:rsid w:val="5C2A18BC"/>
    <w:rsid w:val="5EFA4266"/>
    <w:rsid w:val="63A3B679"/>
    <w:rsid w:val="64DCAB92"/>
    <w:rsid w:val="676C4B4F"/>
    <w:rsid w:val="6D3A31AF"/>
    <w:rsid w:val="6D4AA879"/>
    <w:rsid w:val="6D8BBD61"/>
    <w:rsid w:val="71BBC54F"/>
    <w:rsid w:val="741DAFC0"/>
    <w:rsid w:val="7501BA4C"/>
    <w:rsid w:val="75356084"/>
    <w:rsid w:val="78DF274F"/>
    <w:rsid w:val="7F7A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E5E52C"/>
  <w15:chartTrackingRefBased/>
  <w15:docId w15:val="{A4292967-29C7-4775-AF18-538F003EA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946</Words>
  <Characters>5583</Characters>
  <Application>Microsoft Office Word</Application>
  <DocSecurity>0</DocSecurity>
  <Lines>46</Lines>
  <Paragraphs>13</Paragraphs>
  <ScaleCrop>false</ScaleCrop>
  <Company/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Pardy</dc:creator>
  <cp:keywords/>
  <dc:description/>
  <cp:lastModifiedBy>Veronika Navrkalová</cp:lastModifiedBy>
  <cp:revision>3</cp:revision>
  <dcterms:created xsi:type="dcterms:W3CDTF">2025-12-09T13:59:00Z</dcterms:created>
  <dcterms:modified xsi:type="dcterms:W3CDTF">2025-12-09T14:00:00Z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a6406780-9caf-4089-b1ce-244e9eb1a69a</vt:lpwstr>
  </property>
</Properties>
</file>