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26DC" w14:textId="77777777" w:rsidR="00B454B9" w:rsidRPr="007E34E1" w:rsidRDefault="00B454B9" w:rsidP="00B454B9">
      <w:pPr>
        <w:tabs>
          <w:tab w:val="left" w:pos="8647"/>
        </w:tabs>
        <w:spacing w:line="240" w:lineRule="auto"/>
        <w:ind w:right="425"/>
        <w:rPr>
          <w:rFonts w:ascii="Times New Roman" w:hAnsi="Times New Roman" w:cs="Arial"/>
          <w:b/>
          <w:color w:val="000000" w:themeColor="text1"/>
          <w:sz w:val="24"/>
          <w:szCs w:val="24"/>
        </w:rPr>
      </w:pPr>
      <w:r w:rsidRPr="007E34E1">
        <w:rPr>
          <w:rFonts w:ascii="Times New Roman" w:hAnsi="Times New Roman" w:cs="Arial"/>
          <w:b/>
          <w:color w:val="000000" w:themeColor="text1"/>
          <w:sz w:val="24"/>
          <w:szCs w:val="24"/>
        </w:rPr>
        <w:t>Supplementary materials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266"/>
        <w:gridCol w:w="2266"/>
        <w:gridCol w:w="852"/>
        <w:gridCol w:w="1418"/>
      </w:tblGrid>
      <w:tr w:rsidR="00B454B9" w:rsidRPr="007E34E1" w14:paraId="7B7FE176" w14:textId="77777777" w:rsidTr="00A33D14">
        <w:tc>
          <w:tcPr>
            <w:tcW w:w="80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A8098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b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b/>
                <w:color w:val="000000" w:themeColor="text1"/>
                <w:lang w:eastAsia="de-DE"/>
              </w:rPr>
              <w:t>Supplementary table 1</w:t>
            </w: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 Adverse events (PR/CR patients)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84034F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</w:tr>
      <w:tr w:rsidR="00B454B9" w:rsidRPr="007E34E1" w14:paraId="79229B38" w14:textId="77777777" w:rsidTr="00A33D14"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95E21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  <w:p w14:paraId="409D1857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Event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BA149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All patients</w:t>
            </w:r>
          </w:p>
          <w:p w14:paraId="6A276BFF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  <w:p w14:paraId="056706DB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CTCAE Grade 3 and 4 (%)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EC4A4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Preplanned HDCT/ASCT</w:t>
            </w:r>
          </w:p>
          <w:p w14:paraId="064AB38E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  <w:p w14:paraId="7AD6F83E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CTCAE Grade 3 and 4 (%)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E626E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Conventional immune-chemotherapy</w:t>
            </w:r>
          </w:p>
          <w:p w14:paraId="7112CBD5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CTCAE Grade 3 and 4 (%)</w:t>
            </w:r>
          </w:p>
        </w:tc>
      </w:tr>
      <w:tr w:rsidR="00B454B9" w:rsidRPr="007E34E1" w14:paraId="47680954" w14:textId="77777777" w:rsidTr="00A33D14"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A9A250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Hematologic event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4B159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D49ED1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DD7897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</w:tr>
      <w:tr w:rsidR="00B454B9" w:rsidRPr="007E34E1" w14:paraId="737D507C" w14:textId="77777777" w:rsidTr="00A33D14">
        <w:tc>
          <w:tcPr>
            <w:tcW w:w="2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AB880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Neutrophil count decreased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C4F04C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35 (87.5%)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37FBB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23 (100%)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8806E4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12 (66.7%)</w:t>
            </w:r>
          </w:p>
        </w:tc>
      </w:tr>
      <w:tr w:rsidR="00B454B9" w:rsidRPr="007E34E1" w14:paraId="2D9C9DA6" w14:textId="77777777" w:rsidTr="00A33D14"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14:paraId="2985A866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Platelet count decreased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A1492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28 (70%)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3CB67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22 (95.7%)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0842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6 (33.3%)</w:t>
            </w:r>
          </w:p>
        </w:tc>
      </w:tr>
      <w:tr w:rsidR="00B454B9" w:rsidRPr="007E34E1" w14:paraId="12AA76B2" w14:textId="77777777" w:rsidTr="00A33D14">
        <w:trPr>
          <w:trHeight w:val="80"/>
        </w:trPr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14:paraId="6C58C2B1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Anemia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1F4E4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26 (65%)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C9A95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19 (82.6%)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3121B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7 (38.9%)</w:t>
            </w:r>
          </w:p>
        </w:tc>
      </w:tr>
      <w:tr w:rsidR="00B454B9" w:rsidRPr="007E34E1" w14:paraId="6D83CAE3" w14:textId="77777777" w:rsidTr="00A33D14"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14:paraId="309838D2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8A5EE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28CE7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453E8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</w:tr>
      <w:tr w:rsidR="00B454B9" w:rsidRPr="007E34E1" w14:paraId="1785F077" w14:textId="77777777" w:rsidTr="00A33D14"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B5DF9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Non-hematologic event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10EDE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444CC3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41C742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</w:tr>
      <w:tr w:rsidR="00B454B9" w:rsidRPr="007E34E1" w14:paraId="382989C5" w14:textId="77777777" w:rsidTr="00A33D14">
        <w:tc>
          <w:tcPr>
            <w:tcW w:w="2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66D5A2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Acute kidney injury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1E5781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  2 (5%)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0FDDC8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1 (4.3%)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BC2D7A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1 (5.6%)</w:t>
            </w:r>
          </w:p>
        </w:tc>
      </w:tr>
      <w:tr w:rsidR="00B454B9" w:rsidRPr="007E34E1" w14:paraId="16F80CB8" w14:textId="77777777" w:rsidTr="00A33D14"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14:paraId="2C972C59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S-bilirubin level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D2DBF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0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0C2F1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0 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36721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0 </w:t>
            </w:r>
          </w:p>
        </w:tc>
      </w:tr>
      <w:tr w:rsidR="00B454B9" w:rsidRPr="007E34E1" w14:paraId="110385DB" w14:textId="77777777" w:rsidTr="00A33D14"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14:paraId="450CBD5E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Elevated AST/ALT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9A6C7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  6 (15%)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FDBCA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4 (17.4%)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F9066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2 (11.1%)</w:t>
            </w:r>
          </w:p>
        </w:tc>
      </w:tr>
      <w:tr w:rsidR="00B454B9" w:rsidRPr="007E34E1" w14:paraId="6FA67E35" w14:textId="77777777" w:rsidTr="00A33D14"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14:paraId="4F32CC25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Febrile neutropenia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E7A03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26 (65%)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A560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19 (82.6%)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41716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7 (38.9%)</w:t>
            </w:r>
          </w:p>
        </w:tc>
      </w:tr>
      <w:tr w:rsidR="00B454B9" w:rsidRPr="007E34E1" w14:paraId="4434D0AC" w14:textId="77777777" w:rsidTr="00A33D14"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14:paraId="6144A193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Mucositis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77B04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  2 (5%)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71089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0 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22791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1 (5.6%)</w:t>
            </w:r>
          </w:p>
        </w:tc>
      </w:tr>
      <w:tr w:rsidR="00B454B9" w:rsidRPr="007E34E1" w14:paraId="320AEBA8" w14:textId="77777777" w:rsidTr="00A33D14"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63F03" w14:textId="77777777" w:rsidR="00B454B9" w:rsidRPr="007E34E1" w:rsidRDefault="00B454B9" w:rsidP="00A33D14">
            <w:pPr>
              <w:spacing w:after="0" w:line="240" w:lineRule="auto"/>
              <w:ind w:firstLine="360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C1879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E3D79C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D36D0B" w14:textId="77777777" w:rsidR="00B454B9" w:rsidRPr="007E34E1" w:rsidRDefault="00B454B9" w:rsidP="00A33D14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</w:tr>
    </w:tbl>
    <w:p w14:paraId="67FF4965" w14:textId="77777777" w:rsidR="00B454B9" w:rsidRPr="007E34E1" w:rsidRDefault="00B454B9" w:rsidP="00B454B9">
      <w:pPr>
        <w:tabs>
          <w:tab w:val="left" w:pos="8647"/>
        </w:tabs>
        <w:spacing w:line="240" w:lineRule="auto"/>
        <w:ind w:right="425"/>
        <w:rPr>
          <w:rFonts w:ascii="Times New Roman" w:hAnsi="Times New Roman" w:cs="Arial"/>
          <w:b/>
          <w:color w:val="000000" w:themeColor="text1"/>
          <w:sz w:val="24"/>
          <w:szCs w:val="24"/>
        </w:rPr>
      </w:pPr>
    </w:p>
    <w:p w14:paraId="47AF9ED4" w14:textId="77777777" w:rsidR="00B454B9" w:rsidRPr="007E34E1" w:rsidRDefault="00B454B9" w:rsidP="00B454B9">
      <w:pPr>
        <w:tabs>
          <w:tab w:val="left" w:pos="8647"/>
        </w:tabs>
        <w:spacing w:line="240" w:lineRule="auto"/>
        <w:ind w:right="425"/>
        <w:rPr>
          <w:rFonts w:ascii="Times New Roman" w:hAnsi="Times New Roman" w:cs="Arial"/>
          <w:b/>
          <w:color w:val="000000" w:themeColor="text1"/>
          <w:sz w:val="24"/>
          <w:szCs w:val="24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1985"/>
      </w:tblGrid>
      <w:tr w:rsidR="00B454B9" w:rsidRPr="007E34E1" w14:paraId="6B4663E7" w14:textId="77777777" w:rsidTr="00A33D14">
        <w:tc>
          <w:tcPr>
            <w:tcW w:w="83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CFD83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szCs w:val="18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b/>
                <w:color w:val="000000" w:themeColor="text1"/>
                <w:lang w:eastAsia="de-DE"/>
              </w:rPr>
              <w:t>Supplementary Table 2</w:t>
            </w: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 Results of Fisher’s exact test comparing base line variables of patients with or without HDCT/ASCT</w:t>
            </w:r>
          </w:p>
        </w:tc>
      </w:tr>
      <w:tr w:rsidR="00B454B9" w:rsidRPr="007E34E1" w14:paraId="188C32B3" w14:textId="77777777" w:rsidTr="00A33D14">
        <w:tc>
          <w:tcPr>
            <w:tcW w:w="6345" w:type="dxa"/>
            <w:tcBorders>
              <w:left w:val="nil"/>
              <w:bottom w:val="single" w:sz="4" w:space="0" w:color="auto"/>
              <w:right w:val="nil"/>
            </w:tcBorders>
          </w:tcPr>
          <w:p w14:paraId="0673828B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  <w:p w14:paraId="1863B816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Variates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4499D033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szCs w:val="18"/>
                <w:lang w:eastAsia="de-DE"/>
              </w:rPr>
            </w:pPr>
          </w:p>
          <w:p w14:paraId="5BD514CF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szCs w:val="18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szCs w:val="18"/>
                <w:lang w:eastAsia="de-DE"/>
              </w:rPr>
              <w:t>p-value</w:t>
            </w:r>
          </w:p>
        </w:tc>
      </w:tr>
      <w:tr w:rsidR="00B454B9" w:rsidRPr="007E34E1" w14:paraId="56D5352C" w14:textId="77777777" w:rsidTr="00A33D14">
        <w:tc>
          <w:tcPr>
            <w:tcW w:w="6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81CD46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CE4DF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sz w:val="18"/>
                <w:szCs w:val="18"/>
                <w:lang w:eastAsia="de-DE"/>
              </w:rPr>
            </w:pPr>
          </w:p>
        </w:tc>
      </w:tr>
      <w:tr w:rsidR="00B454B9" w:rsidRPr="007E34E1" w14:paraId="0463DE66" w14:textId="77777777" w:rsidTr="00A33D1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4C65C40E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proofErr w:type="spellStart"/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aaIPI</w:t>
            </w:r>
            <w:proofErr w:type="spellEnd"/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 1-2 vs. 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71F3C94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0.45</w:t>
            </w:r>
          </w:p>
        </w:tc>
      </w:tr>
      <w:tr w:rsidR="00B454B9" w:rsidRPr="007E34E1" w14:paraId="5F65FCB7" w14:textId="77777777" w:rsidTr="00A33D1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0657A070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ECOG 0-1 vs. 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B290B2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1.0</w:t>
            </w:r>
          </w:p>
        </w:tc>
      </w:tr>
      <w:tr w:rsidR="00B454B9" w:rsidRPr="007E34E1" w14:paraId="2D19FB88" w14:textId="77777777" w:rsidTr="00A33D1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669CE294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Disease stage I/II vs. II/IV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BAD2966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0.7</w:t>
            </w:r>
          </w:p>
        </w:tc>
      </w:tr>
      <w:tr w:rsidR="00B454B9" w:rsidRPr="007E34E1" w14:paraId="2B69999E" w14:textId="77777777" w:rsidTr="00A33D1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8D36333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No </w:t>
            </w:r>
            <w:proofErr w:type="spellStart"/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extranodal</w:t>
            </w:r>
            <w:proofErr w:type="spellEnd"/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 site vs. </w:t>
            </w:r>
            <w:proofErr w:type="spellStart"/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extranodal</w:t>
            </w:r>
            <w:proofErr w:type="spellEnd"/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 xml:space="preserve"> site </w:t>
            </w:r>
            <w:proofErr w:type="spellStart"/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involvment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09190B7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0.09</w:t>
            </w:r>
          </w:p>
        </w:tc>
      </w:tr>
      <w:tr w:rsidR="00B454B9" w:rsidRPr="007E34E1" w14:paraId="7B61041F" w14:textId="77777777" w:rsidTr="00A33D1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0D3713C6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Age &lt;40y vs. &gt;40y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4FE5073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1.0</w:t>
            </w:r>
          </w:p>
        </w:tc>
      </w:tr>
      <w:tr w:rsidR="00B454B9" w:rsidRPr="007E34E1" w14:paraId="4B733CEB" w14:textId="77777777" w:rsidTr="00A33D1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3E809E1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Consolidation radiotherapy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7CFD6E1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  <w:r w:rsidRPr="007E34E1"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  <w:t>0.024</w:t>
            </w:r>
          </w:p>
        </w:tc>
      </w:tr>
      <w:tr w:rsidR="00B454B9" w:rsidRPr="007E34E1" w14:paraId="375B6701" w14:textId="77777777" w:rsidTr="00A33D14"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F4F2A4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D4D4E" w14:textId="77777777" w:rsidR="00B454B9" w:rsidRPr="007E34E1" w:rsidRDefault="00B454B9" w:rsidP="00A33D14">
            <w:pPr>
              <w:spacing w:after="0" w:line="240" w:lineRule="auto"/>
              <w:rPr>
                <w:rFonts w:ascii="Times New Roman" w:eastAsia="Times New Roman" w:hAnsi="Times New Roman" w:cs="Arial"/>
                <w:color w:val="000000" w:themeColor="text1"/>
                <w:lang w:eastAsia="de-DE"/>
              </w:rPr>
            </w:pPr>
          </w:p>
        </w:tc>
      </w:tr>
    </w:tbl>
    <w:p w14:paraId="488B57A5" w14:textId="77777777" w:rsidR="00B454B9" w:rsidRPr="007E34E1" w:rsidRDefault="00B454B9" w:rsidP="00B454B9">
      <w:pPr>
        <w:widowControl w:val="0"/>
        <w:autoSpaceDE w:val="0"/>
        <w:autoSpaceDN w:val="0"/>
        <w:adjustRightInd w:val="0"/>
        <w:rPr>
          <w:rFonts w:ascii="Times New Roman" w:hAnsi="Times New Roman" w:cs="Arial"/>
          <w:b/>
          <w:color w:val="000000" w:themeColor="text1"/>
          <w:sz w:val="24"/>
          <w:szCs w:val="24"/>
        </w:rPr>
      </w:pPr>
      <w:r w:rsidRPr="007E34E1">
        <w:rPr>
          <w:rFonts w:ascii="Times New Roman" w:hAnsi="Times New Roman" w:cs="Arial"/>
          <w:b/>
          <w:color w:val="000000" w:themeColor="text1"/>
          <w:sz w:val="24"/>
          <w:szCs w:val="24"/>
        </w:rPr>
        <w:br w:type="page"/>
      </w:r>
    </w:p>
    <w:p w14:paraId="24AE3D52" w14:textId="77777777" w:rsidR="00B454B9" w:rsidRPr="007E34E1" w:rsidRDefault="00B454B9" w:rsidP="00B454B9">
      <w:pPr>
        <w:widowControl w:val="0"/>
        <w:tabs>
          <w:tab w:val="left" w:pos="6237"/>
        </w:tabs>
        <w:autoSpaceDE w:val="0"/>
        <w:autoSpaceDN w:val="0"/>
        <w:adjustRightInd w:val="0"/>
        <w:rPr>
          <w:rFonts w:ascii="Times New Roman" w:hAnsi="Times New Roman" w:cs="Arial"/>
          <w:b/>
          <w:color w:val="000000" w:themeColor="text1"/>
        </w:rPr>
      </w:pPr>
      <w:r w:rsidRPr="007E34E1">
        <w:rPr>
          <w:rFonts w:ascii="Times New Roman" w:hAnsi="Times New Roman" w:cs="Arial"/>
          <w:b/>
          <w:noProof/>
          <w:color w:val="000000" w:themeColor="text1"/>
        </w:rPr>
        <w:lastRenderedPageBreak/>
        <w:drawing>
          <wp:anchor distT="0" distB="0" distL="114300" distR="114300" simplePos="0" relativeHeight="251659264" behindDoc="1" locked="0" layoutInCell="1" allowOverlap="1" wp14:anchorId="3A79B7BE" wp14:editId="6A8AC6E4">
            <wp:simplePos x="0" y="0"/>
            <wp:positionH relativeFrom="column">
              <wp:posOffset>-61595</wp:posOffset>
            </wp:positionH>
            <wp:positionV relativeFrom="paragraph">
              <wp:posOffset>351790</wp:posOffset>
            </wp:positionV>
            <wp:extent cx="5867400" cy="4060190"/>
            <wp:effectExtent l="0" t="0" r="0" b="3810"/>
            <wp:wrapTight wrapText="bothSides">
              <wp:wrapPolygon edited="0">
                <wp:start x="0" y="0"/>
                <wp:lineTo x="0" y="21553"/>
                <wp:lineTo x="21553" y="21553"/>
                <wp:lineTo x="21553" y="0"/>
                <wp:lineTo x="0" y="0"/>
              </wp:wrapPolygon>
            </wp:wrapTight>
            <wp:docPr id="1408134236" name="Grafik 4" descr="Ein Bild, das Text, Quittung, Screenshot, Schrift enthält.  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134236" name="Grafik 4" descr="Ein Bild, das Text, Quittung, Screenshot, Schrift enthält.  KI-generierte Inhalte können fehlerhaft sein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4" r="7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06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34E1">
        <w:rPr>
          <w:rFonts w:ascii="Times New Roman" w:hAnsi="Times New Roman" w:cs="Arial"/>
          <w:b/>
          <w:color w:val="000000" w:themeColor="text1"/>
        </w:rPr>
        <w:t>Supplementary Figure 1</w:t>
      </w:r>
    </w:p>
    <w:p w14:paraId="4B73273D" w14:textId="77777777" w:rsidR="00B454B9" w:rsidRPr="007E34E1" w:rsidRDefault="00B454B9" w:rsidP="00B454B9">
      <w:pPr>
        <w:widowControl w:val="0"/>
        <w:autoSpaceDE w:val="0"/>
        <w:autoSpaceDN w:val="0"/>
        <w:adjustRightInd w:val="0"/>
        <w:rPr>
          <w:rFonts w:ascii="Times New Roman" w:hAnsi="Times New Roman" w:cs="Arial"/>
          <w:b/>
          <w:color w:val="000000" w:themeColor="text1"/>
        </w:rPr>
      </w:pPr>
    </w:p>
    <w:p w14:paraId="1BB52EB2" w14:textId="77777777" w:rsidR="00B454B9" w:rsidRPr="007E34E1" w:rsidRDefault="00B454B9" w:rsidP="00B454B9">
      <w:pPr>
        <w:widowControl w:val="0"/>
        <w:autoSpaceDE w:val="0"/>
        <w:autoSpaceDN w:val="0"/>
        <w:adjustRightInd w:val="0"/>
        <w:rPr>
          <w:rFonts w:ascii="Times New Roman" w:hAnsi="Times New Roman" w:cs="Arial"/>
          <w:b/>
          <w:color w:val="000000" w:themeColor="text1"/>
        </w:rPr>
      </w:pPr>
      <w:r w:rsidRPr="007E34E1">
        <w:rPr>
          <w:rFonts w:ascii="Times New Roman" w:hAnsi="Times New Roman" w:cs="Arial"/>
          <w:b/>
          <w:color w:val="000000" w:themeColor="text1"/>
        </w:rPr>
        <w:br w:type="page"/>
      </w:r>
    </w:p>
    <w:p w14:paraId="10CD2CD9" w14:textId="77777777" w:rsidR="00B454B9" w:rsidRPr="007E34E1" w:rsidRDefault="00B454B9" w:rsidP="00B454B9">
      <w:pPr>
        <w:spacing w:line="360" w:lineRule="auto"/>
        <w:jc w:val="both"/>
        <w:rPr>
          <w:rFonts w:ascii="Times New Roman" w:hAnsi="Times New Roman" w:cs="Arial"/>
          <w:b/>
          <w:bCs/>
        </w:rPr>
      </w:pPr>
      <w:r w:rsidRPr="007E34E1">
        <w:rPr>
          <w:rFonts w:ascii="Times New Roman" w:hAnsi="Times New Roman" w:cs="Arial"/>
          <w:b/>
          <w:bCs/>
          <w:sz w:val="24"/>
          <w:szCs w:val="24"/>
        </w:rPr>
        <w:lastRenderedPageBreak/>
        <w:t>Supplementary Methods</w:t>
      </w:r>
    </w:p>
    <w:p w14:paraId="2A3E2D91" w14:textId="7CA57C40" w:rsidR="00B454B9" w:rsidRPr="007E34E1" w:rsidRDefault="00B454B9" w:rsidP="00B454B9">
      <w:pPr>
        <w:spacing w:line="360" w:lineRule="auto"/>
        <w:jc w:val="both"/>
        <w:rPr>
          <w:rFonts w:ascii="Times New Roman" w:hAnsi="Times New Roman" w:cs="Arial"/>
        </w:rPr>
      </w:pPr>
      <w:r w:rsidRPr="007E34E1">
        <w:rPr>
          <w:rFonts w:ascii="Times New Roman" w:hAnsi="Times New Roman" w:cs="Arial"/>
        </w:rPr>
        <w:t>The induction protocol consisted of six CHOP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14 cycles (cyclophosphamide 750 mg/m², doxorubicin 50 mg/m², vincristine 1.4 mg/m² on day 1, prednisone 100 mg on days 1-4) combined with two cycles of high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dose methotrexate 3 g/m² with leucovorin rescue and 10 rituximab administrations, as described previously [1</w:t>
      </w:r>
      <w:r w:rsidR="00A05BD8">
        <w:rPr>
          <w:rFonts w:ascii="Times New Roman" w:hAnsi="Times New Roman" w:cs="Arial"/>
        </w:rPr>
        <w:t>7</w:t>
      </w:r>
      <w:r w:rsidRPr="007E34E1">
        <w:rPr>
          <w:rFonts w:ascii="Times New Roman" w:hAnsi="Times New Roman" w:cs="Arial"/>
        </w:rPr>
        <w:t>]. Primary G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 xml:space="preserve">CSF support (usually </w:t>
      </w:r>
      <w:proofErr w:type="spellStart"/>
      <w:r w:rsidRPr="007E34E1">
        <w:rPr>
          <w:rFonts w:ascii="Times New Roman" w:hAnsi="Times New Roman" w:cs="Arial"/>
        </w:rPr>
        <w:t>pegfilgrastim</w:t>
      </w:r>
      <w:proofErr w:type="spellEnd"/>
      <w:r w:rsidRPr="007E34E1">
        <w:rPr>
          <w:rFonts w:ascii="Times New Roman" w:hAnsi="Times New Roman" w:cs="Arial"/>
        </w:rPr>
        <w:t>) and anti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infective prophylaxis with trimethoprim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 xml:space="preserve">sulfamethoxazole and </w:t>
      </w:r>
      <w:proofErr w:type="spellStart"/>
      <w:r w:rsidRPr="007E34E1">
        <w:rPr>
          <w:rFonts w:ascii="Times New Roman" w:hAnsi="Times New Roman" w:cs="Arial"/>
        </w:rPr>
        <w:t>aciclovir</w:t>
      </w:r>
      <w:proofErr w:type="spellEnd"/>
      <w:r w:rsidRPr="007E34E1">
        <w:rPr>
          <w:rFonts w:ascii="Times New Roman" w:hAnsi="Times New Roman" w:cs="Arial"/>
        </w:rPr>
        <w:t xml:space="preserve"> were used routinely. Full anthracycline and cyclophosphamide doses were maintained in all patients. For patients responding to induction (n=40) two consolidation strategies were carried out: Patients received either a preplanned high-dose chemotherapy (HDCT) with autologous stem cell transplantation (ASCT) (n=23) or were treated with dose-dense R-CHOP based immuno-chemotherapy only (n=17). This allocation reflects routine clinical decision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making during the study period rather than a predefined randomization or target sample size. Stem cells were mobilized with R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 xml:space="preserve">VIPE (rituximab 375 mg/m² d0; </w:t>
      </w:r>
      <w:proofErr w:type="spellStart"/>
      <w:r w:rsidRPr="007E34E1">
        <w:rPr>
          <w:rFonts w:ascii="Times New Roman" w:hAnsi="Times New Roman" w:cs="Arial"/>
        </w:rPr>
        <w:t>ifosfamide</w:t>
      </w:r>
      <w:proofErr w:type="spellEnd"/>
      <w:r w:rsidRPr="007E34E1">
        <w:rPr>
          <w:rFonts w:ascii="Times New Roman" w:hAnsi="Times New Roman" w:cs="Arial"/>
        </w:rPr>
        <w:t xml:space="preserve"> 4000 mg/m²; etoposide 500 mg/m²; cisplatin 50 mg/m²; cyclophosphamide 1350 mg/m²) or R-VCPE  (</w:t>
      </w:r>
      <w:proofErr w:type="spellStart"/>
      <w:r w:rsidRPr="007E34E1">
        <w:rPr>
          <w:rFonts w:ascii="Times New Roman" w:hAnsi="Times New Roman" w:cs="Arial"/>
        </w:rPr>
        <w:t>epirubicin</w:t>
      </w:r>
      <w:proofErr w:type="spellEnd"/>
      <w:r w:rsidRPr="007E34E1">
        <w:rPr>
          <w:rFonts w:ascii="Times New Roman" w:hAnsi="Times New Roman" w:cs="Arial"/>
        </w:rPr>
        <w:t xml:space="preserve"> 50 mg/m², etoposide 500 mg/m², cisplatin 50 mg/m², cyclophosphamide 1350 mg/m²) salvage chemotherapy plus G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CSF, and collected after 2 cycles. HDCT prior to ASCT consisted uniformly of BEAM (</w:t>
      </w:r>
      <w:proofErr w:type="spellStart"/>
      <w:r w:rsidRPr="007E34E1">
        <w:rPr>
          <w:rFonts w:ascii="Times New Roman" w:hAnsi="Times New Roman" w:cs="Arial"/>
        </w:rPr>
        <w:t>carmustine</w:t>
      </w:r>
      <w:proofErr w:type="spellEnd"/>
      <w:r w:rsidRPr="007E34E1">
        <w:rPr>
          <w:rFonts w:ascii="Times New Roman" w:hAnsi="Times New Roman" w:cs="Arial"/>
        </w:rPr>
        <w:t xml:space="preserve"> 300 mg/m² on day −7, etoposide 2 × 100 mg/m²/day and cytarabine 2 × 200 mg/m²/day on days −6 to −3, and melphalan 140 mg/m² on day −2), followed by autologous PBSC reinfusion on day 0. Standard transplant supportive care, including anti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infective prophylaxis and post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BEAM G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CSF, was provided to all patients. No transplant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related mortality or graft failures were observed in this cohort. In patients allocated to R-CHOP based immuno-chemotherapy only, HDCT/ASCT was performed with an insufficient response to first-line treatment, defined as failure to achieve a complete metabolic response (CMR). End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of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treatment FDG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PET/CT was interpreted locally according to the Lugano/Deauville criteria; Deauville 1-3 were defined as CMR, whereas Deauville 4-5 prompted consideration of further treatment escalation and, whenever feasible, histologic confirmation. In one patient, a sarcoid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like lesion was found on re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>biopsy despite Deauville 4 uptake, illustrating the limited specificity of EOT</w:t>
      </w:r>
      <w:r w:rsidRPr="007E34E1">
        <w:rPr>
          <w:rFonts w:ascii="Times New Roman" w:hAnsi="Times New Roman" w:cs="Cambria Math"/>
        </w:rPr>
        <w:t>‑</w:t>
      </w:r>
      <w:r w:rsidRPr="007E34E1">
        <w:rPr>
          <w:rFonts w:ascii="Times New Roman" w:hAnsi="Times New Roman" w:cs="Arial"/>
        </w:rPr>
        <w:t xml:space="preserve">PET in fibrotic mediastinal remnants and the potential for overtreatment. Radiotherapy was administered in the discretion of the attending physician. In both cohorts, infection prophylaxis via trimethoprim/sulfamethoxazole and </w:t>
      </w:r>
      <w:proofErr w:type="spellStart"/>
      <w:r w:rsidRPr="007E34E1">
        <w:rPr>
          <w:rFonts w:ascii="Times New Roman" w:hAnsi="Times New Roman" w:cs="Arial"/>
        </w:rPr>
        <w:t>aciclovir</w:t>
      </w:r>
      <w:proofErr w:type="spellEnd"/>
      <w:r w:rsidRPr="007E34E1">
        <w:rPr>
          <w:rFonts w:ascii="Times New Roman" w:hAnsi="Times New Roman" w:cs="Arial"/>
        </w:rPr>
        <w:t xml:space="preserve"> was routinely given. Whenever feasible, to prevent reproductive function after chemotherapy, patients received pretreatment consultation of a reproductive specialist. Most pre-menopausal females received fertility preservation with </w:t>
      </w:r>
      <w:proofErr w:type="spellStart"/>
      <w:r w:rsidRPr="007E34E1">
        <w:rPr>
          <w:rFonts w:ascii="Times New Roman" w:hAnsi="Times New Roman" w:cs="Arial"/>
        </w:rPr>
        <w:t>gondatropin</w:t>
      </w:r>
      <w:proofErr w:type="spellEnd"/>
      <w:r w:rsidRPr="007E34E1">
        <w:rPr>
          <w:rFonts w:ascii="Times New Roman" w:hAnsi="Times New Roman" w:cs="Arial"/>
        </w:rPr>
        <w:t xml:space="preserve">-releasing hormone (GnRH) </w:t>
      </w:r>
      <w:proofErr w:type="spellStart"/>
      <w:r w:rsidRPr="007E34E1">
        <w:rPr>
          <w:rFonts w:ascii="Times New Roman" w:hAnsi="Times New Roman" w:cs="Arial"/>
        </w:rPr>
        <w:t>analoga</w:t>
      </w:r>
      <w:proofErr w:type="spellEnd"/>
      <w:r w:rsidRPr="007E34E1">
        <w:rPr>
          <w:rFonts w:ascii="Times New Roman" w:hAnsi="Times New Roman" w:cs="Arial"/>
        </w:rPr>
        <w:t xml:space="preserve">, e.g., goserelin </w:t>
      </w:r>
      <w:proofErr w:type="spellStart"/>
      <w:r w:rsidRPr="007E34E1">
        <w:rPr>
          <w:rFonts w:ascii="Times New Roman" w:hAnsi="Times New Roman" w:cs="Arial"/>
        </w:rPr>
        <w:t>acetat</w:t>
      </w:r>
      <w:proofErr w:type="spellEnd"/>
      <w:r w:rsidRPr="007E34E1">
        <w:rPr>
          <w:rFonts w:ascii="Times New Roman" w:hAnsi="Times New Roman" w:cs="Arial"/>
        </w:rPr>
        <w:t>. Toxicities were graded with the common terminology criteria for adverse events (CTCAE) version 5.0.</w:t>
      </w:r>
    </w:p>
    <w:p w14:paraId="2E66D803" w14:textId="77777777" w:rsidR="003E5616" w:rsidRDefault="003E5616"/>
    <w:sectPr w:rsidR="003E5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54B9"/>
    <w:rsid w:val="000A68DA"/>
    <w:rsid w:val="00115DED"/>
    <w:rsid w:val="003E5616"/>
    <w:rsid w:val="00A05BD8"/>
    <w:rsid w:val="00B454B9"/>
    <w:rsid w:val="00E5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0DCE"/>
  <w15:docId w15:val="{2BAF7A83-6435-1343-ADAE-3EA659C7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Barredo, Reinalyn</dc:creator>
  <cp:lastModifiedBy>Tino Vollmer</cp:lastModifiedBy>
  <cp:revision>2</cp:revision>
  <dcterms:created xsi:type="dcterms:W3CDTF">2026-04-14T02:11:00Z</dcterms:created>
  <dcterms:modified xsi:type="dcterms:W3CDTF">2026-04-15T14:09:00Z</dcterms:modified>
</cp:coreProperties>
</file>