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837B3">
      <w:pPr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Table S1.  Treatment regimen of </w:t>
      </w:r>
      <w:r>
        <w:rPr>
          <w:rFonts w:hint="eastAsia" w:ascii="Arial" w:hAnsi="Arial" w:cs="Arial"/>
          <w:b/>
          <w:sz w:val="24"/>
          <w:szCs w:val="21"/>
        </w:rPr>
        <w:t>chemotherapy</w:t>
      </w:r>
      <w:r>
        <w:rPr>
          <w:rFonts w:ascii="Arial" w:hAnsi="Arial" w:cs="Arial"/>
          <w:b/>
          <w:sz w:val="24"/>
          <w:szCs w:val="21"/>
        </w:rPr>
        <w:t xml:space="preserve"> protocol</w:t>
      </w:r>
    </w:p>
    <w:p w14:paraId="6E4DD738">
      <w:pPr>
        <w:rPr>
          <w:rFonts w:ascii="Arial" w:hAnsi="Arial" w:cs="Arial"/>
          <w:b/>
          <w:sz w:val="24"/>
          <w:szCs w:val="21"/>
        </w:rPr>
      </w:pPr>
    </w:p>
    <w:p w14:paraId="3B466FA9">
      <w:pPr>
        <w:pStyle w:val="5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 w:cs="Arial"/>
          <w:b/>
          <w:sz w:val="24"/>
          <w:szCs w:val="21"/>
        </w:rPr>
        <w:t>Remission induction and early intensification therap</w:t>
      </w:r>
      <w:r>
        <w:rPr>
          <w:rFonts w:hint="eastAsia" w:ascii="Arial" w:hAnsi="Arial" w:cs="Arial"/>
          <w:b/>
          <w:sz w:val="24"/>
          <w:szCs w:val="21"/>
          <w:lang w:eastAsia="zh-CN"/>
        </w:rPr>
        <w:t>y</w:t>
      </w:r>
    </w:p>
    <w:tbl>
      <w:tblPr>
        <w:tblStyle w:val="2"/>
        <w:tblW w:w="1101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783"/>
        <w:gridCol w:w="1606"/>
        <w:gridCol w:w="1482"/>
        <w:gridCol w:w="525"/>
        <w:gridCol w:w="1606"/>
        <w:gridCol w:w="2402"/>
      </w:tblGrid>
      <w:tr w14:paraId="7F803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368B0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0"/>
                <w:szCs w:val="20"/>
              </w:rPr>
              <w:t>Prephase treatment and remission induction</w:t>
            </w:r>
          </w:p>
        </w:tc>
      </w:tr>
      <w:tr w14:paraId="5A93A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AB183C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Agents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FCDBA0C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Doses and routes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6728C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Schedules</w:t>
            </w:r>
          </w:p>
        </w:tc>
      </w:tr>
      <w:tr w14:paraId="57965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DC11E7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color w:val="000000"/>
                <w:sz w:val="18"/>
                <w:szCs w:val="18"/>
              </w:rPr>
              <w:t>Dexamethasone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BDE4638">
            <w:pPr>
              <w:spacing w:after="0" w:line="240" w:lineRule="auto"/>
              <w:rPr>
                <w:rFonts w:hint="default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6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/day IV or PO (b.i.d)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F990131">
            <w:pPr>
              <w:spacing w:after="0" w:line="240" w:lineRule="auto"/>
              <w:rPr>
                <w:rFonts w:hint="default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1–4 (4 days)</w:t>
            </w:r>
          </w:p>
        </w:tc>
      </w:tr>
      <w:tr w14:paraId="3D575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DEA293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3B0C4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WBC ≥50 × 10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9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/L, add </w:t>
            </w:r>
          </w:p>
        </w:tc>
        <w:tc>
          <w:tcPr>
            <w:tcW w:w="4008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353B51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0–4 (5 days)</w:t>
            </w:r>
          </w:p>
        </w:tc>
      </w:tr>
      <w:tr w14:paraId="6F72E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A0D90D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61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579C4A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1.5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/day PO on Day 0</w:t>
            </w:r>
          </w:p>
        </w:tc>
        <w:tc>
          <w:tcPr>
            <w:tcW w:w="4008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B7AC20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72381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5D69BB9">
            <w:pPr>
              <w:spacing w:after="0" w:line="240" w:lineRule="auto"/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Calibri" w:cs="Arial"/>
                <w:color w:val="000000"/>
                <w:sz w:val="18"/>
                <w:szCs w:val="18"/>
              </w:rPr>
              <w:t>Prednisone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520C7D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LR: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45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/day PO (t.i.d); </w:t>
            </w:r>
          </w:p>
        </w:tc>
        <w:tc>
          <w:tcPr>
            <w:tcW w:w="400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59EA54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5–28 (24 days)</w:t>
            </w:r>
          </w:p>
        </w:tc>
      </w:tr>
      <w:tr w14:paraId="2A1FD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DF95ED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61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2B93B80">
            <w:pPr>
              <w:spacing w:after="0" w:line="240" w:lineRule="auto"/>
              <w:rPr>
                <w:rFonts w:hint="default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I/HR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: 60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/day PO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(t.i.d)</w:t>
            </w:r>
          </w:p>
        </w:tc>
        <w:tc>
          <w:tcPr>
            <w:tcW w:w="400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72C50A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4F2D7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22D50B9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color w:val="000000"/>
                <w:sz w:val="18"/>
                <w:szCs w:val="18"/>
              </w:rPr>
              <w:t>Vincristine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22ADFA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 (max 2 mg)</w:t>
            </w:r>
          </w:p>
        </w:tc>
        <w:tc>
          <w:tcPr>
            <w:tcW w:w="4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21D3A35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5, 12, 19, 26 (4 doses)</w:t>
            </w:r>
          </w:p>
        </w:tc>
      </w:tr>
      <w:tr w14:paraId="2FA51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E81100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Daunorubicin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851443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0B30A7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5, 12 (2 doses)</w:t>
            </w:r>
          </w:p>
        </w:tc>
      </w:tr>
      <w:tr w14:paraId="69BE4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EC110E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Pegaspargase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7FB1675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2000 U/m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IM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3D6927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6, 26 (2 doses)</w:t>
            </w:r>
          </w:p>
        </w:tc>
      </w:tr>
      <w:tr w14:paraId="71307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3D2C2F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Triple intrathecal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3613" w:type="dxa"/>
            <w:gridSpan w:val="3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78EB5D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Age-dependent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E26B0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LR: Days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14:paraId="173F4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AB7208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613" w:type="dxa"/>
            <w:gridSpan w:val="3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E67E13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4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38C73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I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/HR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: Days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, 1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, and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14:paraId="08548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38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7243CC0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613" w:type="dxa"/>
            <w:gridSpan w:val="3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DF7F3A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C4B1AE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CNS2, and traumatic tap with blast: Days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, 1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, 15,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14:paraId="19331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ECA0E5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Cyclophosphamide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893EF1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1000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 over 1 hour</w:t>
            </w:r>
          </w:p>
        </w:tc>
        <w:tc>
          <w:tcPr>
            <w:tcW w:w="4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E4787D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29 (1 dose)</w:t>
            </w:r>
          </w:p>
        </w:tc>
      </w:tr>
      <w:tr w14:paraId="62B63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82F6A2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Cytarabine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E07CDB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50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SC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or IV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, every 12 hours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C6C52E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29–35 (14 doses)</w:t>
            </w:r>
          </w:p>
        </w:tc>
      </w:tr>
      <w:tr w14:paraId="2C472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4B62AD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B9737A6">
            <w:pPr>
              <w:spacing w:after="0" w:line="240" w:lineRule="auto"/>
              <w:rPr>
                <w:rFonts w:hint="default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0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/day PO</w:t>
            </w:r>
          </w:p>
        </w:tc>
        <w:tc>
          <w:tcPr>
            <w:tcW w:w="4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33ED39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29–35 (7 doses)</w:t>
            </w:r>
          </w:p>
        </w:tc>
      </w:tr>
      <w:tr w14:paraId="51C4F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114078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Triple intrathecal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361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871DFA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Age-dependent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39DA4B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29 (1 dose)</w:t>
            </w:r>
          </w:p>
        </w:tc>
      </w:tr>
      <w:tr w14:paraId="1257B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B428792">
            <w:pPr>
              <w:spacing w:after="0" w:line="240" w:lineRule="auto"/>
              <w:rPr>
                <w:rFonts w:hint="default" w:ascii="Arial" w:hAnsi="Arial" w:cs="Arial" w:eastAsiaTheme="minorEastAsia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highlight w:val="none"/>
              </w:rPr>
              <w:t xml:space="preserve">T-ALL or B-ALL with Day 19 MRD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ascii="Arial" w:hAnsi="Arial" w:cs="Arial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</w:rPr>
              <w:t>1%</w:t>
            </w:r>
            <w:r>
              <w:rPr>
                <w:rFonts w:hint="eastAsia" w:ascii="Arial" w:hAnsi="Arial" w:cs="Arial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in LR or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ascii="Arial" w:hAnsi="Arial" w:cs="Arial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</w:rPr>
              <w:t>1%</w:t>
            </w:r>
            <w:r>
              <w:rPr>
                <w:rFonts w:hint="eastAsia" w:ascii="Arial" w:hAnsi="Arial" w:cs="Arial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in I/HR</w:t>
            </w:r>
          </w:p>
        </w:tc>
      </w:tr>
      <w:tr w14:paraId="4F380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835A9D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highlight w:val="none"/>
              </w:rPr>
              <w:t xml:space="preserve">Early intensification therapy </w:t>
            </w:r>
          </w:p>
        </w:tc>
      </w:tr>
      <w:tr w14:paraId="29E24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B4DE82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Agents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C8E78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Doses and Routes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2664E9B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Schedules</w:t>
            </w:r>
          </w:p>
        </w:tc>
      </w:tr>
      <w:tr w14:paraId="53EB4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809017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Cyclophosphamide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19B61B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1000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 over 1 hour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CBD915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50 (1 dose)</w:t>
            </w:r>
          </w:p>
        </w:tc>
      </w:tr>
      <w:tr w14:paraId="7181E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E9F1A8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Cytarabine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3B8A5C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50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SC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or IV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every 12 hours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42B96E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50–56 (14 doses)</w:t>
            </w:r>
          </w:p>
        </w:tc>
      </w:tr>
      <w:tr w14:paraId="25E9B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4C43A2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9C67048">
            <w:pPr>
              <w:spacing w:after="0" w:line="240" w:lineRule="auto"/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0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/day PO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F2DDC9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50–56 (7 doses)</w:t>
            </w:r>
          </w:p>
        </w:tc>
      </w:tr>
      <w:tr w14:paraId="258F7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874A60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Vincristine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E11A24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 (max 2 mg)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58B217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50, 57 (2 doses)</w:t>
            </w:r>
          </w:p>
        </w:tc>
      </w:tr>
      <w:tr w14:paraId="401A6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D4F0F1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Pegaspargase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77F07F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2000 U/m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IM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E4D255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50 (1 dose)</w:t>
            </w:r>
          </w:p>
        </w:tc>
      </w:tr>
      <w:tr w14:paraId="34997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B5F5FB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Triple intrathecal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3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24E8955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Age-dependent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9B6604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50 (1 dose)</w:t>
            </w:r>
          </w:p>
        </w:tc>
      </w:tr>
      <w:tr w14:paraId="1FE61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ECF29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</w:pPr>
          </w:p>
        </w:tc>
      </w:tr>
      <w:tr w14:paraId="375FF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3F384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†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 xml:space="preserve">Triple intrathecal: </w:t>
            </w:r>
          </w:p>
        </w:tc>
      </w:tr>
      <w:tr w14:paraId="4BEE3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5D28AC">
            <w:pPr>
              <w:spacing w:after="0" w:line="240" w:lineRule="auto"/>
              <w:ind w:firstLine="180" w:firstLineChars="100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 &lt;12 months: methotrexate 6 mg + cytarabine 15 mg + dexamethasone 2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5 mg + normal saline 6 mL; </w:t>
            </w:r>
          </w:p>
        </w:tc>
      </w:tr>
      <w:tr w14:paraId="39145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98C6EE">
            <w:pPr>
              <w:spacing w:after="0" w:line="240" w:lineRule="auto"/>
              <w:ind w:firstLine="180" w:firstLineChars="100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 12–36 months: methotrexate 9 mg + cytarabine 25 mg + dexamethasone 2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 mg + normal saline 6 mL;</w:t>
            </w:r>
          </w:p>
        </w:tc>
      </w:tr>
      <w:tr w14:paraId="09BB5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1397F3">
            <w:pPr>
              <w:spacing w:after="0" w:line="240" w:lineRule="auto"/>
              <w:ind w:firstLine="180" w:firstLineChars="100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 ≥</w:t>
            </w:r>
            <w:r>
              <w:rPr>
                <w:rFonts w:ascii="Arial" w:hAnsi="Arial" w:eastAsia="Times New Roman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36 months: methotrexate 12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 mg + cytarabine 35 mg + dexamethasone 5 mg + normal saline 10 mL.</w:t>
            </w:r>
          </w:p>
          <w:p w14:paraId="76B93CDC">
            <w:pPr>
              <w:spacing w:after="0" w:line="240" w:lineRule="auto"/>
              <w:ind w:firstLine="180" w:firstLineChars="100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  <w:p w14:paraId="3B60C03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Abbreviations: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I/HR, intermediate-/high-risk; IM, intramuscular; IV, intravenous; LR, low-risk; max, maximum; MRD, minimal residual disease; PO, by mouth; SC, subcutaneous; T-ALL, T-cell acute lymphoblastic leukemia; b.i.d., twice per day; t.i.d., three time</w:t>
            </w:r>
            <w:r>
              <w:rPr>
                <w:rFonts w:hint="eastAsia" w:ascii="Arial" w:hAnsi="Arial" w:eastAsia="Times New Roman" w:cs="Arial"/>
                <w:color w:val="000000"/>
                <w:sz w:val="18"/>
                <w:szCs w:val="18"/>
                <w:lang w:eastAsia="zh-CN"/>
              </w:rPr>
              <w:t>s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a day; WBC, white blood cell</w:t>
            </w:r>
          </w:p>
        </w:tc>
      </w:tr>
      <w:tr w14:paraId="064FE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F878D">
            <w:pPr>
              <w:spacing w:after="0" w:line="240" w:lineRule="auto"/>
              <w:ind w:firstLine="180" w:firstLineChars="100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02F93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DDDEA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726BD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5DF9A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</w:rPr>
            </w:pPr>
          </w:p>
        </w:tc>
      </w:tr>
    </w:tbl>
    <w:p w14:paraId="41683CA0">
      <w:pPr>
        <w:pStyle w:val="5"/>
        <w:numPr>
          <w:ilvl w:val="0"/>
          <w:numId w:val="1"/>
        </w:numPr>
        <w:adjustRightInd w:val="0"/>
        <w:snapToGrid w:val="0"/>
        <w:spacing w:line="276" w:lineRule="auto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 Consolidation therapy</w:t>
      </w:r>
    </w:p>
    <w:p w14:paraId="56EAA74E">
      <w:pPr>
        <w:pStyle w:val="5"/>
        <w:adjustRightInd w:val="0"/>
        <w:snapToGrid w:val="0"/>
        <w:spacing w:line="276" w:lineRule="auto"/>
        <w:rPr>
          <w:rFonts w:ascii="Arial" w:hAnsi="Arial" w:cs="Arial"/>
          <w:b/>
          <w:sz w:val="24"/>
          <w:szCs w:val="21"/>
        </w:rPr>
      </w:pPr>
    </w:p>
    <w:tbl>
      <w:tblPr>
        <w:tblStyle w:val="2"/>
        <w:tblW w:w="114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9"/>
        <w:gridCol w:w="3828"/>
        <w:gridCol w:w="4252"/>
      </w:tblGrid>
      <w:tr w14:paraId="282FD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3214BBB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Agent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F630A18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Doses and routes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587074D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Schedules</w:t>
            </w:r>
          </w:p>
        </w:tc>
      </w:tr>
      <w:tr w14:paraId="5AE30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D8585C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Methotrexate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66AE2F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LR:3 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IV; I/HR:5 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D90E662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1, 15, 29, 43 (4 doses)</w:t>
            </w:r>
          </w:p>
        </w:tc>
      </w:tr>
      <w:tr w14:paraId="261C7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24C9B2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FE8DE2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PO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39FD78A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1–56 (56 doses)</w:t>
            </w:r>
          </w:p>
        </w:tc>
      </w:tr>
      <w:tr w14:paraId="67BEB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389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000000" w:fill="FFFFFF"/>
            <w:vAlign w:val="center"/>
          </w:tcPr>
          <w:p w14:paraId="2D8C225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Leucovorin</w:t>
            </w:r>
            <w:bookmarkEnd w:id="0"/>
          </w:p>
        </w:tc>
        <w:tc>
          <w:tcPr>
            <w:tcW w:w="3828" w:type="dxa"/>
            <w:tcBorders>
              <w:top w:val="single" w:color="auto" w:sz="4" w:space="0"/>
              <w:left w:val="nil"/>
              <w:right w:val="nil"/>
            </w:tcBorders>
            <w:shd w:val="clear" w:color="000000" w:fill="FFFFFF"/>
            <w:vAlign w:val="center"/>
          </w:tcPr>
          <w:p w14:paraId="0C7AEB56">
            <w:pPr>
              <w:spacing w:after="0" w:line="240" w:lineRule="auto"/>
              <w:rPr>
                <w:rFonts w:hint="default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LR: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0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</w:t>
            </w:r>
          </w:p>
          <w:p w14:paraId="740EBCB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I/HR: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15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</w:t>
            </w:r>
          </w:p>
        </w:tc>
        <w:tc>
          <w:tcPr>
            <w:tcW w:w="4252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000000" w:fill="FFFFFF"/>
            <w:vAlign w:val="center"/>
          </w:tcPr>
          <w:p w14:paraId="746BD45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3 doses at 42, 48, and 54 hours after the start of methotrexate and additional doses every 6 hours for patients with increased creatinine level and until serum methotrexate level &lt;1 µmol/L</w:t>
            </w:r>
          </w:p>
        </w:tc>
      </w:tr>
      <w:tr w14:paraId="37212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3389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AE6A74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DABF87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Adjusted according to </w:t>
            </w:r>
          </w:p>
          <w:p w14:paraId="696753A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serum methotrexate level</w:t>
            </w:r>
          </w:p>
        </w:tc>
        <w:tc>
          <w:tcPr>
            <w:tcW w:w="425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3C02166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243A2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D7DB6B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Triple intrathecal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2AD67E2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Age-dependent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1B1FCC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1, 15, 29, 43 (4 times)</w:t>
            </w:r>
          </w:p>
        </w:tc>
      </w:tr>
    </w:tbl>
    <w:p w14:paraId="6695D24E">
      <w:pPr>
        <w:spacing w:line="240" w:lineRule="auto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</w:rPr>
        <w:t>Abbreviations: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I/HR, intermediate-/high-risk; IV, intravenous; LR, low-risk; PO, by mouth</w:t>
      </w:r>
    </w:p>
    <w:p w14:paraId="1CB1DD18">
      <w:pPr>
        <w:spacing w:line="240" w:lineRule="auto"/>
        <w:rPr>
          <w:rFonts w:ascii="Arial" w:hAnsi="Arial" w:eastAsia="Times New Roman" w:cs="Arial"/>
          <w:color w:val="000000"/>
          <w:sz w:val="18"/>
          <w:szCs w:val="18"/>
        </w:rPr>
      </w:pPr>
    </w:p>
    <w:p w14:paraId="6E7BA4A1">
      <w:pPr>
        <w:pStyle w:val="5"/>
        <w:numPr>
          <w:ilvl w:val="0"/>
          <w:numId w:val="1"/>
        </w:numPr>
        <w:spacing w:line="240" w:lineRule="auto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Continuation</w:t>
      </w:r>
      <w:r>
        <w:rPr>
          <w:rFonts w:hint="eastAsia" w:ascii="Arial" w:hAnsi="Arial" w:cs="Arial"/>
          <w:b/>
          <w:sz w:val="24"/>
          <w:szCs w:val="21"/>
          <w:lang w:val="en-US" w:eastAsia="zh-CN"/>
        </w:rPr>
        <w:t>/Interphase</w:t>
      </w:r>
      <w:r>
        <w:rPr>
          <w:rFonts w:ascii="Arial" w:hAnsi="Arial" w:cs="Arial"/>
          <w:b/>
          <w:sz w:val="24"/>
          <w:szCs w:val="21"/>
        </w:rPr>
        <w:t xml:space="preserve"> therapy </w:t>
      </w:r>
    </w:p>
    <w:tbl>
      <w:tblPr>
        <w:tblStyle w:val="2"/>
        <w:tblW w:w="1261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389"/>
        <w:gridCol w:w="1560"/>
        <w:gridCol w:w="2268"/>
        <w:gridCol w:w="4252"/>
      </w:tblGrid>
      <w:tr w14:paraId="58F9D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616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679633">
            <w:pPr>
              <w:spacing w:after="0" w:line="240" w:lineRule="auto"/>
              <w:jc w:val="left"/>
              <w:rPr>
                <w:rFonts w:hint="default" w:ascii="Arial" w:hAnsi="Arial" w:eastAsia="宋体" w:cs="Arial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LR: 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Continuation and reinduction therapy (Weeks 16–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sz w:val="20"/>
                <w:szCs w:val="20"/>
                <w:lang w:val="en-US" w:eastAsia="zh-CN"/>
              </w:rPr>
              <w:t>29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14:paraId="7039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61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C5FF1C6">
            <w:pPr>
              <w:spacing w:after="0" w:line="240" w:lineRule="auto"/>
              <w:jc w:val="left"/>
              <w:rPr>
                <w:rFonts w:hint="eastAsia" w:ascii="Arial" w:hAnsi="Arial" w:eastAsia="宋体" w:cs="Arial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sz w:val="20"/>
                <w:szCs w:val="20"/>
                <w:lang w:val="en-US" w:eastAsia="zh-CN"/>
              </w:rPr>
              <w:t>I/HR: Interphase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 xml:space="preserve"> and reinduction therapy (Weeks 16–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sz w:val="20"/>
                <w:szCs w:val="20"/>
                <w:lang w:val="en-US" w:eastAsia="zh-CN"/>
              </w:rPr>
              <w:t>31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14:paraId="122D7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2C4BF5A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0ED8888">
            <w:pPr>
              <w:spacing w:after="0" w:line="240" w:lineRule="auto"/>
              <w:ind w:left="95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LR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39BA306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4C9F0F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I/HR</w:t>
            </w:r>
          </w:p>
        </w:tc>
      </w:tr>
      <w:tr w14:paraId="4A8ED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4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000000" w:fill="FFFFFF"/>
            <w:vAlign w:val="center"/>
          </w:tcPr>
          <w:p w14:paraId="7539AFA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D78E6D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 xml:space="preserve">  Reinduction 1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DD5D7F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FCB051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 Vincristine + Mercaptopurine +Daunorubicin + Pegaspargase + IT</w:t>
            </w:r>
          </w:p>
        </w:tc>
      </w:tr>
      <w:tr w14:paraId="07E24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4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7F6BFED">
            <w:pPr>
              <w:spacing w:after="0" w:line="240" w:lineRule="auto"/>
              <w:ind w:left="-447"/>
              <w:jc w:val="center"/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C6CDC4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 Dexamethasone + Vincristine +      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 Daunorubicin + Pegaspargase + IT</w:t>
            </w:r>
          </w:p>
        </w:tc>
        <w:tc>
          <w:tcPr>
            <w:tcW w:w="156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72B8A3E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7CCAC2C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14:paraId="3A856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4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6492953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74785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 xml:space="preserve">  Reinduction 1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D387A8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AC0F18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6FF484B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14:paraId="36857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4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90927B7">
            <w:pPr>
              <w:spacing w:after="0" w:line="240" w:lineRule="auto"/>
              <w:ind w:left="-447"/>
              <w:jc w:val="center"/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B8331A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 Vincristine</w:t>
            </w:r>
          </w:p>
        </w:tc>
        <w:tc>
          <w:tcPr>
            <w:tcW w:w="156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221FCAB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7B9B38B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425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46F8A964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532DB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4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2BC8308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FBA73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 xml:space="preserve">  Reinduction 1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64B4EA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21492A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A4A65BC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14:paraId="4E0D1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4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FBEDD38">
            <w:pPr>
              <w:spacing w:after="0" w:line="240" w:lineRule="auto"/>
              <w:ind w:left="-447"/>
              <w:jc w:val="center"/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0B789C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 Dexamethasone + Vincristine</w:t>
            </w:r>
          </w:p>
        </w:tc>
        <w:tc>
          <w:tcPr>
            <w:tcW w:w="156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82EABE3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143B07C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425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531E4F06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35957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B61B0B1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DC438D7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BC54EF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B73692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 Vincristine + Mercaptopurine +Daunorubicin + Pegaspargase + IT</w:t>
            </w:r>
          </w:p>
        </w:tc>
      </w:tr>
      <w:tr w14:paraId="53A24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2F29455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F314E6D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19AABB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5BAC96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59CE1FAE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14:paraId="4A130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2D1D51A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6E8F9A0">
            <w:pPr>
              <w:spacing w:after="0" w:line="240" w:lineRule="auto"/>
              <w:ind w:left="-447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color w:val="000000"/>
                <w:sz w:val="18"/>
                <w:szCs w:val="18"/>
              </w:rPr>
              <w:t>Dexamethasone + Vincristine + Mercaptopurine + IT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2BD24E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2D3E5B9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4C4D3C66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14:paraId="2F9E6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D61129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3389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D718BD7">
            <w:pPr>
              <w:spacing w:after="0" w:line="240" w:lineRule="auto"/>
              <w:ind w:left="-447" w:leftChars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A71FC5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</w:p>
        </w:tc>
        <w:tc>
          <w:tcPr>
            <w:tcW w:w="6520" w:type="dxa"/>
            <w:gridSpan w:val="2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1E9C10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 Vincristine + Mercaptopurine + Daunorubicin + Pegaspargase + IT</w:t>
            </w:r>
          </w:p>
        </w:tc>
      </w:tr>
      <w:tr w14:paraId="299C8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4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AE84611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BD4E08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60B679A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</w:p>
        </w:tc>
        <w:tc>
          <w:tcPr>
            <w:tcW w:w="652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366CB9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78F97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14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AE8AE1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3DC1838">
            <w:pPr>
              <w:spacing w:after="0" w:line="240" w:lineRule="auto"/>
              <w:ind w:left="-447" w:leftChars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7E9B39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</w:p>
        </w:tc>
        <w:tc>
          <w:tcPr>
            <w:tcW w:w="6520" w:type="dxa"/>
            <w:gridSpan w:val="2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B9C5F1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</w:tr>
      <w:tr w14:paraId="49635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4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644168B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D219B4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1D4DCE6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</w:p>
        </w:tc>
        <w:tc>
          <w:tcPr>
            <w:tcW w:w="652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CF40B5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7ACCE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A8CAC8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338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5B88963">
            <w:pPr>
              <w:spacing w:after="0" w:line="240" w:lineRule="auto"/>
              <w:ind w:left="-447" w:leftChars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color w:val="000000"/>
                <w:sz w:val="18"/>
                <w:szCs w:val="18"/>
              </w:rPr>
              <w:t>Dexamethasone + Vincristine + Mercaptopurine + IT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255996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</w:p>
        </w:tc>
        <w:tc>
          <w:tcPr>
            <w:tcW w:w="6520" w:type="dxa"/>
            <w:gridSpan w:val="2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8EBD81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</w:tr>
      <w:tr w14:paraId="795BC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4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298EF2C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01C1F5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31EBE4F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</w:p>
        </w:tc>
        <w:tc>
          <w:tcPr>
            <w:tcW w:w="652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1BC8C3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7DA79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47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D4BF76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494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CC1F33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652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79BC37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 Vincristine + Mercaptopurine + Daunorubicin + Pegaspargase + IT</w:t>
            </w:r>
          </w:p>
        </w:tc>
      </w:tr>
      <w:tr w14:paraId="0030C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73AAA4E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0A450D2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ABD640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EB23A6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76784D0C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14:paraId="0A1F3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C1BAF0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2D721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Reinduction 2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27EA99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03D839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2ED067F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14:paraId="10A30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4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06CAD1">
            <w:pPr>
              <w:spacing w:after="0" w:line="240" w:lineRule="auto"/>
              <w:jc w:val="center"/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B87E932">
            <w:pPr>
              <w:spacing w:after="0" w:line="240" w:lineRule="auto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+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 Vincristine + Pegaspargase + IT</w:t>
            </w:r>
          </w:p>
        </w:tc>
        <w:tc>
          <w:tcPr>
            <w:tcW w:w="156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67ACAD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514273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425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6FC3600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3E6D8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1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C7D586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F577104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 xml:space="preserve">Reinduction 2                                                                                                           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897595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14AD22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 Vincristine + Mercaptopurine + Daunorubicin + Pegaspargase + IT</w:t>
            </w:r>
          </w:p>
        </w:tc>
      </w:tr>
      <w:tr w14:paraId="5D92B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147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558145">
            <w:pPr>
              <w:spacing w:after="0" w:line="240" w:lineRule="auto"/>
              <w:jc w:val="center"/>
            </w:pPr>
          </w:p>
        </w:tc>
        <w:tc>
          <w:tcPr>
            <w:tcW w:w="338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0CBF8E8">
            <w:pPr>
              <w:spacing w:after="0" w:line="240" w:lineRule="auto"/>
              <w:jc w:val="both"/>
              <w:rPr>
                <w:rFonts w:ascii="Arial" w:hAnsi="Arial" w:eastAsia="Calibri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+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Vincristine</w:t>
            </w: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8C313A1">
            <w:pPr>
              <w:spacing w:after="0" w:line="240" w:lineRule="auto"/>
              <w:jc w:val="center"/>
              <w:rPr>
                <w:rFonts w:ascii="Arial" w:hAnsi="Arial" w:eastAsia="Calibri" w:cs="Arial"/>
                <w:color w:val="000000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vMerge w:val="continue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F93EF7">
            <w:pPr>
              <w:spacing w:after="0" w:line="240" w:lineRule="auto"/>
              <w:jc w:val="center"/>
              <w:rPr>
                <w:rFonts w:ascii="Arial" w:hAnsi="Arial" w:eastAsia="Calibri" w:cs="Arial"/>
                <w:color w:val="000000"/>
                <w:sz w:val="18"/>
                <w:szCs w:val="18"/>
              </w:rPr>
            </w:pPr>
          </w:p>
        </w:tc>
      </w:tr>
      <w:tr w14:paraId="587EC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14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 w14:paraId="0C2B6BA1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CCC10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Reinduction 2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216E71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AC2F6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4252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FA3584A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14:paraId="4C92F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14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F76E65">
            <w:pPr>
              <w:spacing w:after="0" w:line="240" w:lineRule="auto"/>
              <w:jc w:val="center"/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886E6E8">
            <w:pPr>
              <w:spacing w:after="0" w:line="240" w:lineRule="auto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+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Vincristine</w:t>
            </w:r>
          </w:p>
        </w:tc>
        <w:tc>
          <w:tcPr>
            <w:tcW w:w="156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6C17FA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F3DE4E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425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1A6DA99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</w:tr>
      <w:tr w14:paraId="04904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DECA7E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80AFE25">
            <w:pPr>
              <w:spacing w:after="0" w:line="240" w:lineRule="auto"/>
              <w:jc w:val="both"/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28C4980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908FC1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08BAE282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14:paraId="36487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55E6A6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3389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D7E3BB6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EC55A9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048AAA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 xml:space="preserve">Reinduction </w:t>
            </w:r>
          </w:p>
        </w:tc>
      </w:tr>
      <w:tr w14:paraId="34595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47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AB81AF">
            <w:pPr>
              <w:spacing w:after="0" w:line="240" w:lineRule="auto"/>
            </w:pPr>
          </w:p>
        </w:tc>
        <w:tc>
          <w:tcPr>
            <w:tcW w:w="338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0079EBE">
            <w:pPr>
              <w:spacing w:after="0" w:line="240" w:lineRule="auto"/>
            </w:pPr>
          </w:p>
        </w:tc>
        <w:tc>
          <w:tcPr>
            <w:tcW w:w="1560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2F1E119">
            <w:pPr>
              <w:spacing w:after="0" w:line="240" w:lineRule="auto"/>
            </w:pP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02AA38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Dexamethasone + Vincristine +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HD-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Cytarabine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+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Pegaspargase + IT</w:t>
            </w:r>
          </w:p>
        </w:tc>
      </w:tr>
      <w:tr w14:paraId="313CB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4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1688CB">
            <w:pPr>
              <w:spacing w:after="0" w:line="240" w:lineRule="auto"/>
              <w:jc w:val="left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3389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F8A8A38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0F97CC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tcBorders>
              <w:top w:val="single" w:color="000000" w:sz="4" w:space="0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121FE55">
            <w:pPr>
              <w:spacing w:after="0" w:line="240" w:lineRule="auto"/>
              <w:rPr>
                <w:rFonts w:hint="eastAsia" w:ascii="Arial" w:hAnsi="Arial" w:eastAsia="宋体" w:cs="Arial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 xml:space="preserve">Reinduction </w:t>
            </w:r>
          </w:p>
          <w:p w14:paraId="703FCD2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Vincristine</w:t>
            </w:r>
          </w:p>
        </w:tc>
      </w:tr>
      <w:tr w14:paraId="78419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76B956F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5508676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bottom"/>
          </w:tcPr>
          <w:p w14:paraId="3D432D1E">
            <w:pPr>
              <w:spacing w:after="0" w:line="240" w:lineRule="auto"/>
              <w:jc w:val="center"/>
              <w:rPr>
                <w:rFonts w:ascii="Arial" w:hAnsi="Arial" w:eastAsia="Times New Roman" w:cs="Calibri"/>
                <w:color w:val="000000"/>
              </w:rPr>
            </w:pPr>
          </w:p>
        </w:tc>
        <w:tc>
          <w:tcPr>
            <w:tcW w:w="65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5D42FFB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 xml:space="preserve">Reinduction                                                                                                      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+Vincristine</w:t>
            </w:r>
          </w:p>
        </w:tc>
      </w:tr>
      <w:tr w14:paraId="14DB9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75B0A5F5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Following 4 weekly cycles for 5 cycles (Weeks 35–53)</w:t>
            </w:r>
          </w:p>
        </w:tc>
      </w:tr>
      <w:tr w14:paraId="771A0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91E4DE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305E53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437ADF9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Mercaptopurine + Methotrexate </w:t>
            </w:r>
          </w:p>
        </w:tc>
      </w:tr>
      <w:tr w14:paraId="784BD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002C2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DAAA98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735DC28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Mercaptopurine + Methotrexate </w:t>
            </w:r>
          </w:p>
        </w:tc>
      </w:tr>
      <w:tr w14:paraId="1EDB1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3D2538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4C98620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 + Methotrexate</w:t>
            </w:r>
          </w:p>
        </w:tc>
        <w:tc>
          <w:tcPr>
            <w:tcW w:w="6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22B369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 Vincristine +                                                  Cyclophosphamide + Cytarabine + IT</w:t>
            </w:r>
          </w:p>
        </w:tc>
      </w:tr>
      <w:tr w14:paraId="10DAF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5BB06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49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738B36D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+ Vincristine +                                     Mercaptopurine + IT (only in cycles 1 to 4)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EC46ECA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No chemotherapy</w:t>
            </w:r>
          </w:p>
        </w:tc>
      </w:tr>
      <w:tr w14:paraId="39F8B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9838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 8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for 7 days (LR) or 12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for 5 days (I/HR); vincristine (1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; max 2 mg); daunorubicin 25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; pegaspargase 2000 U/m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IM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/IV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; mercaptopurine 50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for 7 days (25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during Weeks 16 and 3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0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for I/HR) methotrexate (25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PO on Day 1);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HD-c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ytarabine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IV.</w:t>
            </w:r>
          </w:p>
        </w:tc>
      </w:tr>
      <w:tr w14:paraId="1C2F4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4E97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E2618">
            <w:pPr>
              <w:spacing w:after="0" w:line="240" w:lineRule="auto"/>
              <w:jc w:val="center"/>
              <w:rPr>
                <w:rFonts w:ascii="Arial" w:hAnsi="Arial" w:eastAsia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83DB5">
            <w:pPr>
              <w:spacing w:after="0" w:line="240" w:lineRule="auto"/>
              <w:jc w:val="center"/>
              <w:rPr>
                <w:rFonts w:ascii="Arial" w:hAnsi="Arial"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44488">
            <w:pPr>
              <w:spacing w:after="0" w:line="240" w:lineRule="auto"/>
              <w:jc w:val="center"/>
              <w:rPr>
                <w:rFonts w:ascii="Arial" w:hAnsi="Arial" w:eastAsia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6184E">
            <w:pPr>
              <w:spacing w:after="0" w:line="240" w:lineRule="auto"/>
              <w:jc w:val="center"/>
              <w:rPr>
                <w:rFonts w:ascii="Arial" w:hAnsi="Arial" w:eastAsia="Times New Roman" w:cs="Times New Roman"/>
                <w:sz w:val="20"/>
                <w:szCs w:val="20"/>
              </w:rPr>
            </w:pPr>
          </w:p>
        </w:tc>
      </w:tr>
    </w:tbl>
    <w:p w14:paraId="799338D6">
      <w:pPr>
        <w:spacing w:line="240" w:lineRule="auto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</w:rPr>
        <w:t>Abbreviations: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I/HR, intermediate-/high-risk; IM, intramuscular; IT, intrathecal; IV, intravenous; LR, low-risk; PO, by mouth </w:t>
      </w:r>
    </w:p>
    <w:p w14:paraId="1FF8508C">
      <w:pPr>
        <w:pStyle w:val="5"/>
        <w:numPr>
          <w:ilvl w:val="0"/>
          <w:numId w:val="1"/>
        </w:numPr>
        <w:rPr>
          <w:rFonts w:ascii="Arial" w:hAnsi="Arial" w:cs="Arial"/>
          <w:b/>
          <w:bCs/>
          <w:sz w:val="24"/>
          <w:szCs w:val="21"/>
          <w:lang w:eastAsia="zh-CN"/>
        </w:rPr>
      </w:pPr>
      <w:r>
        <w:rPr>
          <w:rFonts w:ascii="Arial" w:hAnsi="Arial" w:cs="Arial"/>
          <w:b/>
          <w:bCs/>
          <w:sz w:val="24"/>
          <w:szCs w:val="21"/>
        </w:rPr>
        <w:t>Reinduction ther</w:t>
      </w:r>
      <w:r>
        <w:rPr>
          <w:rFonts w:hint="eastAsia" w:ascii="Arial" w:hAnsi="Arial" w:cs="Arial"/>
          <w:b/>
          <w:bCs/>
          <w:sz w:val="24"/>
          <w:szCs w:val="21"/>
          <w:lang w:eastAsia="zh-CN"/>
        </w:rPr>
        <w:t>apy</w:t>
      </w:r>
    </w:p>
    <w:tbl>
      <w:tblPr>
        <w:tblStyle w:val="2"/>
        <w:tblW w:w="1261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389"/>
        <w:gridCol w:w="1560"/>
        <w:gridCol w:w="2268"/>
        <w:gridCol w:w="4252"/>
      </w:tblGrid>
      <w:tr w14:paraId="77408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6C66E">
            <w:pPr>
              <w:spacing w:after="0" w:line="240" w:lineRule="auto"/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</w:pPr>
          </w:p>
          <w:p w14:paraId="14672CF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Risk group</w:t>
            </w: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4289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Agents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5F92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528C2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18"/>
                <w:szCs w:val="18"/>
              </w:rPr>
              <w:t>Doses and Routes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98C85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</w:rPr>
              <w:t>Schedules</w:t>
            </w:r>
          </w:p>
        </w:tc>
      </w:tr>
      <w:tr w14:paraId="0EB4C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2CD07E7"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  <w:t>LR                                               Reinduction 1 and 2 (Weeks</w:t>
            </w:r>
            <w:r>
              <w:rPr>
                <w:rFonts w:hint="eastAsia" w:ascii="Arial" w:hAnsi="Arial" w:eastAsia="宋体" w:cs="Arial"/>
                <w:b/>
                <w:color w:val="000000"/>
                <w:sz w:val="18"/>
                <w:szCs w:val="18"/>
                <w:lang w:val="en-US" w:eastAsia="zh-CN"/>
              </w:rPr>
              <w:t>16-18</w:t>
            </w: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  <w:t xml:space="preserve"> and </w:t>
            </w:r>
            <w:r>
              <w:rPr>
                <w:rFonts w:hint="eastAsia" w:ascii="Arial" w:hAnsi="Arial" w:eastAsia="宋体" w:cs="Arial"/>
                <w:b/>
                <w:color w:val="000000"/>
                <w:sz w:val="18"/>
                <w:szCs w:val="18"/>
                <w:lang w:val="en-US" w:eastAsia="zh-CN"/>
              </w:rPr>
              <w:t>27-29</w:t>
            </w: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  <w:t>)</w:t>
            </w:r>
          </w:p>
        </w:tc>
      </w:tr>
      <w:tr w14:paraId="07058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966F82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E4B244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3BC448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89F10B2">
            <w:pPr>
              <w:spacing w:after="0" w:line="240" w:lineRule="auto"/>
              <w:rPr>
                <w:rFonts w:hint="default" w:ascii="Arial" w:hAnsi="Arial" w:eastAsia="宋体" w:cs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8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/day IV/PO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(b.i.d)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950422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1–7, and Days 15–21 (14 days)</w:t>
            </w:r>
          </w:p>
        </w:tc>
      </w:tr>
      <w:tr w14:paraId="6171C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A3432E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9F3294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Daunorubicin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5062B5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F62EC4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F0E303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1 (1 dose) (Reinduction 1 only)</w:t>
            </w:r>
          </w:p>
        </w:tc>
      </w:tr>
      <w:tr w14:paraId="09BE1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825DCD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CE7B18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Mercaptopurine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EFFC13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06737D1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PO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F8CF354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1–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21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21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d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ay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s)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(Reinduction 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only)</w:t>
            </w:r>
          </w:p>
        </w:tc>
      </w:tr>
      <w:tr w14:paraId="31115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7AF599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F917CF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Vincristine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B7400A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C49AFE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 (max 2 mg)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1ED20D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s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1, 8, 15 (3 doses)</w:t>
            </w:r>
          </w:p>
        </w:tc>
      </w:tr>
      <w:tr w14:paraId="7411E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1B2DA8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576E85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Pegaspargase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DBCA71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96287B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2000 U/m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IM/IV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3FCCB5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3 (1 dose)</w:t>
            </w:r>
          </w:p>
        </w:tc>
      </w:tr>
      <w:tr w14:paraId="3CEBD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6AC34C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7709AB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Triple intrathecal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5ED419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9F929B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Age-dependent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6C2741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1 (1 dose)</w:t>
            </w:r>
          </w:p>
        </w:tc>
      </w:tr>
      <w:tr w14:paraId="08DA5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3F85BE17"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  <w:t xml:space="preserve">I/HR                                           </w:t>
            </w:r>
            <w:r>
              <w:rPr>
                <w:rFonts w:hint="eastAsia" w:ascii="Arial" w:hAnsi="Arial" w:eastAsia="宋体" w:cs="Arial"/>
                <w:b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  <w:t xml:space="preserve">Reinduction (Weeks </w:t>
            </w:r>
            <w:r>
              <w:rPr>
                <w:rFonts w:hint="eastAsia" w:ascii="Arial" w:hAnsi="Arial" w:eastAsia="宋体" w:cs="Arial"/>
                <w:b/>
                <w:color w:val="000000"/>
                <w:sz w:val="18"/>
                <w:szCs w:val="18"/>
                <w:lang w:val="en-US" w:eastAsia="zh-CN"/>
              </w:rPr>
              <w:t>31</w:t>
            </w: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  <w:t>–</w:t>
            </w:r>
            <w:r>
              <w:rPr>
                <w:rFonts w:hint="eastAsia" w:ascii="Arial" w:hAnsi="Arial" w:eastAsia="宋体" w:cs="Arial"/>
                <w:b/>
                <w:color w:val="000000"/>
                <w:sz w:val="18"/>
                <w:szCs w:val="18"/>
                <w:lang w:val="en-US" w:eastAsia="zh-CN"/>
              </w:rPr>
              <w:t>33</w:t>
            </w: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</w:rPr>
              <w:t>)</w:t>
            </w:r>
          </w:p>
        </w:tc>
      </w:tr>
      <w:tr w14:paraId="335CB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B988DF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68A0E1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Dexamethasone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94AB93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2B0ED7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8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/day IV/PO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 xml:space="preserve"> (b.i.d)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892D0A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1–7, and Days15–21 (14 days)</w:t>
            </w:r>
          </w:p>
        </w:tc>
      </w:tr>
      <w:tr w14:paraId="75291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7D87E8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77A1B2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Vincristine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2700CB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5FA4C41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5 mg/m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 (max 2 mg)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F045B2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1, 8, and 15 (3 doses)</w:t>
            </w:r>
          </w:p>
        </w:tc>
      </w:tr>
      <w:tr w14:paraId="4C55C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43BC2A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3A73D2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Cytarabine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1E1319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73871C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 g/m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IV every 12 hours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B72C0A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Days 1 and 2 (4 doses)</w:t>
            </w:r>
          </w:p>
        </w:tc>
      </w:tr>
      <w:tr w14:paraId="35A2F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2FA3C5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4E93ED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Pegaspargase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31C1C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87CC5B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2000 U/m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 xml:space="preserve"> IM/IV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5B9D81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3 (1 dose)</w:t>
            </w:r>
          </w:p>
        </w:tc>
      </w:tr>
      <w:tr w14:paraId="553DE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7A4492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497A23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Triple intrathecal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837805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44320F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Age dependent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E5530C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</w:rPr>
              <w:t>Day 1 (1 dose)</w:t>
            </w:r>
          </w:p>
        </w:tc>
      </w:tr>
    </w:tbl>
    <w:p w14:paraId="287DBF50">
      <w:pPr>
        <w:spacing w:line="240" w:lineRule="auto"/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</w:rPr>
        <w:t>Abbreviations: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I/HR, intermediate-/high-risk; IM, intramuscular; IV, intravenous; LR, low-risk; max, maximum; PO, by mouth</w:t>
      </w:r>
    </w:p>
    <w:p w14:paraId="44190BB4">
      <w:pPr>
        <w:pStyle w:val="5"/>
        <w:numPr>
          <w:ilvl w:val="0"/>
          <w:numId w:val="1"/>
        </w:numPr>
        <w:rPr>
          <w:rFonts w:ascii="Arial" w:hAnsi="Arial" w:cs="Arial"/>
          <w:b/>
          <w:bCs/>
          <w:sz w:val="24"/>
          <w:szCs w:val="21"/>
          <w:lang w:eastAsia="zh-CN"/>
        </w:rPr>
      </w:pPr>
      <w:r>
        <w:rPr>
          <w:rFonts w:hint="eastAsia" w:ascii="Arial" w:hAnsi="Arial" w:cs="Arial"/>
          <w:b/>
          <w:sz w:val="24"/>
          <w:szCs w:val="18"/>
          <w:lang w:val="en-US" w:eastAsia="zh-CN"/>
        </w:rPr>
        <w:t>Maintenance</w:t>
      </w:r>
      <w:r>
        <w:rPr>
          <w:rFonts w:ascii="Arial" w:hAnsi="Arial" w:cs="Arial"/>
          <w:b/>
          <w:sz w:val="24"/>
          <w:szCs w:val="18"/>
        </w:rPr>
        <w:t xml:space="preserve"> </w:t>
      </w:r>
      <w:r>
        <w:rPr>
          <w:rFonts w:hint="eastAsia" w:ascii="Arial" w:hAnsi="Arial" w:cs="Arial"/>
          <w:b/>
          <w:sz w:val="24"/>
          <w:szCs w:val="18"/>
          <w:lang w:val="en-US" w:eastAsia="zh-CN"/>
        </w:rPr>
        <w:t>therapy</w:t>
      </w:r>
    </w:p>
    <w:tbl>
      <w:tblPr>
        <w:tblStyle w:val="2"/>
        <w:tblW w:w="1261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6"/>
      </w:tblGrid>
      <w:tr w14:paraId="71198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6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1236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87"/>
              <w:gridCol w:w="2856"/>
              <w:gridCol w:w="2004"/>
              <w:gridCol w:w="1046"/>
              <w:gridCol w:w="4223"/>
              <w:gridCol w:w="948"/>
            </w:tblGrid>
            <w:tr w14:paraId="542A25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6BA64D85">
                  <w:pPr>
                    <w:spacing w:after="0" w:line="240" w:lineRule="auto"/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20"/>
                      <w:szCs w:val="18"/>
                      <w:lang w:val="en-US" w:eastAsia="zh-CN"/>
                    </w:rPr>
                    <w:t>LR</w:t>
                  </w:r>
                </w:p>
              </w:tc>
              <w:tc>
                <w:tcPr>
                  <w:tcW w:w="4860" w:type="dxa"/>
                  <w:gridSpan w:val="2"/>
                  <w:tcBorders>
                    <w:right w:val="single" w:color="auto" w:sz="4" w:space="0"/>
                  </w:tcBorders>
                  <w:vAlign w:val="center"/>
                </w:tcPr>
                <w:p w14:paraId="52EB5D45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/>
                    </w:rPr>
                    <w:t>Later c</w:t>
                  </w:r>
                  <w:r>
                    <w:rPr>
                      <w:rFonts w:hint="eastAsia"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 xml:space="preserve">ontinuation </w:t>
                  </w:r>
                  <w:r>
                    <w:rPr>
                      <w:rFonts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>t</w:t>
                  </w:r>
                  <w:r>
                    <w:rPr>
                      <w:rFonts w:hint="eastAsia"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>herapy</w:t>
                  </w:r>
                  <w:r>
                    <w:rPr>
                      <w:rFonts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 xml:space="preserve"> (Weeks </w:t>
                  </w:r>
                  <w:r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/>
                    </w:rPr>
                    <w:t>30</w:t>
                  </w:r>
                  <w:r>
                    <w:rPr>
                      <w:rFonts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>–</w:t>
                  </w:r>
                  <w:r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/>
                    </w:rPr>
                    <w:t>121</w:t>
                  </w:r>
                  <w:r>
                    <w:rPr>
                      <w:rFonts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>)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</w:tcBorders>
                  <w:vAlign w:val="center"/>
                </w:tcPr>
                <w:p w14:paraId="0C2221B2">
                  <w:pPr>
                    <w:spacing w:after="0" w:line="240" w:lineRule="auto"/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/>
                    </w:rPr>
                    <w:t>I/HR</w:t>
                  </w:r>
                </w:p>
              </w:tc>
              <w:tc>
                <w:tcPr>
                  <w:tcW w:w="5171" w:type="dxa"/>
                  <w:gridSpan w:val="2"/>
                  <w:shd w:val="clear" w:color="auto" w:fill="auto"/>
                  <w:vAlign w:val="center"/>
                </w:tcPr>
                <w:p w14:paraId="5078FDE0">
                  <w:pPr>
                    <w:spacing w:after="0" w:line="240" w:lineRule="auto"/>
                    <w:jc w:val="left"/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/>
                    </w:rPr>
                    <w:t>Maintenance</w:t>
                  </w:r>
                  <w:r>
                    <w:rPr>
                      <w:rFonts w:hint="eastAsia"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>t</w:t>
                  </w:r>
                  <w:r>
                    <w:rPr>
                      <w:rFonts w:hint="eastAsia"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>herapy</w:t>
                  </w:r>
                  <w:r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 xml:space="preserve">(Weeks </w:t>
                  </w:r>
                  <w:r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/>
                    </w:rPr>
                    <w:t>30</w:t>
                  </w:r>
                  <w:r>
                    <w:rPr>
                      <w:rFonts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>–</w:t>
                  </w:r>
                  <w:r>
                    <w:rPr>
                      <w:rFonts w:hint="eastAsia" w:ascii="Arial" w:hAnsi="Arial" w:eastAsia="宋体" w:cs="Arial"/>
                      <w:b/>
                      <w:color w:val="000000"/>
                      <w:sz w:val="20"/>
                      <w:szCs w:val="18"/>
                      <w:lang w:val="en-US" w:eastAsia="zh-CN"/>
                    </w:rPr>
                    <w:t>123</w:t>
                  </w:r>
                  <w:r>
                    <w:rPr>
                      <w:rFonts w:ascii="Arial" w:hAnsi="Arial" w:eastAsia="Times New Roman" w:cs="Arial"/>
                      <w:b/>
                      <w:color w:val="000000"/>
                      <w:sz w:val="20"/>
                      <w:szCs w:val="18"/>
                    </w:rPr>
                    <w:t>)</w:t>
                  </w:r>
                </w:p>
              </w:tc>
            </w:tr>
            <w:tr w14:paraId="5A2786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tcBorders>
                    <w:right w:val="nil"/>
                  </w:tcBorders>
                  <w:vAlign w:val="center"/>
                </w:tcPr>
                <w:p w14:paraId="1FFB142D">
                  <w:pPr>
                    <w:spacing w:after="0" w:line="240" w:lineRule="auto"/>
                    <w:jc w:val="left"/>
                    <w:rPr>
                      <w:rFonts w:hint="default" w:ascii="Arial" w:hAnsi="Arial" w:eastAsia="宋体" w:cs="Arial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Week</w:t>
                  </w:r>
                </w:p>
              </w:tc>
              <w:tc>
                <w:tcPr>
                  <w:tcW w:w="4860" w:type="dxa"/>
                  <w:gridSpan w:val="2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946D21D">
                  <w:pPr>
                    <w:spacing w:after="0" w:line="240" w:lineRule="auto"/>
                    <w:jc w:val="left"/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>Following 4 weekly cycles for 5 cycles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>(Weeks 3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0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>–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49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vAlign w:val="center"/>
                </w:tcPr>
                <w:p w14:paraId="6359C9F7">
                  <w:pPr>
                    <w:spacing w:after="0" w:line="240" w:lineRule="auto"/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Week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</w:tcBorders>
                  <w:vAlign w:val="center"/>
                </w:tcPr>
                <w:p w14:paraId="0637233F">
                  <w:pPr>
                    <w:spacing w:after="0" w:line="240" w:lineRule="auto"/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Following 4 weekly cycles for 5 cycles (Weeks 34–53)</w:t>
                  </w:r>
                </w:p>
              </w:tc>
            </w:tr>
            <w:tr w14:paraId="1409E0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7243E9D2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30</w:t>
                  </w:r>
                </w:p>
              </w:tc>
              <w:tc>
                <w:tcPr>
                  <w:tcW w:w="2856" w:type="dxa"/>
                  <w:vAlign w:val="center"/>
                </w:tcPr>
                <w:p w14:paraId="326E1B3F">
                  <w:pPr>
                    <w:spacing w:after="0" w:line="240" w:lineRule="auto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2004" w:type="dxa"/>
                  <w:tcBorders>
                    <w:right w:val="single" w:color="auto" w:sz="4" w:space="0"/>
                  </w:tcBorders>
                  <w:vAlign w:val="center"/>
                </w:tcPr>
                <w:p w14:paraId="1B8D42DF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46" w:type="dxa"/>
                  <w:tcBorders>
                    <w:left w:val="single" w:color="auto" w:sz="4" w:space="0"/>
                  </w:tcBorders>
                  <w:vAlign w:val="center"/>
                </w:tcPr>
                <w:p w14:paraId="3484123B">
                  <w:pPr>
                    <w:spacing w:after="0" w:line="240" w:lineRule="auto"/>
                    <w:rPr>
                      <w:rFonts w:hint="default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34</w:t>
                  </w:r>
                </w:p>
              </w:tc>
              <w:tc>
                <w:tcPr>
                  <w:tcW w:w="5171" w:type="dxa"/>
                  <w:gridSpan w:val="2"/>
                  <w:shd w:val="clear" w:color="auto" w:fill="auto"/>
                  <w:vAlign w:val="center"/>
                </w:tcPr>
                <w:p w14:paraId="0DC709A0">
                  <w:pPr>
                    <w:spacing w:after="0" w:line="240" w:lineRule="auto"/>
                    <w:jc w:val="left"/>
                    <w:rPr>
                      <w:rFonts w:ascii="Arial" w:hAnsi="Arial" w:eastAsia="Calibri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 xml:space="preserve">Mercaptopurine + Methotrexate </w:t>
                  </w:r>
                </w:p>
              </w:tc>
            </w:tr>
            <w:tr w14:paraId="385423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7F3ECAD3">
                  <w:pPr>
                    <w:spacing w:after="0" w:line="240" w:lineRule="auto"/>
                    <w:rPr>
                      <w:rFonts w:hint="default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31</w:t>
                  </w:r>
                </w:p>
              </w:tc>
              <w:tc>
                <w:tcPr>
                  <w:tcW w:w="2856" w:type="dxa"/>
                  <w:vAlign w:val="center"/>
                </w:tcPr>
                <w:p w14:paraId="26F807D3">
                  <w:pPr>
                    <w:spacing w:after="0" w:line="240" w:lineRule="auto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2004" w:type="dxa"/>
                  <w:tcBorders>
                    <w:right w:val="single" w:color="auto" w:sz="4" w:space="0"/>
                  </w:tcBorders>
                  <w:vAlign w:val="center"/>
                </w:tcPr>
                <w:p w14:paraId="04EA7ABD">
                  <w:pPr>
                    <w:spacing w:after="0" w:line="240" w:lineRule="auto"/>
                    <w:jc w:val="center"/>
                    <w:rPr>
                      <w:rFonts w:ascii="Arial" w:hAnsi="Arial" w:eastAsia="Calibri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46" w:type="dxa"/>
                  <w:tcBorders>
                    <w:left w:val="single" w:color="auto" w:sz="4" w:space="0"/>
                  </w:tcBorders>
                  <w:vAlign w:val="center"/>
                </w:tcPr>
                <w:p w14:paraId="3248549B">
                  <w:pPr>
                    <w:spacing w:after="0" w:line="240" w:lineRule="auto"/>
                    <w:rPr>
                      <w:rFonts w:hint="default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35</w:t>
                  </w:r>
                </w:p>
              </w:tc>
              <w:tc>
                <w:tcPr>
                  <w:tcW w:w="5171" w:type="dxa"/>
                  <w:gridSpan w:val="2"/>
                  <w:shd w:val="clear" w:color="auto" w:fill="auto"/>
                  <w:vAlign w:val="center"/>
                </w:tcPr>
                <w:p w14:paraId="726D7135">
                  <w:pPr>
                    <w:spacing w:after="0" w:line="240" w:lineRule="auto"/>
                    <w:jc w:val="left"/>
                    <w:rPr>
                      <w:rFonts w:ascii="Arial" w:hAnsi="Arial" w:eastAsia="Calibri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 xml:space="preserve">Mercaptopurine + Methotrexate </w:t>
                  </w:r>
                </w:p>
              </w:tc>
            </w:tr>
            <w:tr w14:paraId="7D09A9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0E95ED8D">
                  <w:pPr>
                    <w:spacing w:after="0" w:line="240" w:lineRule="auto"/>
                    <w:rPr>
                      <w:rFonts w:hint="default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32</w:t>
                  </w:r>
                </w:p>
              </w:tc>
              <w:tc>
                <w:tcPr>
                  <w:tcW w:w="2856" w:type="dxa"/>
                  <w:vAlign w:val="center"/>
                </w:tcPr>
                <w:p w14:paraId="28C6EA24">
                  <w:pPr>
                    <w:spacing w:after="0" w:line="240" w:lineRule="auto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2004" w:type="dxa"/>
                  <w:tcBorders>
                    <w:right w:val="single" w:color="auto" w:sz="4" w:space="0"/>
                  </w:tcBorders>
                  <w:vAlign w:val="center"/>
                </w:tcPr>
                <w:p w14:paraId="7DA3D680">
                  <w:pPr>
                    <w:spacing w:after="0" w:line="240" w:lineRule="auto"/>
                    <w:jc w:val="center"/>
                    <w:rPr>
                      <w:rFonts w:ascii="Arial" w:hAnsi="Arial" w:eastAsia="Calibri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46" w:type="dxa"/>
                  <w:tcBorders>
                    <w:left w:val="single" w:color="auto" w:sz="4" w:space="0"/>
                  </w:tcBorders>
                  <w:vAlign w:val="center"/>
                </w:tcPr>
                <w:p w14:paraId="78BBAEE9">
                  <w:pPr>
                    <w:spacing w:after="0" w:line="240" w:lineRule="auto"/>
                    <w:rPr>
                      <w:rFonts w:hint="default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36</w:t>
                  </w:r>
                </w:p>
              </w:tc>
              <w:tc>
                <w:tcPr>
                  <w:tcW w:w="4223" w:type="dxa"/>
                  <w:vAlign w:val="center"/>
                </w:tcPr>
                <w:p w14:paraId="27E470B0">
                  <w:pPr>
                    <w:spacing w:after="0" w:line="240" w:lineRule="auto"/>
                    <w:jc w:val="left"/>
                    <w:rPr>
                      <w:rFonts w:ascii="Arial" w:hAnsi="Arial" w:eastAsia="Calibri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Dexamethasone + Vincristine + Cyclophosphamide + Cytarabine</w:t>
                  </w:r>
                  <w:r>
                    <w:rPr>
                      <w:rFonts w:hint="eastAsia" w:ascii="Arial" w:hAnsi="Arial" w:eastAsia="宋体" w:cs="Arial"/>
                      <w:color w:val="000000"/>
                      <w:sz w:val="18"/>
                      <w:szCs w:val="18"/>
                      <w:lang w:val="en-US" w:eastAsia="zh-CN"/>
                    </w:rPr>
                    <w:t xml:space="preserve"> +IT</w:t>
                  </w: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c>
              <w:tc>
                <w:tcPr>
                  <w:tcW w:w="948" w:type="dxa"/>
                  <w:vAlign w:val="center"/>
                </w:tcPr>
                <w:p w14:paraId="27579630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0DA0D0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7EE942C1">
                  <w:pPr>
                    <w:spacing w:after="0" w:line="240" w:lineRule="auto"/>
                    <w:rPr>
                      <w:rFonts w:hint="eastAsia" w:ascii="Arial" w:hAnsi="Arial" w:eastAsia="宋体" w:cs="Arial"/>
                      <w:b/>
                      <w:color w:val="000000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rial" w:hAnsi="Arial" w:eastAsia="Times New Roman" w:cs="Arial"/>
                      <w:b/>
                      <w:bCs/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3</w:t>
                  </w:r>
                </w:p>
              </w:tc>
              <w:tc>
                <w:tcPr>
                  <w:tcW w:w="2856" w:type="dxa"/>
                  <w:vAlign w:val="center"/>
                </w:tcPr>
                <w:p w14:paraId="55B2EF3B">
                  <w:pPr>
                    <w:spacing w:after="0" w:line="240" w:lineRule="auto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Dexamethasone + Vincristine +                                     Mercaptopurine + IT</w:t>
                  </w:r>
                </w:p>
              </w:tc>
              <w:tc>
                <w:tcPr>
                  <w:tcW w:w="2004" w:type="dxa"/>
                  <w:tcBorders>
                    <w:right w:val="single" w:color="auto" w:sz="4" w:space="0"/>
                  </w:tcBorders>
                  <w:vAlign w:val="center"/>
                </w:tcPr>
                <w:p w14:paraId="4C641F18">
                  <w:pPr>
                    <w:spacing w:after="0" w:line="240" w:lineRule="auto"/>
                    <w:jc w:val="center"/>
                    <w:rPr>
                      <w:rFonts w:ascii="Arial" w:hAnsi="Arial" w:eastAsia="Calibri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46" w:type="dxa"/>
                  <w:tcBorders>
                    <w:left w:val="single" w:color="auto" w:sz="4" w:space="0"/>
                  </w:tcBorders>
                  <w:vAlign w:val="center"/>
                </w:tcPr>
                <w:p w14:paraId="43B3E02E">
                  <w:pPr>
                    <w:spacing w:after="0" w:line="240" w:lineRule="auto"/>
                    <w:rPr>
                      <w:rFonts w:hint="default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37</w:t>
                  </w:r>
                </w:p>
              </w:tc>
              <w:tc>
                <w:tcPr>
                  <w:tcW w:w="5171" w:type="dxa"/>
                  <w:gridSpan w:val="2"/>
                  <w:vAlign w:val="center"/>
                </w:tcPr>
                <w:p w14:paraId="345C3B99">
                  <w:pPr>
                    <w:spacing w:after="0" w:line="240" w:lineRule="auto"/>
                    <w:jc w:val="left"/>
                    <w:rPr>
                      <w:rFonts w:ascii="Arial" w:hAnsi="Arial" w:eastAsia="Calibri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No chemotherapy</w:t>
                  </w:r>
                </w:p>
              </w:tc>
            </w:tr>
            <w:tr w14:paraId="4DC65A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tcBorders>
                    <w:right w:val="nil"/>
                  </w:tcBorders>
                  <w:vAlign w:val="center"/>
                </w:tcPr>
                <w:p w14:paraId="49DC2E8A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Week</w:t>
                  </w:r>
                </w:p>
              </w:tc>
              <w:tc>
                <w:tcPr>
                  <w:tcW w:w="4860" w:type="dxa"/>
                  <w:gridSpan w:val="2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4A32E685">
                  <w:pPr>
                    <w:spacing w:after="0" w:line="240" w:lineRule="auto"/>
                    <w:jc w:val="left"/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Following 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8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weekly cycles for 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9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cycles (Weeks 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50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>–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121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vAlign w:val="center"/>
                </w:tcPr>
                <w:p w14:paraId="727BD722">
                  <w:pPr>
                    <w:spacing w:after="0" w:line="240" w:lineRule="auto"/>
                    <w:jc w:val="left"/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Arial" w:hAnsi="Arial" w:eastAsia="Calibri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  <w:t>Week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  <w:right w:val="nil"/>
                  </w:tcBorders>
                  <w:vAlign w:val="center"/>
                </w:tcPr>
                <w:p w14:paraId="7FAB063D">
                  <w:pPr>
                    <w:spacing w:after="0" w:line="240" w:lineRule="auto"/>
                    <w:jc w:val="left"/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Following 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7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weekly cycles for 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9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cycles (Weeks 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54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>–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123</w:t>
                  </w:r>
                  <w:r>
                    <w:rPr>
                      <w:rFonts w:ascii="Arial" w:hAnsi="Arial" w:eastAsia="Calibri" w:cs="Arial"/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</w:p>
              </w:tc>
            </w:tr>
            <w:tr w14:paraId="491215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65F77298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50</w:t>
                  </w:r>
                </w:p>
              </w:tc>
              <w:tc>
                <w:tcPr>
                  <w:tcW w:w="4860" w:type="dxa"/>
                  <w:gridSpan w:val="2"/>
                  <w:tcBorders>
                    <w:right w:val="single" w:color="auto" w:sz="4" w:space="0"/>
                  </w:tcBorders>
                  <w:vAlign w:val="center"/>
                </w:tcPr>
                <w:p w14:paraId="60F42E59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4659BA65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54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4A0E29F7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</w:tr>
            <w:tr w14:paraId="77E87A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5EC04ED3">
                  <w:pPr>
                    <w:spacing w:after="0" w:line="240" w:lineRule="auto"/>
                    <w:rPr>
                      <w:rFonts w:hint="eastAsia" w:ascii="Arial" w:hAnsi="Arial" w:eastAsia="宋体" w:cs="Arial"/>
                      <w:color w:val="000000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rial" w:hAnsi="Arial" w:eastAsia="Times New Roman" w:cs="Arial"/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0" w:type="dxa"/>
                  <w:gridSpan w:val="2"/>
                  <w:tcBorders>
                    <w:right w:val="single" w:color="auto" w:sz="4" w:space="0"/>
                  </w:tcBorders>
                  <w:vAlign w:val="center"/>
                </w:tcPr>
                <w:p w14:paraId="129CD58A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046F2720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55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4CD93D5B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</w:tr>
            <w:tr w14:paraId="4B11CA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6C9280BC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52</w:t>
                  </w:r>
                </w:p>
              </w:tc>
              <w:tc>
                <w:tcPr>
                  <w:tcW w:w="4860" w:type="dxa"/>
                  <w:gridSpan w:val="2"/>
                  <w:tcBorders>
                    <w:right w:val="single" w:color="auto" w:sz="4" w:space="0"/>
                  </w:tcBorders>
                  <w:vAlign w:val="center"/>
                </w:tcPr>
                <w:p w14:paraId="4F4FB3BB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ADACB87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56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33C9C145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</w:tr>
            <w:tr w14:paraId="1E1C68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vAlign w:val="center"/>
                </w:tcPr>
                <w:p w14:paraId="6BA7731E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53</w:t>
                  </w:r>
                </w:p>
              </w:tc>
              <w:tc>
                <w:tcPr>
                  <w:tcW w:w="4860" w:type="dxa"/>
                  <w:gridSpan w:val="2"/>
                  <w:tcBorders>
                    <w:right w:val="single" w:color="auto" w:sz="4" w:space="0"/>
                  </w:tcBorders>
                  <w:vAlign w:val="center"/>
                </w:tcPr>
                <w:p w14:paraId="659B944C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016B1385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57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7076F73C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</w:tr>
            <w:tr w14:paraId="4F304B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shd w:val="clear" w:color="auto" w:fill="auto"/>
                  <w:vAlign w:val="center"/>
                </w:tcPr>
                <w:p w14:paraId="1A720E7D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54</w:t>
                  </w:r>
                </w:p>
              </w:tc>
              <w:tc>
                <w:tcPr>
                  <w:tcW w:w="4860" w:type="dxa"/>
                  <w:gridSpan w:val="2"/>
                  <w:tcBorders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7AE24B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D6D1A24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58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72ABA819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</w:tr>
            <w:tr w14:paraId="7F76AA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shd w:val="clear" w:color="auto" w:fill="auto"/>
                  <w:vAlign w:val="center"/>
                </w:tcPr>
                <w:p w14:paraId="46F1E1C0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55</w:t>
                  </w:r>
                </w:p>
              </w:tc>
              <w:tc>
                <w:tcPr>
                  <w:tcW w:w="4860" w:type="dxa"/>
                  <w:gridSpan w:val="2"/>
                  <w:tcBorders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6766119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6F57711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59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0E06C459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</w:tr>
            <w:tr w14:paraId="16A0C8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shd w:val="clear" w:color="auto" w:fill="auto"/>
                  <w:vAlign w:val="center"/>
                </w:tcPr>
                <w:p w14:paraId="3C1D3C50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56</w:t>
                  </w:r>
                </w:p>
              </w:tc>
              <w:tc>
                <w:tcPr>
                  <w:tcW w:w="4860" w:type="dxa"/>
                  <w:gridSpan w:val="2"/>
                  <w:tcBorders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B4969F9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1046" w:type="dxa"/>
                  <w:tcBorders>
                    <w:left w:val="single" w:color="auto" w:sz="4" w:space="0"/>
                    <w:right w:val="nil"/>
                  </w:tcBorders>
                  <w:vAlign w:val="center"/>
                </w:tcPr>
                <w:p w14:paraId="4C70B7CB">
                  <w:pPr>
                    <w:spacing w:after="0" w:line="240" w:lineRule="auto"/>
                    <w:rPr>
                      <w:rFonts w:hint="default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60</w:t>
                  </w:r>
                </w:p>
              </w:tc>
              <w:tc>
                <w:tcPr>
                  <w:tcW w:w="517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36C5C3DA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 xml:space="preserve">Cyclophosphamide + Cytarabine  (only in cycles 1 to </w:t>
                  </w:r>
                  <w:r>
                    <w:rPr>
                      <w:rFonts w:hint="eastAsia" w:ascii="Arial" w:hAnsi="Arial" w:eastAsia="宋体" w:cs="Arial"/>
                      <w:color w:val="000000"/>
                      <w:sz w:val="18"/>
                      <w:szCs w:val="18"/>
                      <w:lang w:val="en-US" w:eastAsia="zh-CN"/>
                    </w:rPr>
                    <w:t>8</w:t>
                  </w: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</w:tr>
            <w:tr w14:paraId="2995B3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87" w:type="dxa"/>
                  <w:tcBorders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243EF86B">
                  <w:pPr>
                    <w:spacing w:after="0" w:line="240" w:lineRule="auto"/>
                    <w:rPr>
                      <w:rFonts w:hint="default" w:ascii="Arial" w:hAnsi="Arial" w:eastAsia="宋体" w:cs="Arial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57</w:t>
                  </w:r>
                </w:p>
              </w:tc>
              <w:tc>
                <w:tcPr>
                  <w:tcW w:w="4860" w:type="dxa"/>
                  <w:gridSpan w:val="2"/>
                  <w:tcBorders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EA11D2">
                  <w:pPr>
                    <w:spacing w:after="0" w:line="240" w:lineRule="auto"/>
                    <w:jc w:val="left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  <w:t>Mercaptopurine + Methotrexate</w:t>
                  </w:r>
                </w:p>
              </w:tc>
              <w:tc>
                <w:tcPr>
                  <w:tcW w:w="6217" w:type="dxa"/>
                  <w:gridSpan w:val="3"/>
                  <w:tcBorders>
                    <w:left w:val="single" w:color="auto" w:sz="4" w:space="0"/>
                    <w:bottom w:val="single" w:color="000000" w:sz="4" w:space="0"/>
                  </w:tcBorders>
                  <w:vAlign w:val="center"/>
                </w:tcPr>
                <w:p w14:paraId="044DA24B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AABABF4">
            <w:pPr>
              <w:spacing w:after="0" w:line="240" w:lineRule="auto"/>
              <w:jc w:val="center"/>
              <w:rPr>
                <w:rFonts w:ascii="Arial" w:hAnsi="Arial" w:eastAsia="Calibri" w:cs="Arial"/>
                <w:color w:val="000000"/>
                <w:sz w:val="18"/>
                <w:szCs w:val="18"/>
              </w:rPr>
            </w:pPr>
          </w:p>
        </w:tc>
      </w:tr>
    </w:tbl>
    <w:p w14:paraId="7C6E4CFE">
      <w:pPr>
        <w:spacing w:line="240" w:lineRule="auto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 xml:space="preserve">LR: dexamethasone 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>8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 xml:space="preserve"> </w:t>
      </w:r>
      <w:r>
        <w:rPr>
          <w:rFonts w:ascii="Arial" w:hAnsi="Arial" w:eastAsia="Times New Roman" w:cs="Arial"/>
          <w:color w:val="000000"/>
          <w:sz w:val="18"/>
          <w:szCs w:val="18"/>
        </w:rPr>
        <w:t>PO per day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 xml:space="preserve"> </w:t>
      </w:r>
      <w:r>
        <w:rPr>
          <w:rFonts w:ascii="Arial" w:hAnsi="Arial" w:eastAsia="Times New Roman" w:cs="Arial"/>
          <w:color w:val="000000"/>
          <w:sz w:val="18"/>
          <w:szCs w:val="18"/>
        </w:rPr>
        <w:t>in two divided doses for 7 days; vincristine 1</w:t>
      </w:r>
      <w:r>
        <w:rPr>
          <w:rFonts w:hint="eastAsia" w:ascii="Arial" w:hAnsi="Arial" w:cs="Arial"/>
          <w:sz w:val="24"/>
          <w:lang w:val="en-US" w:eastAsia="zh-CN"/>
        </w:rPr>
        <w:t>.</w:t>
      </w:r>
      <w:r>
        <w:rPr>
          <w:rFonts w:ascii="Arial" w:hAnsi="Arial" w:eastAsia="Times New Roman" w:cs="Arial"/>
          <w:color w:val="000000"/>
          <w:sz w:val="18"/>
          <w:szCs w:val="18"/>
        </w:rPr>
        <w:t>5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IV (max 2 mg) on Day 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>22 of the cycle</w:t>
      </w:r>
      <w:r>
        <w:rPr>
          <w:rFonts w:ascii="Arial" w:hAnsi="Arial" w:eastAsia="Times New Roman" w:cs="Arial"/>
          <w:color w:val="000000"/>
          <w:sz w:val="18"/>
          <w:szCs w:val="18"/>
        </w:rPr>
        <w:t>; mercaptopurine 50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PO daily for 7 days per week; methotrexate 25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PO on Day 1 of the week.</w:t>
      </w:r>
    </w:p>
    <w:p w14:paraId="79A65768">
      <w:pPr>
        <w:spacing w:line="240" w:lineRule="auto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 xml:space="preserve">I/HR: dexamethasone 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>8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PO per day in two divided doses for 7 days; vincristine 1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>.</w:t>
      </w:r>
      <w:r>
        <w:rPr>
          <w:rFonts w:ascii="Arial" w:hAnsi="Arial" w:eastAsia="Times New Roman" w:cs="Arial"/>
          <w:color w:val="000000"/>
          <w:sz w:val="18"/>
          <w:szCs w:val="18"/>
        </w:rPr>
        <w:t>5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IV (max 2 mg) on Day 1 of the week; mercaptopurine 50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PO daily for 7 days per week; methotrexate 25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PO on Day 1 of the week; cyclophosphamide 300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IV 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 xml:space="preserve">and </w:t>
      </w:r>
      <w:r>
        <w:rPr>
          <w:rFonts w:ascii="Arial" w:hAnsi="Arial" w:eastAsia="Times New Roman" w:cs="Arial"/>
          <w:color w:val="000000"/>
          <w:sz w:val="18"/>
          <w:szCs w:val="18"/>
        </w:rPr>
        <w:t>cytarabine 300 mg/m</w:t>
      </w:r>
      <w:r>
        <w:rPr>
          <w:rFonts w:ascii="Arial" w:hAnsi="Arial" w:eastAsia="Times New Roman" w:cs="Arial"/>
          <w:color w:val="000000"/>
          <w:sz w:val="18"/>
          <w:szCs w:val="18"/>
          <w:vertAlign w:val="superscript"/>
        </w:rPr>
        <w:t>2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IV on Day 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>15 of the cycle.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</w:t>
      </w:r>
    </w:p>
    <w:p w14:paraId="6770C2AB">
      <w:pPr>
        <w:spacing w:line="240" w:lineRule="auto"/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</w:rPr>
        <w:t>Abbreviations: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I/HR, intermediate-/high-risk</w:t>
      </w:r>
      <w:r>
        <w:rPr>
          <w:rFonts w:hint="eastAsia"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group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; </w:t>
      </w:r>
      <w:r>
        <w:rPr>
          <w:rFonts w:ascii="Arial" w:hAnsi="Arial" w:cs="Arial"/>
          <w:sz w:val="18"/>
          <w:szCs w:val="18"/>
        </w:rPr>
        <w:t>IT, intrathecal;</w:t>
      </w:r>
      <w:r>
        <w:rPr>
          <w:rFonts w:ascii="Arial" w:hAnsi="Arial" w:eastAsia="Times New Roman" w:cs="Arial"/>
          <w:color w:val="000000"/>
          <w:sz w:val="18"/>
          <w:szCs w:val="18"/>
        </w:rPr>
        <w:t xml:space="preserve"> IV, intravenous;</w:t>
      </w:r>
      <w:r>
        <w:rPr>
          <w:rFonts w:ascii="Arial" w:hAnsi="Arial" w:cs="Arial"/>
          <w:sz w:val="18"/>
          <w:szCs w:val="18"/>
        </w:rPr>
        <w:t xml:space="preserve"> LR, low-risk group; </w:t>
      </w:r>
      <w:r>
        <w:rPr>
          <w:rFonts w:ascii="Arial" w:hAnsi="Arial" w:eastAsia="Times New Roman" w:cs="Arial"/>
          <w:color w:val="000000"/>
          <w:sz w:val="18"/>
          <w:szCs w:val="18"/>
        </w:rPr>
        <w:t>max, maximum; PO by mouth</w:t>
      </w:r>
      <w:r>
        <w:rPr>
          <w:rFonts w:hint="eastAsia" w:ascii="Arial" w:hAnsi="Arial" w:eastAsia="宋体" w:cs="Arial"/>
          <w:color w:val="000000"/>
          <w:sz w:val="18"/>
          <w:szCs w:val="18"/>
          <w:lang w:val="en-US" w:eastAsia="zh-CN"/>
        </w:rPr>
        <w:t>.</w:t>
      </w:r>
    </w:p>
    <w:p w14:paraId="581DBAA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C40ADA"/>
    <w:multiLevelType w:val="multilevel"/>
    <w:tmpl w:val="30C40ADA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 w:cs="Arial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23075"/>
    <w:rsid w:val="0AA23075"/>
    <w:rsid w:val="0B4A1814"/>
    <w:rsid w:val="1B8371BB"/>
    <w:rsid w:val="1BEA548C"/>
    <w:rsid w:val="1CB12D24"/>
    <w:rsid w:val="23496F3C"/>
    <w:rsid w:val="311A6D47"/>
    <w:rsid w:val="348C0A37"/>
    <w:rsid w:val="36E630A0"/>
    <w:rsid w:val="469F366E"/>
    <w:rsid w:val="4A8A3813"/>
    <w:rsid w:val="5572625C"/>
    <w:rsid w:val="55FD133D"/>
    <w:rsid w:val="58F20F01"/>
    <w:rsid w:val="5FC03B07"/>
    <w:rsid w:val="60874FAA"/>
    <w:rsid w:val="64061C14"/>
    <w:rsid w:val="68DC2D3A"/>
    <w:rsid w:val="6B0A032C"/>
    <w:rsid w:val="7BBD67CF"/>
    <w:rsid w:val="7BE91898"/>
    <w:rsid w:val="7DE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rPr>
      <w:rFonts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487</Words>
  <Characters>2474</Characters>
  <Lines>0</Lines>
  <Paragraphs>0</Paragraphs>
  <TotalTime>21</TotalTime>
  <ScaleCrop>false</ScaleCrop>
  <LinksUpToDate>false</LinksUpToDate>
  <CharactersWithSpaces>2882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2025-01-10T07:41:00Z</dcterms:created>
  <dc:creator>xuechw</dc:creator>
  <cp:lastModifiedBy>xuechw</cp:lastModifiedBy>
  <dcterms:modified xsi:type="dcterms:W3CDTF">2025-12-16T17:03:06Z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2B820283AE08426F907A31379C7D3303_13</vt:lpwstr>
  </property>
  <property fmtid="{D5CDD505-2E9C-101B-9397-08002B2CF9AE}" pid="4" name="KSOTemplateDocerSaveRecord">
    <vt:lpwstr>eyJoZGlkIjoiZjM0NTE2NDE2ZjgzNTA1YTNlYzQ2MjliODA2MDI4MTkiLCJ1c2VySWQiOiIzMzg3ODA1OTIifQ==</vt:lpwstr>
  </property>
</Properties>
</file>